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4969"/>
        <w:gridCol w:w="923"/>
        <w:gridCol w:w="989"/>
        <w:gridCol w:w="990"/>
        <w:gridCol w:w="915"/>
      </w:tblGrid>
      <w:tr w:rsidR="00C543E6" w:rsidRPr="00CC77BE" w:rsidTr="00745AC9">
        <w:trPr>
          <w:tblHeader/>
        </w:trPr>
        <w:tc>
          <w:tcPr>
            <w:tcW w:w="392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6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Need to be addressed</w:t>
            </w:r>
            <w:r w:rsidR="004E0BB2"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with INTERACT/PLOT support</w:t>
            </w:r>
          </w:p>
        </w:tc>
        <w:tc>
          <w:tcPr>
            <w:tcW w:w="923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ROBG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ROHU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ROSE</w:t>
            </w:r>
          </w:p>
        </w:tc>
        <w:tc>
          <w:tcPr>
            <w:tcW w:w="917" w:type="dxa"/>
            <w:shd w:val="clear" w:color="auto" w:fill="DAEEF3" w:themeFill="accent5" w:themeFillTint="33"/>
          </w:tcPr>
          <w:p w:rsidR="00C543E6" w:rsidRPr="00CC77BE" w:rsidRDefault="00C543E6" w:rsidP="001B77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BMN</w:t>
            </w:r>
          </w:p>
        </w:tc>
      </w:tr>
      <w:tr w:rsidR="00C543E6" w:rsidRPr="00CC77BE" w:rsidTr="00745AC9">
        <w:trPr>
          <w:tblHeader/>
        </w:trPr>
        <w:tc>
          <w:tcPr>
            <w:tcW w:w="392" w:type="dxa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996" w:type="dxa"/>
          </w:tcPr>
          <w:p w:rsidR="00C543E6" w:rsidRDefault="00A2266A" w:rsidP="002D11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Generation of the AF in.pdf format</w:t>
            </w:r>
            <w:r w:rsidRPr="00CC77B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56DEB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9123B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6DEB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 seems to exist and work (a message is shown in upper right corner of the screen: „PDF print started”)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but when you go in ‘Generated files’ to open the .pdf file, there is no document saved there. Do we need special settings in e-MS and where?</w:t>
            </w:r>
          </w:p>
          <w:p w:rsidR="00543C1E" w:rsidRDefault="0079295B" w:rsidP="002D117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26.02.16: </w:t>
            </w:r>
          </w:p>
          <w:p w:rsidR="00025F89" w:rsidRPr="00543C1E" w:rsidRDefault="00025F89" w:rsidP="00025F89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532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Function “Compare” is also not working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in the system – no modification operated in the AF is shown.</w:t>
            </w:r>
          </w:p>
          <w:p w:rsidR="00CF3E88" w:rsidRPr="00CF3E88" w:rsidRDefault="0079295B" w:rsidP="00CF3E88">
            <w:pPr>
              <w:spacing w:before="120" w:after="12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INTERACT 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raspuns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ROBG ca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chestiune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tine de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configurari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necesara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rezolvata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.</w:t>
            </w:r>
            <w:r w:rsidR="00CF3E88">
              <w:rPr>
                <w:color w:val="1F497D"/>
              </w:rPr>
              <w:t xml:space="preserve"> </w:t>
            </w:r>
            <w:r w:rsidR="00CF3E88" w:rsidRPr="00CF3E88">
              <w:rPr>
                <w:color w:val="FF0000"/>
              </w:rPr>
              <w:t xml:space="preserve">[You </w:t>
            </w:r>
            <w:proofErr w:type="spellStart"/>
            <w:r w:rsidR="00CF3E88" w:rsidRPr="00CF3E88">
              <w:rPr>
                <w:color w:val="FF0000"/>
              </w:rPr>
              <w:t>need</w:t>
            </w:r>
            <w:proofErr w:type="spellEnd"/>
            <w:r w:rsidR="00CF3E88" w:rsidRPr="00CF3E88">
              <w:rPr>
                <w:color w:val="FF0000"/>
              </w:rPr>
              <w:t xml:space="preserve"> to </w:t>
            </w:r>
            <w:proofErr w:type="spellStart"/>
            <w:r w:rsidR="00CF3E88" w:rsidRPr="00CF3E88">
              <w:rPr>
                <w:color w:val="FF0000"/>
              </w:rPr>
              <w:t>specify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your</w:t>
            </w:r>
            <w:proofErr w:type="spellEnd"/>
            <w:r w:rsidR="00CF3E88" w:rsidRPr="00CF3E88">
              <w:rPr>
                <w:color w:val="FF0000"/>
              </w:rPr>
              <w:t xml:space="preserve"> –</w:t>
            </w:r>
            <w:proofErr w:type="spellStart"/>
            <w:r w:rsidR="00CF3E88" w:rsidRPr="00CF3E88">
              <w:rPr>
                <w:color w:val="FF0000"/>
              </w:rPr>
              <w:t>pdf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fist</w:t>
            </w:r>
            <w:proofErr w:type="spellEnd"/>
            <w:r w:rsidR="00CF3E88" w:rsidRPr="00CF3E88">
              <w:rPr>
                <w:color w:val="FF0000"/>
              </w:rPr>
              <w:t xml:space="preserve">. You </w:t>
            </w:r>
            <w:proofErr w:type="spellStart"/>
            <w:r w:rsidR="00CF3E88" w:rsidRPr="00CF3E88">
              <w:rPr>
                <w:color w:val="FF0000"/>
              </w:rPr>
              <w:t>can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either</w:t>
            </w:r>
            <w:proofErr w:type="spellEnd"/>
            <w:r w:rsidR="00CF3E88" w:rsidRPr="00CF3E88">
              <w:rPr>
                <w:color w:val="FF0000"/>
              </w:rPr>
              <w:t xml:space="preserve"> do </w:t>
            </w:r>
            <w:proofErr w:type="spellStart"/>
            <w:r w:rsidR="00CF3E88" w:rsidRPr="00CF3E88">
              <w:rPr>
                <w:color w:val="FF0000"/>
              </w:rPr>
              <w:t>it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yourself</w:t>
            </w:r>
            <w:proofErr w:type="spellEnd"/>
            <w:r w:rsidR="00CF3E88" w:rsidRPr="00CF3E88">
              <w:rPr>
                <w:color w:val="FF0000"/>
              </w:rPr>
              <w:t xml:space="preserve"> (IT expertise </w:t>
            </w:r>
            <w:proofErr w:type="spellStart"/>
            <w:r w:rsidR="00CF3E88" w:rsidRPr="00CF3E88">
              <w:rPr>
                <w:color w:val="FF0000"/>
              </w:rPr>
              <w:t>needed</w:t>
            </w:r>
            <w:proofErr w:type="spellEnd"/>
            <w:r w:rsidR="00CF3E88" w:rsidRPr="00CF3E88">
              <w:rPr>
                <w:color w:val="FF0000"/>
              </w:rPr>
              <w:t xml:space="preserve">) or use PLOT support or </w:t>
            </w:r>
            <w:proofErr w:type="spellStart"/>
            <w:r w:rsidR="00CF3E88" w:rsidRPr="00CF3E88">
              <w:rPr>
                <w:color w:val="FF0000"/>
              </w:rPr>
              <w:t>any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other</w:t>
            </w:r>
            <w:proofErr w:type="spellEnd"/>
            <w:r w:rsidR="00CF3E88" w:rsidRPr="00CF3E88">
              <w:rPr>
                <w:color w:val="FF0000"/>
              </w:rPr>
              <w:t xml:space="preserve"> </w:t>
            </w:r>
            <w:proofErr w:type="spellStart"/>
            <w:r w:rsidR="00CF3E88" w:rsidRPr="00CF3E88">
              <w:rPr>
                <w:color w:val="FF0000"/>
              </w:rPr>
              <w:t>external</w:t>
            </w:r>
            <w:proofErr w:type="spellEnd"/>
            <w:r w:rsidR="00CF3E88" w:rsidRPr="00CF3E88">
              <w:rPr>
                <w:color w:val="FF0000"/>
              </w:rPr>
              <w:t xml:space="preserve"> support.]</w:t>
            </w:r>
          </w:p>
          <w:p w:rsidR="0079295B" w:rsidRPr="0079295B" w:rsidRDefault="0079295B" w:rsidP="0079295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saptamana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26.02-4.03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consultanta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rezolvarea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problemei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problem legate de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instalarea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aplicatiei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. TeamViewer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instalat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finctional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laptop Mihai.</w:t>
            </w:r>
          </w:p>
        </w:tc>
        <w:tc>
          <w:tcPr>
            <w:tcW w:w="923" w:type="dxa"/>
            <w:vAlign w:val="center"/>
          </w:tcPr>
          <w:p w:rsidR="00C543E6" w:rsidRPr="00CC77BE" w:rsidRDefault="0049123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C543E6" w:rsidRPr="00CC77BE" w:rsidRDefault="009E041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C543E6" w:rsidRPr="00CC77BE" w:rsidRDefault="009E041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17" w:type="dxa"/>
            <w:vAlign w:val="center"/>
          </w:tcPr>
          <w:p w:rsidR="00C543E6" w:rsidRPr="00CC77BE" w:rsidRDefault="009E041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C543E6" w:rsidRPr="00CC77BE" w:rsidTr="00745AC9">
        <w:trPr>
          <w:tblHeader/>
        </w:trPr>
        <w:tc>
          <w:tcPr>
            <w:tcW w:w="392" w:type="dxa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96" w:type="dxa"/>
          </w:tcPr>
          <w:p w:rsidR="00C543E6" w:rsidRPr="00CC77BE" w:rsidRDefault="001B7709" w:rsidP="002D11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Start and End dates in section </w:t>
            </w:r>
            <w:proofErr w:type="spellStart"/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Workplan</w:t>
            </w:r>
            <w:proofErr w:type="spellEnd"/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Implementation WP</w:t>
            </w:r>
            <w:r w:rsidR="0024720E"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r w:rsidR="0024720E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start date is filled in first </w:t>
            </w:r>
            <w:proofErr w:type="spellStart"/>
            <w:r w:rsidR="0024720E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than</w:t>
            </w:r>
            <w:proofErr w:type="spellEnd"/>
            <w:r w:rsidR="0024720E"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end date with a different year than the start date, the start date is being reset. </w:t>
            </w:r>
          </w:p>
          <w:p w:rsidR="0024720E" w:rsidRDefault="0024720E" w:rsidP="002D11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When end date is filled in first and start date afterwards, the system keeps the data as it is filled-in by the user.</w:t>
            </w:r>
          </w:p>
          <w:p w:rsidR="007E3F37" w:rsidRPr="007E3F37" w:rsidRDefault="007E3F37" w:rsidP="002D117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inca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la INTERACT</w:t>
            </w:r>
          </w:p>
        </w:tc>
        <w:tc>
          <w:tcPr>
            <w:tcW w:w="923" w:type="dxa"/>
            <w:vAlign w:val="center"/>
          </w:tcPr>
          <w:p w:rsidR="00C543E6" w:rsidRPr="00CC77BE" w:rsidRDefault="0024720E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C543E6" w:rsidRPr="00CC77BE" w:rsidRDefault="000C7113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3E6" w:rsidRPr="00CC77BE" w:rsidTr="00745AC9">
        <w:trPr>
          <w:tblHeader/>
        </w:trPr>
        <w:tc>
          <w:tcPr>
            <w:tcW w:w="392" w:type="dxa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996" w:type="dxa"/>
          </w:tcPr>
          <w:p w:rsidR="00BD5705" w:rsidRPr="00CC77BE" w:rsidRDefault="00BD5705" w:rsidP="00BD570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Flat rate calculation for Office and Administration budgetary line - </w:t>
            </w:r>
          </w:p>
          <w:p w:rsidR="00BD5705" w:rsidRPr="00CC77BE" w:rsidRDefault="00BD5705" w:rsidP="00BD570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Interreg</w:t>
            </w:r>
            <w:proofErr w:type="spellEnd"/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V-A ROBG is applying flat rate = % of direct costs [</w:t>
            </w: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art. 68, a) of Reg. 1303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]. </w:t>
            </w:r>
          </w:p>
          <w:p w:rsidR="00C543E6" w:rsidRDefault="00BD5705" w:rsidP="002D117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More specific, a flat rate of max. 5 % applied to: </w:t>
            </w:r>
            <w:r w:rsidRPr="00CC77B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1.Travel and accommodation + 2.External expertise and services + 3.Equipment expenditure + 4.Infrastructure and works and 5.Staff costs (only in case real costs option for staff costs is used)</w:t>
            </w:r>
          </w:p>
          <w:p w:rsidR="009E0419" w:rsidRPr="009E0419" w:rsidRDefault="009E0419" w:rsidP="009E0419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26.02.2016 –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solutie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posibila</w:t>
            </w:r>
            <w:proofErr w:type="spellEnd"/>
            <w:r w:rsidR="00296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oferita</w:t>
            </w:r>
            <w:proofErr w:type="spellEnd"/>
            <w:r w:rsidR="00296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ROBG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: INTERACT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discuta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cu PLOT ca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urmatoarea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versiune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permita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introducerea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ratei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Office cu 3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caractere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zecimale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asa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incat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poata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fi calculate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rata de office ca % din staff.</w:t>
            </w:r>
          </w:p>
        </w:tc>
        <w:tc>
          <w:tcPr>
            <w:tcW w:w="923" w:type="dxa"/>
            <w:vAlign w:val="center"/>
          </w:tcPr>
          <w:p w:rsidR="00C543E6" w:rsidRPr="00CC77BE" w:rsidRDefault="00BD5705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543E6" w:rsidRPr="00CC77BE" w:rsidRDefault="0078031A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917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3E6" w:rsidRPr="00CC77BE" w:rsidTr="00745AC9">
        <w:trPr>
          <w:tblHeader/>
        </w:trPr>
        <w:tc>
          <w:tcPr>
            <w:tcW w:w="392" w:type="dxa"/>
          </w:tcPr>
          <w:p w:rsidR="00C543E6" w:rsidRPr="00CC77BE" w:rsidRDefault="00C543E6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996" w:type="dxa"/>
          </w:tcPr>
          <w:p w:rsidR="00FB27BC" w:rsidRDefault="00FB27BC" w:rsidP="00FB27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Preparation cost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without generation of flat rates</w:t>
            </w:r>
          </w:p>
          <w:p w:rsidR="003C5427" w:rsidRDefault="00AA5759" w:rsidP="00FB27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26.02.2016 - INTERACT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discuta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cu PLOT ca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urmatoarea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versiune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posibil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.</w:t>
            </w:r>
            <w:r w:rsidR="003C542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AA5759" w:rsidRPr="00CC77BE" w:rsidRDefault="003C5427" w:rsidP="00FB27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probabil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bugetara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separate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Project preparation,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asa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cum am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solicitat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923" w:type="dxa"/>
            <w:vAlign w:val="center"/>
          </w:tcPr>
          <w:p w:rsidR="00C543E6" w:rsidRPr="00CC77BE" w:rsidRDefault="00FB27BC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C543E6" w:rsidRPr="00CC77BE" w:rsidRDefault="00C543E6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Pr="00CC77BE" w:rsidRDefault="0038562B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996" w:type="dxa"/>
          </w:tcPr>
          <w:p w:rsidR="0038562B" w:rsidRPr="00CC77BE" w:rsidRDefault="0038562B" w:rsidP="0054254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Configuration for all types of users for each programme</w:t>
            </w:r>
          </w:p>
        </w:tc>
        <w:tc>
          <w:tcPr>
            <w:tcW w:w="923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17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Pr="00CC77BE" w:rsidRDefault="0038562B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996" w:type="dxa"/>
          </w:tcPr>
          <w:p w:rsidR="00AB0F2D" w:rsidRDefault="0038562B" w:rsidP="00AB0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Contribution of the AF/project to achievement of the programme result indicators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system is not asking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now 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/ measuring the (quantitative) contribution of an application to the selected programme result 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implemented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B0F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55DE4" w:rsidRPr="00355DE4" w:rsidRDefault="00355DE4" w:rsidP="00AB0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Intrebarea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adresata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10-11.02.2016 – nu s-a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trimis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inca email</w:t>
            </w:r>
            <w:r w:rsidR="00FE6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E6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la INTERACT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sens</w:t>
            </w:r>
          </w:p>
        </w:tc>
        <w:tc>
          <w:tcPr>
            <w:tcW w:w="923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870E10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Pr="00CC77BE" w:rsidRDefault="0038562B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996" w:type="dxa"/>
          </w:tcPr>
          <w:p w:rsidR="0038562B" w:rsidRDefault="0038562B" w:rsidP="0054254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 of Weight in checklists with scores</w:t>
            </w:r>
          </w:p>
          <w:p w:rsidR="0038562B" w:rsidRDefault="0038562B" w:rsidP="005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for a score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for a question to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in the total? </w:t>
            </w:r>
          </w:p>
          <w:p w:rsidR="0038562B" w:rsidRDefault="0038562B" w:rsidP="0054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.: for a question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min 0 points and max 13 points (out of total 100 points for 28 questions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min and max), in case 3 points are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not 3 points </w:t>
            </w:r>
            <w:proofErr w:type="spellStart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E4A1F">
              <w:rPr>
                <w:rFonts w:ascii="Times New Roman" w:hAnsi="Times New Roman" w:cs="Times New Roman"/>
                <w:sz w:val="24"/>
                <w:szCs w:val="24"/>
              </w:rPr>
              <w:t xml:space="preserve"> in the checklist total.</w:t>
            </w:r>
          </w:p>
          <w:p w:rsidR="00A82A34" w:rsidRPr="002D117B" w:rsidRDefault="00A82A34" w:rsidP="003C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26.02.2016 – INTERACT a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confirmat</w:t>
            </w:r>
            <w:proofErr w:type="spellEnd"/>
            <w:r w:rsidR="00296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ROBG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eroarea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</w:t>
            </w:r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stem</w:t>
            </w:r>
            <w:proofErr w:type="spellEnd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precum</w:t>
            </w:r>
            <w:proofErr w:type="spellEnd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si</w:t>
            </w:r>
            <w:proofErr w:type="spellEnd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faptul</w:t>
            </w:r>
            <w:proofErr w:type="spellEnd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ca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prioritate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rezolvata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C0E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urmatorul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update.</w:t>
            </w:r>
          </w:p>
        </w:tc>
        <w:tc>
          <w:tcPr>
            <w:tcW w:w="923" w:type="dxa"/>
            <w:vAlign w:val="center"/>
          </w:tcPr>
          <w:p w:rsidR="0038562B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38688C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38562B" w:rsidRPr="00CC77BE" w:rsidRDefault="0038562B" w:rsidP="005425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Default="0038562B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996" w:type="dxa"/>
          </w:tcPr>
          <w:p w:rsidR="00D23A6A" w:rsidRDefault="002967DA" w:rsidP="002967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method used by the system for showing only 2 decimals as calculation results is not clear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to 2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decimals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as in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or a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truncation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  <w:proofErr w:type="spellEnd"/>
            <w:r w:rsidRPr="002967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A34" w:rsidRPr="00A82A34" w:rsidRDefault="002967DA" w:rsidP="002967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A6A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="00D2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vAlign w:val="center"/>
          </w:tcPr>
          <w:p w:rsidR="0038562B" w:rsidRDefault="002967DA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A82C31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Default="0037709C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996" w:type="dxa"/>
          </w:tcPr>
          <w:p w:rsidR="0038562B" w:rsidRPr="00745AC9" w:rsidRDefault="00745AC9" w:rsidP="00FB27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Calls for TA beneficiaries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can the access to calls for TA be limited to only the TA beneficiaries?</w:t>
            </w:r>
          </w:p>
        </w:tc>
        <w:tc>
          <w:tcPr>
            <w:tcW w:w="923" w:type="dxa"/>
            <w:vAlign w:val="center"/>
          </w:tcPr>
          <w:p w:rsidR="0038562B" w:rsidRDefault="007B0B0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990" w:type="dxa"/>
            <w:vAlign w:val="center"/>
          </w:tcPr>
          <w:p w:rsidR="0038562B" w:rsidRPr="00CC77BE" w:rsidRDefault="00E26B28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38562B" w:rsidRPr="00CC77BE" w:rsidRDefault="00745AC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Default="006E7578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4996" w:type="dxa"/>
          </w:tcPr>
          <w:p w:rsidR="006E7578" w:rsidRPr="006E7578" w:rsidRDefault="006E7578" w:rsidP="006E7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75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 privileges do we have to select for the assessors/evaluators role in order only to see and submit the checklists without being given the privilege of “Final Check” (see attachment)?</w:t>
            </w:r>
          </w:p>
          <w:p w:rsidR="00E65E6B" w:rsidRDefault="006E7578" w:rsidP="00E65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75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Currently, an assessor user has to be given the privilege "SUBMIT EVALUATION" in order to have access and see the checklist, but can also have access to the Final Check. 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privilege "SUBMIT_EVALUATION"</w:t>
            </w:r>
            <w:r w:rsid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removed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assessors/evaluators role, the </w:t>
            </w:r>
            <w:proofErr w:type="spellStart"/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evalutors</w:t>
            </w:r>
            <w:proofErr w:type="spellEnd"/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an’t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access the checklist.</w:t>
            </w:r>
            <w:r w:rsid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the privilege "SUBMIT_EVALUATION"</w:t>
            </w:r>
            <w:r w:rsid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added to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assessors/evaluators role, the evaluators c</w:t>
            </w:r>
            <w:r w:rsid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="00E65E6B" w:rsidRPr="00E6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access the checklist, but can also make the consolidated evaluation.</w:t>
            </w:r>
          </w:p>
          <w:p w:rsidR="0038562B" w:rsidRDefault="006E7578" w:rsidP="006E757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75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However, in our case only the Assessment Group President’s has to have privilege to make a “Final Check” for the assessment of an application and the assessors shouldn't have this option available.</w:t>
            </w:r>
          </w:p>
          <w:p w:rsidR="00E65E6B" w:rsidRPr="005866CD" w:rsidRDefault="005866CD" w:rsidP="00E36E6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 w:rsidRPr="005866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</w:t>
            </w:r>
            <w:r w:rsidR="00E65E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26.02.2016 : </w:t>
            </w:r>
            <w:proofErr w:type="spellStart"/>
            <w:r w:rsidR="00E65E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Intrebare</w:t>
            </w:r>
            <w:proofErr w:type="spellEnd"/>
            <w:r w:rsidR="00E65E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65E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adresata</w:t>
            </w:r>
            <w:proofErr w:type="spellEnd"/>
            <w:r w:rsidR="00E65E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INTERACT</w:t>
            </w:r>
          </w:p>
        </w:tc>
        <w:tc>
          <w:tcPr>
            <w:tcW w:w="923" w:type="dxa"/>
            <w:vAlign w:val="center"/>
          </w:tcPr>
          <w:p w:rsidR="0038562B" w:rsidRDefault="006E7578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2B70AF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562B" w:rsidRPr="00CC77BE" w:rsidTr="00745AC9">
        <w:trPr>
          <w:tblHeader/>
        </w:trPr>
        <w:tc>
          <w:tcPr>
            <w:tcW w:w="392" w:type="dxa"/>
          </w:tcPr>
          <w:p w:rsidR="0038562B" w:rsidRDefault="0005152A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996" w:type="dxa"/>
          </w:tcPr>
          <w:p w:rsidR="0038562B" w:rsidRDefault="0005152A" w:rsidP="0005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051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rror/difference in calculation of the co-financing amount in the "Partner contribution" section</w:t>
            </w:r>
            <w:r w:rsidR="00D126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D1267F" w:rsidRPr="00D1267F" w:rsidRDefault="00D1267F" w:rsidP="0005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D126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e.g</w:t>
            </w:r>
            <w:proofErr w:type="gramEnd"/>
            <w:r w:rsidRPr="00D126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85% ERDF of 4082.82 = 3470.3970 and the system is showing 3470.55.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126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Also, State Budget and Partner Contribution should be (15% of 4082.82 =) 612.423 and the system is showing 612.27.</w:t>
            </w:r>
          </w:p>
          <w:p w:rsidR="00506CA9" w:rsidRDefault="00506CA9" w:rsidP="005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66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Update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29.02.2016 :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Intrebare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>adresata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INTERACT</w:t>
            </w:r>
          </w:p>
        </w:tc>
        <w:tc>
          <w:tcPr>
            <w:tcW w:w="923" w:type="dxa"/>
            <w:vAlign w:val="center"/>
          </w:tcPr>
          <w:p w:rsidR="0038562B" w:rsidRDefault="00E36E6D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0" w:type="dxa"/>
            <w:vAlign w:val="center"/>
          </w:tcPr>
          <w:p w:rsidR="0038562B" w:rsidRPr="00CC77BE" w:rsidRDefault="005F6CA5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917" w:type="dxa"/>
            <w:vAlign w:val="center"/>
          </w:tcPr>
          <w:p w:rsidR="0038562B" w:rsidRPr="00CC77BE" w:rsidRDefault="0038562B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6E6D" w:rsidRPr="00CC77BE" w:rsidTr="00745AC9">
        <w:trPr>
          <w:tblHeader/>
        </w:trPr>
        <w:tc>
          <w:tcPr>
            <w:tcW w:w="392" w:type="dxa"/>
          </w:tcPr>
          <w:p w:rsidR="00E36E6D" w:rsidRDefault="00E941D9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996" w:type="dxa"/>
          </w:tcPr>
          <w:p w:rsidR="00E36E6D" w:rsidRDefault="00E941D9" w:rsidP="0005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941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 have a FLC report/certificate which goes to the Lead Beneficiary. What happens if during the legal term, one of the partners cont</w:t>
            </w:r>
            <w:r w:rsidR="005914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ests the FLC report/certificate</w:t>
            </w:r>
            <w:r w:rsidRPr="00E941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? How is this set up in the e-MS?</w:t>
            </w:r>
          </w:p>
          <w:p w:rsidR="00163430" w:rsidRPr="00163430" w:rsidRDefault="00163430" w:rsidP="0005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E36E6D" w:rsidRDefault="00E36E6D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E36E6D" w:rsidRPr="00CC77BE" w:rsidRDefault="00E941D9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:rsidR="00E36E6D" w:rsidRPr="00CC77BE" w:rsidRDefault="00E36E6D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E36E6D" w:rsidRPr="00CC77BE" w:rsidRDefault="00E36E6D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3430" w:rsidRPr="00CC77BE" w:rsidTr="00745AC9">
        <w:trPr>
          <w:tblHeader/>
        </w:trPr>
        <w:tc>
          <w:tcPr>
            <w:tcW w:w="392" w:type="dxa"/>
          </w:tcPr>
          <w:p w:rsidR="00163430" w:rsidRDefault="00163430" w:rsidP="001B77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6" w:type="dxa"/>
          </w:tcPr>
          <w:p w:rsidR="00163430" w:rsidRPr="00E941D9" w:rsidRDefault="00591412" w:rsidP="00591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Export of the list of expenditures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reveals that the figures from excel are different from those shown in the system</w:t>
            </w:r>
          </w:p>
        </w:tc>
        <w:tc>
          <w:tcPr>
            <w:tcW w:w="923" w:type="dxa"/>
            <w:vAlign w:val="center"/>
          </w:tcPr>
          <w:p w:rsidR="00163430" w:rsidRDefault="00163430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163430" w:rsidRDefault="00163430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63430" w:rsidRPr="00CC77BE" w:rsidRDefault="00163430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17" w:type="dxa"/>
            <w:vAlign w:val="center"/>
          </w:tcPr>
          <w:p w:rsidR="00163430" w:rsidRPr="00CC77BE" w:rsidRDefault="00163430" w:rsidP="002472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543E6" w:rsidRPr="00CC77BE" w:rsidRDefault="00C543E6" w:rsidP="001B7709">
      <w:p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543E6" w:rsidRPr="00CC77BE" w:rsidSect="00F90994"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1D5"/>
    <w:multiLevelType w:val="hybridMultilevel"/>
    <w:tmpl w:val="A4C80EB6"/>
    <w:lvl w:ilvl="0" w:tplc="401CE8E8">
      <w:numFmt w:val="bullet"/>
      <w:lvlText w:val="-"/>
      <w:lvlJc w:val="left"/>
      <w:pPr>
        <w:ind w:left="1065" w:hanging="360"/>
      </w:pPr>
      <w:rPr>
        <w:rFonts w:ascii="Trebuchet MS" w:eastAsia="Calibri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3B17B1"/>
    <w:multiLevelType w:val="hybridMultilevel"/>
    <w:tmpl w:val="6DC0E3C2"/>
    <w:lvl w:ilvl="0" w:tplc="E06C2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0"/>
    <w:rsid w:val="00025F89"/>
    <w:rsid w:val="0005152A"/>
    <w:rsid w:val="00056DEB"/>
    <w:rsid w:val="0006099E"/>
    <w:rsid w:val="000C7113"/>
    <w:rsid w:val="00163430"/>
    <w:rsid w:val="001B7709"/>
    <w:rsid w:val="0024720E"/>
    <w:rsid w:val="002967DA"/>
    <w:rsid w:val="002B70AF"/>
    <w:rsid w:val="002D117B"/>
    <w:rsid w:val="00355DE4"/>
    <w:rsid w:val="0037709C"/>
    <w:rsid w:val="0038562B"/>
    <w:rsid w:val="0038688C"/>
    <w:rsid w:val="003C0EE9"/>
    <w:rsid w:val="003C5427"/>
    <w:rsid w:val="003E6750"/>
    <w:rsid w:val="0049123B"/>
    <w:rsid w:val="004E0BB2"/>
    <w:rsid w:val="00506CA9"/>
    <w:rsid w:val="00543C1E"/>
    <w:rsid w:val="005866CD"/>
    <w:rsid w:val="00591412"/>
    <w:rsid w:val="005B07ED"/>
    <w:rsid w:val="005B080A"/>
    <w:rsid w:val="005F6CA5"/>
    <w:rsid w:val="006E7578"/>
    <w:rsid w:val="00716BD6"/>
    <w:rsid w:val="00745AC9"/>
    <w:rsid w:val="0078031A"/>
    <w:rsid w:val="0079295B"/>
    <w:rsid w:val="007B0B09"/>
    <w:rsid w:val="007E3F37"/>
    <w:rsid w:val="00870E10"/>
    <w:rsid w:val="008E1070"/>
    <w:rsid w:val="00930F47"/>
    <w:rsid w:val="00986ED0"/>
    <w:rsid w:val="009C4C9B"/>
    <w:rsid w:val="009E0419"/>
    <w:rsid w:val="00A2266A"/>
    <w:rsid w:val="00A82A34"/>
    <w:rsid w:val="00A82C31"/>
    <w:rsid w:val="00AA5759"/>
    <w:rsid w:val="00AB0F2D"/>
    <w:rsid w:val="00AE5ADB"/>
    <w:rsid w:val="00B532AE"/>
    <w:rsid w:val="00BD5705"/>
    <w:rsid w:val="00BE3E78"/>
    <w:rsid w:val="00C543E6"/>
    <w:rsid w:val="00CC77BE"/>
    <w:rsid w:val="00CD2480"/>
    <w:rsid w:val="00CF3E88"/>
    <w:rsid w:val="00D1267F"/>
    <w:rsid w:val="00D23A6A"/>
    <w:rsid w:val="00D25C7B"/>
    <w:rsid w:val="00D379E4"/>
    <w:rsid w:val="00DF7CA1"/>
    <w:rsid w:val="00E26B28"/>
    <w:rsid w:val="00E36E6D"/>
    <w:rsid w:val="00E65E6B"/>
    <w:rsid w:val="00E941D9"/>
    <w:rsid w:val="00F90994"/>
    <w:rsid w:val="00FB27BC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39F3-E3CE-4EDE-8AFA-CC30EB5E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DDA6-DC80-4DC4-853D-E3DFB1C8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Varnaiote</dc:creator>
  <cp:keywords/>
  <dc:description/>
  <cp:lastModifiedBy>Nicu Buzgure</cp:lastModifiedBy>
  <cp:revision>66</cp:revision>
  <dcterms:created xsi:type="dcterms:W3CDTF">2016-02-17T11:21:00Z</dcterms:created>
  <dcterms:modified xsi:type="dcterms:W3CDTF">2016-04-01T13:18:00Z</dcterms:modified>
</cp:coreProperties>
</file>