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charts/chart17.xml" ContentType="application/vnd.openxmlformats-officedocument.drawingml.chart+xml"/>
  <Override PartName="/word/charts/style2.xml" ContentType="application/vnd.ms-office.chartstyle+xml"/>
  <Override PartName="/word/charts/colors2.xml" ContentType="application/vnd.ms-office.chartcolorstyle+xml"/>
  <Override PartName="/word/header8.xml" ContentType="application/vnd.openxmlformats-officedocument.wordprocessingml.header+xml"/>
  <Override PartName="/word/footer6.xml" ContentType="application/vnd.openxmlformats-officedocument.wordprocessingml.footer+xml"/>
  <Override PartName="/word/charts/chart1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header9.xml" ContentType="application/vnd.openxmlformats-officedocument.wordprocessingml.header+xml"/>
  <Override PartName="/word/footer7.xml" ContentType="application/vnd.openxmlformats-officedocument.wordprocessingml.footer+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7.xml" ContentType="application/vnd.openxmlformats-officedocument.drawingml.chart+xml"/>
  <Override PartName="/word/charts/style18.xml" ContentType="application/vnd.ms-office.chartstyle+xml"/>
  <Override PartName="/word/charts/colors18.xml" ContentType="application/vnd.ms-office.chartcolorstyle+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charts/chart3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40.xml" ContentType="application/vnd.openxmlformats-officedocument.drawingml.chart+xml"/>
  <Override PartName="/word/charts/style21.xml" ContentType="application/vnd.ms-office.chartstyle+xml"/>
  <Override PartName="/word/charts/colors21.xml" ContentType="application/vnd.ms-office.chartcolorstyle+xml"/>
  <Override PartName="/word/header13.xml" ContentType="application/vnd.openxmlformats-officedocument.wordprocessingml.header+xml"/>
  <Override PartName="/word/footer11.xml" ContentType="application/vnd.openxmlformats-officedocument.wordprocessingml.footer+xml"/>
  <Override PartName="/word/charts/chart4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2.xml" ContentType="application/vnd.openxmlformats-officedocument.drawingml.chart+xml"/>
  <Override PartName="/word/charts/style23.xml" ContentType="application/vnd.ms-office.chartstyle+xml"/>
  <Override PartName="/word/charts/colors23.xml" ContentType="application/vnd.ms-office.chartcolorstyle+xml"/>
  <Override PartName="/word/header14.xml" ContentType="application/vnd.openxmlformats-officedocument.wordprocessingml.header+xml"/>
  <Override PartName="/word/footer12.xml" ContentType="application/vnd.openxmlformats-officedocument.wordprocessingml.footer+xml"/>
  <Override PartName="/word/charts/chart4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7.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8.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49.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50.xml" ContentType="application/vnd.openxmlformats-officedocument.drawingml.chart+xml"/>
  <Override PartName="/word/charts/style31.xml" ContentType="application/vnd.ms-office.chartstyle+xml"/>
  <Override PartName="/word/charts/colors31.xml" ContentType="application/vnd.ms-office.chartcolorstyle+xml"/>
  <Override PartName="/word/header15.xml" ContentType="application/vnd.openxmlformats-officedocument.wordprocessingml.header+xml"/>
  <Override PartName="/word/footer13.xml" ContentType="application/vnd.openxmlformats-officedocument.wordprocessingml.footer+xml"/>
  <Override PartName="/word/charts/chart51.xml" ContentType="application/vnd.openxmlformats-officedocument.drawingml.chart+xml"/>
  <Override PartName="/word/charts/style32.xml" ContentType="application/vnd.ms-office.chartstyle+xml"/>
  <Override PartName="/word/charts/colors32.xml" ContentType="application/vnd.ms-office.chartcolorstyle+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DB5474" w14:textId="06230B2B" w:rsidR="43A5E8BA" w:rsidRPr="00037C61" w:rsidRDefault="43A5E8BA" w:rsidP="74CEAA85">
      <w:pPr>
        <w:rPr>
          <w:rFonts w:ascii="Garamond" w:hAnsi="Garamond"/>
          <w:lang w:val="en-GB"/>
        </w:rPr>
      </w:pPr>
      <w:bookmarkStart w:id="0" w:name="_GoBack"/>
      <w:bookmarkEnd w:id="0"/>
    </w:p>
    <w:p w14:paraId="350FAD05" w14:textId="2EC0FFBF" w:rsidR="072C37AB" w:rsidRPr="00037C61" w:rsidRDefault="072C37AB" w:rsidP="072C37AB">
      <w:pPr>
        <w:rPr>
          <w:rFonts w:ascii="Garamond" w:hAnsi="Garamond"/>
          <w:lang w:val="en-GB"/>
        </w:rPr>
      </w:pPr>
    </w:p>
    <w:p w14:paraId="6DB31504" w14:textId="0A3A38DC" w:rsidR="00123342" w:rsidRPr="00037C61" w:rsidRDefault="00123342">
      <w:pPr>
        <w:rPr>
          <w:rFonts w:ascii="Garamond" w:hAnsi="Garamond"/>
          <w:lang w:val="en-GB"/>
        </w:rPr>
      </w:pPr>
    </w:p>
    <w:p w14:paraId="6FFA97C8" w14:textId="60EA0DAB" w:rsidR="74CEAA85" w:rsidRPr="00037C61" w:rsidRDefault="74CEAA85" w:rsidP="74CEAA85">
      <w:pPr>
        <w:rPr>
          <w:rFonts w:ascii="Garamond" w:hAnsi="Garamond"/>
          <w:lang w:val="en-GB"/>
        </w:rPr>
      </w:pPr>
    </w:p>
    <w:p w14:paraId="21A8E59E" w14:textId="6D044889" w:rsidR="00123342" w:rsidRPr="00037C61" w:rsidRDefault="00123342" w:rsidP="009E4103">
      <w:pPr>
        <w:pStyle w:val="Title"/>
        <w:rPr>
          <w:i w:val="0"/>
          <w:iCs w:val="0"/>
          <w:sz w:val="40"/>
          <w:szCs w:val="40"/>
        </w:rPr>
      </w:pPr>
      <w:r w:rsidRPr="00037C61">
        <w:rPr>
          <w:i w:val="0"/>
          <w:iCs w:val="0"/>
          <w:sz w:val="40"/>
          <w:szCs w:val="40"/>
        </w:rPr>
        <w:t>Technical assistance for the elaboration of the future Interreg Programme Romania-Hungary 2021-2027 (including the realisation of SEA)</w:t>
      </w:r>
    </w:p>
    <w:p w14:paraId="5A4EADA5" w14:textId="07DB0193" w:rsidR="00123342" w:rsidRPr="00037C61" w:rsidRDefault="00123342" w:rsidP="00123342">
      <w:pPr>
        <w:jc w:val="center"/>
        <w:rPr>
          <w:rFonts w:ascii="Garamond" w:hAnsi="Garamond"/>
          <w:b/>
          <w:bCs/>
          <w:i/>
          <w:iCs/>
          <w:sz w:val="52"/>
          <w:szCs w:val="52"/>
          <w:lang w:val="en-GB"/>
        </w:rPr>
      </w:pPr>
    </w:p>
    <w:p w14:paraId="1E836AEA" w14:textId="4E4743C7" w:rsidR="00123342" w:rsidRPr="00037C61" w:rsidRDefault="00123342" w:rsidP="00123342">
      <w:pPr>
        <w:jc w:val="center"/>
        <w:rPr>
          <w:rFonts w:ascii="Garamond" w:hAnsi="Garamond"/>
          <w:b/>
          <w:bCs/>
          <w:i/>
          <w:iCs/>
          <w:sz w:val="52"/>
          <w:szCs w:val="52"/>
          <w:lang w:val="en-GB"/>
        </w:rPr>
      </w:pPr>
    </w:p>
    <w:p w14:paraId="243E067F" w14:textId="6E54AE28" w:rsidR="00123342" w:rsidRPr="00037C61" w:rsidRDefault="009E4103" w:rsidP="00123342">
      <w:pPr>
        <w:jc w:val="center"/>
        <w:rPr>
          <w:rFonts w:ascii="Garamond" w:hAnsi="Garamond"/>
          <w:b/>
          <w:bCs/>
          <w:i/>
          <w:iCs/>
          <w:color w:val="034FA3" w:themeColor="accent1"/>
          <w:sz w:val="52"/>
          <w:szCs w:val="52"/>
          <w:lang w:val="en-GB"/>
        </w:rPr>
      </w:pPr>
      <w:r w:rsidRPr="00037C61">
        <w:rPr>
          <w:rFonts w:ascii="Garamond" w:hAnsi="Garamond"/>
          <w:b/>
          <w:bCs/>
          <w:i/>
          <w:iCs/>
          <w:color w:val="034FA3" w:themeColor="accent1"/>
          <w:sz w:val="52"/>
          <w:szCs w:val="52"/>
          <w:lang w:val="en-GB"/>
        </w:rPr>
        <w:t xml:space="preserve">TERRITORIAL ANALYSIS OF THE </w:t>
      </w:r>
      <w:r w:rsidR="00905F0D" w:rsidRPr="00037C61">
        <w:rPr>
          <w:rFonts w:ascii="Garamond" w:hAnsi="Garamond"/>
          <w:b/>
          <w:bCs/>
          <w:i/>
          <w:iCs/>
          <w:color w:val="034FA3" w:themeColor="accent1"/>
          <w:sz w:val="52"/>
          <w:szCs w:val="52"/>
          <w:lang w:val="en-GB"/>
        </w:rPr>
        <w:t xml:space="preserve">CROSS-BORDER </w:t>
      </w:r>
      <w:r w:rsidR="005171E7" w:rsidRPr="00037C61">
        <w:rPr>
          <w:rFonts w:ascii="Garamond" w:hAnsi="Garamond"/>
          <w:b/>
          <w:bCs/>
          <w:i/>
          <w:iCs/>
          <w:color w:val="034FA3" w:themeColor="accent1"/>
          <w:sz w:val="52"/>
          <w:szCs w:val="52"/>
          <w:lang w:val="en-GB"/>
        </w:rPr>
        <w:t>PROGRAMME AREA</w:t>
      </w:r>
      <w:r w:rsidR="00905F0D" w:rsidRPr="00037C61">
        <w:rPr>
          <w:rFonts w:ascii="Garamond" w:hAnsi="Garamond"/>
          <w:b/>
          <w:bCs/>
          <w:i/>
          <w:iCs/>
          <w:color w:val="034FA3" w:themeColor="accent1"/>
          <w:sz w:val="52"/>
          <w:szCs w:val="52"/>
          <w:lang w:val="en-GB"/>
        </w:rPr>
        <w:t xml:space="preserve"> BETWEEN ROMANIA AND HUNGARY</w:t>
      </w:r>
    </w:p>
    <w:p w14:paraId="68B46D3B" w14:textId="63372872" w:rsidR="00123342" w:rsidRPr="00037C61" w:rsidRDefault="00123342" w:rsidP="00123342">
      <w:pPr>
        <w:jc w:val="center"/>
        <w:rPr>
          <w:rFonts w:ascii="Garamond" w:hAnsi="Garamond"/>
          <w:b/>
          <w:bCs/>
          <w:i/>
          <w:iCs/>
          <w:sz w:val="52"/>
          <w:szCs w:val="52"/>
          <w:lang w:val="en-GB"/>
        </w:rPr>
      </w:pPr>
    </w:p>
    <w:p w14:paraId="3AFCD8C2" w14:textId="77777777" w:rsidR="00981D6C" w:rsidRPr="00037C61" w:rsidRDefault="00981D6C" w:rsidP="00981D6C">
      <w:pPr>
        <w:jc w:val="center"/>
        <w:rPr>
          <w:rFonts w:ascii="Garamond" w:hAnsi="Garamond"/>
          <w:b/>
          <w:bCs/>
          <w:i/>
          <w:iCs/>
          <w:sz w:val="40"/>
          <w:szCs w:val="40"/>
          <w:lang w:val="en-GB"/>
        </w:rPr>
      </w:pPr>
      <w:r w:rsidRPr="00037C61">
        <w:rPr>
          <w:rFonts w:ascii="Garamond" w:hAnsi="Garamond"/>
          <w:b/>
          <w:bCs/>
          <w:i/>
          <w:iCs/>
          <w:sz w:val="40"/>
          <w:szCs w:val="40"/>
          <w:lang w:val="en-GB"/>
        </w:rPr>
        <w:t xml:space="preserve">Final delivery </w:t>
      </w:r>
    </w:p>
    <w:p w14:paraId="2C25E826" w14:textId="7ABAEBEC" w:rsidR="00894065" w:rsidRPr="00037C61" w:rsidRDefault="0073467E" w:rsidP="0073467E">
      <w:pPr>
        <w:tabs>
          <w:tab w:val="left" w:pos="4152"/>
          <w:tab w:val="center" w:pos="4819"/>
        </w:tabs>
        <w:rPr>
          <w:rFonts w:ascii="Garamond" w:hAnsi="Garamond" w:cs="IrisUPC"/>
          <w:b/>
          <w:color w:val="70AD47"/>
          <w:spacing w:val="10"/>
          <w:sz w:val="144"/>
          <w:szCs w:val="144"/>
          <w:lang w:val="en-GB"/>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037C61">
        <w:rPr>
          <w:rFonts w:ascii="Garamond" w:hAnsi="Garamond" w:cs="IrisUPC"/>
          <w:b/>
          <w:color w:val="70AD47"/>
          <w:spacing w:val="10"/>
          <w:sz w:val="144"/>
          <w:szCs w:val="144"/>
          <w:lang w:val="en-GB"/>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b/>
      </w:r>
      <w:r w:rsidRPr="00037C61">
        <w:rPr>
          <w:rFonts w:ascii="Garamond" w:hAnsi="Garamond" w:cs="IrisUPC"/>
          <w:b/>
          <w:color w:val="70AD47"/>
          <w:spacing w:val="10"/>
          <w:sz w:val="144"/>
          <w:szCs w:val="144"/>
          <w:lang w:val="en-GB"/>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b/>
      </w:r>
    </w:p>
    <w:p w14:paraId="7F9B07BE" w14:textId="4AFD3DCE" w:rsidR="0073467E" w:rsidRPr="00037C61" w:rsidRDefault="0073467E" w:rsidP="0073467E">
      <w:pPr>
        <w:rPr>
          <w:rFonts w:ascii="Garamond" w:hAnsi="Garamond"/>
          <w:color w:val="000000" w:themeColor="text1"/>
          <w:lang w:val="en-GB"/>
          <w14:shadow w14:blurRad="50800" w14:dist="50800" w14:dir="5400000" w14:sx="0" w14:sy="0" w14:kx="0" w14:ky="0" w14:algn="ctr">
            <w14:schemeClr w14:val="tx1">
              <w14:alpha w14:val="84000"/>
            </w14:schemeClr>
          </w14:shadow>
        </w:rPr>
        <w:sectPr w:rsidR="0073467E" w:rsidRPr="00037C61" w:rsidSect="00566616">
          <w:headerReference w:type="even" r:id="rId8"/>
          <w:headerReference w:type="default" r:id="rId9"/>
          <w:footerReference w:type="default" r:id="rId10"/>
          <w:headerReference w:type="first" r:id="rId11"/>
          <w:footerReference w:type="first" r:id="rId12"/>
          <w:type w:val="continuous"/>
          <w:pgSz w:w="11906" w:h="16838"/>
          <w:pgMar w:top="1417" w:right="1134" w:bottom="1418" w:left="1134" w:header="708" w:footer="828" w:gutter="0"/>
          <w:cols w:space="708"/>
          <w:titlePg/>
          <w:docGrid w:linePitch="360"/>
        </w:sectPr>
      </w:pPr>
    </w:p>
    <w:p w14:paraId="5512D44D" w14:textId="14347A4B" w:rsidR="00A86A35" w:rsidRPr="00037C61" w:rsidRDefault="00A86A35" w:rsidP="5CA115F1">
      <w:pPr>
        <w:rPr>
          <w:lang w:val="en-GB"/>
        </w:rPr>
      </w:pPr>
      <w:bookmarkStart w:id="1" w:name="_Toc46925744"/>
    </w:p>
    <w:p w14:paraId="7D324D7D" w14:textId="03DC3EFB" w:rsidR="00A86A35" w:rsidRPr="00037C61" w:rsidRDefault="00A86A35" w:rsidP="00542215">
      <w:pPr>
        <w:pStyle w:val="SubtitlenoToC"/>
        <w:rPr>
          <w:lang w:val="en-GB"/>
        </w:rPr>
      </w:pPr>
    </w:p>
    <w:p w14:paraId="47B25CCF" w14:textId="2F5C2633" w:rsidR="00334546" w:rsidRPr="00037C61" w:rsidRDefault="00334546" w:rsidP="00542215">
      <w:pPr>
        <w:pStyle w:val="SubtitlenoToC"/>
        <w:rPr>
          <w:lang w:val="en-GB"/>
        </w:rPr>
      </w:pPr>
      <w:r w:rsidRPr="00037C61">
        <w:rPr>
          <w:lang w:val="en-GB"/>
        </w:rPr>
        <w:t>List of acronyms</w:t>
      </w:r>
      <w:bookmarkEnd w:id="1"/>
      <w:r w:rsidRPr="00037C61">
        <w:rPr>
          <w:lang w:val="en-GB"/>
        </w:rPr>
        <w:t xml:space="preserve"> </w:t>
      </w:r>
    </w:p>
    <w:tbl>
      <w:tblPr>
        <w:tblStyle w:val="ListTable3-Accent11"/>
        <w:tblW w:w="9634" w:type="dxa"/>
        <w:tblLook w:val="0480" w:firstRow="0" w:lastRow="0" w:firstColumn="1" w:lastColumn="0" w:noHBand="0" w:noVBand="1"/>
      </w:tblPr>
      <w:tblGrid>
        <w:gridCol w:w="2405"/>
        <w:gridCol w:w="7229"/>
      </w:tblGrid>
      <w:tr w:rsidR="00B22436" w:rsidRPr="00283B08" w14:paraId="11308B75"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D96F19B" w14:textId="37F69289" w:rsidR="00B22436" w:rsidRPr="00037C61" w:rsidRDefault="00B22436" w:rsidP="00D8783E">
            <w:pPr>
              <w:rPr>
                <w:color w:val="000000"/>
                <w:lang w:val="en-GB"/>
              </w:rPr>
            </w:pPr>
            <w:r w:rsidRPr="00037C61">
              <w:rPr>
                <w:color w:val="000000"/>
                <w:lang w:val="en-GB"/>
              </w:rPr>
              <w:t>AROPE</w:t>
            </w:r>
          </w:p>
        </w:tc>
        <w:tc>
          <w:tcPr>
            <w:tcW w:w="7229" w:type="dxa"/>
          </w:tcPr>
          <w:p w14:paraId="02BFBFDF" w14:textId="232C6AE1" w:rsidR="00B22436" w:rsidRPr="00037C61" w:rsidRDefault="00B22436" w:rsidP="00F92E18">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At Risk Of Poverty or social Exclusion</w:t>
            </w:r>
          </w:p>
        </w:tc>
      </w:tr>
      <w:tr w:rsidR="002B08C5" w:rsidRPr="00037C61" w14:paraId="7E01CF40"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499A4B2C" w14:textId="04A03873" w:rsidR="002B08C5" w:rsidRPr="00037C61" w:rsidRDefault="002B08C5" w:rsidP="00D8783E">
            <w:pPr>
              <w:rPr>
                <w:color w:val="000000"/>
                <w:lang w:val="en-GB"/>
              </w:rPr>
            </w:pPr>
            <w:r w:rsidRPr="00037C61">
              <w:rPr>
                <w:color w:val="000000"/>
                <w:lang w:val="en-GB"/>
              </w:rPr>
              <w:t>CBC</w:t>
            </w:r>
          </w:p>
        </w:tc>
        <w:tc>
          <w:tcPr>
            <w:tcW w:w="7229" w:type="dxa"/>
          </w:tcPr>
          <w:p w14:paraId="3F42BAB7" w14:textId="7F3568C4" w:rsidR="002B08C5" w:rsidRPr="00037C61" w:rsidRDefault="002B08C5" w:rsidP="00F92E18">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Cross-border cooperation </w:t>
            </w:r>
          </w:p>
        </w:tc>
      </w:tr>
      <w:tr w:rsidR="002046DE" w:rsidRPr="00037C61" w14:paraId="0E996DCB"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447091D1" w14:textId="333CA417" w:rsidR="002046DE" w:rsidRPr="00037C61" w:rsidRDefault="002046DE" w:rsidP="00D8783E">
            <w:pPr>
              <w:rPr>
                <w:color w:val="000000"/>
                <w:lang w:val="en-GB"/>
              </w:rPr>
            </w:pPr>
            <w:r w:rsidRPr="00037C61">
              <w:rPr>
                <w:color w:val="000000"/>
                <w:lang w:val="en-GB"/>
              </w:rPr>
              <w:t>CBFA</w:t>
            </w:r>
          </w:p>
        </w:tc>
        <w:tc>
          <w:tcPr>
            <w:tcW w:w="7229" w:type="dxa"/>
          </w:tcPr>
          <w:p w14:paraId="2D96D5EB" w14:textId="14B311FB" w:rsidR="002046DE" w:rsidRPr="00037C61" w:rsidRDefault="002046DE" w:rsidP="00F92E18">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Cross-Border Functional Areas </w:t>
            </w:r>
          </w:p>
        </w:tc>
      </w:tr>
      <w:tr w:rsidR="002B08C5" w:rsidRPr="00037C61" w14:paraId="351385A7"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305FDD4D" w14:textId="4B309A8C" w:rsidR="002B08C5" w:rsidRPr="00037C61" w:rsidRDefault="002B08C5" w:rsidP="00D8783E">
            <w:pPr>
              <w:rPr>
                <w:color w:val="000000"/>
                <w:lang w:val="en-GB"/>
              </w:rPr>
            </w:pPr>
            <w:r w:rsidRPr="00037C61">
              <w:rPr>
                <w:color w:val="000000"/>
                <w:lang w:val="en-GB"/>
              </w:rPr>
              <w:t>CLLD</w:t>
            </w:r>
          </w:p>
        </w:tc>
        <w:tc>
          <w:tcPr>
            <w:tcW w:w="7229" w:type="dxa"/>
          </w:tcPr>
          <w:p w14:paraId="68B9A59E" w14:textId="0DC4246C" w:rsidR="002B08C5" w:rsidRPr="00037C61" w:rsidRDefault="002B08C5" w:rsidP="00F92E18">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Community-Led Local Development </w:t>
            </w:r>
          </w:p>
        </w:tc>
      </w:tr>
      <w:tr w:rsidR="00134989" w:rsidRPr="00037C61" w14:paraId="01161E35"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480E1B9" w14:textId="2E35A1BC" w:rsidR="00134989" w:rsidRPr="00037C61" w:rsidRDefault="00134989" w:rsidP="00134989">
            <w:pPr>
              <w:rPr>
                <w:color w:val="000000"/>
                <w:lang w:val="en-GB"/>
              </w:rPr>
            </w:pPr>
            <w:r w:rsidRPr="00037C61">
              <w:rPr>
                <w:rFonts w:eastAsia="Times New Roman" w:cs="Calibri"/>
                <w:color w:val="000000"/>
                <w:lang w:val="en-GB" w:eastAsia="it-IT"/>
              </w:rPr>
              <w:t>EC</w:t>
            </w:r>
          </w:p>
        </w:tc>
        <w:tc>
          <w:tcPr>
            <w:tcW w:w="7229" w:type="dxa"/>
          </w:tcPr>
          <w:p w14:paraId="0F606BD9" w14:textId="003E0874"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rFonts w:eastAsia="Times New Roman" w:cs="Calibri"/>
                <w:color w:val="000000"/>
                <w:lang w:val="en-GB" w:eastAsia="it-IT"/>
              </w:rPr>
              <w:t xml:space="preserve">European </w:t>
            </w:r>
            <w:r w:rsidR="0007064A" w:rsidRPr="00037C61">
              <w:rPr>
                <w:rFonts w:eastAsia="Times New Roman" w:cs="Calibri"/>
                <w:color w:val="000000"/>
                <w:lang w:val="en-GB" w:eastAsia="it-IT"/>
              </w:rPr>
              <w:t>Commission</w:t>
            </w:r>
          </w:p>
        </w:tc>
      </w:tr>
      <w:tr w:rsidR="000B1A7B" w:rsidRPr="00037C61" w14:paraId="59571CF1"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2F85026" w14:textId="031A9EEB" w:rsidR="000B1A7B" w:rsidRPr="00037C61" w:rsidRDefault="000B1A7B" w:rsidP="00134989">
            <w:pPr>
              <w:rPr>
                <w:rFonts w:eastAsia="Times New Roman" w:cs="Calibri"/>
                <w:color w:val="000000"/>
                <w:lang w:val="en-GB" w:eastAsia="it-IT"/>
              </w:rPr>
            </w:pPr>
            <w:r w:rsidRPr="00037C61">
              <w:rPr>
                <w:rFonts w:eastAsia="Times New Roman" w:cs="Calibri"/>
                <w:color w:val="000000"/>
                <w:lang w:val="en-GB" w:eastAsia="it-IT"/>
              </w:rPr>
              <w:t>EEA</w:t>
            </w:r>
          </w:p>
        </w:tc>
        <w:tc>
          <w:tcPr>
            <w:tcW w:w="7229" w:type="dxa"/>
          </w:tcPr>
          <w:p w14:paraId="1B279A4C" w14:textId="466772DE" w:rsidR="000B1A7B" w:rsidRPr="00037C61" w:rsidRDefault="000B1A7B" w:rsidP="00134989">
            <w:pP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it-IT"/>
              </w:rPr>
            </w:pPr>
            <w:r w:rsidRPr="00037C61">
              <w:rPr>
                <w:rFonts w:eastAsia="Times New Roman" w:cs="Calibri"/>
                <w:color w:val="000000"/>
                <w:lang w:val="en-GB" w:eastAsia="it-IT"/>
              </w:rPr>
              <w:t>European Environmental Agency</w:t>
            </w:r>
          </w:p>
        </w:tc>
      </w:tr>
      <w:tr w:rsidR="00134989" w:rsidRPr="00283B08" w14:paraId="6929F048"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102BB825" w14:textId="40DA6081" w:rsidR="00134989" w:rsidRPr="00037C61" w:rsidRDefault="00134989" w:rsidP="00134989">
            <w:pPr>
              <w:rPr>
                <w:color w:val="000000"/>
                <w:lang w:val="en-GB"/>
              </w:rPr>
            </w:pPr>
            <w:r w:rsidRPr="00037C61">
              <w:rPr>
                <w:color w:val="000000"/>
                <w:lang w:val="en-GB"/>
              </w:rPr>
              <w:t>EGTC</w:t>
            </w:r>
          </w:p>
        </w:tc>
        <w:tc>
          <w:tcPr>
            <w:tcW w:w="7229" w:type="dxa"/>
          </w:tcPr>
          <w:p w14:paraId="7844241A" w14:textId="74EA1651" w:rsidR="00134989" w:rsidRPr="00037C61" w:rsidRDefault="00134989" w:rsidP="00197FCF">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European Grouping </w:t>
            </w:r>
            <w:r w:rsidR="00197FCF" w:rsidRPr="00037C61">
              <w:rPr>
                <w:color w:val="000000"/>
                <w:lang w:val="en-GB"/>
              </w:rPr>
              <w:t xml:space="preserve">for </w:t>
            </w:r>
            <w:r w:rsidRPr="00037C61">
              <w:rPr>
                <w:color w:val="000000"/>
                <w:lang w:val="en-GB"/>
              </w:rPr>
              <w:t xml:space="preserve">Territorial Cooperation </w:t>
            </w:r>
          </w:p>
        </w:tc>
      </w:tr>
      <w:tr w:rsidR="00134989" w:rsidRPr="00037C61" w14:paraId="22255E6F"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118D67D5" w14:textId="290434B0" w:rsidR="00134989" w:rsidRPr="00037C61" w:rsidRDefault="00134989" w:rsidP="00134989">
            <w:pPr>
              <w:rPr>
                <w:color w:val="000000"/>
                <w:lang w:val="en-GB"/>
              </w:rPr>
            </w:pPr>
            <w:r w:rsidRPr="00037C61">
              <w:rPr>
                <w:color w:val="000000"/>
                <w:lang w:val="en-GB"/>
              </w:rPr>
              <w:t>ERDF</w:t>
            </w:r>
          </w:p>
        </w:tc>
        <w:tc>
          <w:tcPr>
            <w:tcW w:w="7229" w:type="dxa"/>
          </w:tcPr>
          <w:p w14:paraId="78D518CD" w14:textId="68CC0F80"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European Regional Development Fund </w:t>
            </w:r>
          </w:p>
        </w:tc>
      </w:tr>
      <w:tr w:rsidR="00134989" w:rsidRPr="00283B08" w14:paraId="37937CCE"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C7D7B1F" w14:textId="6A1F582D" w:rsidR="00134989" w:rsidRPr="00037C61" w:rsidRDefault="00134989" w:rsidP="00134989">
            <w:pPr>
              <w:rPr>
                <w:color w:val="000000"/>
                <w:lang w:val="en-GB"/>
              </w:rPr>
            </w:pPr>
            <w:r w:rsidRPr="00037C61">
              <w:rPr>
                <w:color w:val="000000"/>
                <w:lang w:val="en-GB"/>
              </w:rPr>
              <w:t>ESIF</w:t>
            </w:r>
          </w:p>
        </w:tc>
        <w:tc>
          <w:tcPr>
            <w:tcW w:w="7229" w:type="dxa"/>
          </w:tcPr>
          <w:p w14:paraId="74E95CA1" w14:textId="411A41C0"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European Structural and Investment Funds </w:t>
            </w:r>
          </w:p>
        </w:tc>
      </w:tr>
      <w:tr w:rsidR="00134989" w:rsidRPr="00283B08" w14:paraId="27BF7B02"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1F72E33" w14:textId="63E4ED49" w:rsidR="00134989" w:rsidRPr="00037C61" w:rsidRDefault="00134989" w:rsidP="00134989">
            <w:pPr>
              <w:rPr>
                <w:color w:val="000000"/>
                <w:lang w:val="en-GB"/>
              </w:rPr>
            </w:pPr>
            <w:r w:rsidRPr="00037C61">
              <w:rPr>
                <w:color w:val="000000"/>
                <w:lang w:val="en-GB"/>
              </w:rPr>
              <w:t>ESPON</w:t>
            </w:r>
          </w:p>
        </w:tc>
        <w:tc>
          <w:tcPr>
            <w:tcW w:w="7229" w:type="dxa"/>
          </w:tcPr>
          <w:p w14:paraId="12B43E1C" w14:textId="65C4F53F"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European Spatial Planning Observation Network</w:t>
            </w:r>
          </w:p>
        </w:tc>
      </w:tr>
      <w:tr w:rsidR="00FC09F2" w:rsidRPr="00283B08" w14:paraId="132381FD"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201F610" w14:textId="34BC08EB" w:rsidR="00FC09F2" w:rsidRPr="00037C61" w:rsidRDefault="00FC09F2" w:rsidP="00FC09F2">
            <w:pPr>
              <w:rPr>
                <w:color w:val="000000"/>
                <w:lang w:val="en-GB"/>
              </w:rPr>
            </w:pPr>
            <w:r w:rsidRPr="00283B08">
              <w:rPr>
                <w:lang w:val="en-GB"/>
              </w:rPr>
              <w:t xml:space="preserve">EUSDR </w:t>
            </w:r>
          </w:p>
        </w:tc>
        <w:tc>
          <w:tcPr>
            <w:tcW w:w="7229" w:type="dxa"/>
          </w:tcPr>
          <w:p w14:paraId="30499D47" w14:textId="6F75341D" w:rsidR="00FC09F2" w:rsidRPr="00037C61" w:rsidRDefault="00FC09F2" w:rsidP="00FC09F2">
            <w:pPr>
              <w:cnfStyle w:val="000000100000" w:firstRow="0" w:lastRow="0" w:firstColumn="0" w:lastColumn="0" w:oddVBand="0" w:evenVBand="0" w:oddHBand="1" w:evenHBand="0" w:firstRowFirstColumn="0" w:firstRowLastColumn="0" w:lastRowFirstColumn="0" w:lastRowLastColumn="0"/>
              <w:rPr>
                <w:color w:val="000000"/>
                <w:lang w:val="en-GB"/>
              </w:rPr>
            </w:pPr>
            <w:r w:rsidRPr="00FC09F2">
              <w:rPr>
                <w:lang w:val="en-GB"/>
              </w:rPr>
              <w:t>European Union Strategy for the Danube Region</w:t>
            </w:r>
          </w:p>
        </w:tc>
      </w:tr>
      <w:tr w:rsidR="00134989" w:rsidRPr="00037C61" w14:paraId="3239F31B"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0C79F7C" w14:textId="38CE5A0C" w:rsidR="00134989" w:rsidRPr="00037C61" w:rsidRDefault="00134989" w:rsidP="00134989">
            <w:pPr>
              <w:rPr>
                <w:color w:val="000000"/>
                <w:lang w:val="en-GB"/>
              </w:rPr>
            </w:pPr>
            <w:r w:rsidRPr="00037C61">
              <w:rPr>
                <w:color w:val="000000"/>
                <w:lang w:val="en-GB"/>
              </w:rPr>
              <w:t>FA</w:t>
            </w:r>
          </w:p>
        </w:tc>
        <w:tc>
          <w:tcPr>
            <w:tcW w:w="7229" w:type="dxa"/>
          </w:tcPr>
          <w:p w14:paraId="353E4DC3" w14:textId="5F615666"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Functional Areas</w:t>
            </w:r>
          </w:p>
        </w:tc>
      </w:tr>
      <w:tr w:rsidR="00134989" w:rsidRPr="00037C61" w14:paraId="008E09DF"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20B12A53" w14:textId="4254DAD2" w:rsidR="00134989" w:rsidRPr="00037C61" w:rsidRDefault="00134989" w:rsidP="00134989">
            <w:pPr>
              <w:rPr>
                <w:color w:val="000000"/>
                <w:lang w:val="en-GB"/>
              </w:rPr>
            </w:pPr>
            <w:r w:rsidRPr="00037C61">
              <w:rPr>
                <w:color w:val="000000"/>
                <w:lang w:val="en-GB"/>
              </w:rPr>
              <w:t>FLAG</w:t>
            </w:r>
          </w:p>
        </w:tc>
        <w:tc>
          <w:tcPr>
            <w:tcW w:w="7229" w:type="dxa"/>
          </w:tcPr>
          <w:p w14:paraId="47B186D2" w14:textId="4906E831"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Fisheries Local Action Group </w:t>
            </w:r>
          </w:p>
        </w:tc>
      </w:tr>
      <w:tr w:rsidR="00134989" w:rsidRPr="00037C61" w14:paraId="5DB5839E"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3C12E8E" w14:textId="0D4B6C24" w:rsidR="00134989" w:rsidRPr="00037C61" w:rsidRDefault="00134989" w:rsidP="00134989">
            <w:pPr>
              <w:rPr>
                <w:color w:val="000000"/>
                <w:lang w:val="en-GB"/>
              </w:rPr>
            </w:pPr>
            <w:r w:rsidRPr="00037C61">
              <w:rPr>
                <w:color w:val="000000"/>
                <w:lang w:val="en-GB"/>
              </w:rPr>
              <w:t>GDP</w:t>
            </w:r>
          </w:p>
        </w:tc>
        <w:tc>
          <w:tcPr>
            <w:tcW w:w="7229" w:type="dxa"/>
          </w:tcPr>
          <w:p w14:paraId="5523E92F" w14:textId="40BC9229"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Gross Domestic Product</w:t>
            </w:r>
          </w:p>
        </w:tc>
      </w:tr>
      <w:tr w:rsidR="000B1A7B" w:rsidRPr="00037C61" w14:paraId="1F664954"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1F2C7D8F" w14:textId="01EFF8D5" w:rsidR="000B1A7B" w:rsidRPr="00037C61" w:rsidRDefault="000B1A7B" w:rsidP="00134989">
            <w:pPr>
              <w:rPr>
                <w:color w:val="000000"/>
                <w:lang w:val="en-GB"/>
              </w:rPr>
            </w:pPr>
            <w:r w:rsidRPr="00037C61">
              <w:rPr>
                <w:color w:val="000000"/>
                <w:lang w:val="en-GB"/>
              </w:rPr>
              <w:t>GHG</w:t>
            </w:r>
          </w:p>
        </w:tc>
        <w:tc>
          <w:tcPr>
            <w:tcW w:w="7229" w:type="dxa"/>
          </w:tcPr>
          <w:p w14:paraId="08D99CF0" w14:textId="0F4D656F" w:rsidR="000B1A7B" w:rsidRPr="00037C61" w:rsidRDefault="000B1A7B"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Greenhouse Gas </w:t>
            </w:r>
          </w:p>
        </w:tc>
      </w:tr>
      <w:tr w:rsidR="00134989" w:rsidRPr="00037C61" w14:paraId="2025EF0D"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3C36A43A" w14:textId="4411A3E7" w:rsidR="00134989" w:rsidRPr="00037C61" w:rsidRDefault="00134989" w:rsidP="00134989">
            <w:pPr>
              <w:rPr>
                <w:color w:val="000000"/>
                <w:lang w:val="en-GB"/>
              </w:rPr>
            </w:pPr>
            <w:r w:rsidRPr="00037C61">
              <w:rPr>
                <w:color w:val="000000"/>
                <w:lang w:val="en-GB"/>
              </w:rPr>
              <w:t>GVA</w:t>
            </w:r>
          </w:p>
        </w:tc>
        <w:tc>
          <w:tcPr>
            <w:tcW w:w="7229" w:type="dxa"/>
          </w:tcPr>
          <w:p w14:paraId="17472A14" w14:textId="258D3CF5"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Gross Value Added </w:t>
            </w:r>
          </w:p>
        </w:tc>
      </w:tr>
      <w:tr w:rsidR="009E24B4" w:rsidRPr="00283B08" w14:paraId="5EF9CA19"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16C5C413" w14:textId="34D4C2DC" w:rsidR="009E24B4" w:rsidRPr="00037C61" w:rsidRDefault="009E24B4" w:rsidP="00134989">
            <w:pPr>
              <w:rPr>
                <w:color w:val="000000"/>
                <w:lang w:val="en-GB"/>
              </w:rPr>
            </w:pPr>
            <w:r w:rsidRPr="00037C61">
              <w:rPr>
                <w:color w:val="000000"/>
                <w:lang w:val="en-GB"/>
              </w:rPr>
              <w:t>IAS</w:t>
            </w:r>
          </w:p>
        </w:tc>
        <w:tc>
          <w:tcPr>
            <w:tcW w:w="7229" w:type="dxa"/>
          </w:tcPr>
          <w:p w14:paraId="3BFFCA1F" w14:textId="656B2CFF" w:rsidR="009E24B4" w:rsidRPr="00037C61" w:rsidRDefault="009E24B4"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Invasive alien species and introduced non-native species</w:t>
            </w:r>
          </w:p>
        </w:tc>
      </w:tr>
      <w:tr w:rsidR="00134989" w:rsidRPr="00283B08" w14:paraId="35AC7BF3"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3F557059" w14:textId="448933BC" w:rsidR="00134989" w:rsidRPr="00037C61" w:rsidRDefault="00134989" w:rsidP="00134989">
            <w:pPr>
              <w:rPr>
                <w:color w:val="000000"/>
                <w:lang w:val="en-GB"/>
              </w:rPr>
            </w:pPr>
            <w:r w:rsidRPr="00037C61">
              <w:rPr>
                <w:color w:val="000000"/>
                <w:lang w:val="en-GB"/>
              </w:rPr>
              <w:t>INS</w:t>
            </w:r>
          </w:p>
        </w:tc>
        <w:tc>
          <w:tcPr>
            <w:tcW w:w="7229" w:type="dxa"/>
          </w:tcPr>
          <w:p w14:paraId="4BC3E81D" w14:textId="0F1B064A" w:rsidR="00134989" w:rsidRPr="00037C61" w:rsidRDefault="6446A0E8"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themeColor="text1"/>
                <w:lang w:val="en-GB"/>
              </w:rPr>
              <w:t xml:space="preserve">Romanian National Institute for Statistics </w:t>
            </w:r>
          </w:p>
        </w:tc>
      </w:tr>
      <w:tr w:rsidR="6446A0E8" w:rsidRPr="00283B08" w14:paraId="029433F0"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60127AC2" w14:textId="09E87509" w:rsidR="6446A0E8" w:rsidRPr="00037C61" w:rsidRDefault="6446A0E8" w:rsidP="6446A0E8">
            <w:pPr>
              <w:rPr>
                <w:color w:val="000000" w:themeColor="text1"/>
                <w:lang w:val="en-GB"/>
              </w:rPr>
            </w:pPr>
            <w:r w:rsidRPr="00037C61">
              <w:rPr>
                <w:color w:val="000000" w:themeColor="text1"/>
                <w:lang w:val="en-GB"/>
              </w:rPr>
              <w:t>ISCED</w:t>
            </w:r>
          </w:p>
        </w:tc>
        <w:tc>
          <w:tcPr>
            <w:tcW w:w="7229" w:type="dxa"/>
          </w:tcPr>
          <w:p w14:paraId="3C7BCE94" w14:textId="55F36BB0" w:rsidR="6446A0E8" w:rsidRPr="00037C61" w:rsidRDefault="6446A0E8" w:rsidP="6446A0E8">
            <w:pPr>
              <w:cnfStyle w:val="000000100000" w:firstRow="0" w:lastRow="0" w:firstColumn="0" w:lastColumn="0" w:oddVBand="0" w:evenVBand="0" w:oddHBand="1" w:evenHBand="0" w:firstRowFirstColumn="0" w:firstRowLastColumn="0" w:lastRowFirstColumn="0" w:lastRowLastColumn="0"/>
              <w:rPr>
                <w:color w:val="000000" w:themeColor="text1"/>
                <w:lang w:val="en-GB"/>
              </w:rPr>
            </w:pPr>
            <w:r w:rsidRPr="00037C61">
              <w:rPr>
                <w:color w:val="000000" w:themeColor="text1"/>
                <w:lang w:val="en-GB"/>
              </w:rPr>
              <w:t>International Standard Classification of Education</w:t>
            </w:r>
          </w:p>
        </w:tc>
      </w:tr>
      <w:tr w:rsidR="00134989" w:rsidRPr="00037C61" w14:paraId="442ECB18"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3507DE10" w14:textId="4C1869BB" w:rsidR="00134989" w:rsidRPr="00037C61" w:rsidRDefault="00134989" w:rsidP="00134989">
            <w:pPr>
              <w:rPr>
                <w:color w:val="000000"/>
                <w:lang w:val="en-GB"/>
              </w:rPr>
            </w:pPr>
            <w:r w:rsidRPr="00037C61">
              <w:rPr>
                <w:color w:val="000000"/>
                <w:lang w:val="en-GB"/>
              </w:rPr>
              <w:t>ITI</w:t>
            </w:r>
          </w:p>
        </w:tc>
        <w:tc>
          <w:tcPr>
            <w:tcW w:w="7229" w:type="dxa"/>
          </w:tcPr>
          <w:p w14:paraId="09DED219" w14:textId="19607A72" w:rsidR="00134989" w:rsidRPr="00037C61" w:rsidRDefault="12733B0F"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themeColor="text1"/>
                <w:lang w:val="en-GB"/>
              </w:rPr>
              <w:t xml:space="preserve">Integrated Territorial Investments </w:t>
            </w:r>
          </w:p>
        </w:tc>
      </w:tr>
      <w:tr w:rsidR="000B1A7B" w:rsidRPr="00037C61" w14:paraId="02FDF148"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3A33D68" w14:textId="21EC00E9" w:rsidR="000B1A7B" w:rsidRPr="00037C61" w:rsidRDefault="000B1A7B" w:rsidP="00134989">
            <w:pPr>
              <w:rPr>
                <w:color w:val="000000"/>
                <w:lang w:val="en-GB"/>
              </w:rPr>
            </w:pPr>
            <w:r w:rsidRPr="00037C61">
              <w:rPr>
                <w:color w:val="000000"/>
                <w:lang w:val="en-GB"/>
              </w:rPr>
              <w:t>JRC</w:t>
            </w:r>
          </w:p>
        </w:tc>
        <w:tc>
          <w:tcPr>
            <w:tcW w:w="7229" w:type="dxa"/>
          </w:tcPr>
          <w:p w14:paraId="5877B23F" w14:textId="735274F0" w:rsidR="000B1A7B" w:rsidRPr="00037C61" w:rsidRDefault="000B1A7B"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themeColor="text1"/>
                <w:lang w:val="en-GB"/>
              </w:rPr>
              <w:t xml:space="preserve">Joint Research Centre </w:t>
            </w:r>
          </w:p>
        </w:tc>
      </w:tr>
      <w:tr w:rsidR="00134989" w:rsidRPr="00037C61" w14:paraId="5FB4611B"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350A7075" w14:textId="4D52094A" w:rsidR="00134989" w:rsidRPr="00037C61" w:rsidRDefault="00134989" w:rsidP="00134989">
            <w:pPr>
              <w:rPr>
                <w:color w:val="000000"/>
                <w:lang w:val="en-GB"/>
              </w:rPr>
            </w:pPr>
            <w:r w:rsidRPr="00037C61">
              <w:rPr>
                <w:color w:val="000000"/>
                <w:lang w:val="en-GB"/>
              </w:rPr>
              <w:t>LAG</w:t>
            </w:r>
          </w:p>
        </w:tc>
        <w:tc>
          <w:tcPr>
            <w:tcW w:w="7229" w:type="dxa"/>
          </w:tcPr>
          <w:p w14:paraId="6C8905E7" w14:textId="51161762"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Local Action Group </w:t>
            </w:r>
          </w:p>
        </w:tc>
      </w:tr>
      <w:tr w:rsidR="00134989" w:rsidRPr="00037C61" w14:paraId="705653CC"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14B446E" w14:textId="3AEF60A6" w:rsidR="00134989" w:rsidRPr="00037C61" w:rsidRDefault="00134989" w:rsidP="00134989">
            <w:pPr>
              <w:rPr>
                <w:color w:val="000000"/>
                <w:lang w:val="en-GB"/>
              </w:rPr>
            </w:pPr>
            <w:r w:rsidRPr="00037C61">
              <w:rPr>
                <w:color w:val="000000"/>
                <w:lang w:val="en-GB"/>
              </w:rPr>
              <w:t>LAU</w:t>
            </w:r>
          </w:p>
        </w:tc>
        <w:tc>
          <w:tcPr>
            <w:tcW w:w="7229" w:type="dxa"/>
          </w:tcPr>
          <w:p w14:paraId="4F8D071A" w14:textId="75328F1F"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Local Administrative Unit </w:t>
            </w:r>
          </w:p>
        </w:tc>
      </w:tr>
      <w:tr w:rsidR="00134989" w:rsidRPr="00037C61" w14:paraId="15E08B6F"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BC18731" w14:textId="19339DD7" w:rsidR="00134989" w:rsidRPr="00037C61" w:rsidRDefault="00134989" w:rsidP="00134989">
            <w:pPr>
              <w:rPr>
                <w:color w:val="000000"/>
                <w:lang w:val="en-GB"/>
              </w:rPr>
            </w:pPr>
            <w:r w:rsidRPr="00037C61">
              <w:rPr>
                <w:color w:val="000000"/>
                <w:lang w:val="en-GB"/>
              </w:rPr>
              <w:t>MAs</w:t>
            </w:r>
          </w:p>
        </w:tc>
        <w:tc>
          <w:tcPr>
            <w:tcW w:w="7229" w:type="dxa"/>
          </w:tcPr>
          <w:p w14:paraId="2A6C4003" w14:textId="6C3B024A"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Metropolitan Areas</w:t>
            </w:r>
          </w:p>
        </w:tc>
      </w:tr>
      <w:tr w:rsidR="00134989" w:rsidRPr="00283B08" w14:paraId="64EF9478"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4835A51D" w14:textId="03432C57" w:rsidR="00134989" w:rsidRPr="00037C61" w:rsidRDefault="00134989" w:rsidP="00134989">
            <w:pPr>
              <w:rPr>
                <w:color w:val="000000"/>
                <w:lang w:val="en-GB"/>
              </w:rPr>
            </w:pPr>
            <w:r w:rsidRPr="00037C61">
              <w:rPr>
                <w:color w:val="000000"/>
                <w:lang w:val="en-GB"/>
              </w:rPr>
              <w:t>NUTS</w:t>
            </w:r>
          </w:p>
        </w:tc>
        <w:tc>
          <w:tcPr>
            <w:tcW w:w="7229" w:type="dxa"/>
          </w:tcPr>
          <w:p w14:paraId="4D0C1E34" w14:textId="47ED12C9"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Nomenclature of territorial units for statistics</w:t>
            </w:r>
          </w:p>
        </w:tc>
      </w:tr>
      <w:tr w:rsidR="000B1A7B" w:rsidRPr="00037C61" w14:paraId="617D687F"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66A427CF" w14:textId="6CE6F0E9" w:rsidR="000B1A7B" w:rsidRPr="00037C61" w:rsidRDefault="000B1A7B" w:rsidP="00134989">
            <w:pPr>
              <w:rPr>
                <w:color w:val="000000"/>
                <w:lang w:val="en-GB"/>
              </w:rPr>
            </w:pPr>
            <w:r w:rsidRPr="00037C61">
              <w:rPr>
                <w:color w:val="000000"/>
                <w:lang w:val="en-GB"/>
              </w:rPr>
              <w:t>OP</w:t>
            </w:r>
          </w:p>
        </w:tc>
        <w:tc>
          <w:tcPr>
            <w:tcW w:w="7229" w:type="dxa"/>
          </w:tcPr>
          <w:p w14:paraId="429822D7" w14:textId="76AA5132" w:rsidR="000B1A7B" w:rsidRPr="00037C61" w:rsidRDefault="000B1A7B"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Operational Programme</w:t>
            </w:r>
          </w:p>
        </w:tc>
      </w:tr>
      <w:tr w:rsidR="00204288" w:rsidRPr="00037C61" w14:paraId="4B8635B9"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62557C1B" w14:textId="69839486" w:rsidR="00204288" w:rsidRPr="00037C61" w:rsidRDefault="00204288" w:rsidP="00134989">
            <w:pPr>
              <w:rPr>
                <w:color w:val="000000"/>
                <w:lang w:val="en-GB"/>
              </w:rPr>
            </w:pPr>
            <w:r w:rsidRPr="00037C61">
              <w:rPr>
                <w:color w:val="000000"/>
                <w:lang w:val="en-GB"/>
              </w:rPr>
              <w:t>PA</w:t>
            </w:r>
          </w:p>
        </w:tc>
        <w:tc>
          <w:tcPr>
            <w:tcW w:w="7229" w:type="dxa"/>
          </w:tcPr>
          <w:p w14:paraId="0487098E" w14:textId="3DE1F24B" w:rsidR="00204288" w:rsidRPr="00037C61" w:rsidRDefault="00204288"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Programme area</w:t>
            </w:r>
          </w:p>
        </w:tc>
      </w:tr>
      <w:tr w:rsidR="000B1A7B" w:rsidRPr="00037C61" w14:paraId="54B37F9B"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01CE48CC" w14:textId="7ACFFC18" w:rsidR="000B1A7B" w:rsidRPr="00037C61" w:rsidRDefault="000B1A7B" w:rsidP="00134989">
            <w:pPr>
              <w:rPr>
                <w:color w:val="000000"/>
                <w:lang w:val="en-GB"/>
              </w:rPr>
            </w:pPr>
            <w:r w:rsidRPr="00037C61">
              <w:rPr>
                <w:color w:val="000000"/>
                <w:lang w:val="en-GB"/>
              </w:rPr>
              <w:t>PM</w:t>
            </w:r>
          </w:p>
        </w:tc>
        <w:tc>
          <w:tcPr>
            <w:tcW w:w="7229" w:type="dxa"/>
          </w:tcPr>
          <w:p w14:paraId="61CB70CE" w14:textId="2496BA7E" w:rsidR="000B1A7B" w:rsidRPr="00037C61" w:rsidRDefault="000B1A7B"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Particulate matter </w:t>
            </w:r>
          </w:p>
        </w:tc>
      </w:tr>
      <w:tr w:rsidR="00134989" w:rsidRPr="00283B08" w14:paraId="5B21722D"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2FE209EE" w14:textId="4EBBBA8F" w:rsidR="00134989" w:rsidRPr="00037C61" w:rsidRDefault="00134989" w:rsidP="00134989">
            <w:pPr>
              <w:rPr>
                <w:color w:val="000000"/>
                <w:lang w:val="en-GB"/>
              </w:rPr>
            </w:pPr>
            <w:r w:rsidRPr="00037C61">
              <w:rPr>
                <w:color w:val="000000"/>
                <w:lang w:val="en-GB"/>
              </w:rPr>
              <w:t>SWOT</w:t>
            </w:r>
          </w:p>
        </w:tc>
        <w:tc>
          <w:tcPr>
            <w:tcW w:w="7229" w:type="dxa"/>
          </w:tcPr>
          <w:p w14:paraId="0DA3AC9B" w14:textId="0531CC26"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Strengths, Weaknesses, Opportunities and Threats analysis </w:t>
            </w:r>
          </w:p>
        </w:tc>
      </w:tr>
      <w:tr w:rsidR="00134989" w:rsidRPr="00037C61" w14:paraId="47CE3A62"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0D476184" w14:textId="313C539B" w:rsidR="00134989" w:rsidRPr="00037C61" w:rsidRDefault="00134989" w:rsidP="00134989">
            <w:pPr>
              <w:rPr>
                <w:color w:val="000000"/>
                <w:lang w:val="en-GB"/>
              </w:rPr>
            </w:pPr>
            <w:r w:rsidRPr="00037C61">
              <w:rPr>
                <w:color w:val="000000"/>
                <w:lang w:val="en-GB"/>
              </w:rPr>
              <w:t>SUD</w:t>
            </w:r>
          </w:p>
        </w:tc>
        <w:tc>
          <w:tcPr>
            <w:tcW w:w="7229" w:type="dxa"/>
          </w:tcPr>
          <w:p w14:paraId="0674BEF4" w14:textId="4591526A"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 xml:space="preserve">Sustainable Urban Development </w:t>
            </w:r>
          </w:p>
        </w:tc>
      </w:tr>
      <w:tr w:rsidR="00134989" w:rsidRPr="00037C61" w14:paraId="46876B3C"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2D260735" w14:textId="3B86FB93" w:rsidR="00134989" w:rsidRPr="00037C61" w:rsidRDefault="00134989" w:rsidP="00134989">
            <w:pPr>
              <w:rPr>
                <w:color w:val="000000"/>
                <w:lang w:val="en-GB"/>
              </w:rPr>
            </w:pPr>
            <w:r w:rsidRPr="00037C61">
              <w:rPr>
                <w:color w:val="000000"/>
                <w:lang w:val="en-GB"/>
              </w:rPr>
              <w:t>TA</w:t>
            </w:r>
          </w:p>
        </w:tc>
        <w:tc>
          <w:tcPr>
            <w:tcW w:w="7229" w:type="dxa"/>
          </w:tcPr>
          <w:p w14:paraId="26EF5472" w14:textId="4B6C6AB3"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Territorial Analysis</w:t>
            </w:r>
          </w:p>
        </w:tc>
      </w:tr>
      <w:tr w:rsidR="00134989" w:rsidRPr="00037C61" w14:paraId="328ABE2D"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429C41F" w14:textId="03A5B273" w:rsidR="00134989" w:rsidRPr="00037C61" w:rsidRDefault="00134989" w:rsidP="00134989">
            <w:pPr>
              <w:rPr>
                <w:color w:val="000000"/>
                <w:lang w:val="en-GB"/>
              </w:rPr>
            </w:pPr>
            <w:r w:rsidRPr="00037C61">
              <w:rPr>
                <w:color w:val="000000"/>
                <w:lang w:val="en-GB"/>
              </w:rPr>
              <w:t>TC</w:t>
            </w:r>
          </w:p>
        </w:tc>
        <w:tc>
          <w:tcPr>
            <w:tcW w:w="7229" w:type="dxa"/>
          </w:tcPr>
          <w:p w14:paraId="6155C59B" w14:textId="06BBA911"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Territorial Capital</w:t>
            </w:r>
          </w:p>
        </w:tc>
      </w:tr>
      <w:tr w:rsidR="000B1A7B" w:rsidRPr="00037C61" w14:paraId="53F1CDA9"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0E75D26F" w14:textId="360D32CC" w:rsidR="000B1A7B" w:rsidRPr="00037C61" w:rsidRDefault="000B1A7B" w:rsidP="00134989">
            <w:pPr>
              <w:rPr>
                <w:color w:val="000000"/>
                <w:lang w:val="en-GB"/>
              </w:rPr>
            </w:pPr>
            <w:r w:rsidRPr="00037C61">
              <w:rPr>
                <w:color w:val="000000"/>
                <w:lang w:val="en-GB"/>
              </w:rPr>
              <w:t>TEN-T</w:t>
            </w:r>
          </w:p>
        </w:tc>
        <w:tc>
          <w:tcPr>
            <w:tcW w:w="7229" w:type="dxa"/>
          </w:tcPr>
          <w:p w14:paraId="59169F80" w14:textId="5C25DE14" w:rsidR="000B1A7B" w:rsidRPr="00037C61" w:rsidRDefault="000B1A7B"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Trans-European Transport Network </w:t>
            </w:r>
          </w:p>
        </w:tc>
      </w:tr>
      <w:tr w:rsidR="00134989" w:rsidRPr="00037C61" w14:paraId="75B085D1"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F45ED4D" w14:textId="6487C57A" w:rsidR="00134989" w:rsidRPr="00037C61" w:rsidRDefault="00134989" w:rsidP="00134989">
            <w:pPr>
              <w:rPr>
                <w:color w:val="000000"/>
                <w:lang w:val="en-GB"/>
              </w:rPr>
            </w:pPr>
            <w:r w:rsidRPr="00037C61">
              <w:rPr>
                <w:color w:val="000000"/>
                <w:lang w:val="en-GB"/>
              </w:rPr>
              <w:t>TSD</w:t>
            </w:r>
          </w:p>
        </w:tc>
        <w:tc>
          <w:tcPr>
            <w:tcW w:w="7229" w:type="dxa"/>
          </w:tcPr>
          <w:p w14:paraId="38AD916B" w14:textId="19E324EB" w:rsidR="00134989" w:rsidRPr="00037C61" w:rsidRDefault="00134989" w:rsidP="00134989">
            <w:pPr>
              <w:cnfStyle w:val="000000000000" w:firstRow="0" w:lastRow="0" w:firstColumn="0" w:lastColumn="0" w:oddVBand="0" w:evenVBand="0" w:oddHBand="0" w:evenHBand="0" w:firstRowFirstColumn="0" w:firstRowLastColumn="0" w:lastRowFirstColumn="0" w:lastRowLastColumn="0"/>
              <w:rPr>
                <w:color w:val="000000"/>
                <w:lang w:val="en-GB"/>
              </w:rPr>
            </w:pPr>
            <w:r w:rsidRPr="00037C61">
              <w:rPr>
                <w:color w:val="000000"/>
                <w:lang w:val="en-GB"/>
              </w:rPr>
              <w:t>Territorial Strategic Domains</w:t>
            </w:r>
          </w:p>
        </w:tc>
      </w:tr>
      <w:tr w:rsidR="00134989" w:rsidRPr="00037C61" w14:paraId="10ECE042"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Pr>
          <w:p w14:paraId="5A949F21" w14:textId="5085C573" w:rsidR="00134989" w:rsidRPr="00037C61" w:rsidRDefault="00134989" w:rsidP="00134989">
            <w:pPr>
              <w:rPr>
                <w:color w:val="000000"/>
                <w:lang w:val="en-GB"/>
              </w:rPr>
            </w:pPr>
            <w:r w:rsidRPr="00037C61">
              <w:rPr>
                <w:color w:val="000000"/>
                <w:lang w:val="en-GB"/>
              </w:rPr>
              <w:t>UN</w:t>
            </w:r>
          </w:p>
        </w:tc>
        <w:tc>
          <w:tcPr>
            <w:tcW w:w="7229" w:type="dxa"/>
          </w:tcPr>
          <w:p w14:paraId="12A9A35D" w14:textId="1EFD078B" w:rsidR="00134989" w:rsidRPr="00037C61" w:rsidRDefault="00134989" w:rsidP="00134989">
            <w:pPr>
              <w:cnfStyle w:val="000000100000" w:firstRow="0" w:lastRow="0" w:firstColumn="0" w:lastColumn="0" w:oddVBand="0" w:evenVBand="0" w:oddHBand="1" w:evenHBand="0" w:firstRowFirstColumn="0" w:firstRowLastColumn="0" w:lastRowFirstColumn="0" w:lastRowLastColumn="0"/>
              <w:rPr>
                <w:color w:val="000000"/>
                <w:lang w:val="en-GB"/>
              </w:rPr>
            </w:pPr>
            <w:r w:rsidRPr="00037C61">
              <w:rPr>
                <w:color w:val="000000"/>
                <w:lang w:val="en-GB"/>
              </w:rPr>
              <w:t xml:space="preserve">United Nations </w:t>
            </w:r>
          </w:p>
        </w:tc>
      </w:tr>
      <w:tr w:rsidR="00134989" w:rsidRPr="00283B08" w14:paraId="136DB76B"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405" w:type="dxa"/>
          </w:tcPr>
          <w:p w14:paraId="7CCB8A00" w14:textId="649DD68C" w:rsidR="00134989" w:rsidRPr="00037C61" w:rsidRDefault="000B1A7B" w:rsidP="00134989">
            <w:pPr>
              <w:rPr>
                <w:rFonts w:eastAsia="Times New Roman" w:cs="Calibri"/>
                <w:color w:val="000000"/>
                <w:lang w:val="en-GB" w:eastAsia="it-IT"/>
              </w:rPr>
            </w:pPr>
            <w:r w:rsidRPr="00037C61">
              <w:rPr>
                <w:rFonts w:eastAsia="Times New Roman" w:cs="Calibri"/>
                <w:color w:val="000000"/>
                <w:lang w:val="en-GB" w:eastAsia="it-IT"/>
              </w:rPr>
              <w:t>UWWTD</w:t>
            </w:r>
          </w:p>
        </w:tc>
        <w:tc>
          <w:tcPr>
            <w:tcW w:w="7229" w:type="dxa"/>
          </w:tcPr>
          <w:p w14:paraId="277A21C1" w14:textId="1CB5662C" w:rsidR="00134989" w:rsidRPr="00037C61" w:rsidRDefault="000B1A7B" w:rsidP="00134989">
            <w:pP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it-IT"/>
              </w:rPr>
            </w:pPr>
            <w:r w:rsidRPr="00037C61">
              <w:rPr>
                <w:rFonts w:eastAsia="Times New Roman" w:cs="Calibri"/>
                <w:color w:val="000000"/>
                <w:lang w:val="en-GB" w:eastAsia="it-IT"/>
              </w:rPr>
              <w:t>Urban Waste Water Treatment Directive</w:t>
            </w:r>
          </w:p>
        </w:tc>
      </w:tr>
    </w:tbl>
    <w:p w14:paraId="547C746E" w14:textId="7BB6B6AF" w:rsidR="00875873" w:rsidRPr="00037C61" w:rsidRDefault="00875873">
      <w:pPr>
        <w:rPr>
          <w:rFonts w:ascii="Garamond" w:hAnsi="Garamond"/>
          <w:lang w:val="en-GB"/>
        </w:rPr>
      </w:pPr>
    </w:p>
    <w:p w14:paraId="2B8B5468" w14:textId="766EA516" w:rsidR="00A633B8" w:rsidRPr="00037C61" w:rsidRDefault="00A633B8">
      <w:pPr>
        <w:rPr>
          <w:rFonts w:ascii="Garamond" w:hAnsi="Garamond"/>
          <w:lang w:val="en-GB"/>
        </w:rPr>
      </w:pPr>
    </w:p>
    <w:p w14:paraId="54D2CC75" w14:textId="77777777" w:rsidR="00835623" w:rsidRPr="00037C61" w:rsidRDefault="00835623">
      <w:pPr>
        <w:rPr>
          <w:rFonts w:ascii="Garamond" w:hAnsi="Garamond"/>
          <w:lang w:val="en-GB"/>
        </w:rPr>
      </w:pPr>
    </w:p>
    <w:p w14:paraId="073762EE" w14:textId="77777777" w:rsidR="00A33BF3" w:rsidRPr="00037C61" w:rsidRDefault="00A33BF3" w:rsidP="008B0080">
      <w:pPr>
        <w:rPr>
          <w:lang w:val="en-GB"/>
        </w:rPr>
      </w:pPr>
    </w:p>
    <w:sdt>
      <w:sdtPr>
        <w:rPr>
          <w:rFonts w:ascii="Calibri" w:hAnsi="Calibri"/>
          <w:b w:val="0"/>
          <w:bCs w:val="0"/>
          <w:color w:val="auto"/>
          <w:sz w:val="22"/>
          <w:lang w:val="en-GB"/>
        </w:rPr>
        <w:id w:val="-1900513575"/>
        <w:docPartObj>
          <w:docPartGallery w:val="Table of Contents"/>
          <w:docPartUnique/>
        </w:docPartObj>
      </w:sdtPr>
      <w:sdtEndPr/>
      <w:sdtContent>
        <w:sdt>
          <w:sdtPr>
            <w:rPr>
              <w:rFonts w:ascii="Calibri" w:hAnsi="Calibri"/>
              <w:noProof/>
              <w:color w:val="auto"/>
              <w:sz w:val="22"/>
              <w:lang w:val="en-GB"/>
              <w14:scene3d>
                <w14:camera w14:prst="orthographicFront"/>
                <w14:lightRig w14:rig="threePt" w14:dir="t">
                  <w14:rot w14:lat="0" w14:lon="0" w14:rev="0"/>
                </w14:lightRig>
              </w14:scene3d>
            </w:rPr>
            <w:id w:val="1081407335"/>
            <w:docPartObj>
              <w:docPartGallery w:val="Table of Contents"/>
              <w:docPartUnique/>
            </w:docPartObj>
          </w:sdtPr>
          <w:sdtEndPr/>
          <w:sdtContent>
            <w:sdt>
              <w:sdtPr>
                <w:rPr>
                  <w:rFonts w:ascii="Calibri" w:hAnsi="Calibri"/>
                  <w:noProof/>
                  <w:color w:val="auto"/>
                  <w:sz w:val="22"/>
                  <w:lang w:val="en-GB"/>
                  <w14:scene3d>
                    <w14:camera w14:prst="orthographicFront"/>
                    <w14:lightRig w14:rig="threePt" w14:dir="t">
                      <w14:rot w14:lat="0" w14:lon="0" w14:rev="0"/>
                    </w14:lightRig>
                  </w14:scene3d>
                </w:rPr>
                <w:id w:val="-1932650984"/>
                <w:docPartObj>
                  <w:docPartGallery w:val="Table of Contents"/>
                  <w:docPartUnique/>
                </w:docPartObj>
              </w:sdtPr>
              <w:sdtEndPr/>
              <w:sdtContent>
                <w:sdt>
                  <w:sdtPr>
                    <w:rPr>
                      <w:rFonts w:ascii="Calibri" w:hAnsi="Calibri"/>
                      <w:noProof/>
                      <w:color w:val="auto"/>
                      <w:sz w:val="22"/>
                      <w:lang w:val="en-GB"/>
                      <w14:scene3d>
                        <w14:camera w14:prst="orthographicFront"/>
                        <w14:lightRig w14:rig="threePt" w14:dir="t">
                          <w14:rot w14:lat="0" w14:lon="0" w14:rev="0"/>
                        </w14:lightRig>
                      </w14:scene3d>
                    </w:rPr>
                    <w:id w:val="-1818329788"/>
                    <w:docPartObj>
                      <w:docPartGallery w:val="Table of Contents"/>
                      <w:docPartUnique/>
                    </w:docPartObj>
                  </w:sdtPr>
                  <w:sdtEndPr/>
                  <w:sdtContent>
                    <w:sdt>
                      <w:sdtPr>
                        <w:rPr>
                          <w:rFonts w:ascii="Calibri" w:hAnsi="Calibri"/>
                          <w:noProof/>
                          <w:color w:val="auto"/>
                          <w:sz w:val="22"/>
                          <w:lang w:val="en-GB"/>
                          <w14:scene3d>
                            <w14:camera w14:prst="orthographicFront"/>
                            <w14:lightRig w14:rig="threePt" w14:dir="t">
                              <w14:rot w14:lat="0" w14:lon="0" w14:rev="0"/>
                            </w14:lightRig>
                          </w14:scene3d>
                        </w:rPr>
                        <w:id w:val="1352998458"/>
                        <w:docPartObj>
                          <w:docPartGallery w:val="Table of Contents"/>
                          <w:docPartUnique/>
                        </w:docPartObj>
                      </w:sdtPr>
                      <w:sdtEndPr/>
                      <w:sdtContent>
                        <w:p w14:paraId="2BB35ABF" w14:textId="51EEC715" w:rsidR="00A633B8" w:rsidRPr="00037C61" w:rsidRDefault="00A633B8" w:rsidP="00A633B8">
                          <w:pPr>
                            <w:pStyle w:val="SubtitlenoToC"/>
                            <w:rPr>
                              <w:noProof/>
                              <w:lang w:val="en-GB"/>
                              <w14:scene3d>
                                <w14:camera w14:prst="orthographicFront"/>
                                <w14:lightRig w14:rig="threePt" w14:dir="t">
                                  <w14:rot w14:lat="0" w14:lon="0" w14:rev="0"/>
                                </w14:lightRig>
                              </w14:scene3d>
                            </w:rPr>
                          </w:pPr>
                          <w:r w:rsidRPr="00037C61">
                            <w:rPr>
                              <w:noProof/>
                              <w:lang w:val="en-GB"/>
                              <w14:scene3d>
                                <w14:camera w14:prst="orthographicFront"/>
                                <w14:lightRig w14:rig="threePt" w14:dir="t">
                                  <w14:rot w14:lat="0" w14:lon="0" w14:rev="0"/>
                                </w14:lightRig>
                              </w14:scene3d>
                            </w:rPr>
                            <w:t>CONTENTS</w:t>
                          </w:r>
                        </w:p>
                        <w:p w14:paraId="037BE65B" w14:textId="7D25C4A3" w:rsidR="00A33BF3" w:rsidRPr="00037C61" w:rsidRDefault="0049362F" w:rsidP="00286861">
                          <w:pPr>
                            <w:pStyle w:val="TOC1"/>
                            <w:rPr>
                              <w:lang w:val="en-GB"/>
                            </w:rPr>
                          </w:pPr>
                        </w:p>
                      </w:sdtContent>
                    </w:sdt>
                  </w:sdtContent>
                </w:sdt>
              </w:sdtContent>
            </w:sdt>
          </w:sdtContent>
        </w:sdt>
        <w:p w14:paraId="559FA50F" w14:textId="1B32AC94" w:rsidR="00FB3E93" w:rsidRDefault="00A33BF3">
          <w:pPr>
            <w:pStyle w:val="TOC1"/>
            <w:rPr>
              <w:rFonts w:asciiTheme="minorHAnsi" w:eastAsiaTheme="minorEastAsia" w:hAnsiTheme="minorHAnsi"/>
              <w:b w:val="0"/>
              <w:bCs w:val="0"/>
              <w:lang w:eastAsia="it-IT"/>
            </w:rPr>
          </w:pPr>
          <w:r w:rsidRPr="00037C61">
            <w:rPr>
              <w:lang w:val="en-GB"/>
            </w:rPr>
            <w:fldChar w:fldCharType="begin"/>
          </w:r>
          <w:r w:rsidRPr="00037C61">
            <w:rPr>
              <w:lang w:val="en-GB"/>
            </w:rPr>
            <w:instrText xml:space="preserve"> TOC \o "1-3" \h \z \u </w:instrText>
          </w:r>
          <w:r w:rsidRPr="00037C61">
            <w:rPr>
              <w:lang w:val="en-GB"/>
            </w:rPr>
            <w:fldChar w:fldCharType="separate"/>
          </w:r>
          <w:hyperlink w:anchor="_Toc64619513" w:history="1">
            <w:r w:rsidR="00FB3E93" w:rsidRPr="00E90B20">
              <w:rPr>
                <w:rStyle w:val="Hyperlink"/>
              </w:rPr>
              <w:t>1.</w:t>
            </w:r>
            <w:r w:rsidR="00FB3E93">
              <w:rPr>
                <w:rFonts w:asciiTheme="minorHAnsi" w:eastAsiaTheme="minorEastAsia" w:hAnsiTheme="minorHAnsi"/>
                <w:b w:val="0"/>
                <w:bCs w:val="0"/>
                <w:lang w:eastAsia="it-IT"/>
              </w:rPr>
              <w:tab/>
            </w:r>
            <w:r w:rsidR="00FB3E93" w:rsidRPr="00E90B20">
              <w:rPr>
                <w:rStyle w:val="Hyperlink"/>
              </w:rPr>
              <w:t>INTRODUCTION</w:t>
            </w:r>
            <w:r w:rsidR="00FB3E93">
              <w:rPr>
                <w:webHidden/>
              </w:rPr>
              <w:tab/>
            </w:r>
            <w:r w:rsidR="00FB3E93">
              <w:rPr>
                <w:webHidden/>
              </w:rPr>
              <w:fldChar w:fldCharType="begin"/>
            </w:r>
            <w:r w:rsidR="00FB3E93">
              <w:rPr>
                <w:webHidden/>
              </w:rPr>
              <w:instrText xml:space="preserve"> PAGEREF _Toc64619513 \h </w:instrText>
            </w:r>
            <w:r w:rsidR="00FB3E93">
              <w:rPr>
                <w:webHidden/>
              </w:rPr>
            </w:r>
            <w:r w:rsidR="00FB3E93">
              <w:rPr>
                <w:webHidden/>
              </w:rPr>
              <w:fldChar w:fldCharType="separate"/>
            </w:r>
            <w:r w:rsidR="004A5488">
              <w:rPr>
                <w:webHidden/>
              </w:rPr>
              <w:t>11</w:t>
            </w:r>
            <w:r w:rsidR="00FB3E93">
              <w:rPr>
                <w:webHidden/>
              </w:rPr>
              <w:fldChar w:fldCharType="end"/>
            </w:r>
          </w:hyperlink>
        </w:p>
        <w:p w14:paraId="688C0617" w14:textId="358D9C5A" w:rsidR="00FB3E93" w:rsidRDefault="0049362F">
          <w:pPr>
            <w:pStyle w:val="TOC2"/>
            <w:rPr>
              <w:rFonts w:asciiTheme="minorHAnsi" w:eastAsiaTheme="minorEastAsia" w:hAnsiTheme="minorHAnsi"/>
              <w:b w:val="0"/>
              <w:bCs w:val="0"/>
              <w:lang w:eastAsia="it-IT"/>
            </w:rPr>
          </w:pPr>
          <w:hyperlink w:anchor="_Toc64619514" w:history="1">
            <w:r w:rsidR="00FB3E93" w:rsidRPr="00E90B20">
              <w:rPr>
                <w:rStyle w:val="Hyperlink"/>
                <w14:scene3d>
                  <w14:camera w14:prst="orthographicFront"/>
                  <w14:lightRig w14:rig="threePt" w14:dir="t">
                    <w14:rot w14:lat="0" w14:lon="0" w14:rev="0"/>
                  </w14:lightRig>
                </w14:scene3d>
              </w:rPr>
              <w:t>1.1.</w:t>
            </w:r>
            <w:r w:rsidR="00FB3E93">
              <w:rPr>
                <w:rFonts w:asciiTheme="minorHAnsi" w:eastAsiaTheme="minorEastAsia" w:hAnsiTheme="minorHAnsi"/>
                <w:b w:val="0"/>
                <w:bCs w:val="0"/>
                <w:lang w:eastAsia="it-IT"/>
              </w:rPr>
              <w:tab/>
            </w:r>
            <w:r w:rsidR="00FB3E93" w:rsidRPr="00E90B20">
              <w:rPr>
                <w:rStyle w:val="Hyperlink"/>
              </w:rPr>
              <w:t>Policy analysis: conclusions from the new EU strategic framework to the local needs</w:t>
            </w:r>
            <w:r w:rsidR="00FB3E93">
              <w:rPr>
                <w:webHidden/>
              </w:rPr>
              <w:tab/>
            </w:r>
            <w:r w:rsidR="00FB3E93">
              <w:rPr>
                <w:webHidden/>
              </w:rPr>
              <w:fldChar w:fldCharType="begin"/>
            </w:r>
            <w:r w:rsidR="00FB3E93">
              <w:rPr>
                <w:webHidden/>
              </w:rPr>
              <w:instrText xml:space="preserve"> PAGEREF _Toc64619514 \h </w:instrText>
            </w:r>
            <w:r w:rsidR="00FB3E93">
              <w:rPr>
                <w:webHidden/>
              </w:rPr>
            </w:r>
            <w:r w:rsidR="00FB3E93">
              <w:rPr>
                <w:webHidden/>
              </w:rPr>
              <w:fldChar w:fldCharType="separate"/>
            </w:r>
            <w:r w:rsidR="004A5488">
              <w:rPr>
                <w:webHidden/>
              </w:rPr>
              <w:t>14</w:t>
            </w:r>
            <w:r w:rsidR="00FB3E93">
              <w:rPr>
                <w:webHidden/>
              </w:rPr>
              <w:fldChar w:fldCharType="end"/>
            </w:r>
          </w:hyperlink>
        </w:p>
        <w:p w14:paraId="5ED291CC" w14:textId="612BF1CB" w:rsidR="00FB3E93" w:rsidRDefault="0049362F">
          <w:pPr>
            <w:pStyle w:val="TOC2"/>
            <w:rPr>
              <w:rFonts w:asciiTheme="minorHAnsi" w:eastAsiaTheme="minorEastAsia" w:hAnsiTheme="minorHAnsi"/>
              <w:b w:val="0"/>
              <w:bCs w:val="0"/>
              <w:lang w:eastAsia="it-IT"/>
            </w:rPr>
          </w:pPr>
          <w:hyperlink w:anchor="_Toc64619515" w:history="1">
            <w:r w:rsidR="00FB3E93" w:rsidRPr="00E90B20">
              <w:rPr>
                <w:rStyle w:val="Hyperlink"/>
                <w14:scene3d>
                  <w14:camera w14:prst="orthographicFront"/>
                  <w14:lightRig w14:rig="threePt" w14:dir="t">
                    <w14:rot w14:lat="0" w14:lon="0" w14:rev="0"/>
                  </w14:lightRig>
                </w14:scene3d>
              </w:rPr>
              <w:t>1.2.</w:t>
            </w:r>
            <w:r w:rsidR="00FB3E93">
              <w:rPr>
                <w:rFonts w:asciiTheme="minorHAnsi" w:eastAsiaTheme="minorEastAsia" w:hAnsiTheme="minorHAnsi"/>
                <w:b w:val="0"/>
                <w:bCs w:val="0"/>
                <w:lang w:eastAsia="it-IT"/>
              </w:rPr>
              <w:tab/>
            </w:r>
            <w:r w:rsidR="00FB3E93" w:rsidRPr="00E90B20">
              <w:rPr>
                <w:rStyle w:val="Hyperlink"/>
              </w:rPr>
              <w:t>Lessons learnt from the current Interreg Programme Romania-Hungary 2014-2020</w:t>
            </w:r>
            <w:r w:rsidR="00FB3E93">
              <w:rPr>
                <w:webHidden/>
              </w:rPr>
              <w:tab/>
            </w:r>
            <w:r w:rsidR="00FB3E93">
              <w:rPr>
                <w:webHidden/>
              </w:rPr>
              <w:fldChar w:fldCharType="begin"/>
            </w:r>
            <w:r w:rsidR="00FB3E93">
              <w:rPr>
                <w:webHidden/>
              </w:rPr>
              <w:instrText xml:space="preserve"> PAGEREF _Toc64619515 \h </w:instrText>
            </w:r>
            <w:r w:rsidR="00FB3E93">
              <w:rPr>
                <w:webHidden/>
              </w:rPr>
            </w:r>
            <w:r w:rsidR="00FB3E93">
              <w:rPr>
                <w:webHidden/>
              </w:rPr>
              <w:fldChar w:fldCharType="separate"/>
            </w:r>
            <w:r w:rsidR="004A5488">
              <w:rPr>
                <w:webHidden/>
              </w:rPr>
              <w:t>29</w:t>
            </w:r>
            <w:r w:rsidR="00FB3E93">
              <w:rPr>
                <w:webHidden/>
              </w:rPr>
              <w:fldChar w:fldCharType="end"/>
            </w:r>
          </w:hyperlink>
        </w:p>
        <w:p w14:paraId="4F301919" w14:textId="46D9618F" w:rsidR="00FB3E93" w:rsidRDefault="0049362F">
          <w:pPr>
            <w:pStyle w:val="TOC2"/>
            <w:rPr>
              <w:rFonts w:asciiTheme="minorHAnsi" w:eastAsiaTheme="minorEastAsia" w:hAnsiTheme="minorHAnsi"/>
              <w:b w:val="0"/>
              <w:bCs w:val="0"/>
              <w:lang w:eastAsia="it-IT"/>
            </w:rPr>
          </w:pPr>
          <w:hyperlink w:anchor="_Toc64619516" w:history="1">
            <w:r w:rsidR="00FB3E93" w:rsidRPr="00E90B20">
              <w:rPr>
                <w:rStyle w:val="Hyperlink"/>
                <w14:scene3d>
                  <w14:camera w14:prst="orthographicFront"/>
                  <w14:lightRig w14:rig="threePt" w14:dir="t">
                    <w14:rot w14:lat="0" w14:lon="0" w14:rev="0"/>
                  </w14:lightRig>
                </w14:scene3d>
              </w:rPr>
              <w:t>1.3.</w:t>
            </w:r>
            <w:r w:rsidR="00FB3E93">
              <w:rPr>
                <w:rFonts w:asciiTheme="minorHAnsi" w:eastAsiaTheme="minorEastAsia" w:hAnsiTheme="minorHAnsi"/>
                <w:b w:val="0"/>
                <w:bCs w:val="0"/>
                <w:lang w:eastAsia="it-IT"/>
              </w:rPr>
              <w:tab/>
            </w:r>
            <w:r w:rsidR="00FB3E93" w:rsidRPr="00E90B20">
              <w:rPr>
                <w:rStyle w:val="Hyperlink"/>
              </w:rPr>
              <w:t>The Covid-19 pandemic: potential impacts and common challenges in the cross-border area</w:t>
            </w:r>
            <w:r w:rsidR="00FB3E93">
              <w:rPr>
                <w:webHidden/>
              </w:rPr>
              <w:tab/>
            </w:r>
            <w:r w:rsidR="00FB3E93">
              <w:rPr>
                <w:webHidden/>
              </w:rPr>
              <w:fldChar w:fldCharType="begin"/>
            </w:r>
            <w:r w:rsidR="00FB3E93">
              <w:rPr>
                <w:webHidden/>
              </w:rPr>
              <w:instrText xml:space="preserve"> PAGEREF _Toc64619516 \h </w:instrText>
            </w:r>
            <w:r w:rsidR="00FB3E93">
              <w:rPr>
                <w:webHidden/>
              </w:rPr>
            </w:r>
            <w:r w:rsidR="00FB3E93">
              <w:rPr>
                <w:webHidden/>
              </w:rPr>
              <w:fldChar w:fldCharType="separate"/>
            </w:r>
            <w:r w:rsidR="004A5488">
              <w:rPr>
                <w:webHidden/>
              </w:rPr>
              <w:t>34</w:t>
            </w:r>
            <w:r w:rsidR="00FB3E93">
              <w:rPr>
                <w:webHidden/>
              </w:rPr>
              <w:fldChar w:fldCharType="end"/>
            </w:r>
          </w:hyperlink>
        </w:p>
        <w:p w14:paraId="033FB3B2" w14:textId="01E28FBB" w:rsidR="00FB3E93" w:rsidRDefault="0049362F">
          <w:pPr>
            <w:pStyle w:val="TOC1"/>
            <w:rPr>
              <w:rFonts w:asciiTheme="minorHAnsi" w:eastAsiaTheme="minorEastAsia" w:hAnsiTheme="minorHAnsi"/>
              <w:b w:val="0"/>
              <w:bCs w:val="0"/>
              <w:lang w:eastAsia="it-IT"/>
            </w:rPr>
          </w:pPr>
          <w:hyperlink w:anchor="_Toc64619517" w:history="1">
            <w:r w:rsidR="00FB3E93" w:rsidRPr="00E90B20">
              <w:rPr>
                <w:rStyle w:val="Hyperlink"/>
              </w:rPr>
              <w:t>2.</w:t>
            </w:r>
            <w:r w:rsidR="00FB3E93">
              <w:rPr>
                <w:rFonts w:asciiTheme="minorHAnsi" w:eastAsiaTheme="minorEastAsia" w:hAnsiTheme="minorHAnsi"/>
                <w:b w:val="0"/>
                <w:bCs w:val="0"/>
                <w:lang w:eastAsia="it-IT"/>
              </w:rPr>
              <w:tab/>
            </w:r>
            <w:r w:rsidR="00FB3E93" w:rsidRPr="00E90B20">
              <w:rPr>
                <w:rStyle w:val="Hyperlink"/>
              </w:rPr>
              <w:t>THEMATIC TERRITORIAL ANALYSIS</w:t>
            </w:r>
            <w:r w:rsidR="00FB3E93">
              <w:rPr>
                <w:webHidden/>
              </w:rPr>
              <w:tab/>
            </w:r>
            <w:r w:rsidR="00FB3E93">
              <w:rPr>
                <w:webHidden/>
              </w:rPr>
              <w:fldChar w:fldCharType="begin"/>
            </w:r>
            <w:r w:rsidR="00FB3E93">
              <w:rPr>
                <w:webHidden/>
              </w:rPr>
              <w:instrText xml:space="preserve"> PAGEREF _Toc64619517 \h </w:instrText>
            </w:r>
            <w:r w:rsidR="00FB3E93">
              <w:rPr>
                <w:webHidden/>
              </w:rPr>
            </w:r>
            <w:r w:rsidR="00FB3E93">
              <w:rPr>
                <w:webHidden/>
              </w:rPr>
              <w:fldChar w:fldCharType="separate"/>
            </w:r>
            <w:r w:rsidR="004A5488">
              <w:rPr>
                <w:webHidden/>
              </w:rPr>
              <w:t>40</w:t>
            </w:r>
            <w:r w:rsidR="00FB3E93">
              <w:rPr>
                <w:webHidden/>
              </w:rPr>
              <w:fldChar w:fldCharType="end"/>
            </w:r>
          </w:hyperlink>
        </w:p>
        <w:p w14:paraId="3DDD5E73" w14:textId="338B8185" w:rsidR="00FB3E93" w:rsidRDefault="0049362F">
          <w:pPr>
            <w:pStyle w:val="TOC2"/>
            <w:rPr>
              <w:rFonts w:asciiTheme="minorHAnsi" w:eastAsiaTheme="minorEastAsia" w:hAnsiTheme="minorHAnsi"/>
              <w:b w:val="0"/>
              <w:bCs w:val="0"/>
              <w:lang w:eastAsia="it-IT"/>
            </w:rPr>
          </w:pPr>
          <w:hyperlink w:anchor="_Toc64619518" w:history="1">
            <w:r w:rsidR="00FB3E93" w:rsidRPr="00E90B20">
              <w:rPr>
                <w:rStyle w:val="Hyperlink"/>
                <w14:scene3d>
                  <w14:camera w14:prst="orthographicFront"/>
                  <w14:lightRig w14:rig="threePt" w14:dir="t">
                    <w14:rot w14:lat="0" w14:lon="0" w14:rev="0"/>
                  </w14:lightRig>
                </w14:scene3d>
              </w:rPr>
              <w:t>2.1.</w:t>
            </w:r>
            <w:r w:rsidR="00FB3E93">
              <w:rPr>
                <w:rFonts w:asciiTheme="minorHAnsi" w:eastAsiaTheme="minorEastAsia" w:hAnsiTheme="minorHAnsi"/>
                <w:b w:val="0"/>
                <w:bCs w:val="0"/>
                <w:lang w:eastAsia="it-IT"/>
              </w:rPr>
              <w:tab/>
            </w:r>
            <w:r w:rsidR="00FB3E93" w:rsidRPr="00E90B20">
              <w:rPr>
                <w:rStyle w:val="Hyperlink"/>
              </w:rPr>
              <w:t>Main characteristics of the cross-border territory. Demographic potential and social capital</w:t>
            </w:r>
            <w:r w:rsidR="00FB3E93">
              <w:rPr>
                <w:webHidden/>
              </w:rPr>
              <w:tab/>
            </w:r>
            <w:r w:rsidR="00FB3E93">
              <w:rPr>
                <w:webHidden/>
              </w:rPr>
              <w:fldChar w:fldCharType="begin"/>
            </w:r>
            <w:r w:rsidR="00FB3E93">
              <w:rPr>
                <w:webHidden/>
              </w:rPr>
              <w:instrText xml:space="preserve"> PAGEREF _Toc64619518 \h </w:instrText>
            </w:r>
            <w:r w:rsidR="00FB3E93">
              <w:rPr>
                <w:webHidden/>
              </w:rPr>
            </w:r>
            <w:r w:rsidR="00FB3E93">
              <w:rPr>
                <w:webHidden/>
              </w:rPr>
              <w:fldChar w:fldCharType="separate"/>
            </w:r>
            <w:r w:rsidR="004A5488">
              <w:rPr>
                <w:webHidden/>
              </w:rPr>
              <w:t>41</w:t>
            </w:r>
            <w:r w:rsidR="00FB3E93">
              <w:rPr>
                <w:webHidden/>
              </w:rPr>
              <w:fldChar w:fldCharType="end"/>
            </w:r>
          </w:hyperlink>
        </w:p>
        <w:p w14:paraId="707D30C0" w14:textId="53BBAC5E" w:rsidR="00FB3E93" w:rsidRDefault="0049362F">
          <w:pPr>
            <w:pStyle w:val="TOC3"/>
            <w:rPr>
              <w:rFonts w:asciiTheme="minorHAnsi" w:eastAsiaTheme="minorEastAsia" w:hAnsiTheme="minorHAnsi"/>
              <w:noProof/>
              <w:lang w:eastAsia="it-IT"/>
            </w:rPr>
          </w:pPr>
          <w:hyperlink w:anchor="_Toc64619519" w:history="1">
            <w:r w:rsidR="00FB3E93" w:rsidRPr="00E90B20">
              <w:rPr>
                <w:rStyle w:val="Hyperlink"/>
                <w:noProof/>
                <w14:scene3d>
                  <w14:camera w14:prst="orthographicFront"/>
                  <w14:lightRig w14:rig="threePt" w14:dir="t">
                    <w14:rot w14:lat="0" w14:lon="0" w14:rev="0"/>
                  </w14:lightRig>
                </w14:scene3d>
              </w:rPr>
              <w:t>2.1.1.</w:t>
            </w:r>
            <w:r w:rsidR="00FB3E93">
              <w:rPr>
                <w:rFonts w:asciiTheme="minorHAnsi" w:eastAsiaTheme="minorEastAsia" w:hAnsiTheme="minorHAnsi"/>
                <w:noProof/>
                <w:lang w:eastAsia="it-IT"/>
              </w:rPr>
              <w:tab/>
            </w:r>
            <w:r w:rsidR="00FB3E93" w:rsidRPr="00E90B20">
              <w:rPr>
                <w:rStyle w:val="Hyperlink"/>
                <w:noProof/>
              </w:rPr>
              <w:t>Main characteristics of the PA area and settlement network</w:t>
            </w:r>
            <w:r w:rsidR="00FB3E93">
              <w:rPr>
                <w:noProof/>
                <w:webHidden/>
              </w:rPr>
              <w:tab/>
            </w:r>
            <w:r w:rsidR="00FB3E93">
              <w:rPr>
                <w:noProof/>
                <w:webHidden/>
              </w:rPr>
              <w:fldChar w:fldCharType="begin"/>
            </w:r>
            <w:r w:rsidR="00FB3E93">
              <w:rPr>
                <w:noProof/>
                <w:webHidden/>
              </w:rPr>
              <w:instrText xml:space="preserve"> PAGEREF _Toc64619519 \h </w:instrText>
            </w:r>
            <w:r w:rsidR="00FB3E93">
              <w:rPr>
                <w:noProof/>
                <w:webHidden/>
              </w:rPr>
            </w:r>
            <w:r w:rsidR="00FB3E93">
              <w:rPr>
                <w:noProof/>
                <w:webHidden/>
              </w:rPr>
              <w:fldChar w:fldCharType="separate"/>
            </w:r>
            <w:r w:rsidR="004A5488">
              <w:rPr>
                <w:noProof/>
                <w:webHidden/>
              </w:rPr>
              <w:t>41</w:t>
            </w:r>
            <w:r w:rsidR="00FB3E93">
              <w:rPr>
                <w:noProof/>
                <w:webHidden/>
              </w:rPr>
              <w:fldChar w:fldCharType="end"/>
            </w:r>
          </w:hyperlink>
        </w:p>
        <w:p w14:paraId="0DC437D4" w14:textId="203229F3" w:rsidR="00FB3E93" w:rsidRDefault="0049362F">
          <w:pPr>
            <w:pStyle w:val="TOC3"/>
            <w:rPr>
              <w:rFonts w:asciiTheme="minorHAnsi" w:eastAsiaTheme="minorEastAsia" w:hAnsiTheme="minorHAnsi"/>
              <w:noProof/>
              <w:lang w:eastAsia="it-IT"/>
            </w:rPr>
          </w:pPr>
          <w:hyperlink w:anchor="_Toc64619520" w:history="1">
            <w:r w:rsidR="00FB3E93" w:rsidRPr="00E90B20">
              <w:rPr>
                <w:rStyle w:val="Hyperlink"/>
                <w:noProof/>
                <w14:scene3d>
                  <w14:camera w14:prst="orthographicFront"/>
                  <w14:lightRig w14:rig="threePt" w14:dir="t">
                    <w14:rot w14:lat="0" w14:lon="0" w14:rev="0"/>
                  </w14:lightRig>
                </w14:scene3d>
              </w:rPr>
              <w:t>2.1.2.</w:t>
            </w:r>
            <w:r w:rsidR="00FB3E93">
              <w:rPr>
                <w:rFonts w:asciiTheme="minorHAnsi" w:eastAsiaTheme="minorEastAsia" w:hAnsiTheme="minorHAnsi"/>
                <w:noProof/>
                <w:lang w:eastAsia="it-IT"/>
              </w:rPr>
              <w:tab/>
            </w:r>
            <w:r w:rsidR="00FB3E93" w:rsidRPr="00E90B20">
              <w:rPr>
                <w:rStyle w:val="Hyperlink"/>
                <w:noProof/>
              </w:rPr>
              <w:t>Demographic characterisation of the PA</w:t>
            </w:r>
            <w:r w:rsidR="00FB3E93">
              <w:rPr>
                <w:noProof/>
                <w:webHidden/>
              </w:rPr>
              <w:tab/>
            </w:r>
            <w:r w:rsidR="00FB3E93">
              <w:rPr>
                <w:noProof/>
                <w:webHidden/>
              </w:rPr>
              <w:fldChar w:fldCharType="begin"/>
            </w:r>
            <w:r w:rsidR="00FB3E93">
              <w:rPr>
                <w:noProof/>
                <w:webHidden/>
              </w:rPr>
              <w:instrText xml:space="preserve"> PAGEREF _Toc64619520 \h </w:instrText>
            </w:r>
            <w:r w:rsidR="00FB3E93">
              <w:rPr>
                <w:noProof/>
                <w:webHidden/>
              </w:rPr>
            </w:r>
            <w:r w:rsidR="00FB3E93">
              <w:rPr>
                <w:noProof/>
                <w:webHidden/>
              </w:rPr>
              <w:fldChar w:fldCharType="separate"/>
            </w:r>
            <w:r w:rsidR="004A5488">
              <w:rPr>
                <w:noProof/>
                <w:webHidden/>
              </w:rPr>
              <w:t>44</w:t>
            </w:r>
            <w:r w:rsidR="00FB3E93">
              <w:rPr>
                <w:noProof/>
                <w:webHidden/>
              </w:rPr>
              <w:fldChar w:fldCharType="end"/>
            </w:r>
          </w:hyperlink>
        </w:p>
        <w:p w14:paraId="3B9E8014" w14:textId="3D14827B" w:rsidR="00FB3E93" w:rsidRDefault="0049362F">
          <w:pPr>
            <w:pStyle w:val="TOC3"/>
            <w:rPr>
              <w:rFonts w:asciiTheme="minorHAnsi" w:eastAsiaTheme="minorEastAsia" w:hAnsiTheme="minorHAnsi"/>
              <w:noProof/>
              <w:lang w:eastAsia="it-IT"/>
            </w:rPr>
          </w:pPr>
          <w:hyperlink w:anchor="_Toc64619521" w:history="1">
            <w:r w:rsidR="00FB3E93" w:rsidRPr="00E90B20">
              <w:rPr>
                <w:rStyle w:val="Hyperlink"/>
                <w:noProof/>
                <w14:scene3d>
                  <w14:camera w14:prst="orthographicFront"/>
                  <w14:lightRig w14:rig="threePt" w14:dir="t">
                    <w14:rot w14:lat="0" w14:lon="0" w14:rev="0"/>
                  </w14:lightRig>
                </w14:scene3d>
              </w:rPr>
              <w:t>2.1.3.</w:t>
            </w:r>
            <w:r w:rsidR="00FB3E93">
              <w:rPr>
                <w:rFonts w:asciiTheme="minorHAnsi" w:eastAsiaTheme="minorEastAsia" w:hAnsiTheme="minorHAnsi"/>
                <w:noProof/>
                <w:lang w:eastAsia="it-IT"/>
              </w:rPr>
              <w:tab/>
            </w:r>
            <w:r w:rsidR="00FB3E93" w:rsidRPr="00E90B20">
              <w:rPr>
                <w:rStyle w:val="Hyperlink"/>
                <w:noProof/>
              </w:rPr>
              <w:t>Migratory trends and cross-border specificities</w:t>
            </w:r>
            <w:r w:rsidR="00FB3E93">
              <w:rPr>
                <w:noProof/>
                <w:webHidden/>
              </w:rPr>
              <w:tab/>
            </w:r>
            <w:r w:rsidR="00FB3E93">
              <w:rPr>
                <w:noProof/>
                <w:webHidden/>
              </w:rPr>
              <w:fldChar w:fldCharType="begin"/>
            </w:r>
            <w:r w:rsidR="00FB3E93">
              <w:rPr>
                <w:noProof/>
                <w:webHidden/>
              </w:rPr>
              <w:instrText xml:space="preserve"> PAGEREF _Toc64619521 \h </w:instrText>
            </w:r>
            <w:r w:rsidR="00FB3E93">
              <w:rPr>
                <w:noProof/>
                <w:webHidden/>
              </w:rPr>
            </w:r>
            <w:r w:rsidR="00FB3E93">
              <w:rPr>
                <w:noProof/>
                <w:webHidden/>
              </w:rPr>
              <w:fldChar w:fldCharType="separate"/>
            </w:r>
            <w:r w:rsidR="004A5488">
              <w:rPr>
                <w:noProof/>
                <w:webHidden/>
              </w:rPr>
              <w:t>60</w:t>
            </w:r>
            <w:r w:rsidR="00FB3E93">
              <w:rPr>
                <w:noProof/>
                <w:webHidden/>
              </w:rPr>
              <w:fldChar w:fldCharType="end"/>
            </w:r>
          </w:hyperlink>
        </w:p>
        <w:p w14:paraId="4AA464B8" w14:textId="0425D45A" w:rsidR="00FB3E93" w:rsidRDefault="0049362F">
          <w:pPr>
            <w:pStyle w:val="TOC3"/>
            <w:rPr>
              <w:rFonts w:asciiTheme="minorHAnsi" w:eastAsiaTheme="minorEastAsia" w:hAnsiTheme="minorHAnsi"/>
              <w:noProof/>
              <w:lang w:eastAsia="it-IT"/>
            </w:rPr>
          </w:pPr>
          <w:hyperlink w:anchor="_Toc64619522" w:history="1">
            <w:r w:rsidR="00FB3E93" w:rsidRPr="00E90B20">
              <w:rPr>
                <w:rStyle w:val="Hyperlink"/>
                <w:noProof/>
                <w14:scene3d>
                  <w14:camera w14:prst="orthographicFront"/>
                  <w14:lightRig w14:rig="threePt" w14:dir="t">
                    <w14:rot w14:lat="0" w14:lon="0" w14:rev="0"/>
                  </w14:lightRig>
                </w14:scene3d>
              </w:rPr>
              <w:t>2.1.4.</w:t>
            </w:r>
            <w:r w:rsidR="00FB3E93">
              <w:rPr>
                <w:rFonts w:asciiTheme="minorHAnsi" w:eastAsiaTheme="minorEastAsia" w:hAnsiTheme="minorHAnsi"/>
                <w:noProof/>
                <w:lang w:eastAsia="it-IT"/>
              </w:rPr>
              <w:tab/>
            </w:r>
            <w:r w:rsidR="00FB3E93" w:rsidRPr="00E90B20">
              <w:rPr>
                <w:rStyle w:val="Hyperlink"/>
                <w:noProof/>
              </w:rPr>
              <w:t>Socio-cultural capital</w:t>
            </w:r>
            <w:r w:rsidR="00FB3E93">
              <w:rPr>
                <w:noProof/>
                <w:webHidden/>
              </w:rPr>
              <w:tab/>
            </w:r>
            <w:r w:rsidR="00FB3E93">
              <w:rPr>
                <w:noProof/>
                <w:webHidden/>
              </w:rPr>
              <w:fldChar w:fldCharType="begin"/>
            </w:r>
            <w:r w:rsidR="00FB3E93">
              <w:rPr>
                <w:noProof/>
                <w:webHidden/>
              </w:rPr>
              <w:instrText xml:space="preserve"> PAGEREF _Toc64619522 \h </w:instrText>
            </w:r>
            <w:r w:rsidR="00FB3E93">
              <w:rPr>
                <w:noProof/>
                <w:webHidden/>
              </w:rPr>
            </w:r>
            <w:r w:rsidR="00FB3E93">
              <w:rPr>
                <w:noProof/>
                <w:webHidden/>
              </w:rPr>
              <w:fldChar w:fldCharType="separate"/>
            </w:r>
            <w:r w:rsidR="004A5488">
              <w:rPr>
                <w:noProof/>
                <w:webHidden/>
              </w:rPr>
              <w:t>61</w:t>
            </w:r>
            <w:r w:rsidR="00FB3E93">
              <w:rPr>
                <w:noProof/>
                <w:webHidden/>
              </w:rPr>
              <w:fldChar w:fldCharType="end"/>
            </w:r>
          </w:hyperlink>
        </w:p>
        <w:p w14:paraId="1FB8BE70" w14:textId="66B501B5" w:rsidR="00FB3E93" w:rsidRDefault="0049362F">
          <w:pPr>
            <w:pStyle w:val="TOC3"/>
            <w:rPr>
              <w:rFonts w:asciiTheme="minorHAnsi" w:eastAsiaTheme="minorEastAsia" w:hAnsiTheme="minorHAnsi"/>
              <w:noProof/>
              <w:lang w:eastAsia="it-IT"/>
            </w:rPr>
          </w:pPr>
          <w:hyperlink w:anchor="_Toc64619523" w:history="1">
            <w:r w:rsidR="00FB3E93" w:rsidRPr="00E90B20">
              <w:rPr>
                <w:rStyle w:val="Hyperlink"/>
                <w:noProof/>
                <w14:scene3d>
                  <w14:camera w14:prst="orthographicFront"/>
                  <w14:lightRig w14:rig="threePt" w14:dir="t">
                    <w14:rot w14:lat="0" w14:lon="0" w14:rev="0"/>
                  </w14:lightRig>
                </w14:scene3d>
              </w:rPr>
              <w:t>2.1.5.</w:t>
            </w:r>
            <w:r w:rsidR="00FB3E93">
              <w:rPr>
                <w:rFonts w:asciiTheme="minorHAnsi" w:eastAsiaTheme="minorEastAsia" w:hAnsiTheme="minorHAnsi"/>
                <w:noProof/>
                <w:lang w:eastAsia="it-IT"/>
              </w:rPr>
              <w:tab/>
            </w:r>
            <w:r w:rsidR="00FB3E93" w:rsidRPr="00E90B20">
              <w:rPr>
                <w:rStyle w:val="Hyperlink"/>
                <w:noProof/>
              </w:rPr>
              <w:t>Conclusions of the demographic and socio-cultural analysis</w:t>
            </w:r>
            <w:r w:rsidR="00FB3E93">
              <w:rPr>
                <w:noProof/>
                <w:webHidden/>
              </w:rPr>
              <w:tab/>
            </w:r>
            <w:r w:rsidR="00FB3E93">
              <w:rPr>
                <w:noProof/>
                <w:webHidden/>
              </w:rPr>
              <w:fldChar w:fldCharType="begin"/>
            </w:r>
            <w:r w:rsidR="00FB3E93">
              <w:rPr>
                <w:noProof/>
                <w:webHidden/>
              </w:rPr>
              <w:instrText xml:space="preserve"> PAGEREF _Toc64619523 \h </w:instrText>
            </w:r>
            <w:r w:rsidR="00FB3E93">
              <w:rPr>
                <w:noProof/>
                <w:webHidden/>
              </w:rPr>
            </w:r>
            <w:r w:rsidR="00FB3E93">
              <w:rPr>
                <w:noProof/>
                <w:webHidden/>
              </w:rPr>
              <w:fldChar w:fldCharType="separate"/>
            </w:r>
            <w:r w:rsidR="004A5488">
              <w:rPr>
                <w:noProof/>
                <w:webHidden/>
              </w:rPr>
              <w:t>65</w:t>
            </w:r>
            <w:r w:rsidR="00FB3E93">
              <w:rPr>
                <w:noProof/>
                <w:webHidden/>
              </w:rPr>
              <w:fldChar w:fldCharType="end"/>
            </w:r>
          </w:hyperlink>
        </w:p>
        <w:p w14:paraId="0D6E8F21" w14:textId="328AE895" w:rsidR="00FB3E93" w:rsidRDefault="0049362F">
          <w:pPr>
            <w:pStyle w:val="TOC3"/>
            <w:rPr>
              <w:rFonts w:asciiTheme="minorHAnsi" w:eastAsiaTheme="minorEastAsia" w:hAnsiTheme="minorHAnsi"/>
              <w:noProof/>
              <w:lang w:eastAsia="it-IT"/>
            </w:rPr>
          </w:pPr>
          <w:hyperlink w:anchor="_Toc64619524" w:history="1">
            <w:r w:rsidR="00FB3E93" w:rsidRPr="00E90B20">
              <w:rPr>
                <w:rStyle w:val="Hyperlink"/>
                <w:noProof/>
                <w14:scene3d>
                  <w14:camera w14:prst="orthographicFront"/>
                  <w14:lightRig w14:rig="threePt" w14:dir="t">
                    <w14:rot w14:lat="0" w14:lon="0" w14:rev="0"/>
                  </w14:lightRig>
                </w14:scene3d>
              </w:rPr>
              <w:t>2.1.6.</w:t>
            </w:r>
            <w:r w:rsidR="00FB3E93">
              <w:rPr>
                <w:rFonts w:asciiTheme="minorHAnsi" w:eastAsiaTheme="minorEastAsia" w:hAnsiTheme="minorHAnsi"/>
                <w:noProof/>
                <w:lang w:eastAsia="it-IT"/>
              </w:rPr>
              <w:tab/>
            </w:r>
            <w:r w:rsidR="00FB3E93" w:rsidRPr="00E90B20">
              <w:rPr>
                <w:rStyle w:val="Hyperlink"/>
                <w:noProof/>
              </w:rPr>
              <w:t>SWOT Analysis: Main territorial characteristics, demographic potential and socio-cultural capital</w:t>
            </w:r>
            <w:r w:rsidR="00FB3E93">
              <w:rPr>
                <w:noProof/>
                <w:webHidden/>
              </w:rPr>
              <w:tab/>
            </w:r>
            <w:r w:rsidR="00FB3E93">
              <w:rPr>
                <w:noProof/>
                <w:webHidden/>
              </w:rPr>
              <w:fldChar w:fldCharType="begin"/>
            </w:r>
            <w:r w:rsidR="00FB3E93">
              <w:rPr>
                <w:noProof/>
                <w:webHidden/>
              </w:rPr>
              <w:instrText xml:space="preserve"> PAGEREF _Toc64619524 \h </w:instrText>
            </w:r>
            <w:r w:rsidR="00FB3E93">
              <w:rPr>
                <w:noProof/>
                <w:webHidden/>
              </w:rPr>
            </w:r>
            <w:r w:rsidR="00FB3E93">
              <w:rPr>
                <w:noProof/>
                <w:webHidden/>
              </w:rPr>
              <w:fldChar w:fldCharType="separate"/>
            </w:r>
            <w:r w:rsidR="004A5488">
              <w:rPr>
                <w:noProof/>
                <w:webHidden/>
              </w:rPr>
              <w:t>68</w:t>
            </w:r>
            <w:r w:rsidR="00FB3E93">
              <w:rPr>
                <w:noProof/>
                <w:webHidden/>
              </w:rPr>
              <w:fldChar w:fldCharType="end"/>
            </w:r>
          </w:hyperlink>
        </w:p>
        <w:p w14:paraId="6575A08E" w14:textId="28961F59" w:rsidR="00FB3E93" w:rsidRDefault="0049362F">
          <w:pPr>
            <w:pStyle w:val="TOC2"/>
            <w:rPr>
              <w:rFonts w:asciiTheme="minorHAnsi" w:eastAsiaTheme="minorEastAsia" w:hAnsiTheme="minorHAnsi"/>
              <w:b w:val="0"/>
              <w:bCs w:val="0"/>
              <w:lang w:eastAsia="it-IT"/>
            </w:rPr>
          </w:pPr>
          <w:hyperlink w:anchor="_Toc64619525" w:history="1">
            <w:r w:rsidR="00FB3E93" w:rsidRPr="00E90B20">
              <w:rPr>
                <w:rStyle w:val="Hyperlink"/>
                <w14:scene3d>
                  <w14:camera w14:prst="orthographicFront"/>
                  <w14:lightRig w14:rig="threePt" w14:dir="t">
                    <w14:rot w14:lat="0" w14:lon="0" w14:rev="0"/>
                  </w14:lightRig>
                </w14:scene3d>
              </w:rPr>
              <w:t>2.2.</w:t>
            </w:r>
            <w:r w:rsidR="00FB3E93">
              <w:rPr>
                <w:rFonts w:asciiTheme="minorHAnsi" w:eastAsiaTheme="minorEastAsia" w:hAnsiTheme="minorHAnsi"/>
                <w:b w:val="0"/>
                <w:bCs w:val="0"/>
                <w:lang w:eastAsia="it-IT"/>
              </w:rPr>
              <w:tab/>
            </w:r>
            <w:r w:rsidR="00FB3E93" w:rsidRPr="00E90B20">
              <w:rPr>
                <w:rStyle w:val="Hyperlink"/>
              </w:rPr>
              <w:t>Human capital, education, health and social services</w:t>
            </w:r>
            <w:r w:rsidR="00FB3E93">
              <w:rPr>
                <w:webHidden/>
              </w:rPr>
              <w:tab/>
            </w:r>
            <w:r w:rsidR="00FB3E93">
              <w:rPr>
                <w:webHidden/>
              </w:rPr>
              <w:fldChar w:fldCharType="begin"/>
            </w:r>
            <w:r w:rsidR="00FB3E93">
              <w:rPr>
                <w:webHidden/>
              </w:rPr>
              <w:instrText xml:space="preserve"> PAGEREF _Toc64619525 \h </w:instrText>
            </w:r>
            <w:r w:rsidR="00FB3E93">
              <w:rPr>
                <w:webHidden/>
              </w:rPr>
            </w:r>
            <w:r w:rsidR="00FB3E93">
              <w:rPr>
                <w:webHidden/>
              </w:rPr>
              <w:fldChar w:fldCharType="separate"/>
            </w:r>
            <w:r w:rsidR="004A5488">
              <w:rPr>
                <w:webHidden/>
              </w:rPr>
              <w:t>70</w:t>
            </w:r>
            <w:r w:rsidR="00FB3E93">
              <w:rPr>
                <w:webHidden/>
              </w:rPr>
              <w:fldChar w:fldCharType="end"/>
            </w:r>
          </w:hyperlink>
        </w:p>
        <w:p w14:paraId="6C9D50EF" w14:textId="707CD71B" w:rsidR="00FB3E93" w:rsidRDefault="0049362F">
          <w:pPr>
            <w:pStyle w:val="TOC3"/>
            <w:rPr>
              <w:rFonts w:asciiTheme="minorHAnsi" w:eastAsiaTheme="minorEastAsia" w:hAnsiTheme="minorHAnsi"/>
              <w:noProof/>
              <w:lang w:eastAsia="it-IT"/>
            </w:rPr>
          </w:pPr>
          <w:hyperlink w:anchor="_Toc64619526" w:history="1">
            <w:r w:rsidR="00FB3E93" w:rsidRPr="00E90B20">
              <w:rPr>
                <w:rStyle w:val="Hyperlink"/>
                <w:noProof/>
                <w14:scene3d>
                  <w14:camera w14:prst="orthographicFront"/>
                  <w14:lightRig w14:rig="threePt" w14:dir="t">
                    <w14:rot w14:lat="0" w14:lon="0" w14:rev="0"/>
                  </w14:lightRig>
                </w14:scene3d>
              </w:rPr>
              <w:t>2.2.1.</w:t>
            </w:r>
            <w:r w:rsidR="00FB3E93">
              <w:rPr>
                <w:rFonts w:asciiTheme="minorHAnsi" w:eastAsiaTheme="minorEastAsia" w:hAnsiTheme="minorHAnsi"/>
                <w:noProof/>
                <w:lang w:eastAsia="it-IT"/>
              </w:rPr>
              <w:tab/>
            </w:r>
            <w:r w:rsidR="00FB3E93" w:rsidRPr="00E90B20">
              <w:rPr>
                <w:rStyle w:val="Hyperlink"/>
                <w:noProof/>
              </w:rPr>
              <w:t>Education</w:t>
            </w:r>
            <w:r w:rsidR="00FB3E93">
              <w:rPr>
                <w:noProof/>
                <w:webHidden/>
              </w:rPr>
              <w:tab/>
            </w:r>
            <w:r w:rsidR="00FB3E93">
              <w:rPr>
                <w:noProof/>
                <w:webHidden/>
              </w:rPr>
              <w:fldChar w:fldCharType="begin"/>
            </w:r>
            <w:r w:rsidR="00FB3E93">
              <w:rPr>
                <w:noProof/>
                <w:webHidden/>
              </w:rPr>
              <w:instrText xml:space="preserve"> PAGEREF _Toc64619526 \h </w:instrText>
            </w:r>
            <w:r w:rsidR="00FB3E93">
              <w:rPr>
                <w:noProof/>
                <w:webHidden/>
              </w:rPr>
            </w:r>
            <w:r w:rsidR="00FB3E93">
              <w:rPr>
                <w:noProof/>
                <w:webHidden/>
              </w:rPr>
              <w:fldChar w:fldCharType="separate"/>
            </w:r>
            <w:r w:rsidR="004A5488">
              <w:rPr>
                <w:noProof/>
                <w:webHidden/>
              </w:rPr>
              <w:t>70</w:t>
            </w:r>
            <w:r w:rsidR="00FB3E93">
              <w:rPr>
                <w:noProof/>
                <w:webHidden/>
              </w:rPr>
              <w:fldChar w:fldCharType="end"/>
            </w:r>
          </w:hyperlink>
        </w:p>
        <w:p w14:paraId="6A36C97F" w14:textId="622D2B8F" w:rsidR="00FB3E93" w:rsidRDefault="0049362F">
          <w:pPr>
            <w:pStyle w:val="TOC3"/>
            <w:rPr>
              <w:rFonts w:asciiTheme="minorHAnsi" w:eastAsiaTheme="minorEastAsia" w:hAnsiTheme="minorHAnsi"/>
              <w:noProof/>
              <w:lang w:eastAsia="it-IT"/>
            </w:rPr>
          </w:pPr>
          <w:hyperlink w:anchor="_Toc64619527" w:history="1">
            <w:r w:rsidR="00FB3E93" w:rsidRPr="00E90B20">
              <w:rPr>
                <w:rStyle w:val="Hyperlink"/>
                <w:noProof/>
                <w14:scene3d>
                  <w14:camera w14:prst="orthographicFront"/>
                  <w14:lightRig w14:rig="threePt" w14:dir="t">
                    <w14:rot w14:lat="0" w14:lon="0" w14:rev="0"/>
                  </w14:lightRig>
                </w14:scene3d>
              </w:rPr>
              <w:t>2.2.2.</w:t>
            </w:r>
            <w:r w:rsidR="00FB3E93">
              <w:rPr>
                <w:rFonts w:asciiTheme="minorHAnsi" w:eastAsiaTheme="minorEastAsia" w:hAnsiTheme="minorHAnsi"/>
                <w:noProof/>
                <w:lang w:eastAsia="it-IT"/>
              </w:rPr>
              <w:tab/>
            </w:r>
            <w:r w:rsidR="00FB3E93" w:rsidRPr="00E90B20">
              <w:rPr>
                <w:rStyle w:val="Hyperlink"/>
                <w:noProof/>
              </w:rPr>
              <w:t>Health</w:t>
            </w:r>
            <w:r w:rsidR="00FB3E93">
              <w:rPr>
                <w:noProof/>
                <w:webHidden/>
              </w:rPr>
              <w:tab/>
            </w:r>
            <w:r w:rsidR="00FB3E93">
              <w:rPr>
                <w:noProof/>
                <w:webHidden/>
              </w:rPr>
              <w:fldChar w:fldCharType="begin"/>
            </w:r>
            <w:r w:rsidR="00FB3E93">
              <w:rPr>
                <w:noProof/>
                <w:webHidden/>
              </w:rPr>
              <w:instrText xml:space="preserve"> PAGEREF _Toc64619527 \h </w:instrText>
            </w:r>
            <w:r w:rsidR="00FB3E93">
              <w:rPr>
                <w:noProof/>
                <w:webHidden/>
              </w:rPr>
            </w:r>
            <w:r w:rsidR="00FB3E93">
              <w:rPr>
                <w:noProof/>
                <w:webHidden/>
              </w:rPr>
              <w:fldChar w:fldCharType="separate"/>
            </w:r>
            <w:r w:rsidR="004A5488">
              <w:rPr>
                <w:noProof/>
                <w:webHidden/>
              </w:rPr>
              <w:t>76</w:t>
            </w:r>
            <w:r w:rsidR="00FB3E93">
              <w:rPr>
                <w:noProof/>
                <w:webHidden/>
              </w:rPr>
              <w:fldChar w:fldCharType="end"/>
            </w:r>
          </w:hyperlink>
        </w:p>
        <w:p w14:paraId="52DD03E6" w14:textId="46A649F3" w:rsidR="00FB3E93" w:rsidRDefault="0049362F">
          <w:pPr>
            <w:pStyle w:val="TOC3"/>
            <w:rPr>
              <w:rFonts w:asciiTheme="minorHAnsi" w:eastAsiaTheme="minorEastAsia" w:hAnsiTheme="minorHAnsi"/>
              <w:noProof/>
              <w:lang w:eastAsia="it-IT"/>
            </w:rPr>
          </w:pPr>
          <w:hyperlink w:anchor="_Toc64619528" w:history="1">
            <w:r w:rsidR="00FB3E93" w:rsidRPr="00E90B20">
              <w:rPr>
                <w:rStyle w:val="Hyperlink"/>
                <w:noProof/>
                <w14:scene3d>
                  <w14:camera w14:prst="orthographicFront"/>
                  <w14:lightRig w14:rig="threePt" w14:dir="t">
                    <w14:rot w14:lat="0" w14:lon="0" w14:rev="0"/>
                  </w14:lightRig>
                </w14:scene3d>
              </w:rPr>
              <w:t>2.2.3.</w:t>
            </w:r>
            <w:r w:rsidR="00FB3E93">
              <w:rPr>
                <w:rFonts w:asciiTheme="minorHAnsi" w:eastAsiaTheme="minorEastAsia" w:hAnsiTheme="minorHAnsi"/>
                <w:noProof/>
                <w:lang w:eastAsia="it-IT"/>
              </w:rPr>
              <w:tab/>
            </w:r>
            <w:r w:rsidR="00FB3E93" w:rsidRPr="00E90B20">
              <w:rPr>
                <w:rStyle w:val="Hyperlink"/>
                <w:noProof/>
              </w:rPr>
              <w:t>Distribution of health and education public functions</w:t>
            </w:r>
            <w:r w:rsidR="00FB3E93">
              <w:rPr>
                <w:noProof/>
                <w:webHidden/>
              </w:rPr>
              <w:tab/>
            </w:r>
            <w:r w:rsidR="00FB3E93">
              <w:rPr>
                <w:noProof/>
                <w:webHidden/>
              </w:rPr>
              <w:fldChar w:fldCharType="begin"/>
            </w:r>
            <w:r w:rsidR="00FB3E93">
              <w:rPr>
                <w:noProof/>
                <w:webHidden/>
              </w:rPr>
              <w:instrText xml:space="preserve"> PAGEREF _Toc64619528 \h </w:instrText>
            </w:r>
            <w:r w:rsidR="00FB3E93">
              <w:rPr>
                <w:noProof/>
                <w:webHidden/>
              </w:rPr>
            </w:r>
            <w:r w:rsidR="00FB3E93">
              <w:rPr>
                <w:noProof/>
                <w:webHidden/>
              </w:rPr>
              <w:fldChar w:fldCharType="separate"/>
            </w:r>
            <w:r w:rsidR="004A5488">
              <w:rPr>
                <w:noProof/>
                <w:webHidden/>
              </w:rPr>
              <w:t>78</w:t>
            </w:r>
            <w:r w:rsidR="00FB3E93">
              <w:rPr>
                <w:noProof/>
                <w:webHidden/>
              </w:rPr>
              <w:fldChar w:fldCharType="end"/>
            </w:r>
          </w:hyperlink>
        </w:p>
        <w:p w14:paraId="03EB6494" w14:textId="001715AE" w:rsidR="00FB3E93" w:rsidRDefault="0049362F">
          <w:pPr>
            <w:pStyle w:val="TOC3"/>
            <w:rPr>
              <w:rFonts w:asciiTheme="minorHAnsi" w:eastAsiaTheme="minorEastAsia" w:hAnsiTheme="minorHAnsi"/>
              <w:noProof/>
              <w:lang w:eastAsia="it-IT"/>
            </w:rPr>
          </w:pPr>
          <w:hyperlink w:anchor="_Toc64619529" w:history="1">
            <w:r w:rsidR="00FB3E93" w:rsidRPr="00E90B20">
              <w:rPr>
                <w:rStyle w:val="Hyperlink"/>
                <w:noProof/>
                <w14:scene3d>
                  <w14:camera w14:prst="orthographicFront"/>
                  <w14:lightRig w14:rig="threePt" w14:dir="t">
                    <w14:rot w14:lat="0" w14:lon="0" w14:rev="0"/>
                  </w14:lightRig>
                </w14:scene3d>
              </w:rPr>
              <w:t>2.2.4.</w:t>
            </w:r>
            <w:r w:rsidR="00FB3E93">
              <w:rPr>
                <w:rFonts w:asciiTheme="minorHAnsi" w:eastAsiaTheme="minorEastAsia" w:hAnsiTheme="minorHAnsi"/>
                <w:noProof/>
                <w:lang w:eastAsia="it-IT"/>
              </w:rPr>
              <w:tab/>
            </w:r>
            <w:r w:rsidR="00FB3E93" w:rsidRPr="00E90B20">
              <w:rPr>
                <w:rStyle w:val="Hyperlink"/>
                <w:noProof/>
              </w:rPr>
              <w:t>Poverty, social protection and social inclusion</w:t>
            </w:r>
            <w:r w:rsidR="00FB3E93">
              <w:rPr>
                <w:noProof/>
                <w:webHidden/>
              </w:rPr>
              <w:tab/>
            </w:r>
            <w:r w:rsidR="00FB3E93">
              <w:rPr>
                <w:noProof/>
                <w:webHidden/>
              </w:rPr>
              <w:fldChar w:fldCharType="begin"/>
            </w:r>
            <w:r w:rsidR="00FB3E93">
              <w:rPr>
                <w:noProof/>
                <w:webHidden/>
              </w:rPr>
              <w:instrText xml:space="preserve"> PAGEREF _Toc64619529 \h </w:instrText>
            </w:r>
            <w:r w:rsidR="00FB3E93">
              <w:rPr>
                <w:noProof/>
                <w:webHidden/>
              </w:rPr>
            </w:r>
            <w:r w:rsidR="00FB3E93">
              <w:rPr>
                <w:noProof/>
                <w:webHidden/>
              </w:rPr>
              <w:fldChar w:fldCharType="separate"/>
            </w:r>
            <w:r w:rsidR="004A5488">
              <w:rPr>
                <w:noProof/>
                <w:webHidden/>
              </w:rPr>
              <w:t>82</w:t>
            </w:r>
            <w:r w:rsidR="00FB3E93">
              <w:rPr>
                <w:noProof/>
                <w:webHidden/>
              </w:rPr>
              <w:fldChar w:fldCharType="end"/>
            </w:r>
          </w:hyperlink>
        </w:p>
        <w:p w14:paraId="787E22F5" w14:textId="687D1B40" w:rsidR="00FB3E93" w:rsidRDefault="0049362F">
          <w:pPr>
            <w:pStyle w:val="TOC3"/>
            <w:rPr>
              <w:rFonts w:asciiTheme="minorHAnsi" w:eastAsiaTheme="minorEastAsia" w:hAnsiTheme="minorHAnsi"/>
              <w:noProof/>
              <w:lang w:eastAsia="it-IT"/>
            </w:rPr>
          </w:pPr>
          <w:hyperlink w:anchor="_Toc64619530" w:history="1">
            <w:r w:rsidR="00FB3E93" w:rsidRPr="00E90B20">
              <w:rPr>
                <w:rStyle w:val="Hyperlink"/>
                <w:noProof/>
                <w14:scene3d>
                  <w14:camera w14:prst="orthographicFront"/>
                  <w14:lightRig w14:rig="threePt" w14:dir="t">
                    <w14:rot w14:lat="0" w14:lon="0" w14:rev="0"/>
                  </w14:lightRig>
                </w14:scene3d>
              </w:rPr>
              <w:t>2.2.5.</w:t>
            </w:r>
            <w:r w:rsidR="00FB3E93">
              <w:rPr>
                <w:rFonts w:asciiTheme="minorHAnsi" w:eastAsiaTheme="minorEastAsia" w:hAnsiTheme="minorHAnsi"/>
                <w:noProof/>
                <w:lang w:eastAsia="it-IT"/>
              </w:rPr>
              <w:tab/>
            </w:r>
            <w:r w:rsidR="00FB3E93" w:rsidRPr="00E90B20">
              <w:rPr>
                <w:rStyle w:val="Hyperlink"/>
                <w:noProof/>
              </w:rPr>
              <w:t>Labour resources</w:t>
            </w:r>
            <w:r w:rsidR="00FB3E93">
              <w:rPr>
                <w:noProof/>
                <w:webHidden/>
              </w:rPr>
              <w:tab/>
            </w:r>
            <w:r w:rsidR="00FB3E93">
              <w:rPr>
                <w:noProof/>
                <w:webHidden/>
              </w:rPr>
              <w:fldChar w:fldCharType="begin"/>
            </w:r>
            <w:r w:rsidR="00FB3E93">
              <w:rPr>
                <w:noProof/>
                <w:webHidden/>
              </w:rPr>
              <w:instrText xml:space="preserve"> PAGEREF _Toc64619530 \h </w:instrText>
            </w:r>
            <w:r w:rsidR="00FB3E93">
              <w:rPr>
                <w:noProof/>
                <w:webHidden/>
              </w:rPr>
            </w:r>
            <w:r w:rsidR="00FB3E93">
              <w:rPr>
                <w:noProof/>
                <w:webHidden/>
              </w:rPr>
              <w:fldChar w:fldCharType="separate"/>
            </w:r>
            <w:r w:rsidR="004A5488">
              <w:rPr>
                <w:noProof/>
                <w:webHidden/>
              </w:rPr>
              <w:t>84</w:t>
            </w:r>
            <w:r w:rsidR="00FB3E93">
              <w:rPr>
                <w:noProof/>
                <w:webHidden/>
              </w:rPr>
              <w:fldChar w:fldCharType="end"/>
            </w:r>
          </w:hyperlink>
        </w:p>
        <w:p w14:paraId="1A0FFCC1" w14:textId="1C2BD790" w:rsidR="00FB3E93" w:rsidRDefault="0049362F">
          <w:pPr>
            <w:pStyle w:val="TOC3"/>
            <w:rPr>
              <w:rFonts w:asciiTheme="minorHAnsi" w:eastAsiaTheme="minorEastAsia" w:hAnsiTheme="minorHAnsi"/>
              <w:noProof/>
              <w:lang w:eastAsia="it-IT"/>
            </w:rPr>
          </w:pPr>
          <w:hyperlink w:anchor="_Toc64619531" w:history="1">
            <w:r w:rsidR="00FB3E93" w:rsidRPr="00E90B20">
              <w:rPr>
                <w:rStyle w:val="Hyperlink"/>
                <w:noProof/>
                <w14:scene3d>
                  <w14:camera w14:prst="orthographicFront"/>
                  <w14:lightRig w14:rig="threePt" w14:dir="t">
                    <w14:rot w14:lat="0" w14:lon="0" w14:rev="0"/>
                  </w14:lightRig>
                </w14:scene3d>
              </w:rPr>
              <w:t>2.2.6.</w:t>
            </w:r>
            <w:r w:rsidR="00FB3E93">
              <w:rPr>
                <w:rFonts w:asciiTheme="minorHAnsi" w:eastAsiaTheme="minorEastAsia" w:hAnsiTheme="minorHAnsi"/>
                <w:noProof/>
                <w:lang w:eastAsia="it-IT"/>
              </w:rPr>
              <w:tab/>
            </w:r>
            <w:r w:rsidR="00FB3E93" w:rsidRPr="00E90B20">
              <w:rPr>
                <w:rStyle w:val="Hyperlink"/>
                <w:noProof/>
              </w:rPr>
              <w:t>Conclusions on the performance of services and human capital</w:t>
            </w:r>
            <w:r w:rsidR="00FB3E93">
              <w:rPr>
                <w:noProof/>
                <w:webHidden/>
              </w:rPr>
              <w:tab/>
            </w:r>
            <w:r w:rsidR="00FB3E93">
              <w:rPr>
                <w:noProof/>
                <w:webHidden/>
              </w:rPr>
              <w:fldChar w:fldCharType="begin"/>
            </w:r>
            <w:r w:rsidR="00FB3E93">
              <w:rPr>
                <w:noProof/>
                <w:webHidden/>
              </w:rPr>
              <w:instrText xml:space="preserve"> PAGEREF _Toc64619531 \h </w:instrText>
            </w:r>
            <w:r w:rsidR="00FB3E93">
              <w:rPr>
                <w:noProof/>
                <w:webHidden/>
              </w:rPr>
            </w:r>
            <w:r w:rsidR="00FB3E93">
              <w:rPr>
                <w:noProof/>
                <w:webHidden/>
              </w:rPr>
              <w:fldChar w:fldCharType="separate"/>
            </w:r>
            <w:r w:rsidR="004A5488">
              <w:rPr>
                <w:noProof/>
                <w:webHidden/>
              </w:rPr>
              <w:t>89</w:t>
            </w:r>
            <w:r w:rsidR="00FB3E93">
              <w:rPr>
                <w:noProof/>
                <w:webHidden/>
              </w:rPr>
              <w:fldChar w:fldCharType="end"/>
            </w:r>
          </w:hyperlink>
        </w:p>
        <w:p w14:paraId="72603361" w14:textId="2D1DABA8" w:rsidR="00FB3E93" w:rsidRDefault="0049362F">
          <w:pPr>
            <w:pStyle w:val="TOC3"/>
            <w:rPr>
              <w:rFonts w:asciiTheme="minorHAnsi" w:eastAsiaTheme="minorEastAsia" w:hAnsiTheme="minorHAnsi"/>
              <w:noProof/>
              <w:lang w:eastAsia="it-IT"/>
            </w:rPr>
          </w:pPr>
          <w:hyperlink w:anchor="_Toc64619532" w:history="1">
            <w:r w:rsidR="00FB3E93" w:rsidRPr="00E90B20">
              <w:rPr>
                <w:rStyle w:val="Hyperlink"/>
                <w:noProof/>
                <w14:scene3d>
                  <w14:camera w14:prst="orthographicFront"/>
                  <w14:lightRig w14:rig="threePt" w14:dir="t">
                    <w14:rot w14:lat="0" w14:lon="0" w14:rev="0"/>
                  </w14:lightRig>
                </w14:scene3d>
              </w:rPr>
              <w:t>2.2.7.</w:t>
            </w:r>
            <w:r w:rsidR="00FB3E93">
              <w:rPr>
                <w:rFonts w:asciiTheme="minorHAnsi" w:eastAsiaTheme="minorEastAsia" w:hAnsiTheme="minorHAnsi"/>
                <w:noProof/>
                <w:lang w:eastAsia="it-IT"/>
              </w:rPr>
              <w:tab/>
            </w:r>
            <w:r w:rsidR="00FB3E93" w:rsidRPr="00E90B20">
              <w:rPr>
                <w:rStyle w:val="Hyperlink"/>
                <w:noProof/>
              </w:rPr>
              <w:t>SWOT Analysis: human capital, education, health and social services</w:t>
            </w:r>
            <w:r w:rsidR="00FB3E93">
              <w:rPr>
                <w:noProof/>
                <w:webHidden/>
              </w:rPr>
              <w:tab/>
            </w:r>
            <w:r w:rsidR="00FB3E93">
              <w:rPr>
                <w:noProof/>
                <w:webHidden/>
              </w:rPr>
              <w:fldChar w:fldCharType="begin"/>
            </w:r>
            <w:r w:rsidR="00FB3E93">
              <w:rPr>
                <w:noProof/>
                <w:webHidden/>
              </w:rPr>
              <w:instrText xml:space="preserve"> PAGEREF _Toc64619532 \h </w:instrText>
            </w:r>
            <w:r w:rsidR="00FB3E93">
              <w:rPr>
                <w:noProof/>
                <w:webHidden/>
              </w:rPr>
            </w:r>
            <w:r w:rsidR="00FB3E93">
              <w:rPr>
                <w:noProof/>
                <w:webHidden/>
              </w:rPr>
              <w:fldChar w:fldCharType="separate"/>
            </w:r>
            <w:r w:rsidR="004A5488">
              <w:rPr>
                <w:noProof/>
                <w:webHidden/>
              </w:rPr>
              <w:t>92</w:t>
            </w:r>
            <w:r w:rsidR="00FB3E93">
              <w:rPr>
                <w:noProof/>
                <w:webHidden/>
              </w:rPr>
              <w:fldChar w:fldCharType="end"/>
            </w:r>
          </w:hyperlink>
        </w:p>
        <w:p w14:paraId="6FA00413" w14:textId="69315BC3" w:rsidR="00FB3E93" w:rsidRDefault="0049362F">
          <w:pPr>
            <w:pStyle w:val="TOC2"/>
            <w:rPr>
              <w:rFonts w:asciiTheme="minorHAnsi" w:eastAsiaTheme="minorEastAsia" w:hAnsiTheme="minorHAnsi"/>
              <w:b w:val="0"/>
              <w:bCs w:val="0"/>
              <w:lang w:eastAsia="it-IT"/>
            </w:rPr>
          </w:pPr>
          <w:hyperlink w:anchor="_Toc64619533" w:history="1">
            <w:r w:rsidR="00FB3E93" w:rsidRPr="00E90B20">
              <w:rPr>
                <w:rStyle w:val="Hyperlink"/>
                <w14:scene3d>
                  <w14:camera w14:prst="orthographicFront"/>
                  <w14:lightRig w14:rig="threePt" w14:dir="t">
                    <w14:rot w14:lat="0" w14:lon="0" w14:rev="0"/>
                  </w14:lightRig>
                </w14:scene3d>
              </w:rPr>
              <w:t>2.3.</w:t>
            </w:r>
            <w:r w:rsidR="00FB3E93">
              <w:rPr>
                <w:rFonts w:asciiTheme="minorHAnsi" w:eastAsiaTheme="minorEastAsia" w:hAnsiTheme="minorHAnsi"/>
                <w:b w:val="0"/>
                <w:bCs w:val="0"/>
                <w:lang w:eastAsia="it-IT"/>
              </w:rPr>
              <w:tab/>
            </w:r>
            <w:r w:rsidR="00FB3E93" w:rsidRPr="00E90B20">
              <w:rPr>
                <w:rStyle w:val="Hyperlink"/>
              </w:rPr>
              <w:t>Economic potential</w:t>
            </w:r>
            <w:r w:rsidR="00FB3E93">
              <w:rPr>
                <w:webHidden/>
              </w:rPr>
              <w:tab/>
            </w:r>
            <w:r w:rsidR="00FB3E93">
              <w:rPr>
                <w:webHidden/>
              </w:rPr>
              <w:fldChar w:fldCharType="begin"/>
            </w:r>
            <w:r w:rsidR="00FB3E93">
              <w:rPr>
                <w:webHidden/>
              </w:rPr>
              <w:instrText xml:space="preserve"> PAGEREF _Toc64619533 \h </w:instrText>
            </w:r>
            <w:r w:rsidR="00FB3E93">
              <w:rPr>
                <w:webHidden/>
              </w:rPr>
            </w:r>
            <w:r w:rsidR="00FB3E93">
              <w:rPr>
                <w:webHidden/>
              </w:rPr>
              <w:fldChar w:fldCharType="separate"/>
            </w:r>
            <w:r w:rsidR="004A5488">
              <w:rPr>
                <w:webHidden/>
              </w:rPr>
              <w:t>96</w:t>
            </w:r>
            <w:r w:rsidR="00FB3E93">
              <w:rPr>
                <w:webHidden/>
              </w:rPr>
              <w:fldChar w:fldCharType="end"/>
            </w:r>
          </w:hyperlink>
        </w:p>
        <w:p w14:paraId="68C94636" w14:textId="215472BA" w:rsidR="00FB3E93" w:rsidRDefault="0049362F">
          <w:pPr>
            <w:pStyle w:val="TOC3"/>
            <w:rPr>
              <w:rFonts w:asciiTheme="minorHAnsi" w:eastAsiaTheme="minorEastAsia" w:hAnsiTheme="minorHAnsi"/>
              <w:noProof/>
              <w:lang w:eastAsia="it-IT"/>
            </w:rPr>
          </w:pPr>
          <w:hyperlink w:anchor="_Toc64619534" w:history="1">
            <w:r w:rsidR="00FB3E93" w:rsidRPr="00E90B20">
              <w:rPr>
                <w:rStyle w:val="Hyperlink"/>
                <w:noProof/>
                <w14:scene3d>
                  <w14:camera w14:prst="orthographicFront"/>
                  <w14:lightRig w14:rig="threePt" w14:dir="t">
                    <w14:rot w14:lat="0" w14:lon="0" w14:rev="0"/>
                  </w14:lightRig>
                </w14:scene3d>
              </w:rPr>
              <w:t>2.3.1.</w:t>
            </w:r>
            <w:r w:rsidR="00FB3E93">
              <w:rPr>
                <w:rFonts w:asciiTheme="minorHAnsi" w:eastAsiaTheme="minorEastAsia" w:hAnsiTheme="minorHAnsi"/>
                <w:noProof/>
                <w:lang w:eastAsia="it-IT"/>
              </w:rPr>
              <w:tab/>
            </w:r>
            <w:r w:rsidR="00FB3E93" w:rsidRPr="00E90B20">
              <w:rPr>
                <w:rStyle w:val="Hyperlink"/>
                <w:noProof/>
              </w:rPr>
              <w:t>Overview of regional performance</w:t>
            </w:r>
            <w:r w:rsidR="00FB3E93">
              <w:rPr>
                <w:noProof/>
                <w:webHidden/>
              </w:rPr>
              <w:tab/>
            </w:r>
            <w:r w:rsidR="00FB3E93">
              <w:rPr>
                <w:noProof/>
                <w:webHidden/>
              </w:rPr>
              <w:fldChar w:fldCharType="begin"/>
            </w:r>
            <w:r w:rsidR="00FB3E93">
              <w:rPr>
                <w:noProof/>
                <w:webHidden/>
              </w:rPr>
              <w:instrText xml:space="preserve"> PAGEREF _Toc64619534 \h </w:instrText>
            </w:r>
            <w:r w:rsidR="00FB3E93">
              <w:rPr>
                <w:noProof/>
                <w:webHidden/>
              </w:rPr>
            </w:r>
            <w:r w:rsidR="00FB3E93">
              <w:rPr>
                <w:noProof/>
                <w:webHidden/>
              </w:rPr>
              <w:fldChar w:fldCharType="separate"/>
            </w:r>
            <w:r w:rsidR="004A5488">
              <w:rPr>
                <w:noProof/>
                <w:webHidden/>
              </w:rPr>
              <w:t>96</w:t>
            </w:r>
            <w:r w:rsidR="00FB3E93">
              <w:rPr>
                <w:noProof/>
                <w:webHidden/>
              </w:rPr>
              <w:fldChar w:fldCharType="end"/>
            </w:r>
          </w:hyperlink>
        </w:p>
        <w:p w14:paraId="0C976275" w14:textId="0B56B6B8" w:rsidR="00FB3E93" w:rsidRDefault="0049362F">
          <w:pPr>
            <w:pStyle w:val="TOC3"/>
            <w:rPr>
              <w:rFonts w:asciiTheme="minorHAnsi" w:eastAsiaTheme="minorEastAsia" w:hAnsiTheme="minorHAnsi"/>
              <w:noProof/>
              <w:lang w:eastAsia="it-IT"/>
            </w:rPr>
          </w:pPr>
          <w:hyperlink w:anchor="_Toc64619535" w:history="1">
            <w:r w:rsidR="00FB3E93" w:rsidRPr="00E90B20">
              <w:rPr>
                <w:rStyle w:val="Hyperlink"/>
                <w:noProof/>
                <w14:scene3d>
                  <w14:camera w14:prst="orthographicFront"/>
                  <w14:lightRig w14:rig="threePt" w14:dir="t">
                    <w14:rot w14:lat="0" w14:lon="0" w14:rev="0"/>
                  </w14:lightRig>
                </w14:scene3d>
              </w:rPr>
              <w:t>2.3.2.</w:t>
            </w:r>
            <w:r w:rsidR="00FB3E93">
              <w:rPr>
                <w:rFonts w:asciiTheme="minorHAnsi" w:eastAsiaTheme="minorEastAsia" w:hAnsiTheme="minorHAnsi"/>
                <w:noProof/>
                <w:lang w:eastAsia="it-IT"/>
              </w:rPr>
              <w:tab/>
            </w:r>
            <w:r w:rsidR="00FB3E93" w:rsidRPr="00E90B20">
              <w:rPr>
                <w:rStyle w:val="Hyperlink"/>
                <w:noProof/>
              </w:rPr>
              <w:t>Main economic indicators</w:t>
            </w:r>
            <w:r w:rsidR="00FB3E93">
              <w:rPr>
                <w:noProof/>
                <w:webHidden/>
              </w:rPr>
              <w:tab/>
            </w:r>
            <w:r w:rsidR="00FB3E93">
              <w:rPr>
                <w:noProof/>
                <w:webHidden/>
              </w:rPr>
              <w:fldChar w:fldCharType="begin"/>
            </w:r>
            <w:r w:rsidR="00FB3E93">
              <w:rPr>
                <w:noProof/>
                <w:webHidden/>
              </w:rPr>
              <w:instrText xml:space="preserve"> PAGEREF _Toc64619535 \h </w:instrText>
            </w:r>
            <w:r w:rsidR="00FB3E93">
              <w:rPr>
                <w:noProof/>
                <w:webHidden/>
              </w:rPr>
            </w:r>
            <w:r w:rsidR="00FB3E93">
              <w:rPr>
                <w:noProof/>
                <w:webHidden/>
              </w:rPr>
              <w:fldChar w:fldCharType="separate"/>
            </w:r>
            <w:r w:rsidR="004A5488">
              <w:rPr>
                <w:noProof/>
                <w:webHidden/>
              </w:rPr>
              <w:t>97</w:t>
            </w:r>
            <w:r w:rsidR="00FB3E93">
              <w:rPr>
                <w:noProof/>
                <w:webHidden/>
              </w:rPr>
              <w:fldChar w:fldCharType="end"/>
            </w:r>
          </w:hyperlink>
        </w:p>
        <w:p w14:paraId="26A8D801" w14:textId="36BEA355" w:rsidR="00FB3E93" w:rsidRDefault="0049362F">
          <w:pPr>
            <w:pStyle w:val="TOC3"/>
            <w:rPr>
              <w:rFonts w:asciiTheme="minorHAnsi" w:eastAsiaTheme="minorEastAsia" w:hAnsiTheme="minorHAnsi"/>
              <w:noProof/>
              <w:lang w:eastAsia="it-IT"/>
            </w:rPr>
          </w:pPr>
          <w:hyperlink w:anchor="_Toc64619536" w:history="1">
            <w:r w:rsidR="00FB3E93" w:rsidRPr="00E90B20">
              <w:rPr>
                <w:rStyle w:val="Hyperlink"/>
                <w:noProof/>
                <w14:scene3d>
                  <w14:camera w14:prst="orthographicFront"/>
                  <w14:lightRig w14:rig="threePt" w14:dir="t">
                    <w14:rot w14:lat="0" w14:lon="0" w14:rev="0"/>
                  </w14:lightRig>
                </w14:scene3d>
              </w:rPr>
              <w:t>2.3.3.</w:t>
            </w:r>
            <w:r w:rsidR="00FB3E93">
              <w:rPr>
                <w:rFonts w:asciiTheme="minorHAnsi" w:eastAsiaTheme="minorEastAsia" w:hAnsiTheme="minorHAnsi"/>
                <w:noProof/>
                <w:lang w:eastAsia="it-IT"/>
              </w:rPr>
              <w:tab/>
            </w:r>
            <w:r w:rsidR="00FB3E93" w:rsidRPr="00E90B20">
              <w:rPr>
                <w:rStyle w:val="Hyperlink"/>
                <w:noProof/>
              </w:rPr>
              <w:t>Economic sectors</w:t>
            </w:r>
            <w:r w:rsidR="00FB3E93">
              <w:rPr>
                <w:noProof/>
                <w:webHidden/>
              </w:rPr>
              <w:tab/>
            </w:r>
            <w:r w:rsidR="00FB3E93">
              <w:rPr>
                <w:noProof/>
                <w:webHidden/>
              </w:rPr>
              <w:fldChar w:fldCharType="begin"/>
            </w:r>
            <w:r w:rsidR="00FB3E93">
              <w:rPr>
                <w:noProof/>
                <w:webHidden/>
              </w:rPr>
              <w:instrText xml:space="preserve"> PAGEREF _Toc64619536 \h </w:instrText>
            </w:r>
            <w:r w:rsidR="00FB3E93">
              <w:rPr>
                <w:noProof/>
                <w:webHidden/>
              </w:rPr>
            </w:r>
            <w:r w:rsidR="00FB3E93">
              <w:rPr>
                <w:noProof/>
                <w:webHidden/>
              </w:rPr>
              <w:fldChar w:fldCharType="separate"/>
            </w:r>
            <w:r w:rsidR="004A5488">
              <w:rPr>
                <w:noProof/>
                <w:webHidden/>
              </w:rPr>
              <w:t>103</w:t>
            </w:r>
            <w:r w:rsidR="00FB3E93">
              <w:rPr>
                <w:noProof/>
                <w:webHidden/>
              </w:rPr>
              <w:fldChar w:fldCharType="end"/>
            </w:r>
          </w:hyperlink>
        </w:p>
        <w:p w14:paraId="36736C5D" w14:textId="65015D99" w:rsidR="00FB3E93" w:rsidRDefault="0049362F">
          <w:pPr>
            <w:pStyle w:val="TOC3"/>
            <w:rPr>
              <w:rFonts w:asciiTheme="minorHAnsi" w:eastAsiaTheme="minorEastAsia" w:hAnsiTheme="minorHAnsi"/>
              <w:noProof/>
              <w:lang w:eastAsia="it-IT"/>
            </w:rPr>
          </w:pPr>
          <w:hyperlink w:anchor="_Toc64619537" w:history="1">
            <w:r w:rsidR="00FB3E93" w:rsidRPr="00E90B20">
              <w:rPr>
                <w:rStyle w:val="Hyperlink"/>
                <w:noProof/>
              </w:rPr>
              <w:t>2.3.3.1.</w:t>
            </w:r>
            <w:r w:rsidR="00FB3E93">
              <w:rPr>
                <w:rFonts w:asciiTheme="minorHAnsi" w:eastAsiaTheme="minorEastAsia" w:hAnsiTheme="minorHAnsi"/>
                <w:noProof/>
                <w:lang w:eastAsia="it-IT"/>
              </w:rPr>
              <w:tab/>
            </w:r>
            <w:r w:rsidR="00FB3E93" w:rsidRPr="00E90B20">
              <w:rPr>
                <w:rStyle w:val="Hyperlink"/>
                <w:noProof/>
              </w:rPr>
              <w:t>Primary sector</w:t>
            </w:r>
            <w:r w:rsidR="00FB3E93">
              <w:rPr>
                <w:noProof/>
                <w:webHidden/>
              </w:rPr>
              <w:tab/>
            </w:r>
            <w:r w:rsidR="00FB3E93">
              <w:rPr>
                <w:noProof/>
                <w:webHidden/>
              </w:rPr>
              <w:fldChar w:fldCharType="begin"/>
            </w:r>
            <w:r w:rsidR="00FB3E93">
              <w:rPr>
                <w:noProof/>
                <w:webHidden/>
              </w:rPr>
              <w:instrText xml:space="preserve"> PAGEREF _Toc64619537 \h </w:instrText>
            </w:r>
            <w:r w:rsidR="00FB3E93">
              <w:rPr>
                <w:noProof/>
                <w:webHidden/>
              </w:rPr>
            </w:r>
            <w:r w:rsidR="00FB3E93">
              <w:rPr>
                <w:noProof/>
                <w:webHidden/>
              </w:rPr>
              <w:fldChar w:fldCharType="separate"/>
            </w:r>
            <w:r w:rsidR="004A5488">
              <w:rPr>
                <w:noProof/>
                <w:webHidden/>
              </w:rPr>
              <w:t>103</w:t>
            </w:r>
            <w:r w:rsidR="00FB3E93">
              <w:rPr>
                <w:noProof/>
                <w:webHidden/>
              </w:rPr>
              <w:fldChar w:fldCharType="end"/>
            </w:r>
          </w:hyperlink>
        </w:p>
        <w:p w14:paraId="05110900" w14:textId="7F9328F5" w:rsidR="00FB3E93" w:rsidRDefault="0049362F">
          <w:pPr>
            <w:pStyle w:val="TOC3"/>
            <w:rPr>
              <w:rFonts w:asciiTheme="minorHAnsi" w:eastAsiaTheme="minorEastAsia" w:hAnsiTheme="minorHAnsi"/>
              <w:noProof/>
              <w:lang w:eastAsia="it-IT"/>
            </w:rPr>
          </w:pPr>
          <w:hyperlink w:anchor="_Toc64619538" w:history="1">
            <w:r w:rsidR="00FB3E93" w:rsidRPr="00E90B20">
              <w:rPr>
                <w:rStyle w:val="Hyperlink"/>
                <w:noProof/>
              </w:rPr>
              <w:t>2.3.3.2.</w:t>
            </w:r>
            <w:r w:rsidR="00FB3E93">
              <w:rPr>
                <w:rFonts w:asciiTheme="minorHAnsi" w:eastAsiaTheme="minorEastAsia" w:hAnsiTheme="minorHAnsi"/>
                <w:noProof/>
                <w:lang w:eastAsia="it-IT"/>
              </w:rPr>
              <w:tab/>
            </w:r>
            <w:r w:rsidR="00FB3E93" w:rsidRPr="00E90B20">
              <w:rPr>
                <w:rStyle w:val="Hyperlink"/>
                <w:noProof/>
              </w:rPr>
              <w:t>Enterprises activities</w:t>
            </w:r>
            <w:r w:rsidR="00FB3E93">
              <w:rPr>
                <w:noProof/>
                <w:webHidden/>
              </w:rPr>
              <w:tab/>
            </w:r>
            <w:r w:rsidR="00FB3E93">
              <w:rPr>
                <w:noProof/>
                <w:webHidden/>
              </w:rPr>
              <w:fldChar w:fldCharType="begin"/>
            </w:r>
            <w:r w:rsidR="00FB3E93">
              <w:rPr>
                <w:noProof/>
                <w:webHidden/>
              </w:rPr>
              <w:instrText xml:space="preserve"> PAGEREF _Toc64619538 \h </w:instrText>
            </w:r>
            <w:r w:rsidR="00FB3E93">
              <w:rPr>
                <w:noProof/>
                <w:webHidden/>
              </w:rPr>
            </w:r>
            <w:r w:rsidR="00FB3E93">
              <w:rPr>
                <w:noProof/>
                <w:webHidden/>
              </w:rPr>
              <w:fldChar w:fldCharType="separate"/>
            </w:r>
            <w:r w:rsidR="004A5488">
              <w:rPr>
                <w:noProof/>
                <w:webHidden/>
              </w:rPr>
              <w:t>104</w:t>
            </w:r>
            <w:r w:rsidR="00FB3E93">
              <w:rPr>
                <w:noProof/>
                <w:webHidden/>
              </w:rPr>
              <w:fldChar w:fldCharType="end"/>
            </w:r>
          </w:hyperlink>
        </w:p>
        <w:p w14:paraId="7992F6F9" w14:textId="33F506C5" w:rsidR="00FB3E93" w:rsidRDefault="0049362F">
          <w:pPr>
            <w:pStyle w:val="TOC3"/>
            <w:rPr>
              <w:rFonts w:asciiTheme="minorHAnsi" w:eastAsiaTheme="minorEastAsia" w:hAnsiTheme="minorHAnsi"/>
              <w:noProof/>
              <w:lang w:eastAsia="it-IT"/>
            </w:rPr>
          </w:pPr>
          <w:hyperlink w:anchor="_Toc64619539" w:history="1">
            <w:r w:rsidR="00FB3E93" w:rsidRPr="00E90B20">
              <w:rPr>
                <w:rStyle w:val="Hyperlink"/>
                <w:noProof/>
              </w:rPr>
              <w:t>2.3.3.3.</w:t>
            </w:r>
            <w:r w:rsidR="00FB3E93">
              <w:rPr>
                <w:rFonts w:asciiTheme="minorHAnsi" w:eastAsiaTheme="minorEastAsia" w:hAnsiTheme="minorHAnsi"/>
                <w:noProof/>
                <w:lang w:eastAsia="it-IT"/>
              </w:rPr>
              <w:tab/>
            </w:r>
            <w:r w:rsidR="00FB3E93" w:rsidRPr="00E90B20">
              <w:rPr>
                <w:rStyle w:val="Hyperlink"/>
                <w:noProof/>
              </w:rPr>
              <w:t>Tourism and hospitality industry</w:t>
            </w:r>
            <w:r w:rsidR="00FB3E93">
              <w:rPr>
                <w:noProof/>
                <w:webHidden/>
              </w:rPr>
              <w:tab/>
            </w:r>
            <w:r w:rsidR="00FB3E93">
              <w:rPr>
                <w:noProof/>
                <w:webHidden/>
              </w:rPr>
              <w:fldChar w:fldCharType="begin"/>
            </w:r>
            <w:r w:rsidR="00FB3E93">
              <w:rPr>
                <w:noProof/>
                <w:webHidden/>
              </w:rPr>
              <w:instrText xml:space="preserve"> PAGEREF _Toc64619539 \h </w:instrText>
            </w:r>
            <w:r w:rsidR="00FB3E93">
              <w:rPr>
                <w:noProof/>
                <w:webHidden/>
              </w:rPr>
            </w:r>
            <w:r w:rsidR="00FB3E93">
              <w:rPr>
                <w:noProof/>
                <w:webHidden/>
              </w:rPr>
              <w:fldChar w:fldCharType="separate"/>
            </w:r>
            <w:r w:rsidR="004A5488">
              <w:rPr>
                <w:noProof/>
                <w:webHidden/>
              </w:rPr>
              <w:t>108</w:t>
            </w:r>
            <w:r w:rsidR="00FB3E93">
              <w:rPr>
                <w:noProof/>
                <w:webHidden/>
              </w:rPr>
              <w:fldChar w:fldCharType="end"/>
            </w:r>
          </w:hyperlink>
        </w:p>
        <w:p w14:paraId="1619B495" w14:textId="56CAF086" w:rsidR="00FB3E93" w:rsidRDefault="0049362F">
          <w:pPr>
            <w:pStyle w:val="TOC3"/>
            <w:rPr>
              <w:rFonts w:asciiTheme="minorHAnsi" w:eastAsiaTheme="minorEastAsia" w:hAnsiTheme="minorHAnsi"/>
              <w:noProof/>
              <w:lang w:eastAsia="it-IT"/>
            </w:rPr>
          </w:pPr>
          <w:hyperlink w:anchor="_Toc64619540" w:history="1">
            <w:r w:rsidR="00FB3E93" w:rsidRPr="00E90B20">
              <w:rPr>
                <w:rStyle w:val="Hyperlink"/>
                <w:noProof/>
              </w:rPr>
              <w:t>2.3.3.4.</w:t>
            </w:r>
            <w:r w:rsidR="00FB3E93">
              <w:rPr>
                <w:rFonts w:asciiTheme="minorHAnsi" w:eastAsiaTheme="minorEastAsia" w:hAnsiTheme="minorHAnsi"/>
                <w:noProof/>
                <w:lang w:eastAsia="it-IT"/>
              </w:rPr>
              <w:tab/>
            </w:r>
            <w:r w:rsidR="00FB3E93" w:rsidRPr="00E90B20">
              <w:rPr>
                <w:rStyle w:val="Hyperlink"/>
                <w:noProof/>
              </w:rPr>
              <w:t>Research and innovation</w:t>
            </w:r>
            <w:r w:rsidR="00FB3E93">
              <w:rPr>
                <w:noProof/>
                <w:webHidden/>
              </w:rPr>
              <w:tab/>
            </w:r>
            <w:r w:rsidR="00FB3E93">
              <w:rPr>
                <w:noProof/>
                <w:webHidden/>
              </w:rPr>
              <w:fldChar w:fldCharType="begin"/>
            </w:r>
            <w:r w:rsidR="00FB3E93">
              <w:rPr>
                <w:noProof/>
                <w:webHidden/>
              </w:rPr>
              <w:instrText xml:space="preserve"> PAGEREF _Toc64619540 \h </w:instrText>
            </w:r>
            <w:r w:rsidR="00FB3E93">
              <w:rPr>
                <w:noProof/>
                <w:webHidden/>
              </w:rPr>
            </w:r>
            <w:r w:rsidR="00FB3E93">
              <w:rPr>
                <w:noProof/>
                <w:webHidden/>
              </w:rPr>
              <w:fldChar w:fldCharType="separate"/>
            </w:r>
            <w:r w:rsidR="004A5488">
              <w:rPr>
                <w:noProof/>
                <w:webHidden/>
              </w:rPr>
              <w:t>112</w:t>
            </w:r>
            <w:r w:rsidR="00FB3E93">
              <w:rPr>
                <w:noProof/>
                <w:webHidden/>
              </w:rPr>
              <w:fldChar w:fldCharType="end"/>
            </w:r>
          </w:hyperlink>
        </w:p>
        <w:p w14:paraId="733170FF" w14:textId="49B87A24" w:rsidR="00FB3E93" w:rsidRDefault="0049362F">
          <w:pPr>
            <w:pStyle w:val="TOC3"/>
            <w:rPr>
              <w:rFonts w:asciiTheme="minorHAnsi" w:eastAsiaTheme="minorEastAsia" w:hAnsiTheme="minorHAnsi"/>
              <w:noProof/>
              <w:lang w:eastAsia="it-IT"/>
            </w:rPr>
          </w:pPr>
          <w:hyperlink w:anchor="_Toc64619541" w:history="1">
            <w:r w:rsidR="00FB3E93" w:rsidRPr="00E90B20">
              <w:rPr>
                <w:rStyle w:val="Hyperlink"/>
                <w:noProof/>
              </w:rPr>
              <w:t>2.3.3.5.</w:t>
            </w:r>
            <w:r w:rsidR="00FB3E93">
              <w:rPr>
                <w:rFonts w:asciiTheme="minorHAnsi" w:eastAsiaTheme="minorEastAsia" w:hAnsiTheme="minorHAnsi"/>
                <w:noProof/>
                <w:lang w:eastAsia="it-IT"/>
              </w:rPr>
              <w:tab/>
            </w:r>
            <w:r w:rsidR="00FB3E93" w:rsidRPr="00E90B20">
              <w:rPr>
                <w:rStyle w:val="Hyperlink"/>
                <w:noProof/>
              </w:rPr>
              <w:t>Business support systems</w:t>
            </w:r>
            <w:r w:rsidR="00FB3E93">
              <w:rPr>
                <w:noProof/>
                <w:webHidden/>
              </w:rPr>
              <w:tab/>
            </w:r>
            <w:r w:rsidR="00FB3E93">
              <w:rPr>
                <w:noProof/>
                <w:webHidden/>
              </w:rPr>
              <w:fldChar w:fldCharType="begin"/>
            </w:r>
            <w:r w:rsidR="00FB3E93">
              <w:rPr>
                <w:noProof/>
                <w:webHidden/>
              </w:rPr>
              <w:instrText xml:space="preserve"> PAGEREF _Toc64619541 \h </w:instrText>
            </w:r>
            <w:r w:rsidR="00FB3E93">
              <w:rPr>
                <w:noProof/>
                <w:webHidden/>
              </w:rPr>
            </w:r>
            <w:r w:rsidR="00FB3E93">
              <w:rPr>
                <w:noProof/>
                <w:webHidden/>
              </w:rPr>
              <w:fldChar w:fldCharType="separate"/>
            </w:r>
            <w:r w:rsidR="004A5488">
              <w:rPr>
                <w:noProof/>
                <w:webHidden/>
              </w:rPr>
              <w:t>115</w:t>
            </w:r>
            <w:r w:rsidR="00FB3E93">
              <w:rPr>
                <w:noProof/>
                <w:webHidden/>
              </w:rPr>
              <w:fldChar w:fldCharType="end"/>
            </w:r>
          </w:hyperlink>
        </w:p>
        <w:p w14:paraId="4AC8E1AB" w14:textId="26465C8E" w:rsidR="00FB3E93" w:rsidRDefault="0049362F">
          <w:pPr>
            <w:pStyle w:val="TOC3"/>
            <w:rPr>
              <w:rFonts w:asciiTheme="minorHAnsi" w:eastAsiaTheme="minorEastAsia" w:hAnsiTheme="minorHAnsi"/>
              <w:noProof/>
              <w:lang w:eastAsia="it-IT"/>
            </w:rPr>
          </w:pPr>
          <w:hyperlink w:anchor="_Toc64619542" w:history="1">
            <w:r w:rsidR="00FB3E93" w:rsidRPr="00E90B20">
              <w:rPr>
                <w:rStyle w:val="Hyperlink"/>
                <w:noProof/>
                <w14:scene3d>
                  <w14:camera w14:prst="orthographicFront"/>
                  <w14:lightRig w14:rig="threePt" w14:dir="t">
                    <w14:rot w14:lat="0" w14:lon="0" w14:rev="0"/>
                  </w14:lightRig>
                </w14:scene3d>
              </w:rPr>
              <w:t>2.3.4.</w:t>
            </w:r>
            <w:r w:rsidR="00FB3E93">
              <w:rPr>
                <w:rFonts w:asciiTheme="minorHAnsi" w:eastAsiaTheme="minorEastAsia" w:hAnsiTheme="minorHAnsi"/>
                <w:noProof/>
                <w:lang w:eastAsia="it-IT"/>
              </w:rPr>
              <w:tab/>
            </w:r>
            <w:r w:rsidR="00FB3E93" w:rsidRPr="00E90B20">
              <w:rPr>
                <w:rStyle w:val="Hyperlink"/>
                <w:noProof/>
              </w:rPr>
              <w:t>Conclusions</w:t>
            </w:r>
            <w:r w:rsidR="00FB3E93">
              <w:rPr>
                <w:noProof/>
                <w:webHidden/>
              </w:rPr>
              <w:tab/>
            </w:r>
            <w:r w:rsidR="00FB3E93">
              <w:rPr>
                <w:noProof/>
                <w:webHidden/>
              </w:rPr>
              <w:fldChar w:fldCharType="begin"/>
            </w:r>
            <w:r w:rsidR="00FB3E93">
              <w:rPr>
                <w:noProof/>
                <w:webHidden/>
              </w:rPr>
              <w:instrText xml:space="preserve"> PAGEREF _Toc64619542 \h </w:instrText>
            </w:r>
            <w:r w:rsidR="00FB3E93">
              <w:rPr>
                <w:noProof/>
                <w:webHidden/>
              </w:rPr>
            </w:r>
            <w:r w:rsidR="00FB3E93">
              <w:rPr>
                <w:noProof/>
                <w:webHidden/>
              </w:rPr>
              <w:fldChar w:fldCharType="separate"/>
            </w:r>
            <w:r w:rsidR="004A5488">
              <w:rPr>
                <w:noProof/>
                <w:webHidden/>
              </w:rPr>
              <w:t>118</w:t>
            </w:r>
            <w:r w:rsidR="00FB3E93">
              <w:rPr>
                <w:noProof/>
                <w:webHidden/>
              </w:rPr>
              <w:fldChar w:fldCharType="end"/>
            </w:r>
          </w:hyperlink>
        </w:p>
        <w:p w14:paraId="178640DA" w14:textId="6D2C6469" w:rsidR="00FB3E93" w:rsidRDefault="0049362F">
          <w:pPr>
            <w:pStyle w:val="TOC3"/>
            <w:rPr>
              <w:rFonts w:asciiTheme="minorHAnsi" w:eastAsiaTheme="minorEastAsia" w:hAnsiTheme="minorHAnsi"/>
              <w:noProof/>
              <w:lang w:eastAsia="it-IT"/>
            </w:rPr>
          </w:pPr>
          <w:hyperlink w:anchor="_Toc64619543" w:history="1">
            <w:r w:rsidR="00FB3E93" w:rsidRPr="00E90B20">
              <w:rPr>
                <w:rStyle w:val="Hyperlink"/>
                <w:noProof/>
                <w14:scene3d>
                  <w14:camera w14:prst="orthographicFront"/>
                  <w14:lightRig w14:rig="threePt" w14:dir="t">
                    <w14:rot w14:lat="0" w14:lon="0" w14:rev="0"/>
                  </w14:lightRig>
                </w14:scene3d>
              </w:rPr>
              <w:t>2.3.5.</w:t>
            </w:r>
            <w:r w:rsidR="00FB3E93">
              <w:rPr>
                <w:rFonts w:asciiTheme="minorHAnsi" w:eastAsiaTheme="minorEastAsia" w:hAnsiTheme="minorHAnsi"/>
                <w:noProof/>
                <w:lang w:eastAsia="it-IT"/>
              </w:rPr>
              <w:tab/>
            </w:r>
            <w:r w:rsidR="00FB3E93" w:rsidRPr="00E90B20">
              <w:rPr>
                <w:rStyle w:val="Hyperlink"/>
                <w:noProof/>
              </w:rPr>
              <w:t>SWOT Analysis: Economic potential</w:t>
            </w:r>
            <w:r w:rsidR="00FB3E93">
              <w:rPr>
                <w:noProof/>
                <w:webHidden/>
              </w:rPr>
              <w:tab/>
            </w:r>
            <w:r w:rsidR="00FB3E93">
              <w:rPr>
                <w:noProof/>
                <w:webHidden/>
              </w:rPr>
              <w:fldChar w:fldCharType="begin"/>
            </w:r>
            <w:r w:rsidR="00FB3E93">
              <w:rPr>
                <w:noProof/>
                <w:webHidden/>
              </w:rPr>
              <w:instrText xml:space="preserve"> PAGEREF _Toc64619543 \h </w:instrText>
            </w:r>
            <w:r w:rsidR="00FB3E93">
              <w:rPr>
                <w:noProof/>
                <w:webHidden/>
              </w:rPr>
            </w:r>
            <w:r w:rsidR="00FB3E93">
              <w:rPr>
                <w:noProof/>
                <w:webHidden/>
              </w:rPr>
              <w:fldChar w:fldCharType="separate"/>
            </w:r>
            <w:r w:rsidR="004A5488">
              <w:rPr>
                <w:noProof/>
                <w:webHidden/>
              </w:rPr>
              <w:t>121</w:t>
            </w:r>
            <w:r w:rsidR="00FB3E93">
              <w:rPr>
                <w:noProof/>
                <w:webHidden/>
              </w:rPr>
              <w:fldChar w:fldCharType="end"/>
            </w:r>
          </w:hyperlink>
        </w:p>
        <w:p w14:paraId="1472BBF9" w14:textId="20B0152B" w:rsidR="00FB3E93" w:rsidRDefault="0049362F">
          <w:pPr>
            <w:pStyle w:val="TOC2"/>
            <w:rPr>
              <w:rFonts w:asciiTheme="minorHAnsi" w:eastAsiaTheme="minorEastAsia" w:hAnsiTheme="minorHAnsi"/>
              <w:b w:val="0"/>
              <w:bCs w:val="0"/>
              <w:lang w:eastAsia="it-IT"/>
            </w:rPr>
          </w:pPr>
          <w:hyperlink w:anchor="_Toc64619544" w:history="1">
            <w:r w:rsidR="00FB3E93" w:rsidRPr="00E90B20">
              <w:rPr>
                <w:rStyle w:val="Hyperlink"/>
                <w14:scene3d>
                  <w14:camera w14:prst="orthographicFront"/>
                  <w14:lightRig w14:rig="threePt" w14:dir="t">
                    <w14:rot w14:lat="0" w14:lon="0" w14:rev="0"/>
                  </w14:lightRig>
                </w14:scene3d>
              </w:rPr>
              <w:t>2.4.</w:t>
            </w:r>
            <w:r w:rsidR="00FB3E93">
              <w:rPr>
                <w:rFonts w:asciiTheme="minorHAnsi" w:eastAsiaTheme="minorEastAsia" w:hAnsiTheme="minorHAnsi"/>
                <w:b w:val="0"/>
                <w:bCs w:val="0"/>
                <w:lang w:eastAsia="it-IT"/>
              </w:rPr>
              <w:tab/>
            </w:r>
            <w:r w:rsidR="00FB3E93" w:rsidRPr="00E90B20">
              <w:rPr>
                <w:rStyle w:val="Hyperlink"/>
              </w:rPr>
              <w:t>Environmental capital</w:t>
            </w:r>
            <w:r w:rsidR="00FB3E93">
              <w:rPr>
                <w:webHidden/>
              </w:rPr>
              <w:tab/>
            </w:r>
            <w:r w:rsidR="00FB3E93">
              <w:rPr>
                <w:webHidden/>
              </w:rPr>
              <w:fldChar w:fldCharType="begin"/>
            </w:r>
            <w:r w:rsidR="00FB3E93">
              <w:rPr>
                <w:webHidden/>
              </w:rPr>
              <w:instrText xml:space="preserve"> PAGEREF _Toc64619544 \h </w:instrText>
            </w:r>
            <w:r w:rsidR="00FB3E93">
              <w:rPr>
                <w:webHidden/>
              </w:rPr>
            </w:r>
            <w:r w:rsidR="00FB3E93">
              <w:rPr>
                <w:webHidden/>
              </w:rPr>
              <w:fldChar w:fldCharType="separate"/>
            </w:r>
            <w:r w:rsidR="004A5488">
              <w:rPr>
                <w:webHidden/>
              </w:rPr>
              <w:t>125</w:t>
            </w:r>
            <w:r w:rsidR="00FB3E93">
              <w:rPr>
                <w:webHidden/>
              </w:rPr>
              <w:fldChar w:fldCharType="end"/>
            </w:r>
          </w:hyperlink>
        </w:p>
        <w:p w14:paraId="10A1EB98" w14:textId="43CFEADB" w:rsidR="00FB3E93" w:rsidRDefault="0049362F">
          <w:pPr>
            <w:pStyle w:val="TOC3"/>
            <w:rPr>
              <w:rFonts w:asciiTheme="minorHAnsi" w:eastAsiaTheme="minorEastAsia" w:hAnsiTheme="minorHAnsi"/>
              <w:noProof/>
              <w:lang w:eastAsia="it-IT"/>
            </w:rPr>
          </w:pPr>
          <w:hyperlink w:anchor="_Toc64619545" w:history="1">
            <w:r w:rsidR="00FB3E93" w:rsidRPr="00E90B20">
              <w:rPr>
                <w:rStyle w:val="Hyperlink"/>
                <w:noProof/>
                <w14:scene3d>
                  <w14:camera w14:prst="orthographicFront"/>
                  <w14:lightRig w14:rig="threePt" w14:dir="t">
                    <w14:rot w14:lat="0" w14:lon="0" w14:rev="0"/>
                  </w14:lightRig>
                </w14:scene3d>
              </w:rPr>
              <w:t>2.4.1.</w:t>
            </w:r>
            <w:r w:rsidR="00FB3E93">
              <w:rPr>
                <w:rFonts w:asciiTheme="minorHAnsi" w:eastAsiaTheme="minorEastAsia" w:hAnsiTheme="minorHAnsi"/>
                <w:noProof/>
                <w:lang w:eastAsia="it-IT"/>
              </w:rPr>
              <w:tab/>
            </w:r>
            <w:r w:rsidR="00FB3E93" w:rsidRPr="00E90B20">
              <w:rPr>
                <w:rStyle w:val="Hyperlink"/>
                <w:noProof/>
              </w:rPr>
              <w:t>Environmental characteristics and factors</w:t>
            </w:r>
            <w:r w:rsidR="00FB3E93">
              <w:rPr>
                <w:noProof/>
                <w:webHidden/>
              </w:rPr>
              <w:tab/>
            </w:r>
            <w:r w:rsidR="00FB3E93">
              <w:rPr>
                <w:noProof/>
                <w:webHidden/>
              </w:rPr>
              <w:fldChar w:fldCharType="begin"/>
            </w:r>
            <w:r w:rsidR="00FB3E93">
              <w:rPr>
                <w:noProof/>
                <w:webHidden/>
              </w:rPr>
              <w:instrText xml:space="preserve"> PAGEREF _Toc64619545 \h </w:instrText>
            </w:r>
            <w:r w:rsidR="00FB3E93">
              <w:rPr>
                <w:noProof/>
                <w:webHidden/>
              </w:rPr>
            </w:r>
            <w:r w:rsidR="00FB3E93">
              <w:rPr>
                <w:noProof/>
                <w:webHidden/>
              </w:rPr>
              <w:fldChar w:fldCharType="separate"/>
            </w:r>
            <w:r w:rsidR="004A5488">
              <w:rPr>
                <w:noProof/>
                <w:webHidden/>
              </w:rPr>
              <w:t>125</w:t>
            </w:r>
            <w:r w:rsidR="00FB3E93">
              <w:rPr>
                <w:noProof/>
                <w:webHidden/>
              </w:rPr>
              <w:fldChar w:fldCharType="end"/>
            </w:r>
          </w:hyperlink>
        </w:p>
        <w:p w14:paraId="2ED7D92C" w14:textId="513C2FA3" w:rsidR="00FB3E93" w:rsidRDefault="0049362F">
          <w:pPr>
            <w:pStyle w:val="TOC3"/>
            <w:rPr>
              <w:rFonts w:asciiTheme="minorHAnsi" w:eastAsiaTheme="minorEastAsia" w:hAnsiTheme="minorHAnsi"/>
              <w:noProof/>
              <w:lang w:eastAsia="it-IT"/>
            </w:rPr>
          </w:pPr>
          <w:hyperlink w:anchor="_Toc64619546" w:history="1">
            <w:r w:rsidR="00FB3E93" w:rsidRPr="00E90B20">
              <w:rPr>
                <w:rStyle w:val="Hyperlink"/>
                <w:noProof/>
                <w14:scene3d>
                  <w14:camera w14:prst="orthographicFront"/>
                  <w14:lightRig w14:rig="threePt" w14:dir="t">
                    <w14:rot w14:lat="0" w14:lon="0" w14:rev="0"/>
                  </w14:lightRig>
                </w14:scene3d>
              </w:rPr>
              <w:t>2.4.2.</w:t>
            </w:r>
            <w:r w:rsidR="00FB3E93">
              <w:rPr>
                <w:rFonts w:asciiTheme="minorHAnsi" w:eastAsiaTheme="minorEastAsia" w:hAnsiTheme="minorHAnsi"/>
                <w:noProof/>
                <w:lang w:eastAsia="it-IT"/>
              </w:rPr>
              <w:tab/>
            </w:r>
            <w:r w:rsidR="00FB3E93" w:rsidRPr="00E90B20">
              <w:rPr>
                <w:rStyle w:val="Hyperlink"/>
                <w:noProof/>
              </w:rPr>
              <w:t>Environmental risks</w:t>
            </w:r>
            <w:r w:rsidR="00FB3E93">
              <w:rPr>
                <w:noProof/>
                <w:webHidden/>
              </w:rPr>
              <w:tab/>
            </w:r>
            <w:r w:rsidR="00FB3E93">
              <w:rPr>
                <w:noProof/>
                <w:webHidden/>
              </w:rPr>
              <w:fldChar w:fldCharType="begin"/>
            </w:r>
            <w:r w:rsidR="00FB3E93">
              <w:rPr>
                <w:noProof/>
                <w:webHidden/>
              </w:rPr>
              <w:instrText xml:space="preserve"> PAGEREF _Toc64619546 \h </w:instrText>
            </w:r>
            <w:r w:rsidR="00FB3E93">
              <w:rPr>
                <w:noProof/>
                <w:webHidden/>
              </w:rPr>
            </w:r>
            <w:r w:rsidR="00FB3E93">
              <w:rPr>
                <w:noProof/>
                <w:webHidden/>
              </w:rPr>
              <w:fldChar w:fldCharType="separate"/>
            </w:r>
            <w:r w:rsidR="004A5488">
              <w:rPr>
                <w:noProof/>
                <w:webHidden/>
              </w:rPr>
              <w:t>130</w:t>
            </w:r>
            <w:r w:rsidR="00FB3E93">
              <w:rPr>
                <w:noProof/>
                <w:webHidden/>
              </w:rPr>
              <w:fldChar w:fldCharType="end"/>
            </w:r>
          </w:hyperlink>
        </w:p>
        <w:p w14:paraId="29B3343E" w14:textId="2198A12E" w:rsidR="00FB3E93" w:rsidRDefault="0049362F">
          <w:pPr>
            <w:pStyle w:val="TOC3"/>
            <w:rPr>
              <w:rFonts w:asciiTheme="minorHAnsi" w:eastAsiaTheme="minorEastAsia" w:hAnsiTheme="minorHAnsi"/>
              <w:noProof/>
              <w:lang w:eastAsia="it-IT"/>
            </w:rPr>
          </w:pPr>
          <w:hyperlink w:anchor="_Toc64619547" w:history="1">
            <w:r w:rsidR="00FB3E93" w:rsidRPr="00E90B20">
              <w:rPr>
                <w:rStyle w:val="Hyperlink"/>
                <w:noProof/>
                <w14:scene3d>
                  <w14:camera w14:prst="orthographicFront"/>
                  <w14:lightRig w14:rig="threePt" w14:dir="t">
                    <w14:rot w14:lat="0" w14:lon="0" w14:rev="0"/>
                  </w14:lightRig>
                </w14:scene3d>
              </w:rPr>
              <w:t>2.4.3.</w:t>
            </w:r>
            <w:r w:rsidR="00FB3E93">
              <w:rPr>
                <w:rFonts w:asciiTheme="minorHAnsi" w:eastAsiaTheme="minorEastAsia" w:hAnsiTheme="minorHAnsi"/>
                <w:noProof/>
                <w:lang w:eastAsia="it-IT"/>
              </w:rPr>
              <w:tab/>
            </w:r>
            <w:r w:rsidR="00FB3E93" w:rsidRPr="00E90B20">
              <w:rPr>
                <w:rStyle w:val="Hyperlink"/>
                <w:noProof/>
              </w:rPr>
              <w:t>Environmental quality and climate change mitigation</w:t>
            </w:r>
            <w:r w:rsidR="00FB3E93">
              <w:rPr>
                <w:noProof/>
                <w:webHidden/>
              </w:rPr>
              <w:tab/>
            </w:r>
            <w:r w:rsidR="00FB3E93">
              <w:rPr>
                <w:noProof/>
                <w:webHidden/>
              </w:rPr>
              <w:fldChar w:fldCharType="begin"/>
            </w:r>
            <w:r w:rsidR="00FB3E93">
              <w:rPr>
                <w:noProof/>
                <w:webHidden/>
              </w:rPr>
              <w:instrText xml:space="preserve"> PAGEREF _Toc64619547 \h </w:instrText>
            </w:r>
            <w:r w:rsidR="00FB3E93">
              <w:rPr>
                <w:noProof/>
                <w:webHidden/>
              </w:rPr>
            </w:r>
            <w:r w:rsidR="00FB3E93">
              <w:rPr>
                <w:noProof/>
                <w:webHidden/>
              </w:rPr>
              <w:fldChar w:fldCharType="separate"/>
            </w:r>
            <w:r w:rsidR="004A5488">
              <w:rPr>
                <w:noProof/>
                <w:webHidden/>
              </w:rPr>
              <w:t>137</w:t>
            </w:r>
            <w:r w:rsidR="00FB3E93">
              <w:rPr>
                <w:noProof/>
                <w:webHidden/>
              </w:rPr>
              <w:fldChar w:fldCharType="end"/>
            </w:r>
          </w:hyperlink>
        </w:p>
        <w:p w14:paraId="5AE7FE65" w14:textId="13D6792B" w:rsidR="00FB3E93" w:rsidRDefault="0049362F">
          <w:pPr>
            <w:pStyle w:val="TOC3"/>
            <w:rPr>
              <w:rFonts w:asciiTheme="minorHAnsi" w:eastAsiaTheme="minorEastAsia" w:hAnsiTheme="minorHAnsi"/>
              <w:noProof/>
              <w:lang w:eastAsia="it-IT"/>
            </w:rPr>
          </w:pPr>
          <w:hyperlink w:anchor="_Toc64619548" w:history="1">
            <w:r w:rsidR="00FB3E93" w:rsidRPr="00E90B20">
              <w:rPr>
                <w:rStyle w:val="Hyperlink"/>
                <w:rFonts w:cs="Calibri"/>
                <w:noProof/>
                <w14:scene3d>
                  <w14:camera w14:prst="orthographicFront"/>
                  <w14:lightRig w14:rig="threePt" w14:dir="t">
                    <w14:rot w14:lat="0" w14:lon="0" w14:rev="0"/>
                  </w14:lightRig>
                </w14:scene3d>
              </w:rPr>
              <w:t>2.4.4.</w:t>
            </w:r>
            <w:r w:rsidR="00FB3E93">
              <w:rPr>
                <w:rFonts w:asciiTheme="minorHAnsi" w:eastAsiaTheme="minorEastAsia" w:hAnsiTheme="minorHAnsi"/>
                <w:noProof/>
                <w:lang w:eastAsia="it-IT"/>
              </w:rPr>
              <w:tab/>
            </w:r>
            <w:r w:rsidR="00FB3E93" w:rsidRPr="00E90B20">
              <w:rPr>
                <w:rStyle w:val="Hyperlink"/>
                <w:noProof/>
              </w:rPr>
              <w:t>Renewable energy</w:t>
            </w:r>
            <w:r w:rsidR="00FB3E93">
              <w:rPr>
                <w:noProof/>
                <w:webHidden/>
              </w:rPr>
              <w:tab/>
            </w:r>
            <w:r w:rsidR="00FB3E93">
              <w:rPr>
                <w:noProof/>
                <w:webHidden/>
              </w:rPr>
              <w:fldChar w:fldCharType="begin"/>
            </w:r>
            <w:r w:rsidR="00FB3E93">
              <w:rPr>
                <w:noProof/>
                <w:webHidden/>
              </w:rPr>
              <w:instrText xml:space="preserve"> PAGEREF _Toc64619548 \h </w:instrText>
            </w:r>
            <w:r w:rsidR="00FB3E93">
              <w:rPr>
                <w:noProof/>
                <w:webHidden/>
              </w:rPr>
            </w:r>
            <w:r w:rsidR="00FB3E93">
              <w:rPr>
                <w:noProof/>
                <w:webHidden/>
              </w:rPr>
              <w:fldChar w:fldCharType="separate"/>
            </w:r>
            <w:r w:rsidR="004A5488">
              <w:rPr>
                <w:noProof/>
                <w:webHidden/>
              </w:rPr>
              <w:t>148</w:t>
            </w:r>
            <w:r w:rsidR="00FB3E93">
              <w:rPr>
                <w:noProof/>
                <w:webHidden/>
              </w:rPr>
              <w:fldChar w:fldCharType="end"/>
            </w:r>
          </w:hyperlink>
        </w:p>
        <w:p w14:paraId="11175AA9" w14:textId="648AC1DB" w:rsidR="00FB3E93" w:rsidRDefault="0049362F">
          <w:pPr>
            <w:pStyle w:val="TOC3"/>
            <w:rPr>
              <w:rFonts w:asciiTheme="minorHAnsi" w:eastAsiaTheme="minorEastAsia" w:hAnsiTheme="minorHAnsi"/>
              <w:noProof/>
              <w:lang w:eastAsia="it-IT"/>
            </w:rPr>
          </w:pPr>
          <w:hyperlink w:anchor="_Toc64619549" w:history="1">
            <w:r w:rsidR="00FB3E93" w:rsidRPr="00E90B20">
              <w:rPr>
                <w:rStyle w:val="Hyperlink"/>
                <w:noProof/>
                <w14:scene3d>
                  <w14:camera w14:prst="orthographicFront"/>
                  <w14:lightRig w14:rig="threePt" w14:dir="t">
                    <w14:rot w14:lat="0" w14:lon="0" w14:rev="0"/>
                  </w14:lightRig>
                </w14:scene3d>
              </w:rPr>
              <w:t>2.4.5.</w:t>
            </w:r>
            <w:r w:rsidR="00FB3E93">
              <w:rPr>
                <w:rFonts w:asciiTheme="minorHAnsi" w:eastAsiaTheme="minorEastAsia" w:hAnsiTheme="minorHAnsi"/>
                <w:noProof/>
                <w:lang w:eastAsia="it-IT"/>
              </w:rPr>
              <w:tab/>
            </w:r>
            <w:r w:rsidR="00FB3E93" w:rsidRPr="00E90B20">
              <w:rPr>
                <w:rStyle w:val="Hyperlink"/>
                <w:noProof/>
              </w:rPr>
              <w:t>Natural heritage</w:t>
            </w:r>
            <w:r w:rsidR="00FB3E93">
              <w:rPr>
                <w:noProof/>
                <w:webHidden/>
              </w:rPr>
              <w:tab/>
            </w:r>
            <w:r w:rsidR="00FB3E93">
              <w:rPr>
                <w:noProof/>
                <w:webHidden/>
              </w:rPr>
              <w:fldChar w:fldCharType="begin"/>
            </w:r>
            <w:r w:rsidR="00FB3E93">
              <w:rPr>
                <w:noProof/>
                <w:webHidden/>
              </w:rPr>
              <w:instrText xml:space="preserve"> PAGEREF _Toc64619549 \h </w:instrText>
            </w:r>
            <w:r w:rsidR="00FB3E93">
              <w:rPr>
                <w:noProof/>
                <w:webHidden/>
              </w:rPr>
            </w:r>
            <w:r w:rsidR="00FB3E93">
              <w:rPr>
                <w:noProof/>
                <w:webHidden/>
              </w:rPr>
              <w:fldChar w:fldCharType="separate"/>
            </w:r>
            <w:r w:rsidR="004A5488">
              <w:rPr>
                <w:noProof/>
                <w:webHidden/>
              </w:rPr>
              <w:t>154</w:t>
            </w:r>
            <w:r w:rsidR="00FB3E93">
              <w:rPr>
                <w:noProof/>
                <w:webHidden/>
              </w:rPr>
              <w:fldChar w:fldCharType="end"/>
            </w:r>
          </w:hyperlink>
        </w:p>
        <w:p w14:paraId="47FDC36F" w14:textId="276FF1B9" w:rsidR="00FB3E93" w:rsidRDefault="0049362F">
          <w:pPr>
            <w:pStyle w:val="TOC3"/>
            <w:rPr>
              <w:rFonts w:asciiTheme="minorHAnsi" w:eastAsiaTheme="minorEastAsia" w:hAnsiTheme="minorHAnsi"/>
              <w:noProof/>
              <w:lang w:eastAsia="it-IT"/>
            </w:rPr>
          </w:pPr>
          <w:hyperlink w:anchor="_Toc64619550" w:history="1">
            <w:r w:rsidR="00FB3E93" w:rsidRPr="00E90B20">
              <w:rPr>
                <w:rStyle w:val="Hyperlink"/>
                <w:noProof/>
                <w14:scene3d>
                  <w14:camera w14:prst="orthographicFront"/>
                  <w14:lightRig w14:rig="threePt" w14:dir="t">
                    <w14:rot w14:lat="0" w14:lon="0" w14:rev="0"/>
                  </w14:lightRig>
                </w14:scene3d>
              </w:rPr>
              <w:t>2.4.6.</w:t>
            </w:r>
            <w:r w:rsidR="00FB3E93">
              <w:rPr>
                <w:rFonts w:asciiTheme="minorHAnsi" w:eastAsiaTheme="minorEastAsia" w:hAnsiTheme="minorHAnsi"/>
                <w:noProof/>
                <w:lang w:eastAsia="it-IT"/>
              </w:rPr>
              <w:tab/>
            </w:r>
            <w:r w:rsidR="00FB3E93" w:rsidRPr="00E90B20">
              <w:rPr>
                <w:rStyle w:val="Hyperlink"/>
                <w:noProof/>
              </w:rPr>
              <w:t>Conclusions on the environmental protection and capital</w:t>
            </w:r>
            <w:r w:rsidR="00FB3E93">
              <w:rPr>
                <w:noProof/>
                <w:webHidden/>
              </w:rPr>
              <w:tab/>
            </w:r>
            <w:r w:rsidR="00FB3E93">
              <w:rPr>
                <w:noProof/>
                <w:webHidden/>
              </w:rPr>
              <w:fldChar w:fldCharType="begin"/>
            </w:r>
            <w:r w:rsidR="00FB3E93">
              <w:rPr>
                <w:noProof/>
                <w:webHidden/>
              </w:rPr>
              <w:instrText xml:space="preserve"> PAGEREF _Toc64619550 \h </w:instrText>
            </w:r>
            <w:r w:rsidR="00FB3E93">
              <w:rPr>
                <w:noProof/>
                <w:webHidden/>
              </w:rPr>
            </w:r>
            <w:r w:rsidR="00FB3E93">
              <w:rPr>
                <w:noProof/>
                <w:webHidden/>
              </w:rPr>
              <w:fldChar w:fldCharType="separate"/>
            </w:r>
            <w:r w:rsidR="004A5488">
              <w:rPr>
                <w:noProof/>
                <w:webHidden/>
              </w:rPr>
              <w:t>160</w:t>
            </w:r>
            <w:r w:rsidR="00FB3E93">
              <w:rPr>
                <w:noProof/>
                <w:webHidden/>
              </w:rPr>
              <w:fldChar w:fldCharType="end"/>
            </w:r>
          </w:hyperlink>
        </w:p>
        <w:p w14:paraId="6D3F6272" w14:textId="42A2D6FE" w:rsidR="00FB3E93" w:rsidRDefault="0049362F">
          <w:pPr>
            <w:pStyle w:val="TOC3"/>
            <w:rPr>
              <w:rFonts w:asciiTheme="minorHAnsi" w:eastAsiaTheme="minorEastAsia" w:hAnsiTheme="minorHAnsi"/>
              <w:noProof/>
              <w:lang w:eastAsia="it-IT"/>
            </w:rPr>
          </w:pPr>
          <w:hyperlink w:anchor="_Toc64619551" w:history="1">
            <w:r w:rsidR="00FB3E93" w:rsidRPr="00E90B20">
              <w:rPr>
                <w:rStyle w:val="Hyperlink"/>
                <w:noProof/>
                <w14:scene3d>
                  <w14:camera w14:prst="orthographicFront"/>
                  <w14:lightRig w14:rig="threePt" w14:dir="t">
                    <w14:rot w14:lat="0" w14:lon="0" w14:rev="0"/>
                  </w14:lightRig>
                </w14:scene3d>
              </w:rPr>
              <w:t>2.4.7.</w:t>
            </w:r>
            <w:r w:rsidR="00FB3E93">
              <w:rPr>
                <w:rFonts w:asciiTheme="minorHAnsi" w:eastAsiaTheme="minorEastAsia" w:hAnsiTheme="minorHAnsi"/>
                <w:noProof/>
                <w:lang w:eastAsia="it-IT"/>
              </w:rPr>
              <w:tab/>
            </w:r>
            <w:r w:rsidR="00FB3E93" w:rsidRPr="00E90B20">
              <w:rPr>
                <w:rStyle w:val="Hyperlink"/>
                <w:noProof/>
              </w:rPr>
              <w:t>SWOT Analysis: Environmental Capital</w:t>
            </w:r>
            <w:r w:rsidR="00FB3E93">
              <w:rPr>
                <w:noProof/>
                <w:webHidden/>
              </w:rPr>
              <w:tab/>
            </w:r>
            <w:r w:rsidR="00FB3E93">
              <w:rPr>
                <w:noProof/>
                <w:webHidden/>
              </w:rPr>
              <w:fldChar w:fldCharType="begin"/>
            </w:r>
            <w:r w:rsidR="00FB3E93">
              <w:rPr>
                <w:noProof/>
                <w:webHidden/>
              </w:rPr>
              <w:instrText xml:space="preserve"> PAGEREF _Toc64619551 \h </w:instrText>
            </w:r>
            <w:r w:rsidR="00FB3E93">
              <w:rPr>
                <w:noProof/>
                <w:webHidden/>
              </w:rPr>
            </w:r>
            <w:r w:rsidR="00FB3E93">
              <w:rPr>
                <w:noProof/>
                <w:webHidden/>
              </w:rPr>
              <w:fldChar w:fldCharType="separate"/>
            </w:r>
            <w:r w:rsidR="004A5488">
              <w:rPr>
                <w:noProof/>
                <w:webHidden/>
              </w:rPr>
              <w:t>163</w:t>
            </w:r>
            <w:r w:rsidR="00FB3E93">
              <w:rPr>
                <w:noProof/>
                <w:webHidden/>
              </w:rPr>
              <w:fldChar w:fldCharType="end"/>
            </w:r>
          </w:hyperlink>
        </w:p>
        <w:p w14:paraId="33B0A98C" w14:textId="7280BF1C" w:rsidR="00FB3E93" w:rsidRDefault="0049362F">
          <w:pPr>
            <w:pStyle w:val="TOC2"/>
            <w:rPr>
              <w:rFonts w:asciiTheme="minorHAnsi" w:eastAsiaTheme="minorEastAsia" w:hAnsiTheme="minorHAnsi"/>
              <w:b w:val="0"/>
              <w:bCs w:val="0"/>
              <w:lang w:eastAsia="it-IT"/>
            </w:rPr>
          </w:pPr>
          <w:hyperlink w:anchor="_Toc64619552" w:history="1">
            <w:r w:rsidR="00FB3E93" w:rsidRPr="00E90B20">
              <w:rPr>
                <w:rStyle w:val="Hyperlink"/>
                <w14:scene3d>
                  <w14:camera w14:prst="orthographicFront"/>
                  <w14:lightRig w14:rig="threePt" w14:dir="t">
                    <w14:rot w14:lat="0" w14:lon="0" w14:rev="0"/>
                  </w14:lightRig>
                </w14:scene3d>
              </w:rPr>
              <w:t>2.5.</w:t>
            </w:r>
            <w:r w:rsidR="00FB3E93">
              <w:rPr>
                <w:rFonts w:asciiTheme="minorHAnsi" w:eastAsiaTheme="minorEastAsia" w:hAnsiTheme="minorHAnsi"/>
                <w:b w:val="0"/>
                <w:bCs w:val="0"/>
                <w:lang w:eastAsia="it-IT"/>
              </w:rPr>
              <w:tab/>
            </w:r>
            <w:r w:rsidR="00FB3E93" w:rsidRPr="00E90B20">
              <w:rPr>
                <w:rStyle w:val="Hyperlink"/>
              </w:rPr>
              <w:t>Infrastructural capital</w:t>
            </w:r>
            <w:r w:rsidR="00FB3E93">
              <w:rPr>
                <w:webHidden/>
              </w:rPr>
              <w:tab/>
            </w:r>
            <w:r w:rsidR="00FB3E93">
              <w:rPr>
                <w:webHidden/>
              </w:rPr>
              <w:fldChar w:fldCharType="begin"/>
            </w:r>
            <w:r w:rsidR="00FB3E93">
              <w:rPr>
                <w:webHidden/>
              </w:rPr>
              <w:instrText xml:space="preserve"> PAGEREF _Toc64619552 \h </w:instrText>
            </w:r>
            <w:r w:rsidR="00FB3E93">
              <w:rPr>
                <w:webHidden/>
              </w:rPr>
            </w:r>
            <w:r w:rsidR="00FB3E93">
              <w:rPr>
                <w:webHidden/>
              </w:rPr>
              <w:fldChar w:fldCharType="separate"/>
            </w:r>
            <w:r w:rsidR="004A5488">
              <w:rPr>
                <w:webHidden/>
              </w:rPr>
              <w:t>165</w:t>
            </w:r>
            <w:r w:rsidR="00FB3E93">
              <w:rPr>
                <w:webHidden/>
              </w:rPr>
              <w:fldChar w:fldCharType="end"/>
            </w:r>
          </w:hyperlink>
        </w:p>
        <w:p w14:paraId="1B653CB3" w14:textId="5F864C48" w:rsidR="00FB3E93" w:rsidRDefault="0049362F">
          <w:pPr>
            <w:pStyle w:val="TOC3"/>
            <w:rPr>
              <w:rFonts w:asciiTheme="minorHAnsi" w:eastAsiaTheme="minorEastAsia" w:hAnsiTheme="minorHAnsi"/>
              <w:noProof/>
              <w:lang w:eastAsia="it-IT"/>
            </w:rPr>
          </w:pPr>
          <w:hyperlink w:anchor="_Toc64619553" w:history="1">
            <w:r w:rsidR="00FB3E93" w:rsidRPr="00E90B20">
              <w:rPr>
                <w:rStyle w:val="Hyperlink"/>
                <w:noProof/>
                <w14:scene3d>
                  <w14:camera w14:prst="orthographicFront"/>
                  <w14:lightRig w14:rig="threePt" w14:dir="t">
                    <w14:rot w14:lat="0" w14:lon="0" w14:rev="0"/>
                  </w14:lightRig>
                </w14:scene3d>
              </w:rPr>
              <w:t>2.5.1.</w:t>
            </w:r>
            <w:r w:rsidR="00FB3E93">
              <w:rPr>
                <w:rFonts w:asciiTheme="minorHAnsi" w:eastAsiaTheme="minorEastAsia" w:hAnsiTheme="minorHAnsi"/>
                <w:noProof/>
                <w:lang w:eastAsia="it-IT"/>
              </w:rPr>
              <w:tab/>
            </w:r>
            <w:r w:rsidR="00FB3E93" w:rsidRPr="00E90B20">
              <w:rPr>
                <w:rStyle w:val="Hyperlink"/>
                <w:noProof/>
              </w:rPr>
              <w:t>Transport and mobility in the PA</w:t>
            </w:r>
            <w:r w:rsidR="00FB3E93">
              <w:rPr>
                <w:noProof/>
                <w:webHidden/>
              </w:rPr>
              <w:tab/>
            </w:r>
            <w:r w:rsidR="00FB3E93">
              <w:rPr>
                <w:noProof/>
                <w:webHidden/>
              </w:rPr>
              <w:fldChar w:fldCharType="begin"/>
            </w:r>
            <w:r w:rsidR="00FB3E93">
              <w:rPr>
                <w:noProof/>
                <w:webHidden/>
              </w:rPr>
              <w:instrText xml:space="preserve"> PAGEREF _Toc64619553 \h </w:instrText>
            </w:r>
            <w:r w:rsidR="00FB3E93">
              <w:rPr>
                <w:noProof/>
                <w:webHidden/>
              </w:rPr>
            </w:r>
            <w:r w:rsidR="00FB3E93">
              <w:rPr>
                <w:noProof/>
                <w:webHidden/>
              </w:rPr>
              <w:fldChar w:fldCharType="separate"/>
            </w:r>
            <w:r w:rsidR="004A5488">
              <w:rPr>
                <w:noProof/>
                <w:webHidden/>
              </w:rPr>
              <w:t>165</w:t>
            </w:r>
            <w:r w:rsidR="00FB3E93">
              <w:rPr>
                <w:noProof/>
                <w:webHidden/>
              </w:rPr>
              <w:fldChar w:fldCharType="end"/>
            </w:r>
          </w:hyperlink>
        </w:p>
        <w:p w14:paraId="15D65487" w14:textId="0F230A5B" w:rsidR="00FB3E93" w:rsidRDefault="0049362F">
          <w:pPr>
            <w:pStyle w:val="TOC3"/>
            <w:rPr>
              <w:rFonts w:asciiTheme="minorHAnsi" w:eastAsiaTheme="minorEastAsia" w:hAnsiTheme="minorHAnsi"/>
              <w:noProof/>
              <w:lang w:eastAsia="it-IT"/>
            </w:rPr>
          </w:pPr>
          <w:hyperlink w:anchor="_Toc64619554" w:history="1">
            <w:r w:rsidR="00FB3E93" w:rsidRPr="00E90B20">
              <w:rPr>
                <w:rStyle w:val="Hyperlink"/>
                <w:noProof/>
                <w14:scene3d>
                  <w14:camera w14:prst="orthographicFront"/>
                  <w14:lightRig w14:rig="threePt" w14:dir="t">
                    <w14:rot w14:lat="0" w14:lon="0" w14:rev="0"/>
                  </w14:lightRig>
                </w14:scene3d>
              </w:rPr>
              <w:t>2.5.2.</w:t>
            </w:r>
            <w:r w:rsidR="00FB3E93">
              <w:rPr>
                <w:rFonts w:asciiTheme="minorHAnsi" w:eastAsiaTheme="minorEastAsia" w:hAnsiTheme="minorHAnsi"/>
                <w:noProof/>
                <w:lang w:eastAsia="it-IT"/>
              </w:rPr>
              <w:tab/>
            </w:r>
            <w:r w:rsidR="00FB3E93" w:rsidRPr="00E90B20">
              <w:rPr>
                <w:rStyle w:val="Hyperlink"/>
                <w:noProof/>
              </w:rPr>
              <w:t>Technical infrastructures</w:t>
            </w:r>
            <w:r w:rsidR="00FB3E93">
              <w:rPr>
                <w:noProof/>
                <w:webHidden/>
              </w:rPr>
              <w:tab/>
            </w:r>
            <w:r w:rsidR="00FB3E93">
              <w:rPr>
                <w:noProof/>
                <w:webHidden/>
              </w:rPr>
              <w:fldChar w:fldCharType="begin"/>
            </w:r>
            <w:r w:rsidR="00FB3E93">
              <w:rPr>
                <w:noProof/>
                <w:webHidden/>
              </w:rPr>
              <w:instrText xml:space="preserve"> PAGEREF _Toc64619554 \h </w:instrText>
            </w:r>
            <w:r w:rsidR="00FB3E93">
              <w:rPr>
                <w:noProof/>
                <w:webHidden/>
              </w:rPr>
            </w:r>
            <w:r w:rsidR="00FB3E93">
              <w:rPr>
                <w:noProof/>
                <w:webHidden/>
              </w:rPr>
              <w:fldChar w:fldCharType="separate"/>
            </w:r>
            <w:r w:rsidR="004A5488">
              <w:rPr>
                <w:noProof/>
                <w:webHidden/>
              </w:rPr>
              <w:t>181</w:t>
            </w:r>
            <w:r w:rsidR="00FB3E93">
              <w:rPr>
                <w:noProof/>
                <w:webHidden/>
              </w:rPr>
              <w:fldChar w:fldCharType="end"/>
            </w:r>
          </w:hyperlink>
        </w:p>
        <w:p w14:paraId="5A758D0B" w14:textId="791548A4" w:rsidR="00FB3E93" w:rsidRDefault="0049362F">
          <w:pPr>
            <w:pStyle w:val="TOC3"/>
            <w:rPr>
              <w:rFonts w:asciiTheme="minorHAnsi" w:eastAsiaTheme="minorEastAsia" w:hAnsiTheme="minorHAnsi"/>
              <w:noProof/>
              <w:lang w:eastAsia="it-IT"/>
            </w:rPr>
          </w:pPr>
          <w:hyperlink w:anchor="_Toc64619555" w:history="1">
            <w:r w:rsidR="00FB3E93" w:rsidRPr="00E90B20">
              <w:rPr>
                <w:rStyle w:val="Hyperlink"/>
                <w:noProof/>
                <w14:scene3d>
                  <w14:camera w14:prst="orthographicFront"/>
                  <w14:lightRig w14:rig="threePt" w14:dir="t">
                    <w14:rot w14:lat="0" w14:lon="0" w14:rev="0"/>
                  </w14:lightRig>
                </w14:scene3d>
              </w:rPr>
              <w:t>2.5.3.</w:t>
            </w:r>
            <w:r w:rsidR="00FB3E93">
              <w:rPr>
                <w:rFonts w:asciiTheme="minorHAnsi" w:eastAsiaTheme="minorEastAsia" w:hAnsiTheme="minorHAnsi"/>
                <w:noProof/>
                <w:lang w:eastAsia="it-IT"/>
              </w:rPr>
              <w:tab/>
            </w:r>
            <w:r w:rsidR="00FB3E93" w:rsidRPr="00E90B20">
              <w:rPr>
                <w:rStyle w:val="Hyperlink"/>
                <w:noProof/>
              </w:rPr>
              <w:t>Conclusions</w:t>
            </w:r>
            <w:r w:rsidR="00FB3E93">
              <w:rPr>
                <w:noProof/>
                <w:webHidden/>
              </w:rPr>
              <w:tab/>
            </w:r>
            <w:r w:rsidR="00FB3E93">
              <w:rPr>
                <w:noProof/>
                <w:webHidden/>
              </w:rPr>
              <w:fldChar w:fldCharType="begin"/>
            </w:r>
            <w:r w:rsidR="00FB3E93">
              <w:rPr>
                <w:noProof/>
                <w:webHidden/>
              </w:rPr>
              <w:instrText xml:space="preserve"> PAGEREF _Toc64619555 \h </w:instrText>
            </w:r>
            <w:r w:rsidR="00FB3E93">
              <w:rPr>
                <w:noProof/>
                <w:webHidden/>
              </w:rPr>
            </w:r>
            <w:r w:rsidR="00FB3E93">
              <w:rPr>
                <w:noProof/>
                <w:webHidden/>
              </w:rPr>
              <w:fldChar w:fldCharType="separate"/>
            </w:r>
            <w:r w:rsidR="004A5488">
              <w:rPr>
                <w:noProof/>
                <w:webHidden/>
              </w:rPr>
              <w:t>186</w:t>
            </w:r>
            <w:r w:rsidR="00FB3E93">
              <w:rPr>
                <w:noProof/>
                <w:webHidden/>
              </w:rPr>
              <w:fldChar w:fldCharType="end"/>
            </w:r>
          </w:hyperlink>
        </w:p>
        <w:p w14:paraId="6AB0BC34" w14:textId="6E92A7BC" w:rsidR="00FB3E93" w:rsidRDefault="0049362F">
          <w:pPr>
            <w:pStyle w:val="TOC3"/>
            <w:rPr>
              <w:rFonts w:asciiTheme="minorHAnsi" w:eastAsiaTheme="minorEastAsia" w:hAnsiTheme="minorHAnsi"/>
              <w:noProof/>
              <w:lang w:eastAsia="it-IT"/>
            </w:rPr>
          </w:pPr>
          <w:hyperlink w:anchor="_Toc64619556" w:history="1">
            <w:r w:rsidR="00FB3E93" w:rsidRPr="00E90B20">
              <w:rPr>
                <w:rStyle w:val="Hyperlink"/>
                <w:noProof/>
                <w14:scene3d>
                  <w14:camera w14:prst="orthographicFront"/>
                  <w14:lightRig w14:rig="threePt" w14:dir="t">
                    <w14:rot w14:lat="0" w14:lon="0" w14:rev="0"/>
                  </w14:lightRig>
                </w14:scene3d>
              </w:rPr>
              <w:t>2.5.4.</w:t>
            </w:r>
            <w:r w:rsidR="00FB3E93">
              <w:rPr>
                <w:rFonts w:asciiTheme="minorHAnsi" w:eastAsiaTheme="minorEastAsia" w:hAnsiTheme="minorHAnsi"/>
                <w:noProof/>
                <w:lang w:eastAsia="it-IT"/>
              </w:rPr>
              <w:tab/>
            </w:r>
            <w:r w:rsidR="00FB3E93" w:rsidRPr="00E90B20">
              <w:rPr>
                <w:rStyle w:val="Hyperlink"/>
                <w:noProof/>
              </w:rPr>
              <w:t>SWOT Analysis: Infrastructure capital</w:t>
            </w:r>
            <w:r w:rsidR="00FB3E93">
              <w:rPr>
                <w:noProof/>
                <w:webHidden/>
              </w:rPr>
              <w:tab/>
            </w:r>
            <w:r w:rsidR="00FB3E93">
              <w:rPr>
                <w:noProof/>
                <w:webHidden/>
              </w:rPr>
              <w:fldChar w:fldCharType="begin"/>
            </w:r>
            <w:r w:rsidR="00FB3E93">
              <w:rPr>
                <w:noProof/>
                <w:webHidden/>
              </w:rPr>
              <w:instrText xml:space="preserve"> PAGEREF _Toc64619556 \h </w:instrText>
            </w:r>
            <w:r w:rsidR="00FB3E93">
              <w:rPr>
                <w:noProof/>
                <w:webHidden/>
              </w:rPr>
            </w:r>
            <w:r w:rsidR="00FB3E93">
              <w:rPr>
                <w:noProof/>
                <w:webHidden/>
              </w:rPr>
              <w:fldChar w:fldCharType="separate"/>
            </w:r>
            <w:r w:rsidR="004A5488">
              <w:rPr>
                <w:noProof/>
                <w:webHidden/>
              </w:rPr>
              <w:t>189</w:t>
            </w:r>
            <w:r w:rsidR="00FB3E93">
              <w:rPr>
                <w:noProof/>
                <w:webHidden/>
              </w:rPr>
              <w:fldChar w:fldCharType="end"/>
            </w:r>
          </w:hyperlink>
        </w:p>
        <w:p w14:paraId="19311599" w14:textId="79F1820B" w:rsidR="00FB3E93" w:rsidRDefault="0049362F">
          <w:pPr>
            <w:pStyle w:val="TOC2"/>
            <w:rPr>
              <w:rFonts w:asciiTheme="minorHAnsi" w:eastAsiaTheme="minorEastAsia" w:hAnsiTheme="minorHAnsi"/>
              <w:b w:val="0"/>
              <w:bCs w:val="0"/>
              <w:lang w:eastAsia="it-IT"/>
            </w:rPr>
          </w:pPr>
          <w:hyperlink w:anchor="_Toc64619557" w:history="1">
            <w:r w:rsidR="00FB3E93" w:rsidRPr="00E90B20">
              <w:rPr>
                <w:rStyle w:val="Hyperlink"/>
                <w14:scene3d>
                  <w14:camera w14:prst="orthographicFront"/>
                  <w14:lightRig w14:rig="threePt" w14:dir="t">
                    <w14:rot w14:lat="0" w14:lon="0" w14:rev="0"/>
                  </w14:lightRig>
                </w14:scene3d>
              </w:rPr>
              <w:t>2.6.</w:t>
            </w:r>
            <w:r w:rsidR="00FB3E93">
              <w:rPr>
                <w:rFonts w:asciiTheme="minorHAnsi" w:eastAsiaTheme="minorEastAsia" w:hAnsiTheme="minorHAnsi"/>
                <w:b w:val="0"/>
                <w:bCs w:val="0"/>
                <w:lang w:eastAsia="it-IT"/>
              </w:rPr>
              <w:tab/>
            </w:r>
            <w:r w:rsidR="00FB3E93" w:rsidRPr="00E90B20">
              <w:rPr>
                <w:rStyle w:val="Hyperlink"/>
              </w:rPr>
              <w:t>Governance and relational capital</w:t>
            </w:r>
            <w:r w:rsidR="00FB3E93">
              <w:rPr>
                <w:webHidden/>
              </w:rPr>
              <w:tab/>
            </w:r>
            <w:r w:rsidR="00FB3E93">
              <w:rPr>
                <w:webHidden/>
              </w:rPr>
              <w:fldChar w:fldCharType="begin"/>
            </w:r>
            <w:r w:rsidR="00FB3E93">
              <w:rPr>
                <w:webHidden/>
              </w:rPr>
              <w:instrText xml:space="preserve"> PAGEREF _Toc64619557 \h </w:instrText>
            </w:r>
            <w:r w:rsidR="00FB3E93">
              <w:rPr>
                <w:webHidden/>
              </w:rPr>
            </w:r>
            <w:r w:rsidR="00FB3E93">
              <w:rPr>
                <w:webHidden/>
              </w:rPr>
              <w:fldChar w:fldCharType="separate"/>
            </w:r>
            <w:r w:rsidR="004A5488">
              <w:rPr>
                <w:webHidden/>
              </w:rPr>
              <w:t>191</w:t>
            </w:r>
            <w:r w:rsidR="00FB3E93">
              <w:rPr>
                <w:webHidden/>
              </w:rPr>
              <w:fldChar w:fldCharType="end"/>
            </w:r>
          </w:hyperlink>
        </w:p>
        <w:p w14:paraId="0B1647FB" w14:textId="7D887FD2" w:rsidR="00FB3E93" w:rsidRDefault="0049362F">
          <w:pPr>
            <w:pStyle w:val="TOC3"/>
            <w:rPr>
              <w:rFonts w:asciiTheme="minorHAnsi" w:eastAsiaTheme="minorEastAsia" w:hAnsiTheme="minorHAnsi"/>
              <w:noProof/>
              <w:lang w:eastAsia="it-IT"/>
            </w:rPr>
          </w:pPr>
          <w:hyperlink w:anchor="_Toc64619558" w:history="1">
            <w:r w:rsidR="00FB3E93" w:rsidRPr="00E90B20">
              <w:rPr>
                <w:rStyle w:val="Hyperlink"/>
                <w:noProof/>
                <w14:scene3d>
                  <w14:camera w14:prst="orthographicFront"/>
                  <w14:lightRig w14:rig="threePt" w14:dir="t">
                    <w14:rot w14:lat="0" w14:lon="0" w14:rev="0"/>
                  </w14:lightRig>
                </w14:scene3d>
              </w:rPr>
              <w:t>2.6.1.</w:t>
            </w:r>
            <w:r w:rsidR="00FB3E93">
              <w:rPr>
                <w:rFonts w:asciiTheme="minorHAnsi" w:eastAsiaTheme="minorEastAsia" w:hAnsiTheme="minorHAnsi"/>
                <w:noProof/>
                <w:lang w:eastAsia="it-IT"/>
              </w:rPr>
              <w:tab/>
            </w:r>
            <w:r w:rsidR="00FB3E93" w:rsidRPr="00E90B20">
              <w:rPr>
                <w:rStyle w:val="Hyperlink"/>
                <w:noProof/>
              </w:rPr>
              <w:t>Administrative structure of the programming area</w:t>
            </w:r>
            <w:r w:rsidR="00FB3E93">
              <w:rPr>
                <w:noProof/>
                <w:webHidden/>
              </w:rPr>
              <w:tab/>
            </w:r>
            <w:r w:rsidR="00FB3E93">
              <w:rPr>
                <w:noProof/>
                <w:webHidden/>
              </w:rPr>
              <w:fldChar w:fldCharType="begin"/>
            </w:r>
            <w:r w:rsidR="00FB3E93">
              <w:rPr>
                <w:noProof/>
                <w:webHidden/>
              </w:rPr>
              <w:instrText xml:space="preserve"> PAGEREF _Toc64619558 \h </w:instrText>
            </w:r>
            <w:r w:rsidR="00FB3E93">
              <w:rPr>
                <w:noProof/>
                <w:webHidden/>
              </w:rPr>
            </w:r>
            <w:r w:rsidR="00FB3E93">
              <w:rPr>
                <w:noProof/>
                <w:webHidden/>
              </w:rPr>
              <w:fldChar w:fldCharType="separate"/>
            </w:r>
            <w:r w:rsidR="004A5488">
              <w:rPr>
                <w:noProof/>
                <w:webHidden/>
              </w:rPr>
              <w:t>191</w:t>
            </w:r>
            <w:r w:rsidR="00FB3E93">
              <w:rPr>
                <w:noProof/>
                <w:webHidden/>
              </w:rPr>
              <w:fldChar w:fldCharType="end"/>
            </w:r>
          </w:hyperlink>
        </w:p>
        <w:p w14:paraId="70D420E7" w14:textId="12CED7E1" w:rsidR="00FB3E93" w:rsidRDefault="0049362F">
          <w:pPr>
            <w:pStyle w:val="TOC3"/>
            <w:rPr>
              <w:rFonts w:asciiTheme="minorHAnsi" w:eastAsiaTheme="minorEastAsia" w:hAnsiTheme="minorHAnsi"/>
              <w:noProof/>
              <w:lang w:eastAsia="it-IT"/>
            </w:rPr>
          </w:pPr>
          <w:hyperlink w:anchor="_Toc64619559" w:history="1">
            <w:r w:rsidR="00FB3E93" w:rsidRPr="00E90B20">
              <w:rPr>
                <w:rStyle w:val="Hyperlink"/>
                <w:noProof/>
                <w14:scene3d>
                  <w14:camera w14:prst="orthographicFront"/>
                  <w14:lightRig w14:rig="threePt" w14:dir="t">
                    <w14:rot w14:lat="0" w14:lon="0" w14:rev="0"/>
                  </w14:lightRig>
                </w14:scene3d>
              </w:rPr>
              <w:t>2.6.2.</w:t>
            </w:r>
            <w:r w:rsidR="00FB3E93">
              <w:rPr>
                <w:rFonts w:asciiTheme="minorHAnsi" w:eastAsiaTheme="minorEastAsia" w:hAnsiTheme="minorHAnsi"/>
                <w:noProof/>
                <w:lang w:eastAsia="it-IT"/>
              </w:rPr>
              <w:tab/>
            </w:r>
            <w:r w:rsidR="00FB3E93" w:rsidRPr="00E90B20">
              <w:rPr>
                <w:rStyle w:val="Hyperlink"/>
                <w:noProof/>
              </w:rPr>
              <w:t>Key government metrics</w:t>
            </w:r>
            <w:r w:rsidR="00FB3E93">
              <w:rPr>
                <w:noProof/>
                <w:webHidden/>
              </w:rPr>
              <w:tab/>
            </w:r>
            <w:r w:rsidR="00FB3E93">
              <w:rPr>
                <w:noProof/>
                <w:webHidden/>
              </w:rPr>
              <w:fldChar w:fldCharType="begin"/>
            </w:r>
            <w:r w:rsidR="00FB3E93">
              <w:rPr>
                <w:noProof/>
                <w:webHidden/>
              </w:rPr>
              <w:instrText xml:space="preserve"> PAGEREF _Toc64619559 \h </w:instrText>
            </w:r>
            <w:r w:rsidR="00FB3E93">
              <w:rPr>
                <w:noProof/>
                <w:webHidden/>
              </w:rPr>
            </w:r>
            <w:r w:rsidR="00FB3E93">
              <w:rPr>
                <w:noProof/>
                <w:webHidden/>
              </w:rPr>
              <w:fldChar w:fldCharType="separate"/>
            </w:r>
            <w:r w:rsidR="004A5488">
              <w:rPr>
                <w:noProof/>
                <w:webHidden/>
              </w:rPr>
              <w:t>198</w:t>
            </w:r>
            <w:r w:rsidR="00FB3E93">
              <w:rPr>
                <w:noProof/>
                <w:webHidden/>
              </w:rPr>
              <w:fldChar w:fldCharType="end"/>
            </w:r>
          </w:hyperlink>
        </w:p>
        <w:p w14:paraId="14FF2B04" w14:textId="034BAF7B" w:rsidR="00FB3E93" w:rsidRDefault="0049362F">
          <w:pPr>
            <w:pStyle w:val="TOC3"/>
            <w:rPr>
              <w:rFonts w:asciiTheme="minorHAnsi" w:eastAsiaTheme="minorEastAsia" w:hAnsiTheme="minorHAnsi"/>
              <w:noProof/>
              <w:lang w:eastAsia="it-IT"/>
            </w:rPr>
          </w:pPr>
          <w:hyperlink w:anchor="_Toc64619560" w:history="1">
            <w:r w:rsidR="00FB3E93" w:rsidRPr="00E90B20">
              <w:rPr>
                <w:rStyle w:val="Hyperlink"/>
                <w:noProof/>
                <w14:scene3d>
                  <w14:camera w14:prst="orthographicFront"/>
                  <w14:lightRig w14:rig="threePt" w14:dir="t">
                    <w14:rot w14:lat="0" w14:lon="0" w14:rev="0"/>
                  </w14:lightRig>
                </w14:scene3d>
              </w:rPr>
              <w:t>2.6.3.</w:t>
            </w:r>
            <w:r w:rsidR="00FB3E93">
              <w:rPr>
                <w:rFonts w:asciiTheme="minorHAnsi" w:eastAsiaTheme="minorEastAsia" w:hAnsiTheme="minorHAnsi"/>
                <w:noProof/>
                <w:lang w:eastAsia="it-IT"/>
              </w:rPr>
              <w:tab/>
            </w:r>
            <w:r w:rsidR="00FB3E93" w:rsidRPr="00E90B20">
              <w:rPr>
                <w:rStyle w:val="Hyperlink"/>
                <w:noProof/>
              </w:rPr>
              <w:t>Governance, cooperation and the implementation of SUD</w:t>
            </w:r>
            <w:r w:rsidR="00FB3E93">
              <w:rPr>
                <w:noProof/>
                <w:webHidden/>
              </w:rPr>
              <w:tab/>
            </w:r>
            <w:r w:rsidR="00FB3E93">
              <w:rPr>
                <w:noProof/>
                <w:webHidden/>
              </w:rPr>
              <w:fldChar w:fldCharType="begin"/>
            </w:r>
            <w:r w:rsidR="00FB3E93">
              <w:rPr>
                <w:noProof/>
                <w:webHidden/>
              </w:rPr>
              <w:instrText xml:space="preserve"> PAGEREF _Toc64619560 \h </w:instrText>
            </w:r>
            <w:r w:rsidR="00FB3E93">
              <w:rPr>
                <w:noProof/>
                <w:webHidden/>
              </w:rPr>
            </w:r>
            <w:r w:rsidR="00FB3E93">
              <w:rPr>
                <w:noProof/>
                <w:webHidden/>
              </w:rPr>
              <w:fldChar w:fldCharType="separate"/>
            </w:r>
            <w:r w:rsidR="004A5488">
              <w:rPr>
                <w:noProof/>
                <w:webHidden/>
              </w:rPr>
              <w:t>203</w:t>
            </w:r>
            <w:r w:rsidR="00FB3E93">
              <w:rPr>
                <w:noProof/>
                <w:webHidden/>
              </w:rPr>
              <w:fldChar w:fldCharType="end"/>
            </w:r>
          </w:hyperlink>
        </w:p>
        <w:p w14:paraId="1C21FDEA" w14:textId="4594911F" w:rsidR="00FB3E93" w:rsidRDefault="0049362F">
          <w:pPr>
            <w:pStyle w:val="TOC3"/>
            <w:rPr>
              <w:rFonts w:asciiTheme="minorHAnsi" w:eastAsiaTheme="minorEastAsia" w:hAnsiTheme="minorHAnsi"/>
              <w:noProof/>
              <w:lang w:eastAsia="it-IT"/>
            </w:rPr>
          </w:pPr>
          <w:hyperlink w:anchor="_Toc64619561" w:history="1">
            <w:r w:rsidR="00FB3E93" w:rsidRPr="00E90B20">
              <w:rPr>
                <w:rStyle w:val="Hyperlink"/>
                <w:noProof/>
                <w14:scene3d>
                  <w14:camera w14:prst="orthographicFront"/>
                  <w14:lightRig w14:rig="threePt" w14:dir="t">
                    <w14:rot w14:lat="0" w14:lon="0" w14:rev="0"/>
                  </w14:lightRig>
                </w14:scene3d>
              </w:rPr>
              <w:t>2.6.4.</w:t>
            </w:r>
            <w:r w:rsidR="00FB3E93">
              <w:rPr>
                <w:rFonts w:asciiTheme="minorHAnsi" w:eastAsiaTheme="minorEastAsia" w:hAnsiTheme="minorHAnsi"/>
                <w:noProof/>
                <w:lang w:eastAsia="it-IT"/>
              </w:rPr>
              <w:tab/>
            </w:r>
            <w:r w:rsidR="00FB3E93" w:rsidRPr="00E90B20">
              <w:rPr>
                <w:rStyle w:val="Hyperlink"/>
                <w:noProof/>
              </w:rPr>
              <w:t>Cooperation forms in the programming area</w:t>
            </w:r>
            <w:r w:rsidR="00FB3E93">
              <w:rPr>
                <w:noProof/>
                <w:webHidden/>
              </w:rPr>
              <w:tab/>
            </w:r>
            <w:r w:rsidR="00FB3E93">
              <w:rPr>
                <w:noProof/>
                <w:webHidden/>
              </w:rPr>
              <w:fldChar w:fldCharType="begin"/>
            </w:r>
            <w:r w:rsidR="00FB3E93">
              <w:rPr>
                <w:noProof/>
                <w:webHidden/>
              </w:rPr>
              <w:instrText xml:space="preserve"> PAGEREF _Toc64619561 \h </w:instrText>
            </w:r>
            <w:r w:rsidR="00FB3E93">
              <w:rPr>
                <w:noProof/>
                <w:webHidden/>
              </w:rPr>
            </w:r>
            <w:r w:rsidR="00FB3E93">
              <w:rPr>
                <w:noProof/>
                <w:webHidden/>
              </w:rPr>
              <w:fldChar w:fldCharType="separate"/>
            </w:r>
            <w:r w:rsidR="004A5488">
              <w:rPr>
                <w:noProof/>
                <w:webHidden/>
              </w:rPr>
              <w:t>205</w:t>
            </w:r>
            <w:r w:rsidR="00FB3E93">
              <w:rPr>
                <w:noProof/>
                <w:webHidden/>
              </w:rPr>
              <w:fldChar w:fldCharType="end"/>
            </w:r>
          </w:hyperlink>
        </w:p>
        <w:p w14:paraId="5F16BC18" w14:textId="7969781A" w:rsidR="00FB3E93" w:rsidRDefault="0049362F">
          <w:pPr>
            <w:pStyle w:val="TOC3"/>
            <w:rPr>
              <w:rFonts w:asciiTheme="minorHAnsi" w:eastAsiaTheme="minorEastAsia" w:hAnsiTheme="minorHAnsi"/>
              <w:noProof/>
              <w:lang w:eastAsia="it-IT"/>
            </w:rPr>
          </w:pPr>
          <w:hyperlink w:anchor="_Toc64619562" w:history="1">
            <w:r w:rsidR="00FB3E93" w:rsidRPr="00E90B20">
              <w:rPr>
                <w:rStyle w:val="Hyperlink"/>
                <w:noProof/>
                <w14:scene3d>
                  <w14:camera w14:prst="orthographicFront"/>
                  <w14:lightRig w14:rig="threePt" w14:dir="t">
                    <w14:rot w14:lat="0" w14:lon="0" w14:rev="0"/>
                  </w14:lightRig>
                </w14:scene3d>
              </w:rPr>
              <w:t>2.6.5.</w:t>
            </w:r>
            <w:r w:rsidR="00FB3E93">
              <w:rPr>
                <w:rFonts w:asciiTheme="minorHAnsi" w:eastAsiaTheme="minorEastAsia" w:hAnsiTheme="minorHAnsi"/>
                <w:noProof/>
                <w:lang w:eastAsia="it-IT"/>
              </w:rPr>
              <w:tab/>
            </w:r>
            <w:r w:rsidR="00FB3E93" w:rsidRPr="00E90B20">
              <w:rPr>
                <w:rStyle w:val="Hyperlink"/>
                <w:noProof/>
              </w:rPr>
              <w:t>SWOT analysis: Governance and relational capital</w:t>
            </w:r>
            <w:r w:rsidR="00FB3E93">
              <w:rPr>
                <w:noProof/>
                <w:webHidden/>
              </w:rPr>
              <w:tab/>
            </w:r>
            <w:r w:rsidR="00FB3E93">
              <w:rPr>
                <w:noProof/>
                <w:webHidden/>
              </w:rPr>
              <w:fldChar w:fldCharType="begin"/>
            </w:r>
            <w:r w:rsidR="00FB3E93">
              <w:rPr>
                <w:noProof/>
                <w:webHidden/>
              </w:rPr>
              <w:instrText xml:space="preserve"> PAGEREF _Toc64619562 \h </w:instrText>
            </w:r>
            <w:r w:rsidR="00FB3E93">
              <w:rPr>
                <w:noProof/>
                <w:webHidden/>
              </w:rPr>
            </w:r>
            <w:r w:rsidR="00FB3E93">
              <w:rPr>
                <w:noProof/>
                <w:webHidden/>
              </w:rPr>
              <w:fldChar w:fldCharType="separate"/>
            </w:r>
            <w:r w:rsidR="004A5488">
              <w:rPr>
                <w:noProof/>
                <w:webHidden/>
              </w:rPr>
              <w:t>210</w:t>
            </w:r>
            <w:r w:rsidR="00FB3E93">
              <w:rPr>
                <w:noProof/>
                <w:webHidden/>
              </w:rPr>
              <w:fldChar w:fldCharType="end"/>
            </w:r>
          </w:hyperlink>
        </w:p>
        <w:p w14:paraId="063AC681" w14:textId="2FA81CB1" w:rsidR="00FB3E93" w:rsidRDefault="0049362F">
          <w:pPr>
            <w:pStyle w:val="TOC1"/>
            <w:rPr>
              <w:rFonts w:asciiTheme="minorHAnsi" w:eastAsiaTheme="minorEastAsia" w:hAnsiTheme="minorHAnsi"/>
              <w:b w:val="0"/>
              <w:bCs w:val="0"/>
              <w:lang w:eastAsia="it-IT"/>
            </w:rPr>
          </w:pPr>
          <w:hyperlink w:anchor="_Toc64619563" w:history="1">
            <w:r w:rsidR="00FB3E93" w:rsidRPr="00E90B20">
              <w:rPr>
                <w:rStyle w:val="Hyperlink"/>
              </w:rPr>
              <w:t>3.</w:t>
            </w:r>
            <w:r w:rsidR="00FB3E93">
              <w:rPr>
                <w:rFonts w:asciiTheme="minorHAnsi" w:eastAsiaTheme="minorEastAsia" w:hAnsiTheme="minorHAnsi"/>
                <w:b w:val="0"/>
                <w:bCs w:val="0"/>
                <w:lang w:eastAsia="it-IT"/>
              </w:rPr>
              <w:tab/>
            </w:r>
            <w:r w:rsidR="00FB3E93" w:rsidRPr="00E90B20">
              <w:rPr>
                <w:rStyle w:val="Hyperlink"/>
              </w:rPr>
              <w:t>Territorial specificities and Cross-Border Functional Areas</w:t>
            </w:r>
            <w:r w:rsidR="00FB3E93">
              <w:rPr>
                <w:webHidden/>
              </w:rPr>
              <w:tab/>
            </w:r>
            <w:r w:rsidR="00FB3E93">
              <w:rPr>
                <w:webHidden/>
              </w:rPr>
              <w:fldChar w:fldCharType="begin"/>
            </w:r>
            <w:r w:rsidR="00FB3E93">
              <w:rPr>
                <w:webHidden/>
              </w:rPr>
              <w:instrText xml:space="preserve"> PAGEREF _Toc64619563 \h </w:instrText>
            </w:r>
            <w:r w:rsidR="00FB3E93">
              <w:rPr>
                <w:webHidden/>
              </w:rPr>
            </w:r>
            <w:r w:rsidR="00FB3E93">
              <w:rPr>
                <w:webHidden/>
              </w:rPr>
              <w:fldChar w:fldCharType="separate"/>
            </w:r>
            <w:r w:rsidR="004A5488">
              <w:rPr>
                <w:webHidden/>
              </w:rPr>
              <w:t>212</w:t>
            </w:r>
            <w:r w:rsidR="00FB3E93">
              <w:rPr>
                <w:webHidden/>
              </w:rPr>
              <w:fldChar w:fldCharType="end"/>
            </w:r>
          </w:hyperlink>
        </w:p>
        <w:p w14:paraId="17DDF7EA" w14:textId="24ADC9CA" w:rsidR="00FB3E93" w:rsidRDefault="0049362F">
          <w:pPr>
            <w:pStyle w:val="TOC2"/>
            <w:rPr>
              <w:rFonts w:asciiTheme="minorHAnsi" w:eastAsiaTheme="minorEastAsia" w:hAnsiTheme="minorHAnsi"/>
              <w:b w:val="0"/>
              <w:bCs w:val="0"/>
              <w:lang w:eastAsia="it-IT"/>
            </w:rPr>
          </w:pPr>
          <w:hyperlink w:anchor="_Toc64619564" w:history="1">
            <w:r w:rsidR="00FB3E93" w:rsidRPr="00E90B20">
              <w:rPr>
                <w:rStyle w:val="Hyperlink"/>
                <w:rFonts w:eastAsia="Calibri"/>
                <w14:scene3d>
                  <w14:camera w14:prst="orthographicFront"/>
                  <w14:lightRig w14:rig="threePt" w14:dir="t">
                    <w14:rot w14:lat="0" w14:lon="0" w14:rev="0"/>
                  </w14:lightRig>
                </w14:scene3d>
              </w:rPr>
              <w:t>3.1.</w:t>
            </w:r>
            <w:r w:rsidR="00FB3E93">
              <w:rPr>
                <w:rFonts w:asciiTheme="minorHAnsi" w:eastAsiaTheme="minorEastAsia" w:hAnsiTheme="minorHAnsi"/>
                <w:b w:val="0"/>
                <w:bCs w:val="0"/>
                <w:lang w:eastAsia="it-IT"/>
              </w:rPr>
              <w:tab/>
            </w:r>
            <w:r w:rsidR="00FB3E93" w:rsidRPr="00E90B20">
              <w:rPr>
                <w:rStyle w:val="Hyperlink"/>
                <w:rFonts w:eastAsia="Calibri"/>
              </w:rPr>
              <w:t>Introduction</w:t>
            </w:r>
            <w:r w:rsidR="00FB3E93">
              <w:rPr>
                <w:webHidden/>
              </w:rPr>
              <w:tab/>
            </w:r>
            <w:r w:rsidR="00FB3E93">
              <w:rPr>
                <w:webHidden/>
              </w:rPr>
              <w:fldChar w:fldCharType="begin"/>
            </w:r>
            <w:r w:rsidR="00FB3E93">
              <w:rPr>
                <w:webHidden/>
              </w:rPr>
              <w:instrText xml:space="preserve"> PAGEREF _Toc64619564 \h </w:instrText>
            </w:r>
            <w:r w:rsidR="00FB3E93">
              <w:rPr>
                <w:webHidden/>
              </w:rPr>
            </w:r>
            <w:r w:rsidR="00FB3E93">
              <w:rPr>
                <w:webHidden/>
              </w:rPr>
              <w:fldChar w:fldCharType="separate"/>
            </w:r>
            <w:r w:rsidR="004A5488">
              <w:rPr>
                <w:webHidden/>
              </w:rPr>
              <w:t>212</w:t>
            </w:r>
            <w:r w:rsidR="00FB3E93">
              <w:rPr>
                <w:webHidden/>
              </w:rPr>
              <w:fldChar w:fldCharType="end"/>
            </w:r>
          </w:hyperlink>
        </w:p>
        <w:p w14:paraId="397C9690" w14:textId="1964A8D9" w:rsidR="00FB3E93" w:rsidRDefault="0049362F">
          <w:pPr>
            <w:pStyle w:val="TOC2"/>
            <w:rPr>
              <w:rFonts w:asciiTheme="minorHAnsi" w:eastAsiaTheme="minorEastAsia" w:hAnsiTheme="minorHAnsi"/>
              <w:b w:val="0"/>
              <w:bCs w:val="0"/>
              <w:lang w:eastAsia="it-IT"/>
            </w:rPr>
          </w:pPr>
          <w:hyperlink w:anchor="_Toc64619565" w:history="1">
            <w:r w:rsidR="00FB3E93" w:rsidRPr="00E90B20">
              <w:rPr>
                <w:rStyle w:val="Hyperlink"/>
                <w:rFonts w:eastAsia="Calibri"/>
                <w14:scene3d>
                  <w14:camera w14:prst="orthographicFront"/>
                  <w14:lightRig w14:rig="threePt" w14:dir="t">
                    <w14:rot w14:lat="0" w14:lon="0" w14:rev="0"/>
                  </w14:lightRig>
                </w14:scene3d>
              </w:rPr>
              <w:t>3.2.</w:t>
            </w:r>
            <w:r w:rsidR="00FB3E93">
              <w:rPr>
                <w:rFonts w:asciiTheme="minorHAnsi" w:eastAsiaTheme="minorEastAsia" w:hAnsiTheme="minorHAnsi"/>
                <w:b w:val="0"/>
                <w:bCs w:val="0"/>
                <w:lang w:eastAsia="it-IT"/>
              </w:rPr>
              <w:tab/>
            </w:r>
            <w:r w:rsidR="00FB3E93" w:rsidRPr="00E90B20">
              <w:rPr>
                <w:rStyle w:val="Hyperlink"/>
              </w:rPr>
              <w:t>B</w:t>
            </w:r>
            <w:r w:rsidR="00FB3E93" w:rsidRPr="00E90B20">
              <w:rPr>
                <w:rStyle w:val="Hyperlink"/>
                <w:rFonts w:eastAsia="Calibri"/>
              </w:rPr>
              <w:t>order effects</w:t>
            </w:r>
            <w:r w:rsidR="00FB3E93">
              <w:rPr>
                <w:webHidden/>
              </w:rPr>
              <w:tab/>
            </w:r>
            <w:r w:rsidR="00FB3E93">
              <w:rPr>
                <w:webHidden/>
              </w:rPr>
              <w:fldChar w:fldCharType="begin"/>
            </w:r>
            <w:r w:rsidR="00FB3E93">
              <w:rPr>
                <w:webHidden/>
              </w:rPr>
              <w:instrText xml:space="preserve"> PAGEREF _Toc64619565 \h </w:instrText>
            </w:r>
            <w:r w:rsidR="00FB3E93">
              <w:rPr>
                <w:webHidden/>
              </w:rPr>
            </w:r>
            <w:r w:rsidR="00FB3E93">
              <w:rPr>
                <w:webHidden/>
              </w:rPr>
              <w:fldChar w:fldCharType="separate"/>
            </w:r>
            <w:r w:rsidR="004A5488">
              <w:rPr>
                <w:webHidden/>
              </w:rPr>
              <w:t>214</w:t>
            </w:r>
            <w:r w:rsidR="00FB3E93">
              <w:rPr>
                <w:webHidden/>
              </w:rPr>
              <w:fldChar w:fldCharType="end"/>
            </w:r>
          </w:hyperlink>
        </w:p>
        <w:p w14:paraId="7BA8E1E2" w14:textId="5E131808" w:rsidR="00FB3E93" w:rsidRDefault="0049362F">
          <w:pPr>
            <w:pStyle w:val="TOC2"/>
            <w:rPr>
              <w:rFonts w:asciiTheme="minorHAnsi" w:eastAsiaTheme="minorEastAsia" w:hAnsiTheme="minorHAnsi"/>
              <w:b w:val="0"/>
              <w:bCs w:val="0"/>
              <w:lang w:eastAsia="it-IT"/>
            </w:rPr>
          </w:pPr>
          <w:hyperlink w:anchor="_Toc64619566" w:history="1">
            <w:r w:rsidR="00FB3E93" w:rsidRPr="00E90B20">
              <w:rPr>
                <w:rStyle w:val="Hyperlink"/>
                <w:rFonts w:eastAsia="Calibri"/>
                <w14:scene3d>
                  <w14:camera w14:prst="orthographicFront"/>
                  <w14:lightRig w14:rig="threePt" w14:dir="t">
                    <w14:rot w14:lat="0" w14:lon="0" w14:rev="0"/>
                  </w14:lightRig>
                </w14:scene3d>
              </w:rPr>
              <w:t>3.3.</w:t>
            </w:r>
            <w:r w:rsidR="00FB3E93">
              <w:rPr>
                <w:rFonts w:asciiTheme="minorHAnsi" w:eastAsiaTheme="minorEastAsia" w:hAnsiTheme="minorHAnsi"/>
                <w:b w:val="0"/>
                <w:bCs w:val="0"/>
                <w:lang w:eastAsia="it-IT"/>
              </w:rPr>
              <w:tab/>
            </w:r>
            <w:r w:rsidR="00FB3E93" w:rsidRPr="00E90B20">
              <w:rPr>
                <w:rStyle w:val="Hyperlink"/>
                <w:rFonts w:eastAsia="Calibri"/>
              </w:rPr>
              <w:t>Cross-border linkages, catchment areas and territorial particularities</w:t>
            </w:r>
            <w:r w:rsidR="00FB3E93">
              <w:rPr>
                <w:webHidden/>
              </w:rPr>
              <w:tab/>
            </w:r>
            <w:r w:rsidR="00FB3E93">
              <w:rPr>
                <w:webHidden/>
              </w:rPr>
              <w:fldChar w:fldCharType="begin"/>
            </w:r>
            <w:r w:rsidR="00FB3E93">
              <w:rPr>
                <w:webHidden/>
              </w:rPr>
              <w:instrText xml:space="preserve"> PAGEREF _Toc64619566 \h </w:instrText>
            </w:r>
            <w:r w:rsidR="00FB3E93">
              <w:rPr>
                <w:webHidden/>
              </w:rPr>
            </w:r>
            <w:r w:rsidR="00FB3E93">
              <w:rPr>
                <w:webHidden/>
              </w:rPr>
              <w:fldChar w:fldCharType="separate"/>
            </w:r>
            <w:r w:rsidR="004A5488">
              <w:rPr>
                <w:webHidden/>
              </w:rPr>
              <w:t>218</w:t>
            </w:r>
            <w:r w:rsidR="00FB3E93">
              <w:rPr>
                <w:webHidden/>
              </w:rPr>
              <w:fldChar w:fldCharType="end"/>
            </w:r>
          </w:hyperlink>
        </w:p>
        <w:p w14:paraId="18EE978F" w14:textId="2B7DC76E" w:rsidR="00FB3E93" w:rsidRDefault="0049362F">
          <w:pPr>
            <w:pStyle w:val="TOC3"/>
            <w:rPr>
              <w:rFonts w:asciiTheme="minorHAnsi" w:eastAsiaTheme="minorEastAsia" w:hAnsiTheme="minorHAnsi"/>
              <w:noProof/>
              <w:lang w:eastAsia="it-IT"/>
            </w:rPr>
          </w:pPr>
          <w:hyperlink w:anchor="_Toc64619567" w:history="1">
            <w:r w:rsidR="00FB3E93" w:rsidRPr="00E90B20">
              <w:rPr>
                <w:rStyle w:val="Hyperlink"/>
                <w:noProof/>
                <w14:scene3d>
                  <w14:camera w14:prst="orthographicFront"/>
                  <w14:lightRig w14:rig="threePt" w14:dir="t">
                    <w14:rot w14:lat="0" w14:lon="0" w14:rev="0"/>
                  </w14:lightRig>
                </w14:scene3d>
              </w:rPr>
              <w:t>3.3.1.</w:t>
            </w:r>
            <w:r w:rsidR="00FB3E93">
              <w:rPr>
                <w:rFonts w:asciiTheme="minorHAnsi" w:eastAsiaTheme="minorEastAsia" w:hAnsiTheme="minorHAnsi"/>
                <w:noProof/>
                <w:lang w:eastAsia="it-IT"/>
              </w:rPr>
              <w:tab/>
            </w:r>
            <w:r w:rsidR="00FB3E93" w:rsidRPr="00E90B20">
              <w:rPr>
                <w:rStyle w:val="Hyperlink"/>
                <w:noProof/>
              </w:rPr>
              <w:t>Linkages and common catchment areas</w:t>
            </w:r>
            <w:r w:rsidR="00FB3E93">
              <w:rPr>
                <w:noProof/>
                <w:webHidden/>
              </w:rPr>
              <w:tab/>
            </w:r>
            <w:r w:rsidR="00FB3E93">
              <w:rPr>
                <w:noProof/>
                <w:webHidden/>
              </w:rPr>
              <w:fldChar w:fldCharType="begin"/>
            </w:r>
            <w:r w:rsidR="00FB3E93">
              <w:rPr>
                <w:noProof/>
                <w:webHidden/>
              </w:rPr>
              <w:instrText xml:space="preserve"> PAGEREF _Toc64619567 \h </w:instrText>
            </w:r>
            <w:r w:rsidR="00FB3E93">
              <w:rPr>
                <w:noProof/>
                <w:webHidden/>
              </w:rPr>
            </w:r>
            <w:r w:rsidR="00FB3E93">
              <w:rPr>
                <w:noProof/>
                <w:webHidden/>
              </w:rPr>
              <w:fldChar w:fldCharType="separate"/>
            </w:r>
            <w:r w:rsidR="004A5488">
              <w:rPr>
                <w:noProof/>
                <w:webHidden/>
              </w:rPr>
              <w:t>218</w:t>
            </w:r>
            <w:r w:rsidR="00FB3E93">
              <w:rPr>
                <w:noProof/>
                <w:webHidden/>
              </w:rPr>
              <w:fldChar w:fldCharType="end"/>
            </w:r>
          </w:hyperlink>
        </w:p>
        <w:p w14:paraId="1439178D" w14:textId="3BEE65AD" w:rsidR="00FB3E93" w:rsidRDefault="0049362F">
          <w:pPr>
            <w:pStyle w:val="TOC3"/>
            <w:rPr>
              <w:rFonts w:asciiTheme="minorHAnsi" w:eastAsiaTheme="minorEastAsia" w:hAnsiTheme="minorHAnsi"/>
              <w:noProof/>
              <w:lang w:eastAsia="it-IT"/>
            </w:rPr>
          </w:pPr>
          <w:hyperlink w:anchor="_Toc64619568" w:history="1">
            <w:r w:rsidR="00FB3E93" w:rsidRPr="00E90B20">
              <w:rPr>
                <w:rStyle w:val="Hyperlink"/>
                <w:noProof/>
                <w14:scene3d>
                  <w14:camera w14:prst="orthographicFront"/>
                  <w14:lightRig w14:rig="threePt" w14:dir="t">
                    <w14:rot w14:lat="0" w14:lon="0" w14:rev="0"/>
                  </w14:lightRig>
                </w14:scene3d>
              </w:rPr>
              <w:t>3.3.2.</w:t>
            </w:r>
            <w:r w:rsidR="00FB3E93">
              <w:rPr>
                <w:rFonts w:asciiTheme="minorHAnsi" w:eastAsiaTheme="minorEastAsia" w:hAnsiTheme="minorHAnsi"/>
                <w:noProof/>
                <w:lang w:eastAsia="it-IT"/>
              </w:rPr>
              <w:tab/>
            </w:r>
            <w:r w:rsidR="00FB3E93" w:rsidRPr="00E90B20">
              <w:rPr>
                <w:rStyle w:val="Hyperlink"/>
                <w:noProof/>
              </w:rPr>
              <w:t>Disadvantaged and peripheral areas</w:t>
            </w:r>
            <w:r w:rsidR="00FB3E93">
              <w:rPr>
                <w:noProof/>
                <w:webHidden/>
              </w:rPr>
              <w:tab/>
            </w:r>
            <w:r w:rsidR="00FB3E93">
              <w:rPr>
                <w:noProof/>
                <w:webHidden/>
              </w:rPr>
              <w:fldChar w:fldCharType="begin"/>
            </w:r>
            <w:r w:rsidR="00FB3E93">
              <w:rPr>
                <w:noProof/>
                <w:webHidden/>
              </w:rPr>
              <w:instrText xml:space="preserve"> PAGEREF _Toc64619568 \h </w:instrText>
            </w:r>
            <w:r w:rsidR="00FB3E93">
              <w:rPr>
                <w:noProof/>
                <w:webHidden/>
              </w:rPr>
            </w:r>
            <w:r w:rsidR="00FB3E93">
              <w:rPr>
                <w:noProof/>
                <w:webHidden/>
              </w:rPr>
              <w:fldChar w:fldCharType="separate"/>
            </w:r>
            <w:r w:rsidR="004A5488">
              <w:rPr>
                <w:noProof/>
                <w:webHidden/>
              </w:rPr>
              <w:t>222</w:t>
            </w:r>
            <w:r w:rsidR="00FB3E93">
              <w:rPr>
                <w:noProof/>
                <w:webHidden/>
              </w:rPr>
              <w:fldChar w:fldCharType="end"/>
            </w:r>
          </w:hyperlink>
        </w:p>
        <w:p w14:paraId="6D494473" w14:textId="5A729339" w:rsidR="00FB3E93" w:rsidRDefault="0049362F">
          <w:pPr>
            <w:pStyle w:val="TOC3"/>
            <w:rPr>
              <w:rFonts w:asciiTheme="minorHAnsi" w:eastAsiaTheme="minorEastAsia" w:hAnsiTheme="minorHAnsi"/>
              <w:noProof/>
              <w:lang w:eastAsia="it-IT"/>
            </w:rPr>
          </w:pPr>
          <w:hyperlink w:anchor="_Toc64619569" w:history="1">
            <w:r w:rsidR="00FB3E93" w:rsidRPr="00E90B20">
              <w:rPr>
                <w:rStyle w:val="Hyperlink"/>
                <w:noProof/>
                <w14:scene3d>
                  <w14:camera w14:prst="orthographicFront"/>
                  <w14:lightRig w14:rig="threePt" w14:dir="t">
                    <w14:rot w14:lat="0" w14:lon="0" w14:rev="0"/>
                  </w14:lightRig>
                </w14:scene3d>
              </w:rPr>
              <w:t>3.3.3.</w:t>
            </w:r>
            <w:r w:rsidR="00FB3E93">
              <w:rPr>
                <w:rFonts w:asciiTheme="minorHAnsi" w:eastAsiaTheme="minorEastAsia" w:hAnsiTheme="minorHAnsi"/>
                <w:noProof/>
                <w:lang w:eastAsia="it-IT"/>
              </w:rPr>
              <w:tab/>
            </w:r>
            <w:r w:rsidR="00FB3E93" w:rsidRPr="00E90B20">
              <w:rPr>
                <w:rStyle w:val="Hyperlink"/>
                <w:noProof/>
              </w:rPr>
              <w:t>Conceptual cross-border linkages and cooperation hotspots</w:t>
            </w:r>
            <w:r w:rsidR="00FB3E93">
              <w:rPr>
                <w:noProof/>
                <w:webHidden/>
              </w:rPr>
              <w:tab/>
            </w:r>
            <w:r w:rsidR="00FB3E93">
              <w:rPr>
                <w:noProof/>
                <w:webHidden/>
              </w:rPr>
              <w:fldChar w:fldCharType="begin"/>
            </w:r>
            <w:r w:rsidR="00FB3E93">
              <w:rPr>
                <w:noProof/>
                <w:webHidden/>
              </w:rPr>
              <w:instrText xml:space="preserve"> PAGEREF _Toc64619569 \h </w:instrText>
            </w:r>
            <w:r w:rsidR="00FB3E93">
              <w:rPr>
                <w:noProof/>
                <w:webHidden/>
              </w:rPr>
            </w:r>
            <w:r w:rsidR="00FB3E93">
              <w:rPr>
                <w:noProof/>
                <w:webHidden/>
              </w:rPr>
              <w:fldChar w:fldCharType="separate"/>
            </w:r>
            <w:r w:rsidR="004A5488">
              <w:rPr>
                <w:noProof/>
                <w:webHidden/>
              </w:rPr>
              <w:t>224</w:t>
            </w:r>
            <w:r w:rsidR="00FB3E93">
              <w:rPr>
                <w:noProof/>
                <w:webHidden/>
              </w:rPr>
              <w:fldChar w:fldCharType="end"/>
            </w:r>
          </w:hyperlink>
        </w:p>
        <w:p w14:paraId="2ED3F3E1" w14:textId="214A86C2" w:rsidR="00FB3E93" w:rsidRDefault="0049362F">
          <w:pPr>
            <w:pStyle w:val="TOC2"/>
            <w:rPr>
              <w:rFonts w:asciiTheme="minorHAnsi" w:eastAsiaTheme="minorEastAsia" w:hAnsiTheme="minorHAnsi"/>
              <w:b w:val="0"/>
              <w:bCs w:val="0"/>
              <w:lang w:eastAsia="it-IT"/>
            </w:rPr>
          </w:pPr>
          <w:hyperlink w:anchor="_Toc64619570" w:history="1">
            <w:r w:rsidR="00FB3E93" w:rsidRPr="00E90B20">
              <w:rPr>
                <w:rStyle w:val="Hyperlink"/>
                <w14:scene3d>
                  <w14:camera w14:prst="orthographicFront"/>
                  <w14:lightRig w14:rig="threePt" w14:dir="t">
                    <w14:rot w14:lat="0" w14:lon="0" w14:rev="0"/>
                  </w14:lightRig>
                </w14:scene3d>
              </w:rPr>
              <w:t>3.4.</w:t>
            </w:r>
            <w:r w:rsidR="00FB3E93">
              <w:rPr>
                <w:rFonts w:asciiTheme="minorHAnsi" w:eastAsiaTheme="minorEastAsia" w:hAnsiTheme="minorHAnsi"/>
                <w:b w:val="0"/>
                <w:bCs w:val="0"/>
                <w:lang w:eastAsia="it-IT"/>
              </w:rPr>
              <w:tab/>
            </w:r>
            <w:r w:rsidR="00FB3E93" w:rsidRPr="00E90B20">
              <w:rPr>
                <w:rStyle w:val="Hyperlink"/>
              </w:rPr>
              <w:t>Functional area typologies and urban quality factors</w:t>
            </w:r>
            <w:r w:rsidR="00FB3E93">
              <w:rPr>
                <w:webHidden/>
              </w:rPr>
              <w:tab/>
            </w:r>
            <w:r w:rsidR="00FB3E93">
              <w:rPr>
                <w:webHidden/>
              </w:rPr>
              <w:fldChar w:fldCharType="begin"/>
            </w:r>
            <w:r w:rsidR="00FB3E93">
              <w:rPr>
                <w:webHidden/>
              </w:rPr>
              <w:instrText xml:space="preserve"> PAGEREF _Toc64619570 \h </w:instrText>
            </w:r>
            <w:r w:rsidR="00FB3E93">
              <w:rPr>
                <w:webHidden/>
              </w:rPr>
            </w:r>
            <w:r w:rsidR="00FB3E93">
              <w:rPr>
                <w:webHidden/>
              </w:rPr>
              <w:fldChar w:fldCharType="separate"/>
            </w:r>
            <w:r w:rsidR="004A5488">
              <w:rPr>
                <w:webHidden/>
              </w:rPr>
              <w:t>227</w:t>
            </w:r>
            <w:r w:rsidR="00FB3E93">
              <w:rPr>
                <w:webHidden/>
              </w:rPr>
              <w:fldChar w:fldCharType="end"/>
            </w:r>
          </w:hyperlink>
        </w:p>
        <w:p w14:paraId="143FBB35" w14:textId="69CE5622" w:rsidR="00FB3E93" w:rsidRDefault="0049362F">
          <w:pPr>
            <w:pStyle w:val="TOC3"/>
            <w:rPr>
              <w:rFonts w:asciiTheme="minorHAnsi" w:eastAsiaTheme="minorEastAsia" w:hAnsiTheme="minorHAnsi"/>
              <w:noProof/>
              <w:lang w:eastAsia="it-IT"/>
            </w:rPr>
          </w:pPr>
          <w:hyperlink w:anchor="_Toc64619571" w:history="1">
            <w:r w:rsidR="00FB3E93" w:rsidRPr="00E90B20">
              <w:rPr>
                <w:rStyle w:val="Hyperlink"/>
                <w:noProof/>
                <w14:scene3d>
                  <w14:camera w14:prst="orthographicFront"/>
                  <w14:lightRig w14:rig="threePt" w14:dir="t">
                    <w14:rot w14:lat="0" w14:lon="0" w14:rev="0"/>
                  </w14:lightRig>
                </w14:scene3d>
              </w:rPr>
              <w:t>3.4.1.</w:t>
            </w:r>
            <w:r w:rsidR="00FB3E93">
              <w:rPr>
                <w:rFonts w:asciiTheme="minorHAnsi" w:eastAsiaTheme="minorEastAsia" w:hAnsiTheme="minorHAnsi"/>
                <w:noProof/>
                <w:lang w:eastAsia="it-IT"/>
              </w:rPr>
              <w:tab/>
            </w:r>
            <w:r w:rsidR="00FB3E93" w:rsidRPr="00E90B20">
              <w:rPr>
                <w:rStyle w:val="Hyperlink"/>
                <w:noProof/>
              </w:rPr>
              <w:t>Theoretical hinterlands and the influence of main urban centers</w:t>
            </w:r>
            <w:r w:rsidR="00FB3E93">
              <w:rPr>
                <w:noProof/>
                <w:webHidden/>
              </w:rPr>
              <w:tab/>
            </w:r>
            <w:r w:rsidR="00FB3E93">
              <w:rPr>
                <w:noProof/>
                <w:webHidden/>
              </w:rPr>
              <w:fldChar w:fldCharType="begin"/>
            </w:r>
            <w:r w:rsidR="00FB3E93">
              <w:rPr>
                <w:noProof/>
                <w:webHidden/>
              </w:rPr>
              <w:instrText xml:space="preserve"> PAGEREF _Toc64619571 \h </w:instrText>
            </w:r>
            <w:r w:rsidR="00FB3E93">
              <w:rPr>
                <w:noProof/>
                <w:webHidden/>
              </w:rPr>
            </w:r>
            <w:r w:rsidR="00FB3E93">
              <w:rPr>
                <w:noProof/>
                <w:webHidden/>
              </w:rPr>
              <w:fldChar w:fldCharType="separate"/>
            </w:r>
            <w:r w:rsidR="004A5488">
              <w:rPr>
                <w:noProof/>
                <w:webHidden/>
              </w:rPr>
              <w:t>227</w:t>
            </w:r>
            <w:r w:rsidR="00FB3E93">
              <w:rPr>
                <w:noProof/>
                <w:webHidden/>
              </w:rPr>
              <w:fldChar w:fldCharType="end"/>
            </w:r>
          </w:hyperlink>
        </w:p>
        <w:p w14:paraId="6BFDAA21" w14:textId="746CE8AC" w:rsidR="00FB3E93" w:rsidRDefault="0049362F">
          <w:pPr>
            <w:pStyle w:val="TOC3"/>
            <w:rPr>
              <w:rFonts w:asciiTheme="minorHAnsi" w:eastAsiaTheme="minorEastAsia" w:hAnsiTheme="minorHAnsi"/>
              <w:noProof/>
              <w:lang w:eastAsia="it-IT"/>
            </w:rPr>
          </w:pPr>
          <w:hyperlink w:anchor="_Toc64619572" w:history="1">
            <w:r w:rsidR="00FB3E93" w:rsidRPr="00E90B20">
              <w:rPr>
                <w:rStyle w:val="Hyperlink"/>
                <w:noProof/>
                <w14:scene3d>
                  <w14:camera w14:prst="orthographicFront"/>
                  <w14:lightRig w14:rig="threePt" w14:dir="t">
                    <w14:rot w14:lat="0" w14:lon="0" w14:rev="0"/>
                  </w14:lightRig>
                </w14:scene3d>
              </w:rPr>
              <w:t>3.4.2.</w:t>
            </w:r>
            <w:r w:rsidR="00FB3E93">
              <w:rPr>
                <w:rFonts w:asciiTheme="minorHAnsi" w:eastAsiaTheme="minorEastAsia" w:hAnsiTheme="minorHAnsi"/>
                <w:noProof/>
                <w:lang w:eastAsia="it-IT"/>
              </w:rPr>
              <w:tab/>
            </w:r>
            <w:r w:rsidR="00FB3E93" w:rsidRPr="00E90B20">
              <w:rPr>
                <w:rStyle w:val="Hyperlink"/>
                <w:noProof/>
              </w:rPr>
              <w:t>Urban centres: assessment of public functions</w:t>
            </w:r>
            <w:r w:rsidR="00FB3E93">
              <w:rPr>
                <w:noProof/>
                <w:webHidden/>
              </w:rPr>
              <w:tab/>
            </w:r>
            <w:r w:rsidR="00FB3E93">
              <w:rPr>
                <w:noProof/>
                <w:webHidden/>
              </w:rPr>
              <w:fldChar w:fldCharType="begin"/>
            </w:r>
            <w:r w:rsidR="00FB3E93">
              <w:rPr>
                <w:noProof/>
                <w:webHidden/>
              </w:rPr>
              <w:instrText xml:space="preserve"> PAGEREF _Toc64619572 \h </w:instrText>
            </w:r>
            <w:r w:rsidR="00FB3E93">
              <w:rPr>
                <w:noProof/>
                <w:webHidden/>
              </w:rPr>
            </w:r>
            <w:r w:rsidR="00FB3E93">
              <w:rPr>
                <w:noProof/>
                <w:webHidden/>
              </w:rPr>
              <w:fldChar w:fldCharType="separate"/>
            </w:r>
            <w:r w:rsidR="004A5488">
              <w:rPr>
                <w:noProof/>
                <w:webHidden/>
              </w:rPr>
              <w:t>228</w:t>
            </w:r>
            <w:r w:rsidR="00FB3E93">
              <w:rPr>
                <w:noProof/>
                <w:webHidden/>
              </w:rPr>
              <w:fldChar w:fldCharType="end"/>
            </w:r>
          </w:hyperlink>
        </w:p>
        <w:p w14:paraId="7D74B7EF" w14:textId="20538194" w:rsidR="00FB3E93" w:rsidRDefault="0049362F">
          <w:pPr>
            <w:pStyle w:val="TOC3"/>
            <w:rPr>
              <w:rFonts w:asciiTheme="minorHAnsi" w:eastAsiaTheme="minorEastAsia" w:hAnsiTheme="minorHAnsi"/>
              <w:noProof/>
              <w:lang w:eastAsia="it-IT"/>
            </w:rPr>
          </w:pPr>
          <w:hyperlink w:anchor="_Toc64619573" w:history="1">
            <w:r w:rsidR="00FB3E93" w:rsidRPr="00E90B20">
              <w:rPr>
                <w:rStyle w:val="Hyperlink"/>
                <w:noProof/>
                <w14:scene3d>
                  <w14:camera w14:prst="orthographicFront"/>
                  <w14:lightRig w14:rig="threePt" w14:dir="t">
                    <w14:rot w14:lat="0" w14:lon="0" w14:rev="0"/>
                  </w14:lightRig>
                </w14:scene3d>
              </w:rPr>
              <w:t>3.4.3.</w:t>
            </w:r>
            <w:r w:rsidR="00FB3E93">
              <w:rPr>
                <w:rFonts w:asciiTheme="minorHAnsi" w:eastAsiaTheme="minorEastAsia" w:hAnsiTheme="minorHAnsi"/>
                <w:noProof/>
                <w:lang w:eastAsia="it-IT"/>
              </w:rPr>
              <w:tab/>
            </w:r>
            <w:r w:rsidR="00FB3E93" w:rsidRPr="00E90B20">
              <w:rPr>
                <w:rStyle w:val="Hyperlink"/>
                <w:noProof/>
              </w:rPr>
              <w:t>Polycentricity in the PA</w:t>
            </w:r>
            <w:r w:rsidR="00FB3E93">
              <w:rPr>
                <w:noProof/>
                <w:webHidden/>
              </w:rPr>
              <w:tab/>
            </w:r>
            <w:r w:rsidR="00FB3E93">
              <w:rPr>
                <w:noProof/>
                <w:webHidden/>
              </w:rPr>
              <w:fldChar w:fldCharType="begin"/>
            </w:r>
            <w:r w:rsidR="00FB3E93">
              <w:rPr>
                <w:noProof/>
                <w:webHidden/>
              </w:rPr>
              <w:instrText xml:space="preserve"> PAGEREF _Toc64619573 \h </w:instrText>
            </w:r>
            <w:r w:rsidR="00FB3E93">
              <w:rPr>
                <w:noProof/>
                <w:webHidden/>
              </w:rPr>
            </w:r>
            <w:r w:rsidR="00FB3E93">
              <w:rPr>
                <w:noProof/>
                <w:webHidden/>
              </w:rPr>
              <w:fldChar w:fldCharType="separate"/>
            </w:r>
            <w:r w:rsidR="004A5488">
              <w:rPr>
                <w:noProof/>
                <w:webHidden/>
              </w:rPr>
              <w:t>234</w:t>
            </w:r>
            <w:r w:rsidR="00FB3E93">
              <w:rPr>
                <w:noProof/>
                <w:webHidden/>
              </w:rPr>
              <w:fldChar w:fldCharType="end"/>
            </w:r>
          </w:hyperlink>
        </w:p>
        <w:p w14:paraId="01C14716" w14:textId="17BDCB19" w:rsidR="00FB3E93" w:rsidRDefault="0049362F">
          <w:pPr>
            <w:pStyle w:val="TOC1"/>
            <w:rPr>
              <w:rFonts w:asciiTheme="minorHAnsi" w:eastAsiaTheme="minorEastAsia" w:hAnsiTheme="minorHAnsi"/>
              <w:b w:val="0"/>
              <w:bCs w:val="0"/>
              <w:lang w:eastAsia="it-IT"/>
            </w:rPr>
          </w:pPr>
          <w:hyperlink w:anchor="_Toc64619574" w:history="1">
            <w:r w:rsidR="00FB3E93" w:rsidRPr="00E90B20">
              <w:rPr>
                <w:rStyle w:val="Hyperlink"/>
              </w:rPr>
              <w:t>4.</w:t>
            </w:r>
            <w:r w:rsidR="00FB3E93">
              <w:rPr>
                <w:rFonts w:asciiTheme="minorHAnsi" w:eastAsiaTheme="minorEastAsia" w:hAnsiTheme="minorHAnsi"/>
                <w:b w:val="0"/>
                <w:bCs w:val="0"/>
                <w:lang w:eastAsia="it-IT"/>
              </w:rPr>
              <w:tab/>
            </w:r>
            <w:r w:rsidR="00FB3E93" w:rsidRPr="00E90B20">
              <w:rPr>
                <w:rStyle w:val="Hyperlink"/>
              </w:rPr>
              <w:t>Provisional conclusions. Orientations for the next cooperation programme</w:t>
            </w:r>
            <w:r w:rsidR="00FB3E93">
              <w:rPr>
                <w:webHidden/>
              </w:rPr>
              <w:tab/>
            </w:r>
            <w:r w:rsidR="00FB3E93">
              <w:rPr>
                <w:webHidden/>
              </w:rPr>
              <w:fldChar w:fldCharType="begin"/>
            </w:r>
            <w:r w:rsidR="00FB3E93">
              <w:rPr>
                <w:webHidden/>
              </w:rPr>
              <w:instrText xml:space="preserve"> PAGEREF _Toc64619574 \h </w:instrText>
            </w:r>
            <w:r w:rsidR="00FB3E93">
              <w:rPr>
                <w:webHidden/>
              </w:rPr>
            </w:r>
            <w:r w:rsidR="00FB3E93">
              <w:rPr>
                <w:webHidden/>
              </w:rPr>
              <w:fldChar w:fldCharType="separate"/>
            </w:r>
            <w:r w:rsidR="004A5488">
              <w:rPr>
                <w:webHidden/>
              </w:rPr>
              <w:t>238</w:t>
            </w:r>
            <w:r w:rsidR="00FB3E93">
              <w:rPr>
                <w:webHidden/>
              </w:rPr>
              <w:fldChar w:fldCharType="end"/>
            </w:r>
          </w:hyperlink>
        </w:p>
        <w:p w14:paraId="6ED0C2D3" w14:textId="551D45A7" w:rsidR="00FB3E93" w:rsidRDefault="0049362F">
          <w:pPr>
            <w:pStyle w:val="TOC2"/>
            <w:rPr>
              <w:rFonts w:asciiTheme="minorHAnsi" w:eastAsiaTheme="minorEastAsia" w:hAnsiTheme="minorHAnsi"/>
              <w:b w:val="0"/>
              <w:bCs w:val="0"/>
              <w:lang w:eastAsia="it-IT"/>
            </w:rPr>
          </w:pPr>
          <w:hyperlink w:anchor="_Toc64619575" w:history="1">
            <w:r w:rsidR="00FB3E93" w:rsidRPr="00E90B20">
              <w:rPr>
                <w:rStyle w:val="Hyperlink"/>
                <w14:scene3d>
                  <w14:camera w14:prst="orthographicFront"/>
                  <w14:lightRig w14:rig="threePt" w14:dir="t">
                    <w14:rot w14:lat="0" w14:lon="0" w14:rev="0"/>
                  </w14:lightRig>
                </w14:scene3d>
              </w:rPr>
              <w:t>4.1.</w:t>
            </w:r>
            <w:r w:rsidR="00FB3E93">
              <w:rPr>
                <w:rFonts w:asciiTheme="minorHAnsi" w:eastAsiaTheme="minorEastAsia" w:hAnsiTheme="minorHAnsi"/>
                <w:b w:val="0"/>
                <w:bCs w:val="0"/>
                <w:lang w:eastAsia="it-IT"/>
              </w:rPr>
              <w:tab/>
            </w:r>
            <w:r w:rsidR="00FB3E93" w:rsidRPr="00E90B20">
              <w:rPr>
                <w:rStyle w:val="Hyperlink"/>
              </w:rPr>
              <w:t>Main conclusions from consultations and lessons learnt: building the methodology for scenario development</w:t>
            </w:r>
            <w:r w:rsidR="00FB3E93">
              <w:rPr>
                <w:webHidden/>
              </w:rPr>
              <w:tab/>
            </w:r>
            <w:r w:rsidR="00FB3E93">
              <w:rPr>
                <w:webHidden/>
              </w:rPr>
              <w:fldChar w:fldCharType="begin"/>
            </w:r>
            <w:r w:rsidR="00FB3E93">
              <w:rPr>
                <w:webHidden/>
              </w:rPr>
              <w:instrText xml:space="preserve"> PAGEREF _Toc64619575 \h </w:instrText>
            </w:r>
            <w:r w:rsidR="00FB3E93">
              <w:rPr>
                <w:webHidden/>
              </w:rPr>
            </w:r>
            <w:r w:rsidR="00FB3E93">
              <w:rPr>
                <w:webHidden/>
              </w:rPr>
              <w:fldChar w:fldCharType="separate"/>
            </w:r>
            <w:r w:rsidR="004A5488">
              <w:rPr>
                <w:webHidden/>
              </w:rPr>
              <w:t>238</w:t>
            </w:r>
            <w:r w:rsidR="00FB3E93">
              <w:rPr>
                <w:webHidden/>
              </w:rPr>
              <w:fldChar w:fldCharType="end"/>
            </w:r>
          </w:hyperlink>
        </w:p>
        <w:p w14:paraId="59CEFC75" w14:textId="362A3766" w:rsidR="00FB3E93" w:rsidRDefault="0049362F">
          <w:pPr>
            <w:pStyle w:val="TOC3"/>
            <w:rPr>
              <w:rFonts w:asciiTheme="minorHAnsi" w:eastAsiaTheme="minorEastAsia" w:hAnsiTheme="minorHAnsi"/>
              <w:noProof/>
              <w:lang w:eastAsia="it-IT"/>
            </w:rPr>
          </w:pPr>
          <w:hyperlink w:anchor="_Toc64619576" w:history="1">
            <w:r w:rsidR="00FB3E93" w:rsidRPr="00E90B20">
              <w:rPr>
                <w:rStyle w:val="Hyperlink"/>
                <w:rFonts w:eastAsia="Calibri" w:cs="Calibri"/>
                <w:noProof/>
                <w14:scene3d>
                  <w14:camera w14:prst="orthographicFront"/>
                  <w14:lightRig w14:rig="threePt" w14:dir="t">
                    <w14:rot w14:lat="0" w14:lon="0" w14:rev="0"/>
                  </w14:lightRig>
                </w14:scene3d>
              </w:rPr>
              <w:t>4.1.1.</w:t>
            </w:r>
            <w:r w:rsidR="00FB3E93">
              <w:rPr>
                <w:rFonts w:asciiTheme="minorHAnsi" w:eastAsiaTheme="minorEastAsia" w:hAnsiTheme="minorHAnsi"/>
                <w:noProof/>
                <w:lang w:eastAsia="it-IT"/>
              </w:rPr>
              <w:tab/>
            </w:r>
            <w:r w:rsidR="00FB3E93" w:rsidRPr="00E90B20">
              <w:rPr>
                <w:rStyle w:val="Hyperlink"/>
                <w:rFonts w:eastAsia="Calibri" w:cs="Calibri"/>
                <w:noProof/>
              </w:rPr>
              <w:t>Consultations held up to date</w:t>
            </w:r>
            <w:r w:rsidR="00FB3E93">
              <w:rPr>
                <w:noProof/>
                <w:webHidden/>
              </w:rPr>
              <w:tab/>
            </w:r>
            <w:r w:rsidR="00FB3E93">
              <w:rPr>
                <w:noProof/>
                <w:webHidden/>
              </w:rPr>
              <w:fldChar w:fldCharType="begin"/>
            </w:r>
            <w:r w:rsidR="00FB3E93">
              <w:rPr>
                <w:noProof/>
                <w:webHidden/>
              </w:rPr>
              <w:instrText xml:space="preserve"> PAGEREF _Toc64619576 \h </w:instrText>
            </w:r>
            <w:r w:rsidR="00FB3E93">
              <w:rPr>
                <w:noProof/>
                <w:webHidden/>
              </w:rPr>
            </w:r>
            <w:r w:rsidR="00FB3E93">
              <w:rPr>
                <w:noProof/>
                <w:webHidden/>
              </w:rPr>
              <w:fldChar w:fldCharType="separate"/>
            </w:r>
            <w:r w:rsidR="004A5488">
              <w:rPr>
                <w:noProof/>
                <w:webHidden/>
              </w:rPr>
              <w:t>238</w:t>
            </w:r>
            <w:r w:rsidR="00FB3E93">
              <w:rPr>
                <w:noProof/>
                <w:webHidden/>
              </w:rPr>
              <w:fldChar w:fldCharType="end"/>
            </w:r>
          </w:hyperlink>
        </w:p>
        <w:p w14:paraId="74B80352" w14:textId="4905C92F" w:rsidR="00FB3E93" w:rsidRDefault="0049362F">
          <w:pPr>
            <w:pStyle w:val="TOC3"/>
            <w:rPr>
              <w:rFonts w:asciiTheme="minorHAnsi" w:eastAsiaTheme="minorEastAsia" w:hAnsiTheme="minorHAnsi"/>
              <w:noProof/>
              <w:lang w:eastAsia="it-IT"/>
            </w:rPr>
          </w:pPr>
          <w:hyperlink w:anchor="_Toc64619577" w:history="1">
            <w:r w:rsidR="00FB3E93" w:rsidRPr="00E90B20">
              <w:rPr>
                <w:rStyle w:val="Hyperlink"/>
                <w:rFonts w:eastAsia="Calibri" w:cs="Calibri"/>
                <w:noProof/>
                <w14:scene3d>
                  <w14:camera w14:prst="orthographicFront"/>
                  <w14:lightRig w14:rig="threePt" w14:dir="t">
                    <w14:rot w14:lat="0" w14:lon="0" w14:rev="0"/>
                  </w14:lightRig>
                </w14:scene3d>
              </w:rPr>
              <w:t>4.1.2.</w:t>
            </w:r>
            <w:r w:rsidR="00FB3E93">
              <w:rPr>
                <w:rFonts w:asciiTheme="minorHAnsi" w:eastAsiaTheme="minorEastAsia" w:hAnsiTheme="minorHAnsi"/>
                <w:noProof/>
                <w:lang w:eastAsia="it-IT"/>
              </w:rPr>
              <w:tab/>
            </w:r>
            <w:r w:rsidR="00FB3E93" w:rsidRPr="00E90B20">
              <w:rPr>
                <w:rStyle w:val="Hyperlink"/>
                <w:rFonts w:eastAsia="Calibri" w:cs="Calibri"/>
                <w:noProof/>
              </w:rPr>
              <w:t>Lessons learnt and the strategic project concept</w:t>
            </w:r>
            <w:r w:rsidR="00FB3E93">
              <w:rPr>
                <w:noProof/>
                <w:webHidden/>
              </w:rPr>
              <w:tab/>
            </w:r>
            <w:r w:rsidR="00FB3E93">
              <w:rPr>
                <w:noProof/>
                <w:webHidden/>
              </w:rPr>
              <w:fldChar w:fldCharType="begin"/>
            </w:r>
            <w:r w:rsidR="00FB3E93">
              <w:rPr>
                <w:noProof/>
                <w:webHidden/>
              </w:rPr>
              <w:instrText xml:space="preserve"> PAGEREF _Toc64619577 \h </w:instrText>
            </w:r>
            <w:r w:rsidR="00FB3E93">
              <w:rPr>
                <w:noProof/>
                <w:webHidden/>
              </w:rPr>
            </w:r>
            <w:r w:rsidR="00FB3E93">
              <w:rPr>
                <w:noProof/>
                <w:webHidden/>
              </w:rPr>
              <w:fldChar w:fldCharType="separate"/>
            </w:r>
            <w:r w:rsidR="004A5488">
              <w:rPr>
                <w:noProof/>
                <w:webHidden/>
              </w:rPr>
              <w:t>241</w:t>
            </w:r>
            <w:r w:rsidR="00FB3E93">
              <w:rPr>
                <w:noProof/>
                <w:webHidden/>
              </w:rPr>
              <w:fldChar w:fldCharType="end"/>
            </w:r>
          </w:hyperlink>
        </w:p>
        <w:p w14:paraId="5264536E" w14:textId="55721A74" w:rsidR="00FB3E93" w:rsidRDefault="0049362F">
          <w:pPr>
            <w:pStyle w:val="TOC3"/>
            <w:rPr>
              <w:rFonts w:asciiTheme="minorHAnsi" w:eastAsiaTheme="minorEastAsia" w:hAnsiTheme="minorHAnsi"/>
              <w:noProof/>
              <w:lang w:eastAsia="it-IT"/>
            </w:rPr>
          </w:pPr>
          <w:hyperlink w:anchor="_Toc64619578" w:history="1">
            <w:r w:rsidR="00FB3E93" w:rsidRPr="00E90B20">
              <w:rPr>
                <w:rStyle w:val="Hyperlink"/>
                <w:noProof/>
                <w14:scene3d>
                  <w14:camera w14:prst="orthographicFront"/>
                  <w14:lightRig w14:rig="threePt" w14:dir="t">
                    <w14:rot w14:lat="0" w14:lon="0" w14:rev="0"/>
                  </w14:lightRig>
                </w14:scene3d>
              </w:rPr>
              <w:t>4.1.3.</w:t>
            </w:r>
            <w:r w:rsidR="00FB3E93">
              <w:rPr>
                <w:rFonts w:asciiTheme="minorHAnsi" w:eastAsiaTheme="minorEastAsia" w:hAnsiTheme="minorHAnsi"/>
                <w:noProof/>
                <w:lang w:eastAsia="it-IT"/>
              </w:rPr>
              <w:tab/>
            </w:r>
            <w:r w:rsidR="00FB3E93" w:rsidRPr="00E90B20">
              <w:rPr>
                <w:rStyle w:val="Hyperlink"/>
                <w:noProof/>
              </w:rPr>
              <w:t>Scenario development methodology</w:t>
            </w:r>
            <w:r w:rsidR="00FB3E93">
              <w:rPr>
                <w:noProof/>
                <w:webHidden/>
              </w:rPr>
              <w:tab/>
            </w:r>
            <w:r w:rsidR="00FB3E93">
              <w:rPr>
                <w:noProof/>
                <w:webHidden/>
              </w:rPr>
              <w:fldChar w:fldCharType="begin"/>
            </w:r>
            <w:r w:rsidR="00FB3E93">
              <w:rPr>
                <w:noProof/>
                <w:webHidden/>
              </w:rPr>
              <w:instrText xml:space="preserve"> PAGEREF _Toc64619578 \h </w:instrText>
            </w:r>
            <w:r w:rsidR="00FB3E93">
              <w:rPr>
                <w:noProof/>
                <w:webHidden/>
              </w:rPr>
            </w:r>
            <w:r w:rsidR="00FB3E93">
              <w:rPr>
                <w:noProof/>
                <w:webHidden/>
              </w:rPr>
              <w:fldChar w:fldCharType="separate"/>
            </w:r>
            <w:r w:rsidR="004A5488">
              <w:rPr>
                <w:noProof/>
                <w:webHidden/>
              </w:rPr>
              <w:t>243</w:t>
            </w:r>
            <w:r w:rsidR="00FB3E93">
              <w:rPr>
                <w:noProof/>
                <w:webHidden/>
              </w:rPr>
              <w:fldChar w:fldCharType="end"/>
            </w:r>
          </w:hyperlink>
        </w:p>
        <w:p w14:paraId="6DE17980" w14:textId="47F5E102" w:rsidR="00FB3E93" w:rsidRDefault="0049362F">
          <w:pPr>
            <w:pStyle w:val="TOC2"/>
            <w:rPr>
              <w:rFonts w:asciiTheme="minorHAnsi" w:eastAsiaTheme="minorEastAsia" w:hAnsiTheme="minorHAnsi"/>
              <w:b w:val="0"/>
              <w:bCs w:val="0"/>
              <w:lang w:eastAsia="it-IT"/>
            </w:rPr>
          </w:pPr>
          <w:hyperlink w:anchor="_Toc64619579" w:history="1">
            <w:r w:rsidR="00FB3E93" w:rsidRPr="00E90B20">
              <w:rPr>
                <w:rStyle w:val="Hyperlink"/>
                <w14:scene3d>
                  <w14:camera w14:prst="orthographicFront"/>
                  <w14:lightRig w14:rig="threePt" w14:dir="t">
                    <w14:rot w14:lat="0" w14:lon="0" w14:rev="0"/>
                  </w14:lightRig>
                </w14:scene3d>
              </w:rPr>
              <w:t>4.2.</w:t>
            </w:r>
            <w:r w:rsidR="00FB3E93">
              <w:rPr>
                <w:rFonts w:asciiTheme="minorHAnsi" w:eastAsiaTheme="minorEastAsia" w:hAnsiTheme="minorHAnsi"/>
                <w:b w:val="0"/>
                <w:bCs w:val="0"/>
                <w:lang w:eastAsia="it-IT"/>
              </w:rPr>
              <w:tab/>
            </w:r>
            <w:r w:rsidR="00FB3E93" w:rsidRPr="00E90B20">
              <w:rPr>
                <w:rStyle w:val="Hyperlink"/>
              </w:rPr>
              <w:t>Orientations for the next cooperation programme suggested for consideration</w:t>
            </w:r>
            <w:r w:rsidR="00FB3E93">
              <w:rPr>
                <w:webHidden/>
              </w:rPr>
              <w:tab/>
            </w:r>
            <w:r w:rsidR="00FB3E93">
              <w:rPr>
                <w:webHidden/>
              </w:rPr>
              <w:fldChar w:fldCharType="begin"/>
            </w:r>
            <w:r w:rsidR="00FB3E93">
              <w:rPr>
                <w:webHidden/>
              </w:rPr>
              <w:instrText xml:space="preserve"> PAGEREF _Toc64619579 \h </w:instrText>
            </w:r>
            <w:r w:rsidR="00FB3E93">
              <w:rPr>
                <w:webHidden/>
              </w:rPr>
            </w:r>
            <w:r w:rsidR="00FB3E93">
              <w:rPr>
                <w:webHidden/>
              </w:rPr>
              <w:fldChar w:fldCharType="separate"/>
            </w:r>
            <w:r w:rsidR="004A5488">
              <w:rPr>
                <w:webHidden/>
              </w:rPr>
              <w:t>244</w:t>
            </w:r>
            <w:r w:rsidR="00FB3E93">
              <w:rPr>
                <w:webHidden/>
              </w:rPr>
              <w:fldChar w:fldCharType="end"/>
            </w:r>
          </w:hyperlink>
        </w:p>
        <w:p w14:paraId="7DFF1BD5" w14:textId="501508FF" w:rsidR="00FB3E93" w:rsidRDefault="0049362F">
          <w:pPr>
            <w:pStyle w:val="TOC3"/>
            <w:rPr>
              <w:rFonts w:asciiTheme="minorHAnsi" w:eastAsiaTheme="minorEastAsia" w:hAnsiTheme="minorHAnsi"/>
              <w:noProof/>
              <w:lang w:eastAsia="it-IT"/>
            </w:rPr>
          </w:pPr>
          <w:hyperlink w:anchor="_Toc64619580" w:history="1">
            <w:r w:rsidR="00FB3E93" w:rsidRPr="00E90B20">
              <w:rPr>
                <w:rStyle w:val="Hyperlink"/>
                <w:noProof/>
                <w14:scene3d>
                  <w14:camera w14:prst="orthographicFront"/>
                  <w14:lightRig w14:rig="threePt" w14:dir="t">
                    <w14:rot w14:lat="0" w14:lon="0" w14:rev="0"/>
                  </w14:lightRig>
                </w14:scene3d>
              </w:rPr>
              <w:t>4.2.1.</w:t>
            </w:r>
            <w:r w:rsidR="00FB3E93">
              <w:rPr>
                <w:rFonts w:asciiTheme="minorHAnsi" w:eastAsiaTheme="minorEastAsia" w:hAnsiTheme="minorHAnsi"/>
                <w:noProof/>
                <w:lang w:eastAsia="it-IT"/>
              </w:rPr>
              <w:tab/>
            </w:r>
            <w:r w:rsidR="00FB3E93" w:rsidRPr="00E90B20">
              <w:rPr>
                <w:rStyle w:val="Hyperlink"/>
                <w:noProof/>
              </w:rPr>
              <w:t>A SMARTER CROSS-BORDER AREA</w:t>
            </w:r>
            <w:r w:rsidR="00FB3E93">
              <w:rPr>
                <w:noProof/>
                <w:webHidden/>
              </w:rPr>
              <w:tab/>
            </w:r>
            <w:r w:rsidR="00FB3E93">
              <w:rPr>
                <w:noProof/>
                <w:webHidden/>
              </w:rPr>
              <w:fldChar w:fldCharType="begin"/>
            </w:r>
            <w:r w:rsidR="00FB3E93">
              <w:rPr>
                <w:noProof/>
                <w:webHidden/>
              </w:rPr>
              <w:instrText xml:space="preserve"> PAGEREF _Toc64619580 \h </w:instrText>
            </w:r>
            <w:r w:rsidR="00FB3E93">
              <w:rPr>
                <w:noProof/>
                <w:webHidden/>
              </w:rPr>
            </w:r>
            <w:r w:rsidR="00FB3E93">
              <w:rPr>
                <w:noProof/>
                <w:webHidden/>
              </w:rPr>
              <w:fldChar w:fldCharType="separate"/>
            </w:r>
            <w:r w:rsidR="004A5488">
              <w:rPr>
                <w:noProof/>
                <w:webHidden/>
              </w:rPr>
              <w:t>244</w:t>
            </w:r>
            <w:r w:rsidR="00FB3E93">
              <w:rPr>
                <w:noProof/>
                <w:webHidden/>
              </w:rPr>
              <w:fldChar w:fldCharType="end"/>
            </w:r>
          </w:hyperlink>
        </w:p>
        <w:p w14:paraId="3EDBAFCB" w14:textId="29EAD4F1" w:rsidR="00FB3E93" w:rsidRDefault="0049362F">
          <w:pPr>
            <w:pStyle w:val="TOC3"/>
            <w:rPr>
              <w:rFonts w:asciiTheme="minorHAnsi" w:eastAsiaTheme="minorEastAsia" w:hAnsiTheme="minorHAnsi"/>
              <w:noProof/>
              <w:lang w:eastAsia="it-IT"/>
            </w:rPr>
          </w:pPr>
          <w:hyperlink w:anchor="_Toc64619581" w:history="1">
            <w:r w:rsidR="00FB3E93" w:rsidRPr="00E90B20">
              <w:rPr>
                <w:rStyle w:val="Hyperlink"/>
                <w:noProof/>
                <w14:scene3d>
                  <w14:camera w14:prst="orthographicFront"/>
                  <w14:lightRig w14:rig="threePt" w14:dir="t">
                    <w14:rot w14:lat="0" w14:lon="0" w14:rev="0"/>
                  </w14:lightRig>
                </w14:scene3d>
              </w:rPr>
              <w:t>4.2.2.</w:t>
            </w:r>
            <w:r w:rsidR="00FB3E93">
              <w:rPr>
                <w:rFonts w:asciiTheme="minorHAnsi" w:eastAsiaTheme="minorEastAsia" w:hAnsiTheme="minorHAnsi"/>
                <w:noProof/>
                <w:lang w:eastAsia="it-IT"/>
              </w:rPr>
              <w:tab/>
            </w:r>
            <w:r w:rsidR="00FB3E93" w:rsidRPr="00E90B20">
              <w:rPr>
                <w:rStyle w:val="Hyperlink"/>
                <w:noProof/>
              </w:rPr>
              <w:t>A GREENER REGION (PO2)</w:t>
            </w:r>
            <w:r w:rsidR="00FB3E93">
              <w:rPr>
                <w:noProof/>
                <w:webHidden/>
              </w:rPr>
              <w:tab/>
            </w:r>
            <w:r w:rsidR="00FB3E93">
              <w:rPr>
                <w:noProof/>
                <w:webHidden/>
              </w:rPr>
              <w:fldChar w:fldCharType="begin"/>
            </w:r>
            <w:r w:rsidR="00FB3E93">
              <w:rPr>
                <w:noProof/>
                <w:webHidden/>
              </w:rPr>
              <w:instrText xml:space="preserve"> PAGEREF _Toc64619581 \h </w:instrText>
            </w:r>
            <w:r w:rsidR="00FB3E93">
              <w:rPr>
                <w:noProof/>
                <w:webHidden/>
              </w:rPr>
            </w:r>
            <w:r w:rsidR="00FB3E93">
              <w:rPr>
                <w:noProof/>
                <w:webHidden/>
              </w:rPr>
              <w:fldChar w:fldCharType="separate"/>
            </w:r>
            <w:r w:rsidR="004A5488">
              <w:rPr>
                <w:noProof/>
                <w:webHidden/>
              </w:rPr>
              <w:t>245</w:t>
            </w:r>
            <w:r w:rsidR="00FB3E93">
              <w:rPr>
                <w:noProof/>
                <w:webHidden/>
              </w:rPr>
              <w:fldChar w:fldCharType="end"/>
            </w:r>
          </w:hyperlink>
        </w:p>
        <w:p w14:paraId="0CF3CA81" w14:textId="21EF6EA3" w:rsidR="00FB3E93" w:rsidRDefault="0049362F">
          <w:pPr>
            <w:pStyle w:val="TOC3"/>
            <w:rPr>
              <w:rFonts w:asciiTheme="minorHAnsi" w:eastAsiaTheme="minorEastAsia" w:hAnsiTheme="minorHAnsi"/>
              <w:noProof/>
              <w:lang w:eastAsia="it-IT"/>
            </w:rPr>
          </w:pPr>
          <w:hyperlink w:anchor="_Toc64619582" w:history="1">
            <w:r w:rsidR="00FB3E93" w:rsidRPr="00E90B20">
              <w:rPr>
                <w:rStyle w:val="Hyperlink"/>
                <w:noProof/>
                <w14:scene3d>
                  <w14:camera w14:prst="orthographicFront"/>
                  <w14:lightRig w14:rig="threePt" w14:dir="t">
                    <w14:rot w14:lat="0" w14:lon="0" w14:rev="0"/>
                  </w14:lightRig>
                </w14:scene3d>
              </w:rPr>
              <w:t>4.2.3.</w:t>
            </w:r>
            <w:r w:rsidR="00FB3E93">
              <w:rPr>
                <w:rFonts w:asciiTheme="minorHAnsi" w:eastAsiaTheme="minorEastAsia" w:hAnsiTheme="minorHAnsi"/>
                <w:noProof/>
                <w:lang w:eastAsia="it-IT"/>
              </w:rPr>
              <w:tab/>
            </w:r>
            <w:r w:rsidR="00FB3E93" w:rsidRPr="00E90B20">
              <w:rPr>
                <w:rStyle w:val="Hyperlink"/>
                <w:noProof/>
              </w:rPr>
              <w:t>A MORE CONNECTED REGION</w:t>
            </w:r>
            <w:r w:rsidR="00FB3E93">
              <w:rPr>
                <w:noProof/>
                <w:webHidden/>
              </w:rPr>
              <w:tab/>
            </w:r>
            <w:r w:rsidR="00FB3E93">
              <w:rPr>
                <w:noProof/>
                <w:webHidden/>
              </w:rPr>
              <w:fldChar w:fldCharType="begin"/>
            </w:r>
            <w:r w:rsidR="00FB3E93">
              <w:rPr>
                <w:noProof/>
                <w:webHidden/>
              </w:rPr>
              <w:instrText xml:space="preserve"> PAGEREF _Toc64619582 \h </w:instrText>
            </w:r>
            <w:r w:rsidR="00FB3E93">
              <w:rPr>
                <w:noProof/>
                <w:webHidden/>
              </w:rPr>
            </w:r>
            <w:r w:rsidR="00FB3E93">
              <w:rPr>
                <w:noProof/>
                <w:webHidden/>
              </w:rPr>
              <w:fldChar w:fldCharType="separate"/>
            </w:r>
            <w:r w:rsidR="004A5488">
              <w:rPr>
                <w:noProof/>
                <w:webHidden/>
              </w:rPr>
              <w:t>246</w:t>
            </w:r>
            <w:r w:rsidR="00FB3E93">
              <w:rPr>
                <w:noProof/>
                <w:webHidden/>
              </w:rPr>
              <w:fldChar w:fldCharType="end"/>
            </w:r>
          </w:hyperlink>
        </w:p>
        <w:p w14:paraId="7FAC5C79" w14:textId="64C7DB22" w:rsidR="00FB3E93" w:rsidRDefault="0049362F">
          <w:pPr>
            <w:pStyle w:val="TOC3"/>
            <w:rPr>
              <w:rFonts w:asciiTheme="minorHAnsi" w:eastAsiaTheme="minorEastAsia" w:hAnsiTheme="minorHAnsi"/>
              <w:noProof/>
              <w:lang w:eastAsia="it-IT"/>
            </w:rPr>
          </w:pPr>
          <w:hyperlink w:anchor="_Toc64619583" w:history="1">
            <w:r w:rsidR="00FB3E93" w:rsidRPr="00E90B20">
              <w:rPr>
                <w:rStyle w:val="Hyperlink"/>
                <w:noProof/>
                <w14:scene3d>
                  <w14:camera w14:prst="orthographicFront"/>
                  <w14:lightRig w14:rig="threePt" w14:dir="t">
                    <w14:rot w14:lat="0" w14:lon="0" w14:rev="0"/>
                  </w14:lightRig>
                </w14:scene3d>
              </w:rPr>
              <w:t>4.2.4.</w:t>
            </w:r>
            <w:r w:rsidR="00FB3E93">
              <w:rPr>
                <w:rFonts w:asciiTheme="minorHAnsi" w:eastAsiaTheme="minorEastAsia" w:hAnsiTheme="minorHAnsi"/>
                <w:noProof/>
                <w:lang w:eastAsia="it-IT"/>
              </w:rPr>
              <w:tab/>
            </w:r>
            <w:r w:rsidR="00FB3E93" w:rsidRPr="00E90B20">
              <w:rPr>
                <w:rStyle w:val="Hyperlink"/>
                <w:noProof/>
              </w:rPr>
              <w:t>A MORE SOCIAL REGION</w:t>
            </w:r>
            <w:r w:rsidR="00FB3E93">
              <w:rPr>
                <w:noProof/>
                <w:webHidden/>
              </w:rPr>
              <w:tab/>
            </w:r>
            <w:r w:rsidR="00FB3E93">
              <w:rPr>
                <w:noProof/>
                <w:webHidden/>
              </w:rPr>
              <w:fldChar w:fldCharType="begin"/>
            </w:r>
            <w:r w:rsidR="00FB3E93">
              <w:rPr>
                <w:noProof/>
                <w:webHidden/>
              </w:rPr>
              <w:instrText xml:space="preserve"> PAGEREF _Toc64619583 \h </w:instrText>
            </w:r>
            <w:r w:rsidR="00FB3E93">
              <w:rPr>
                <w:noProof/>
                <w:webHidden/>
              </w:rPr>
            </w:r>
            <w:r w:rsidR="00FB3E93">
              <w:rPr>
                <w:noProof/>
                <w:webHidden/>
              </w:rPr>
              <w:fldChar w:fldCharType="separate"/>
            </w:r>
            <w:r w:rsidR="004A5488">
              <w:rPr>
                <w:noProof/>
                <w:webHidden/>
              </w:rPr>
              <w:t>247</w:t>
            </w:r>
            <w:r w:rsidR="00FB3E93">
              <w:rPr>
                <w:noProof/>
                <w:webHidden/>
              </w:rPr>
              <w:fldChar w:fldCharType="end"/>
            </w:r>
          </w:hyperlink>
        </w:p>
        <w:p w14:paraId="12649535" w14:textId="40CE6F0D" w:rsidR="00FB3E93" w:rsidRDefault="0049362F">
          <w:pPr>
            <w:pStyle w:val="TOC3"/>
            <w:rPr>
              <w:rFonts w:asciiTheme="minorHAnsi" w:eastAsiaTheme="minorEastAsia" w:hAnsiTheme="minorHAnsi"/>
              <w:noProof/>
              <w:lang w:eastAsia="it-IT"/>
            </w:rPr>
          </w:pPr>
          <w:hyperlink w:anchor="_Toc64619584" w:history="1">
            <w:r w:rsidR="00FB3E93" w:rsidRPr="00E90B20">
              <w:rPr>
                <w:rStyle w:val="Hyperlink"/>
                <w:noProof/>
                <w14:scene3d>
                  <w14:camera w14:prst="orthographicFront"/>
                  <w14:lightRig w14:rig="threePt" w14:dir="t">
                    <w14:rot w14:lat="0" w14:lon="0" w14:rev="0"/>
                  </w14:lightRig>
                </w14:scene3d>
              </w:rPr>
              <w:t>4.2.5.</w:t>
            </w:r>
            <w:r w:rsidR="00FB3E93">
              <w:rPr>
                <w:rFonts w:asciiTheme="minorHAnsi" w:eastAsiaTheme="minorEastAsia" w:hAnsiTheme="minorHAnsi"/>
                <w:noProof/>
                <w:lang w:eastAsia="it-IT"/>
              </w:rPr>
              <w:tab/>
            </w:r>
            <w:r w:rsidR="00FB3E93" w:rsidRPr="00E90B20">
              <w:rPr>
                <w:rStyle w:val="Hyperlink"/>
                <w:noProof/>
              </w:rPr>
              <w:t>THE REGION CLOSER TO ITS CITIZENS</w:t>
            </w:r>
            <w:r w:rsidR="00FB3E93">
              <w:rPr>
                <w:noProof/>
                <w:webHidden/>
              </w:rPr>
              <w:tab/>
            </w:r>
            <w:r w:rsidR="00FB3E93">
              <w:rPr>
                <w:noProof/>
                <w:webHidden/>
              </w:rPr>
              <w:fldChar w:fldCharType="begin"/>
            </w:r>
            <w:r w:rsidR="00FB3E93">
              <w:rPr>
                <w:noProof/>
                <w:webHidden/>
              </w:rPr>
              <w:instrText xml:space="preserve"> PAGEREF _Toc64619584 \h </w:instrText>
            </w:r>
            <w:r w:rsidR="00FB3E93">
              <w:rPr>
                <w:noProof/>
                <w:webHidden/>
              </w:rPr>
            </w:r>
            <w:r w:rsidR="00FB3E93">
              <w:rPr>
                <w:noProof/>
                <w:webHidden/>
              </w:rPr>
              <w:fldChar w:fldCharType="separate"/>
            </w:r>
            <w:r w:rsidR="004A5488">
              <w:rPr>
                <w:noProof/>
                <w:webHidden/>
              </w:rPr>
              <w:t>248</w:t>
            </w:r>
            <w:r w:rsidR="00FB3E93">
              <w:rPr>
                <w:noProof/>
                <w:webHidden/>
              </w:rPr>
              <w:fldChar w:fldCharType="end"/>
            </w:r>
          </w:hyperlink>
        </w:p>
        <w:p w14:paraId="37BCC07C" w14:textId="4157C455" w:rsidR="00FB3E93" w:rsidRDefault="0049362F">
          <w:pPr>
            <w:pStyle w:val="TOC3"/>
            <w:rPr>
              <w:rFonts w:asciiTheme="minorHAnsi" w:eastAsiaTheme="minorEastAsia" w:hAnsiTheme="minorHAnsi"/>
              <w:noProof/>
              <w:lang w:eastAsia="it-IT"/>
            </w:rPr>
          </w:pPr>
          <w:hyperlink w:anchor="_Toc64619585" w:history="1">
            <w:r w:rsidR="00FB3E93" w:rsidRPr="00E90B20">
              <w:rPr>
                <w:rStyle w:val="Hyperlink"/>
                <w:noProof/>
                <w14:scene3d>
                  <w14:camera w14:prst="orthographicFront"/>
                  <w14:lightRig w14:rig="threePt" w14:dir="t">
                    <w14:rot w14:lat="0" w14:lon="0" w14:rev="0"/>
                  </w14:lightRig>
                </w14:scene3d>
              </w:rPr>
              <w:t>4.2.6.</w:t>
            </w:r>
            <w:r w:rsidR="00FB3E93">
              <w:rPr>
                <w:rFonts w:asciiTheme="minorHAnsi" w:eastAsiaTheme="minorEastAsia" w:hAnsiTheme="minorHAnsi"/>
                <w:noProof/>
                <w:lang w:eastAsia="it-IT"/>
              </w:rPr>
              <w:tab/>
            </w:r>
            <w:r w:rsidR="00FB3E93" w:rsidRPr="00E90B20">
              <w:rPr>
                <w:rStyle w:val="Hyperlink"/>
                <w:noProof/>
              </w:rPr>
              <w:t>CROSS-BORDER GOVERNANCE</w:t>
            </w:r>
            <w:r w:rsidR="00FB3E93">
              <w:rPr>
                <w:noProof/>
                <w:webHidden/>
              </w:rPr>
              <w:tab/>
            </w:r>
            <w:r w:rsidR="00FB3E93">
              <w:rPr>
                <w:noProof/>
                <w:webHidden/>
              </w:rPr>
              <w:fldChar w:fldCharType="begin"/>
            </w:r>
            <w:r w:rsidR="00FB3E93">
              <w:rPr>
                <w:noProof/>
                <w:webHidden/>
              </w:rPr>
              <w:instrText xml:space="preserve"> PAGEREF _Toc64619585 \h </w:instrText>
            </w:r>
            <w:r w:rsidR="00FB3E93">
              <w:rPr>
                <w:noProof/>
                <w:webHidden/>
              </w:rPr>
            </w:r>
            <w:r w:rsidR="00FB3E93">
              <w:rPr>
                <w:noProof/>
                <w:webHidden/>
              </w:rPr>
              <w:fldChar w:fldCharType="separate"/>
            </w:r>
            <w:r w:rsidR="004A5488">
              <w:rPr>
                <w:noProof/>
                <w:webHidden/>
              </w:rPr>
              <w:t>249</w:t>
            </w:r>
            <w:r w:rsidR="00FB3E93">
              <w:rPr>
                <w:noProof/>
                <w:webHidden/>
              </w:rPr>
              <w:fldChar w:fldCharType="end"/>
            </w:r>
          </w:hyperlink>
        </w:p>
        <w:p w14:paraId="5F3131A8" w14:textId="0A41473F" w:rsidR="00FB3E93" w:rsidRDefault="0049362F">
          <w:pPr>
            <w:pStyle w:val="TOC3"/>
            <w:rPr>
              <w:rFonts w:asciiTheme="minorHAnsi" w:eastAsiaTheme="minorEastAsia" w:hAnsiTheme="minorHAnsi"/>
              <w:noProof/>
              <w:lang w:eastAsia="it-IT"/>
            </w:rPr>
          </w:pPr>
          <w:hyperlink w:anchor="_Toc64619586" w:history="1">
            <w:r w:rsidR="00FB3E93" w:rsidRPr="00E90B20">
              <w:rPr>
                <w:rStyle w:val="Hyperlink"/>
                <w:noProof/>
                <w14:scene3d>
                  <w14:camera w14:prst="orthographicFront"/>
                  <w14:lightRig w14:rig="threePt" w14:dir="t">
                    <w14:rot w14:lat="0" w14:lon="0" w14:rev="0"/>
                  </w14:lightRig>
                </w14:scene3d>
              </w:rPr>
              <w:t>4.2.7.</w:t>
            </w:r>
            <w:r w:rsidR="00FB3E93">
              <w:rPr>
                <w:rFonts w:asciiTheme="minorHAnsi" w:eastAsiaTheme="minorEastAsia" w:hAnsiTheme="minorHAnsi"/>
                <w:noProof/>
                <w:lang w:eastAsia="it-IT"/>
              </w:rPr>
              <w:tab/>
            </w:r>
            <w:r w:rsidR="00FB3E93" w:rsidRPr="00E90B20">
              <w:rPr>
                <w:rStyle w:val="Hyperlink"/>
                <w:noProof/>
              </w:rPr>
              <w:t>A SAFER CROSS-BORDER REGION</w:t>
            </w:r>
            <w:r w:rsidR="00FB3E93">
              <w:rPr>
                <w:noProof/>
                <w:webHidden/>
              </w:rPr>
              <w:tab/>
            </w:r>
            <w:r w:rsidR="00FB3E93">
              <w:rPr>
                <w:noProof/>
                <w:webHidden/>
              </w:rPr>
              <w:fldChar w:fldCharType="begin"/>
            </w:r>
            <w:r w:rsidR="00FB3E93">
              <w:rPr>
                <w:noProof/>
                <w:webHidden/>
              </w:rPr>
              <w:instrText xml:space="preserve"> PAGEREF _Toc64619586 \h </w:instrText>
            </w:r>
            <w:r w:rsidR="00FB3E93">
              <w:rPr>
                <w:noProof/>
                <w:webHidden/>
              </w:rPr>
            </w:r>
            <w:r w:rsidR="00FB3E93">
              <w:rPr>
                <w:noProof/>
                <w:webHidden/>
              </w:rPr>
              <w:fldChar w:fldCharType="separate"/>
            </w:r>
            <w:r w:rsidR="004A5488">
              <w:rPr>
                <w:noProof/>
                <w:webHidden/>
              </w:rPr>
              <w:t>250</w:t>
            </w:r>
            <w:r w:rsidR="00FB3E93">
              <w:rPr>
                <w:noProof/>
                <w:webHidden/>
              </w:rPr>
              <w:fldChar w:fldCharType="end"/>
            </w:r>
          </w:hyperlink>
        </w:p>
        <w:p w14:paraId="7D4AE759" w14:textId="73EA3060" w:rsidR="00FB3E93" w:rsidRDefault="0049362F">
          <w:pPr>
            <w:pStyle w:val="TOC1"/>
            <w:rPr>
              <w:rFonts w:asciiTheme="minorHAnsi" w:eastAsiaTheme="minorEastAsia" w:hAnsiTheme="minorHAnsi"/>
              <w:b w:val="0"/>
              <w:bCs w:val="0"/>
              <w:lang w:eastAsia="it-IT"/>
            </w:rPr>
          </w:pPr>
          <w:hyperlink w:anchor="_Toc64619587" w:history="1">
            <w:r w:rsidR="00FB3E93" w:rsidRPr="00E90B20">
              <w:rPr>
                <w:rStyle w:val="Hyperlink"/>
              </w:rPr>
              <w:t>References</w:t>
            </w:r>
            <w:r w:rsidR="00FB3E93">
              <w:rPr>
                <w:webHidden/>
              </w:rPr>
              <w:tab/>
            </w:r>
            <w:r w:rsidR="00FB3E93">
              <w:rPr>
                <w:webHidden/>
              </w:rPr>
              <w:fldChar w:fldCharType="begin"/>
            </w:r>
            <w:r w:rsidR="00FB3E93">
              <w:rPr>
                <w:webHidden/>
              </w:rPr>
              <w:instrText xml:space="preserve"> PAGEREF _Toc64619587 \h </w:instrText>
            </w:r>
            <w:r w:rsidR="00FB3E93">
              <w:rPr>
                <w:webHidden/>
              </w:rPr>
            </w:r>
            <w:r w:rsidR="00FB3E93">
              <w:rPr>
                <w:webHidden/>
              </w:rPr>
              <w:fldChar w:fldCharType="separate"/>
            </w:r>
            <w:r w:rsidR="004A5488">
              <w:rPr>
                <w:webHidden/>
              </w:rPr>
              <w:t>251</w:t>
            </w:r>
            <w:r w:rsidR="00FB3E93">
              <w:rPr>
                <w:webHidden/>
              </w:rPr>
              <w:fldChar w:fldCharType="end"/>
            </w:r>
          </w:hyperlink>
        </w:p>
        <w:p w14:paraId="3D9A420F" w14:textId="5C7802E2" w:rsidR="00FB3E93" w:rsidRDefault="0049362F">
          <w:pPr>
            <w:pStyle w:val="TOC1"/>
            <w:rPr>
              <w:rFonts w:asciiTheme="minorHAnsi" w:eastAsiaTheme="minorEastAsia" w:hAnsiTheme="minorHAnsi"/>
              <w:b w:val="0"/>
              <w:bCs w:val="0"/>
              <w:lang w:eastAsia="it-IT"/>
            </w:rPr>
          </w:pPr>
          <w:hyperlink w:anchor="_Toc64619588" w:history="1">
            <w:r w:rsidR="00FB3E93" w:rsidRPr="00E90B20">
              <w:rPr>
                <w:rStyle w:val="Hyperlink"/>
              </w:rPr>
              <w:t>Annexes</w:t>
            </w:r>
            <w:r w:rsidR="00FB3E93">
              <w:rPr>
                <w:webHidden/>
              </w:rPr>
              <w:tab/>
            </w:r>
            <w:r w:rsidR="00FB3E93">
              <w:rPr>
                <w:webHidden/>
              </w:rPr>
              <w:fldChar w:fldCharType="begin"/>
            </w:r>
            <w:r w:rsidR="00FB3E93">
              <w:rPr>
                <w:webHidden/>
              </w:rPr>
              <w:instrText xml:space="preserve"> PAGEREF _Toc64619588 \h </w:instrText>
            </w:r>
            <w:r w:rsidR="00FB3E93">
              <w:rPr>
                <w:webHidden/>
              </w:rPr>
            </w:r>
            <w:r w:rsidR="00FB3E93">
              <w:rPr>
                <w:webHidden/>
              </w:rPr>
              <w:fldChar w:fldCharType="separate"/>
            </w:r>
            <w:r w:rsidR="004A5488">
              <w:rPr>
                <w:webHidden/>
              </w:rPr>
              <w:t>257</w:t>
            </w:r>
            <w:r w:rsidR="00FB3E93">
              <w:rPr>
                <w:webHidden/>
              </w:rPr>
              <w:fldChar w:fldCharType="end"/>
            </w:r>
          </w:hyperlink>
        </w:p>
        <w:p w14:paraId="61E515AF" w14:textId="410F1FC7" w:rsidR="00FB3E93" w:rsidRDefault="0049362F">
          <w:pPr>
            <w:pStyle w:val="TOC2"/>
            <w:rPr>
              <w:rFonts w:asciiTheme="minorHAnsi" w:eastAsiaTheme="minorEastAsia" w:hAnsiTheme="minorHAnsi"/>
              <w:b w:val="0"/>
              <w:bCs w:val="0"/>
              <w:lang w:eastAsia="it-IT"/>
            </w:rPr>
          </w:pPr>
          <w:hyperlink w:anchor="_Toc64619589" w:history="1">
            <w:r w:rsidR="00FB3E93" w:rsidRPr="00E90B20">
              <w:rPr>
                <w:rStyle w:val="Hyperlink"/>
              </w:rPr>
              <w:t>Annex 1. Policy Paper Table of Contents</w:t>
            </w:r>
            <w:r w:rsidR="00FB3E93">
              <w:rPr>
                <w:webHidden/>
              </w:rPr>
              <w:tab/>
            </w:r>
            <w:r w:rsidR="00FB3E93">
              <w:rPr>
                <w:webHidden/>
              </w:rPr>
              <w:fldChar w:fldCharType="begin"/>
            </w:r>
            <w:r w:rsidR="00FB3E93">
              <w:rPr>
                <w:webHidden/>
              </w:rPr>
              <w:instrText xml:space="preserve"> PAGEREF _Toc64619589 \h </w:instrText>
            </w:r>
            <w:r w:rsidR="00FB3E93">
              <w:rPr>
                <w:webHidden/>
              </w:rPr>
            </w:r>
            <w:r w:rsidR="00FB3E93">
              <w:rPr>
                <w:webHidden/>
              </w:rPr>
              <w:fldChar w:fldCharType="separate"/>
            </w:r>
            <w:r w:rsidR="004A5488">
              <w:rPr>
                <w:webHidden/>
              </w:rPr>
              <w:t>257</w:t>
            </w:r>
            <w:r w:rsidR="00FB3E93">
              <w:rPr>
                <w:webHidden/>
              </w:rPr>
              <w:fldChar w:fldCharType="end"/>
            </w:r>
          </w:hyperlink>
        </w:p>
        <w:p w14:paraId="2C7DCB6B" w14:textId="6B9CA65E" w:rsidR="00FB3E93" w:rsidRDefault="0049362F">
          <w:pPr>
            <w:pStyle w:val="TOC2"/>
            <w:rPr>
              <w:rFonts w:asciiTheme="minorHAnsi" w:eastAsiaTheme="minorEastAsia" w:hAnsiTheme="minorHAnsi"/>
              <w:b w:val="0"/>
              <w:bCs w:val="0"/>
              <w:lang w:eastAsia="it-IT"/>
            </w:rPr>
          </w:pPr>
          <w:hyperlink w:anchor="_Toc64619590" w:history="1">
            <w:r w:rsidR="00FB3E93" w:rsidRPr="00E90B20">
              <w:rPr>
                <w:rStyle w:val="Hyperlink"/>
              </w:rPr>
              <w:t>Annex 2. List of documents / papers consulted under the Policy analysis</w:t>
            </w:r>
            <w:r w:rsidR="00FB3E93">
              <w:rPr>
                <w:webHidden/>
              </w:rPr>
              <w:tab/>
            </w:r>
            <w:r w:rsidR="00FB3E93">
              <w:rPr>
                <w:webHidden/>
              </w:rPr>
              <w:fldChar w:fldCharType="begin"/>
            </w:r>
            <w:r w:rsidR="00FB3E93">
              <w:rPr>
                <w:webHidden/>
              </w:rPr>
              <w:instrText xml:space="preserve"> PAGEREF _Toc64619590 \h </w:instrText>
            </w:r>
            <w:r w:rsidR="00FB3E93">
              <w:rPr>
                <w:webHidden/>
              </w:rPr>
            </w:r>
            <w:r w:rsidR="00FB3E93">
              <w:rPr>
                <w:webHidden/>
              </w:rPr>
              <w:fldChar w:fldCharType="separate"/>
            </w:r>
            <w:r w:rsidR="004A5488">
              <w:rPr>
                <w:webHidden/>
              </w:rPr>
              <w:t>258</w:t>
            </w:r>
            <w:r w:rsidR="00FB3E93">
              <w:rPr>
                <w:webHidden/>
              </w:rPr>
              <w:fldChar w:fldCharType="end"/>
            </w:r>
          </w:hyperlink>
        </w:p>
        <w:p w14:paraId="522A7EC0" w14:textId="70F19079" w:rsidR="00A33BF3" w:rsidRPr="00037C61" w:rsidRDefault="00A33BF3">
          <w:pPr>
            <w:rPr>
              <w:lang w:val="en-GB"/>
            </w:rPr>
          </w:pPr>
          <w:r w:rsidRPr="00037C61">
            <w:rPr>
              <w:b/>
              <w:bCs/>
              <w:lang w:val="en-GB"/>
            </w:rPr>
            <w:fldChar w:fldCharType="end"/>
          </w:r>
        </w:p>
      </w:sdtContent>
    </w:sdt>
    <w:p w14:paraId="77DE0703" w14:textId="77777777" w:rsidR="00A34C1A" w:rsidRPr="00037C61" w:rsidRDefault="00A34C1A" w:rsidP="008B0080">
      <w:pPr>
        <w:rPr>
          <w:lang w:val="en-GB"/>
        </w:rPr>
      </w:pPr>
    </w:p>
    <w:p w14:paraId="6C4950E2" w14:textId="78DD10AB" w:rsidR="00E136EC" w:rsidRPr="00037C61" w:rsidRDefault="00E136EC" w:rsidP="00E136EC">
      <w:pPr>
        <w:pStyle w:val="SubtitlenoToC"/>
        <w:rPr>
          <w:lang w:val="en-GB"/>
        </w:rPr>
      </w:pPr>
      <w:r w:rsidRPr="00037C61">
        <w:rPr>
          <w:lang w:val="en-GB"/>
        </w:rPr>
        <w:t xml:space="preserve">Table of figures </w:t>
      </w:r>
    </w:p>
    <w:p w14:paraId="0A237425" w14:textId="1A3E0444" w:rsidR="008204BD" w:rsidRDefault="00E136EC">
      <w:pPr>
        <w:pStyle w:val="TableofFigures"/>
        <w:tabs>
          <w:tab w:val="right" w:leader="dot" w:pos="9016"/>
        </w:tabs>
        <w:rPr>
          <w:rFonts w:asciiTheme="minorHAnsi" w:eastAsiaTheme="minorEastAsia" w:hAnsiTheme="minorHAnsi"/>
          <w:noProof/>
          <w:lang w:eastAsia="it-IT"/>
        </w:rPr>
      </w:pPr>
      <w:r w:rsidRPr="00053F25">
        <w:rPr>
          <w:sz w:val="18"/>
          <w:lang w:val="en-GB"/>
        </w:rPr>
        <w:fldChar w:fldCharType="begin"/>
      </w:r>
      <w:r w:rsidRPr="00053F25">
        <w:rPr>
          <w:sz w:val="18"/>
          <w:lang w:val="en-GB"/>
        </w:rPr>
        <w:instrText xml:space="preserve"> TOC \h \z \c "Figure" </w:instrText>
      </w:r>
      <w:r w:rsidRPr="00053F25">
        <w:rPr>
          <w:sz w:val="18"/>
          <w:lang w:val="en-GB"/>
        </w:rPr>
        <w:fldChar w:fldCharType="separate"/>
      </w:r>
      <w:hyperlink w:anchor="_Toc64610949" w:history="1">
        <w:r w:rsidR="008204BD" w:rsidRPr="007E31A3">
          <w:rPr>
            <w:rStyle w:val="Hyperlink"/>
            <w:noProof/>
            <w:lang w:val="en-GB"/>
          </w:rPr>
          <w:t>Figure 1 - Total contracted value</w:t>
        </w:r>
        <w:r w:rsidR="008204BD">
          <w:rPr>
            <w:noProof/>
            <w:webHidden/>
          </w:rPr>
          <w:tab/>
        </w:r>
        <w:r w:rsidR="008204BD">
          <w:rPr>
            <w:noProof/>
            <w:webHidden/>
          </w:rPr>
          <w:fldChar w:fldCharType="begin"/>
        </w:r>
        <w:r w:rsidR="008204BD">
          <w:rPr>
            <w:noProof/>
            <w:webHidden/>
          </w:rPr>
          <w:instrText xml:space="preserve"> PAGEREF _Toc64610949 \h </w:instrText>
        </w:r>
        <w:r w:rsidR="008204BD">
          <w:rPr>
            <w:noProof/>
            <w:webHidden/>
          </w:rPr>
        </w:r>
        <w:r w:rsidR="008204BD">
          <w:rPr>
            <w:noProof/>
            <w:webHidden/>
          </w:rPr>
          <w:fldChar w:fldCharType="separate"/>
        </w:r>
        <w:r w:rsidR="00FB3E93">
          <w:rPr>
            <w:noProof/>
            <w:webHidden/>
          </w:rPr>
          <w:t>29</w:t>
        </w:r>
        <w:r w:rsidR="008204BD">
          <w:rPr>
            <w:noProof/>
            <w:webHidden/>
          </w:rPr>
          <w:fldChar w:fldCharType="end"/>
        </w:r>
      </w:hyperlink>
    </w:p>
    <w:p w14:paraId="0D2B701C" w14:textId="38EA227C" w:rsidR="008204BD" w:rsidRDefault="0049362F">
      <w:pPr>
        <w:pStyle w:val="TableofFigures"/>
        <w:tabs>
          <w:tab w:val="right" w:leader="dot" w:pos="9016"/>
        </w:tabs>
        <w:rPr>
          <w:rFonts w:asciiTheme="minorHAnsi" w:eastAsiaTheme="minorEastAsia" w:hAnsiTheme="minorHAnsi"/>
          <w:noProof/>
          <w:lang w:eastAsia="it-IT"/>
        </w:rPr>
      </w:pPr>
      <w:hyperlink w:anchor="_Toc64610950" w:history="1">
        <w:r w:rsidR="008204BD" w:rsidRPr="007E31A3">
          <w:rPr>
            <w:rStyle w:val="Hyperlink"/>
            <w:noProof/>
            <w:lang w:val="en-GB"/>
          </w:rPr>
          <w:t>Figure 2 - Number of Covid-19 reported cases update, 6th December 2020</w:t>
        </w:r>
        <w:r w:rsidR="008204BD">
          <w:rPr>
            <w:noProof/>
            <w:webHidden/>
          </w:rPr>
          <w:tab/>
        </w:r>
        <w:r w:rsidR="008204BD">
          <w:rPr>
            <w:noProof/>
            <w:webHidden/>
          </w:rPr>
          <w:fldChar w:fldCharType="begin"/>
        </w:r>
        <w:r w:rsidR="008204BD">
          <w:rPr>
            <w:noProof/>
            <w:webHidden/>
          </w:rPr>
          <w:instrText xml:space="preserve"> PAGEREF _Toc64610950 \h </w:instrText>
        </w:r>
        <w:r w:rsidR="008204BD">
          <w:rPr>
            <w:noProof/>
            <w:webHidden/>
          </w:rPr>
        </w:r>
        <w:r w:rsidR="008204BD">
          <w:rPr>
            <w:noProof/>
            <w:webHidden/>
          </w:rPr>
          <w:fldChar w:fldCharType="separate"/>
        </w:r>
        <w:r w:rsidR="00FB3E93">
          <w:rPr>
            <w:noProof/>
            <w:webHidden/>
          </w:rPr>
          <w:t>34</w:t>
        </w:r>
        <w:r w:rsidR="008204BD">
          <w:rPr>
            <w:noProof/>
            <w:webHidden/>
          </w:rPr>
          <w:fldChar w:fldCharType="end"/>
        </w:r>
      </w:hyperlink>
    </w:p>
    <w:p w14:paraId="56788C48" w14:textId="0977B728" w:rsidR="008204BD" w:rsidRDefault="0049362F">
      <w:pPr>
        <w:pStyle w:val="TableofFigures"/>
        <w:tabs>
          <w:tab w:val="right" w:leader="dot" w:pos="9016"/>
        </w:tabs>
        <w:rPr>
          <w:rFonts w:asciiTheme="minorHAnsi" w:eastAsiaTheme="minorEastAsia" w:hAnsiTheme="minorHAnsi"/>
          <w:noProof/>
          <w:lang w:eastAsia="it-IT"/>
        </w:rPr>
      </w:pPr>
      <w:hyperlink w:anchor="_Toc64610951" w:history="1">
        <w:r w:rsidR="008204BD" w:rsidRPr="007E31A3">
          <w:rPr>
            <w:rStyle w:val="Hyperlink"/>
            <w:noProof/>
            <w:lang w:val="en-GB"/>
          </w:rPr>
          <w:t>Figure 3 - GDP growth rate for 2020Q1</w:t>
        </w:r>
        <w:r w:rsidR="008204BD">
          <w:rPr>
            <w:noProof/>
            <w:webHidden/>
          </w:rPr>
          <w:tab/>
        </w:r>
        <w:r w:rsidR="008204BD">
          <w:rPr>
            <w:noProof/>
            <w:webHidden/>
          </w:rPr>
          <w:fldChar w:fldCharType="begin"/>
        </w:r>
        <w:r w:rsidR="008204BD">
          <w:rPr>
            <w:noProof/>
            <w:webHidden/>
          </w:rPr>
          <w:instrText xml:space="preserve"> PAGEREF _Toc64610951 \h </w:instrText>
        </w:r>
        <w:r w:rsidR="008204BD">
          <w:rPr>
            <w:noProof/>
            <w:webHidden/>
          </w:rPr>
        </w:r>
        <w:r w:rsidR="008204BD">
          <w:rPr>
            <w:noProof/>
            <w:webHidden/>
          </w:rPr>
          <w:fldChar w:fldCharType="separate"/>
        </w:r>
        <w:r w:rsidR="00FB3E93">
          <w:rPr>
            <w:noProof/>
            <w:webHidden/>
          </w:rPr>
          <w:t>37</w:t>
        </w:r>
        <w:r w:rsidR="008204BD">
          <w:rPr>
            <w:noProof/>
            <w:webHidden/>
          </w:rPr>
          <w:fldChar w:fldCharType="end"/>
        </w:r>
      </w:hyperlink>
    </w:p>
    <w:p w14:paraId="69AA8324" w14:textId="12716AFC" w:rsidR="008204BD" w:rsidRDefault="0049362F">
      <w:pPr>
        <w:pStyle w:val="TableofFigures"/>
        <w:tabs>
          <w:tab w:val="right" w:leader="dot" w:pos="9016"/>
        </w:tabs>
        <w:rPr>
          <w:rFonts w:asciiTheme="minorHAnsi" w:eastAsiaTheme="minorEastAsia" w:hAnsiTheme="minorHAnsi"/>
          <w:noProof/>
          <w:lang w:eastAsia="it-IT"/>
        </w:rPr>
      </w:pPr>
      <w:hyperlink w:anchor="_Toc64610952" w:history="1">
        <w:r w:rsidR="008204BD" w:rsidRPr="007E31A3">
          <w:rPr>
            <w:rStyle w:val="Hyperlink"/>
            <w:noProof/>
            <w:lang w:val="en-GB"/>
          </w:rPr>
          <w:t>Figure 4- Evolution of GDP and main GDP expediture aggregates in 2020Q1</w:t>
        </w:r>
        <w:r w:rsidR="008204BD">
          <w:rPr>
            <w:noProof/>
            <w:webHidden/>
          </w:rPr>
          <w:tab/>
        </w:r>
        <w:r w:rsidR="008204BD">
          <w:rPr>
            <w:noProof/>
            <w:webHidden/>
          </w:rPr>
          <w:fldChar w:fldCharType="begin"/>
        </w:r>
        <w:r w:rsidR="008204BD">
          <w:rPr>
            <w:noProof/>
            <w:webHidden/>
          </w:rPr>
          <w:instrText xml:space="preserve"> PAGEREF _Toc64610952 \h </w:instrText>
        </w:r>
        <w:r w:rsidR="008204BD">
          <w:rPr>
            <w:noProof/>
            <w:webHidden/>
          </w:rPr>
        </w:r>
        <w:r w:rsidR="008204BD">
          <w:rPr>
            <w:noProof/>
            <w:webHidden/>
          </w:rPr>
          <w:fldChar w:fldCharType="separate"/>
        </w:r>
        <w:r w:rsidR="00FB3E93">
          <w:rPr>
            <w:noProof/>
            <w:webHidden/>
          </w:rPr>
          <w:t>37</w:t>
        </w:r>
        <w:r w:rsidR="008204BD">
          <w:rPr>
            <w:noProof/>
            <w:webHidden/>
          </w:rPr>
          <w:fldChar w:fldCharType="end"/>
        </w:r>
      </w:hyperlink>
    </w:p>
    <w:p w14:paraId="4D75E5E0" w14:textId="4A3DC01B" w:rsidR="008204BD" w:rsidRDefault="0049362F">
      <w:pPr>
        <w:pStyle w:val="TableofFigures"/>
        <w:tabs>
          <w:tab w:val="right" w:leader="dot" w:pos="9016"/>
        </w:tabs>
        <w:rPr>
          <w:rFonts w:asciiTheme="minorHAnsi" w:eastAsiaTheme="minorEastAsia" w:hAnsiTheme="minorHAnsi"/>
          <w:noProof/>
          <w:lang w:eastAsia="it-IT"/>
        </w:rPr>
      </w:pPr>
      <w:hyperlink w:anchor="_Toc64610953" w:history="1">
        <w:r w:rsidR="008204BD" w:rsidRPr="007E31A3">
          <w:rPr>
            <w:rStyle w:val="Hyperlink"/>
            <w:noProof/>
            <w:lang w:val="en-GB"/>
          </w:rPr>
          <w:t>Figure 5 - Growth rate trends by industry in 2020Q1</w:t>
        </w:r>
        <w:r w:rsidR="008204BD">
          <w:rPr>
            <w:noProof/>
            <w:webHidden/>
          </w:rPr>
          <w:tab/>
        </w:r>
        <w:r w:rsidR="008204BD">
          <w:rPr>
            <w:noProof/>
            <w:webHidden/>
          </w:rPr>
          <w:fldChar w:fldCharType="begin"/>
        </w:r>
        <w:r w:rsidR="008204BD">
          <w:rPr>
            <w:noProof/>
            <w:webHidden/>
          </w:rPr>
          <w:instrText xml:space="preserve"> PAGEREF _Toc64610953 \h </w:instrText>
        </w:r>
        <w:r w:rsidR="008204BD">
          <w:rPr>
            <w:noProof/>
            <w:webHidden/>
          </w:rPr>
        </w:r>
        <w:r w:rsidR="008204BD">
          <w:rPr>
            <w:noProof/>
            <w:webHidden/>
          </w:rPr>
          <w:fldChar w:fldCharType="separate"/>
        </w:r>
        <w:r w:rsidR="00FB3E93">
          <w:rPr>
            <w:noProof/>
            <w:webHidden/>
          </w:rPr>
          <w:t>38</w:t>
        </w:r>
        <w:r w:rsidR="008204BD">
          <w:rPr>
            <w:noProof/>
            <w:webHidden/>
          </w:rPr>
          <w:fldChar w:fldCharType="end"/>
        </w:r>
      </w:hyperlink>
    </w:p>
    <w:p w14:paraId="3F00AE7F" w14:textId="127A2EE1" w:rsidR="008204BD" w:rsidRDefault="0049362F">
      <w:pPr>
        <w:pStyle w:val="TableofFigures"/>
        <w:tabs>
          <w:tab w:val="right" w:leader="dot" w:pos="9016"/>
        </w:tabs>
        <w:rPr>
          <w:rFonts w:asciiTheme="minorHAnsi" w:eastAsiaTheme="minorEastAsia" w:hAnsiTheme="minorHAnsi"/>
          <w:noProof/>
          <w:lang w:eastAsia="it-IT"/>
        </w:rPr>
      </w:pPr>
      <w:hyperlink w:anchor="_Toc64610954" w:history="1">
        <w:r w:rsidR="008204BD" w:rsidRPr="007E31A3">
          <w:rPr>
            <w:rStyle w:val="Hyperlink"/>
            <w:noProof/>
            <w:lang w:val="en-GB"/>
          </w:rPr>
          <w:t>Figure 6 - Administrative surface ranking 2019</w:t>
        </w:r>
        <w:r w:rsidR="008204BD">
          <w:rPr>
            <w:noProof/>
            <w:webHidden/>
          </w:rPr>
          <w:tab/>
        </w:r>
        <w:r w:rsidR="008204BD">
          <w:rPr>
            <w:noProof/>
            <w:webHidden/>
          </w:rPr>
          <w:fldChar w:fldCharType="begin"/>
        </w:r>
        <w:r w:rsidR="008204BD">
          <w:rPr>
            <w:noProof/>
            <w:webHidden/>
          </w:rPr>
          <w:instrText xml:space="preserve"> PAGEREF _Toc64610954 \h </w:instrText>
        </w:r>
        <w:r w:rsidR="008204BD">
          <w:rPr>
            <w:noProof/>
            <w:webHidden/>
          </w:rPr>
        </w:r>
        <w:r w:rsidR="008204BD">
          <w:rPr>
            <w:noProof/>
            <w:webHidden/>
          </w:rPr>
          <w:fldChar w:fldCharType="separate"/>
        </w:r>
        <w:r w:rsidR="00FB3E93">
          <w:rPr>
            <w:noProof/>
            <w:webHidden/>
          </w:rPr>
          <w:t>41</w:t>
        </w:r>
        <w:r w:rsidR="008204BD">
          <w:rPr>
            <w:noProof/>
            <w:webHidden/>
          </w:rPr>
          <w:fldChar w:fldCharType="end"/>
        </w:r>
      </w:hyperlink>
    </w:p>
    <w:p w14:paraId="18331C19" w14:textId="65FA5530" w:rsidR="008204BD" w:rsidRDefault="0049362F">
      <w:pPr>
        <w:pStyle w:val="TableofFigures"/>
        <w:tabs>
          <w:tab w:val="right" w:leader="dot" w:pos="9016"/>
        </w:tabs>
        <w:rPr>
          <w:rFonts w:asciiTheme="minorHAnsi" w:eastAsiaTheme="minorEastAsia" w:hAnsiTheme="minorHAnsi"/>
          <w:noProof/>
          <w:lang w:eastAsia="it-IT"/>
        </w:rPr>
      </w:pPr>
      <w:hyperlink w:anchor="_Toc64610955" w:history="1">
        <w:r w:rsidR="008204BD" w:rsidRPr="007E31A3">
          <w:rPr>
            <w:rStyle w:val="Hyperlink"/>
            <w:noProof/>
            <w:lang w:val="en-GB"/>
          </w:rPr>
          <w:t>Figure 7 - Major cities and distance to border crossing points</w:t>
        </w:r>
        <w:r w:rsidR="008204BD">
          <w:rPr>
            <w:noProof/>
            <w:webHidden/>
          </w:rPr>
          <w:tab/>
        </w:r>
        <w:r w:rsidR="008204BD">
          <w:rPr>
            <w:noProof/>
            <w:webHidden/>
          </w:rPr>
          <w:fldChar w:fldCharType="begin"/>
        </w:r>
        <w:r w:rsidR="008204BD">
          <w:rPr>
            <w:noProof/>
            <w:webHidden/>
          </w:rPr>
          <w:instrText xml:space="preserve"> PAGEREF _Toc64610955 \h </w:instrText>
        </w:r>
        <w:r w:rsidR="008204BD">
          <w:rPr>
            <w:noProof/>
            <w:webHidden/>
          </w:rPr>
        </w:r>
        <w:r w:rsidR="008204BD">
          <w:rPr>
            <w:noProof/>
            <w:webHidden/>
          </w:rPr>
          <w:fldChar w:fldCharType="separate"/>
        </w:r>
        <w:r w:rsidR="00FB3E93">
          <w:rPr>
            <w:noProof/>
            <w:webHidden/>
          </w:rPr>
          <w:t>42</w:t>
        </w:r>
        <w:r w:rsidR="008204BD">
          <w:rPr>
            <w:noProof/>
            <w:webHidden/>
          </w:rPr>
          <w:fldChar w:fldCharType="end"/>
        </w:r>
      </w:hyperlink>
    </w:p>
    <w:p w14:paraId="7BC9BC60" w14:textId="38C22C4B" w:rsidR="008204BD" w:rsidRDefault="0049362F">
      <w:pPr>
        <w:pStyle w:val="TableofFigures"/>
        <w:tabs>
          <w:tab w:val="right" w:leader="dot" w:pos="9016"/>
        </w:tabs>
        <w:rPr>
          <w:rFonts w:asciiTheme="minorHAnsi" w:eastAsiaTheme="minorEastAsia" w:hAnsiTheme="minorHAnsi"/>
          <w:noProof/>
          <w:lang w:eastAsia="it-IT"/>
        </w:rPr>
      </w:pPr>
      <w:hyperlink w:anchor="_Toc64610956" w:history="1">
        <w:r w:rsidR="008204BD" w:rsidRPr="007E31A3">
          <w:rPr>
            <w:rStyle w:val="Hyperlink"/>
            <w:noProof/>
            <w:lang w:val="en-GB"/>
          </w:rPr>
          <w:t>Figure 8 - Average LAU 2 unit size in the programme area</w:t>
        </w:r>
        <w:r w:rsidR="008204BD">
          <w:rPr>
            <w:noProof/>
            <w:webHidden/>
          </w:rPr>
          <w:tab/>
        </w:r>
        <w:r w:rsidR="008204BD">
          <w:rPr>
            <w:noProof/>
            <w:webHidden/>
          </w:rPr>
          <w:fldChar w:fldCharType="begin"/>
        </w:r>
        <w:r w:rsidR="008204BD">
          <w:rPr>
            <w:noProof/>
            <w:webHidden/>
          </w:rPr>
          <w:instrText xml:space="preserve"> PAGEREF _Toc64610956 \h </w:instrText>
        </w:r>
        <w:r w:rsidR="008204BD">
          <w:rPr>
            <w:noProof/>
            <w:webHidden/>
          </w:rPr>
        </w:r>
        <w:r w:rsidR="008204BD">
          <w:rPr>
            <w:noProof/>
            <w:webHidden/>
          </w:rPr>
          <w:fldChar w:fldCharType="separate"/>
        </w:r>
        <w:r w:rsidR="00FB3E93">
          <w:rPr>
            <w:noProof/>
            <w:webHidden/>
          </w:rPr>
          <w:t>43</w:t>
        </w:r>
        <w:r w:rsidR="008204BD">
          <w:rPr>
            <w:noProof/>
            <w:webHidden/>
          </w:rPr>
          <w:fldChar w:fldCharType="end"/>
        </w:r>
      </w:hyperlink>
    </w:p>
    <w:p w14:paraId="054CB227" w14:textId="4364D919" w:rsidR="008204BD" w:rsidRDefault="0049362F">
      <w:pPr>
        <w:pStyle w:val="TableofFigures"/>
        <w:tabs>
          <w:tab w:val="right" w:leader="dot" w:pos="9016"/>
        </w:tabs>
        <w:rPr>
          <w:rFonts w:asciiTheme="minorHAnsi" w:eastAsiaTheme="minorEastAsia" w:hAnsiTheme="minorHAnsi"/>
          <w:noProof/>
          <w:lang w:eastAsia="it-IT"/>
        </w:rPr>
      </w:pPr>
      <w:hyperlink w:anchor="_Toc64610957" w:history="1">
        <w:r w:rsidR="008204BD" w:rsidRPr="007E31A3">
          <w:rPr>
            <w:rStyle w:val="Hyperlink"/>
            <w:noProof/>
            <w:lang w:val="en-GB"/>
          </w:rPr>
          <w:t>Figure 9 - Number of urban and rural settlements per NUTS3 region</w:t>
        </w:r>
        <w:r w:rsidR="008204BD">
          <w:rPr>
            <w:noProof/>
            <w:webHidden/>
          </w:rPr>
          <w:tab/>
        </w:r>
        <w:r w:rsidR="008204BD">
          <w:rPr>
            <w:noProof/>
            <w:webHidden/>
          </w:rPr>
          <w:fldChar w:fldCharType="begin"/>
        </w:r>
        <w:r w:rsidR="008204BD">
          <w:rPr>
            <w:noProof/>
            <w:webHidden/>
          </w:rPr>
          <w:instrText xml:space="preserve"> PAGEREF _Toc64610957 \h </w:instrText>
        </w:r>
        <w:r w:rsidR="008204BD">
          <w:rPr>
            <w:noProof/>
            <w:webHidden/>
          </w:rPr>
        </w:r>
        <w:r w:rsidR="008204BD">
          <w:rPr>
            <w:noProof/>
            <w:webHidden/>
          </w:rPr>
          <w:fldChar w:fldCharType="separate"/>
        </w:r>
        <w:r w:rsidR="00FB3E93">
          <w:rPr>
            <w:noProof/>
            <w:webHidden/>
          </w:rPr>
          <w:t>43</w:t>
        </w:r>
        <w:r w:rsidR="008204BD">
          <w:rPr>
            <w:noProof/>
            <w:webHidden/>
          </w:rPr>
          <w:fldChar w:fldCharType="end"/>
        </w:r>
      </w:hyperlink>
    </w:p>
    <w:p w14:paraId="6A5B3EA2" w14:textId="2BF14AFF" w:rsidR="008204BD" w:rsidRDefault="0049362F">
      <w:pPr>
        <w:pStyle w:val="TableofFigures"/>
        <w:tabs>
          <w:tab w:val="right" w:leader="dot" w:pos="9016"/>
        </w:tabs>
        <w:rPr>
          <w:rFonts w:asciiTheme="minorHAnsi" w:eastAsiaTheme="minorEastAsia" w:hAnsiTheme="minorHAnsi"/>
          <w:noProof/>
          <w:lang w:eastAsia="it-IT"/>
        </w:rPr>
      </w:pPr>
      <w:hyperlink w:anchor="_Toc64610958" w:history="1">
        <w:r w:rsidR="008204BD" w:rsidRPr="007E31A3">
          <w:rPr>
            <w:rStyle w:val="Hyperlink"/>
            <w:noProof/>
            <w:lang w:val="en-GB"/>
          </w:rPr>
          <w:t>Figure 10 - Urban versus rural area coverage 2019 (km2, % of total)</w:t>
        </w:r>
        <w:r w:rsidR="008204BD">
          <w:rPr>
            <w:noProof/>
            <w:webHidden/>
          </w:rPr>
          <w:tab/>
        </w:r>
        <w:r w:rsidR="008204BD">
          <w:rPr>
            <w:noProof/>
            <w:webHidden/>
          </w:rPr>
          <w:fldChar w:fldCharType="begin"/>
        </w:r>
        <w:r w:rsidR="008204BD">
          <w:rPr>
            <w:noProof/>
            <w:webHidden/>
          </w:rPr>
          <w:instrText xml:space="preserve"> PAGEREF _Toc64610958 \h </w:instrText>
        </w:r>
        <w:r w:rsidR="008204BD">
          <w:rPr>
            <w:noProof/>
            <w:webHidden/>
          </w:rPr>
        </w:r>
        <w:r w:rsidR="008204BD">
          <w:rPr>
            <w:noProof/>
            <w:webHidden/>
          </w:rPr>
          <w:fldChar w:fldCharType="separate"/>
        </w:r>
        <w:r w:rsidR="00FB3E93">
          <w:rPr>
            <w:noProof/>
            <w:webHidden/>
          </w:rPr>
          <w:t>44</w:t>
        </w:r>
        <w:r w:rsidR="008204BD">
          <w:rPr>
            <w:noProof/>
            <w:webHidden/>
          </w:rPr>
          <w:fldChar w:fldCharType="end"/>
        </w:r>
      </w:hyperlink>
    </w:p>
    <w:p w14:paraId="497EBD18" w14:textId="662A7D27" w:rsidR="008204BD" w:rsidRDefault="0049362F">
      <w:pPr>
        <w:pStyle w:val="TableofFigures"/>
        <w:tabs>
          <w:tab w:val="right" w:leader="dot" w:pos="9016"/>
        </w:tabs>
        <w:rPr>
          <w:rFonts w:asciiTheme="minorHAnsi" w:eastAsiaTheme="minorEastAsia" w:hAnsiTheme="minorHAnsi"/>
          <w:noProof/>
          <w:lang w:eastAsia="it-IT"/>
        </w:rPr>
      </w:pPr>
      <w:hyperlink w:anchor="_Toc64610959" w:history="1">
        <w:r w:rsidR="008204BD" w:rsidRPr="007E31A3">
          <w:rPr>
            <w:rStyle w:val="Hyperlink"/>
            <w:noProof/>
            <w:lang w:val="en-GB"/>
          </w:rPr>
          <w:t>Figure 11 - Distribution of population in the PA, based on the GEOSTAT Population Grid.</w:t>
        </w:r>
        <w:r w:rsidR="008204BD">
          <w:rPr>
            <w:noProof/>
            <w:webHidden/>
          </w:rPr>
          <w:tab/>
        </w:r>
        <w:r w:rsidR="008204BD">
          <w:rPr>
            <w:noProof/>
            <w:webHidden/>
          </w:rPr>
          <w:fldChar w:fldCharType="begin"/>
        </w:r>
        <w:r w:rsidR="008204BD">
          <w:rPr>
            <w:noProof/>
            <w:webHidden/>
          </w:rPr>
          <w:instrText xml:space="preserve"> PAGEREF _Toc64610959 \h </w:instrText>
        </w:r>
        <w:r w:rsidR="008204BD">
          <w:rPr>
            <w:noProof/>
            <w:webHidden/>
          </w:rPr>
        </w:r>
        <w:r w:rsidR="008204BD">
          <w:rPr>
            <w:noProof/>
            <w:webHidden/>
          </w:rPr>
          <w:fldChar w:fldCharType="separate"/>
        </w:r>
        <w:r w:rsidR="00FB3E93">
          <w:rPr>
            <w:noProof/>
            <w:webHidden/>
          </w:rPr>
          <w:t>45</w:t>
        </w:r>
        <w:r w:rsidR="008204BD">
          <w:rPr>
            <w:noProof/>
            <w:webHidden/>
          </w:rPr>
          <w:fldChar w:fldCharType="end"/>
        </w:r>
      </w:hyperlink>
    </w:p>
    <w:p w14:paraId="1E291F4E" w14:textId="129ACE5D" w:rsidR="008204BD" w:rsidRDefault="0049362F">
      <w:pPr>
        <w:pStyle w:val="TableofFigures"/>
        <w:tabs>
          <w:tab w:val="right" w:leader="dot" w:pos="9016"/>
        </w:tabs>
        <w:rPr>
          <w:rFonts w:asciiTheme="minorHAnsi" w:eastAsiaTheme="minorEastAsia" w:hAnsiTheme="minorHAnsi"/>
          <w:noProof/>
          <w:lang w:eastAsia="it-IT"/>
        </w:rPr>
      </w:pPr>
      <w:hyperlink w:anchor="_Toc64610960" w:history="1">
        <w:r w:rsidR="008204BD" w:rsidRPr="007E31A3">
          <w:rPr>
            <w:rStyle w:val="Hyperlink"/>
            <w:noProof/>
            <w:lang w:val="en-GB"/>
          </w:rPr>
          <w:t>Figure 12 - Population density at LAU 2 level (2018).</w:t>
        </w:r>
        <w:r w:rsidR="008204BD">
          <w:rPr>
            <w:noProof/>
            <w:webHidden/>
          </w:rPr>
          <w:tab/>
        </w:r>
        <w:r w:rsidR="008204BD">
          <w:rPr>
            <w:noProof/>
            <w:webHidden/>
          </w:rPr>
          <w:fldChar w:fldCharType="begin"/>
        </w:r>
        <w:r w:rsidR="008204BD">
          <w:rPr>
            <w:noProof/>
            <w:webHidden/>
          </w:rPr>
          <w:instrText xml:space="preserve"> PAGEREF _Toc64610960 \h </w:instrText>
        </w:r>
        <w:r w:rsidR="008204BD">
          <w:rPr>
            <w:noProof/>
            <w:webHidden/>
          </w:rPr>
        </w:r>
        <w:r w:rsidR="008204BD">
          <w:rPr>
            <w:noProof/>
            <w:webHidden/>
          </w:rPr>
          <w:fldChar w:fldCharType="separate"/>
        </w:r>
        <w:r w:rsidR="00FB3E93">
          <w:rPr>
            <w:noProof/>
            <w:webHidden/>
          </w:rPr>
          <w:t>46</w:t>
        </w:r>
        <w:r w:rsidR="008204BD">
          <w:rPr>
            <w:noProof/>
            <w:webHidden/>
          </w:rPr>
          <w:fldChar w:fldCharType="end"/>
        </w:r>
      </w:hyperlink>
    </w:p>
    <w:p w14:paraId="2AA2C828" w14:textId="00C8834F" w:rsidR="008204BD" w:rsidRDefault="0049362F">
      <w:pPr>
        <w:pStyle w:val="TableofFigures"/>
        <w:tabs>
          <w:tab w:val="right" w:leader="dot" w:pos="9016"/>
        </w:tabs>
        <w:rPr>
          <w:rFonts w:asciiTheme="minorHAnsi" w:eastAsiaTheme="minorEastAsia" w:hAnsiTheme="minorHAnsi"/>
          <w:noProof/>
          <w:lang w:eastAsia="it-IT"/>
        </w:rPr>
      </w:pPr>
      <w:hyperlink w:anchor="_Toc64610961" w:history="1">
        <w:r w:rsidR="008204BD" w:rsidRPr="007E31A3">
          <w:rPr>
            <w:rStyle w:val="Hyperlink"/>
            <w:noProof/>
            <w:lang w:val="en-GB"/>
          </w:rPr>
          <w:t>Figure 13 - Urban versus rural population evolution 2009 - 2018 (% increase or decrease)</w:t>
        </w:r>
        <w:r w:rsidR="008204BD">
          <w:rPr>
            <w:noProof/>
            <w:webHidden/>
          </w:rPr>
          <w:tab/>
        </w:r>
        <w:r w:rsidR="008204BD">
          <w:rPr>
            <w:noProof/>
            <w:webHidden/>
          </w:rPr>
          <w:fldChar w:fldCharType="begin"/>
        </w:r>
        <w:r w:rsidR="008204BD">
          <w:rPr>
            <w:noProof/>
            <w:webHidden/>
          </w:rPr>
          <w:instrText xml:space="preserve"> PAGEREF _Toc64610961 \h </w:instrText>
        </w:r>
        <w:r w:rsidR="008204BD">
          <w:rPr>
            <w:noProof/>
            <w:webHidden/>
          </w:rPr>
        </w:r>
        <w:r w:rsidR="008204BD">
          <w:rPr>
            <w:noProof/>
            <w:webHidden/>
          </w:rPr>
          <w:fldChar w:fldCharType="separate"/>
        </w:r>
        <w:r w:rsidR="00FB3E93">
          <w:rPr>
            <w:noProof/>
            <w:webHidden/>
          </w:rPr>
          <w:t>48</w:t>
        </w:r>
        <w:r w:rsidR="008204BD">
          <w:rPr>
            <w:noProof/>
            <w:webHidden/>
          </w:rPr>
          <w:fldChar w:fldCharType="end"/>
        </w:r>
      </w:hyperlink>
    </w:p>
    <w:p w14:paraId="41E571AF" w14:textId="78552766" w:rsidR="008204BD" w:rsidRDefault="0049362F">
      <w:pPr>
        <w:pStyle w:val="TableofFigures"/>
        <w:tabs>
          <w:tab w:val="right" w:leader="dot" w:pos="9016"/>
        </w:tabs>
        <w:rPr>
          <w:rFonts w:asciiTheme="minorHAnsi" w:eastAsiaTheme="minorEastAsia" w:hAnsiTheme="minorHAnsi"/>
          <w:noProof/>
          <w:lang w:eastAsia="it-IT"/>
        </w:rPr>
      </w:pPr>
      <w:hyperlink w:anchor="_Toc64610962" w:history="1">
        <w:r w:rsidR="008204BD" w:rsidRPr="007E31A3">
          <w:rPr>
            <w:rStyle w:val="Hyperlink"/>
            <w:noProof/>
            <w:lang w:val="en-GB"/>
          </w:rPr>
          <w:t>Figure 14 - Urban and rural settlements (left) + NUTS3 region characterisation (right)</w:t>
        </w:r>
        <w:r w:rsidR="008204BD">
          <w:rPr>
            <w:noProof/>
            <w:webHidden/>
          </w:rPr>
          <w:tab/>
        </w:r>
        <w:r w:rsidR="008204BD">
          <w:rPr>
            <w:noProof/>
            <w:webHidden/>
          </w:rPr>
          <w:fldChar w:fldCharType="begin"/>
        </w:r>
        <w:r w:rsidR="008204BD">
          <w:rPr>
            <w:noProof/>
            <w:webHidden/>
          </w:rPr>
          <w:instrText xml:space="preserve"> PAGEREF _Toc64610962 \h </w:instrText>
        </w:r>
        <w:r w:rsidR="008204BD">
          <w:rPr>
            <w:noProof/>
            <w:webHidden/>
          </w:rPr>
        </w:r>
        <w:r w:rsidR="008204BD">
          <w:rPr>
            <w:noProof/>
            <w:webHidden/>
          </w:rPr>
          <w:fldChar w:fldCharType="separate"/>
        </w:r>
        <w:r w:rsidR="00FB3E93">
          <w:rPr>
            <w:noProof/>
            <w:webHidden/>
          </w:rPr>
          <w:t>49</w:t>
        </w:r>
        <w:r w:rsidR="008204BD">
          <w:rPr>
            <w:noProof/>
            <w:webHidden/>
          </w:rPr>
          <w:fldChar w:fldCharType="end"/>
        </w:r>
      </w:hyperlink>
    </w:p>
    <w:p w14:paraId="1A472789" w14:textId="1A035C61" w:rsidR="008204BD" w:rsidRDefault="0049362F">
      <w:pPr>
        <w:pStyle w:val="TableofFigures"/>
        <w:tabs>
          <w:tab w:val="right" w:leader="dot" w:pos="9016"/>
        </w:tabs>
        <w:rPr>
          <w:rFonts w:asciiTheme="minorHAnsi" w:eastAsiaTheme="minorEastAsia" w:hAnsiTheme="minorHAnsi"/>
          <w:noProof/>
          <w:lang w:eastAsia="it-IT"/>
        </w:rPr>
      </w:pPr>
      <w:hyperlink w:anchor="_Toc64610963" w:history="1">
        <w:r w:rsidR="008204BD" w:rsidRPr="007E31A3">
          <w:rPr>
            <w:rStyle w:val="Hyperlink"/>
            <w:noProof/>
            <w:lang w:val="en-GB"/>
          </w:rPr>
          <w:t>Figure 15 - Log scale distribution of urban settlements by size, showing a more even distribution on the Hungarian side</w:t>
        </w:r>
        <w:r w:rsidR="008204BD">
          <w:rPr>
            <w:noProof/>
            <w:webHidden/>
          </w:rPr>
          <w:tab/>
        </w:r>
        <w:r w:rsidR="008204BD">
          <w:rPr>
            <w:noProof/>
            <w:webHidden/>
          </w:rPr>
          <w:fldChar w:fldCharType="begin"/>
        </w:r>
        <w:r w:rsidR="008204BD">
          <w:rPr>
            <w:noProof/>
            <w:webHidden/>
          </w:rPr>
          <w:instrText xml:space="preserve"> PAGEREF _Toc64610963 \h </w:instrText>
        </w:r>
        <w:r w:rsidR="008204BD">
          <w:rPr>
            <w:noProof/>
            <w:webHidden/>
          </w:rPr>
        </w:r>
        <w:r w:rsidR="008204BD">
          <w:rPr>
            <w:noProof/>
            <w:webHidden/>
          </w:rPr>
          <w:fldChar w:fldCharType="separate"/>
        </w:r>
        <w:r w:rsidR="00FB3E93">
          <w:rPr>
            <w:noProof/>
            <w:webHidden/>
          </w:rPr>
          <w:t>49</w:t>
        </w:r>
        <w:r w:rsidR="008204BD">
          <w:rPr>
            <w:noProof/>
            <w:webHidden/>
          </w:rPr>
          <w:fldChar w:fldCharType="end"/>
        </w:r>
      </w:hyperlink>
    </w:p>
    <w:p w14:paraId="36C467E5" w14:textId="0B58FC96" w:rsidR="008204BD" w:rsidRDefault="0049362F">
      <w:pPr>
        <w:pStyle w:val="TableofFigures"/>
        <w:tabs>
          <w:tab w:val="right" w:leader="dot" w:pos="9016"/>
        </w:tabs>
        <w:rPr>
          <w:rFonts w:asciiTheme="minorHAnsi" w:eastAsiaTheme="minorEastAsia" w:hAnsiTheme="minorHAnsi"/>
          <w:noProof/>
          <w:lang w:eastAsia="it-IT"/>
        </w:rPr>
      </w:pPr>
      <w:hyperlink w:anchor="_Toc64610964" w:history="1">
        <w:r w:rsidR="008204BD" w:rsidRPr="007E31A3">
          <w:rPr>
            <w:rStyle w:val="Hyperlink"/>
            <w:noProof/>
            <w:lang w:val="en-GB"/>
          </w:rPr>
          <w:t>Figure 16 - Major cities statistical data comparison</w:t>
        </w:r>
        <w:r w:rsidR="008204BD">
          <w:rPr>
            <w:noProof/>
            <w:webHidden/>
          </w:rPr>
          <w:tab/>
        </w:r>
        <w:r w:rsidR="008204BD">
          <w:rPr>
            <w:noProof/>
            <w:webHidden/>
          </w:rPr>
          <w:fldChar w:fldCharType="begin"/>
        </w:r>
        <w:r w:rsidR="008204BD">
          <w:rPr>
            <w:noProof/>
            <w:webHidden/>
          </w:rPr>
          <w:instrText xml:space="preserve"> PAGEREF _Toc64610964 \h </w:instrText>
        </w:r>
        <w:r w:rsidR="008204BD">
          <w:rPr>
            <w:noProof/>
            <w:webHidden/>
          </w:rPr>
        </w:r>
        <w:r w:rsidR="008204BD">
          <w:rPr>
            <w:noProof/>
            <w:webHidden/>
          </w:rPr>
          <w:fldChar w:fldCharType="separate"/>
        </w:r>
        <w:r w:rsidR="00FB3E93">
          <w:rPr>
            <w:noProof/>
            <w:webHidden/>
          </w:rPr>
          <w:t>50</w:t>
        </w:r>
        <w:r w:rsidR="008204BD">
          <w:rPr>
            <w:noProof/>
            <w:webHidden/>
          </w:rPr>
          <w:fldChar w:fldCharType="end"/>
        </w:r>
      </w:hyperlink>
    </w:p>
    <w:p w14:paraId="27D28DB7" w14:textId="4ECAAE2E" w:rsidR="008204BD" w:rsidRDefault="0049362F">
      <w:pPr>
        <w:pStyle w:val="TableofFigures"/>
        <w:tabs>
          <w:tab w:val="right" w:leader="dot" w:pos="9016"/>
        </w:tabs>
        <w:rPr>
          <w:rFonts w:asciiTheme="minorHAnsi" w:eastAsiaTheme="minorEastAsia" w:hAnsiTheme="minorHAnsi"/>
          <w:noProof/>
          <w:lang w:eastAsia="it-IT"/>
        </w:rPr>
      </w:pPr>
      <w:hyperlink w:anchor="_Toc64610965" w:history="1">
        <w:r w:rsidR="008204BD" w:rsidRPr="007E31A3">
          <w:rPr>
            <w:rStyle w:val="Hyperlink"/>
            <w:noProof/>
            <w:lang w:val="en-GB"/>
          </w:rPr>
          <w:t>Figure 17 - Natural growth rate at LAU2 level 2009/2018. Source: KSH, INS</w:t>
        </w:r>
        <w:r w:rsidR="008204BD">
          <w:rPr>
            <w:noProof/>
            <w:webHidden/>
          </w:rPr>
          <w:tab/>
        </w:r>
        <w:r w:rsidR="008204BD">
          <w:rPr>
            <w:noProof/>
            <w:webHidden/>
          </w:rPr>
          <w:fldChar w:fldCharType="begin"/>
        </w:r>
        <w:r w:rsidR="008204BD">
          <w:rPr>
            <w:noProof/>
            <w:webHidden/>
          </w:rPr>
          <w:instrText xml:space="preserve"> PAGEREF _Toc64610965 \h </w:instrText>
        </w:r>
        <w:r w:rsidR="008204BD">
          <w:rPr>
            <w:noProof/>
            <w:webHidden/>
          </w:rPr>
        </w:r>
        <w:r w:rsidR="008204BD">
          <w:rPr>
            <w:noProof/>
            <w:webHidden/>
          </w:rPr>
          <w:fldChar w:fldCharType="separate"/>
        </w:r>
        <w:r w:rsidR="00FB3E93">
          <w:rPr>
            <w:noProof/>
            <w:webHidden/>
          </w:rPr>
          <w:t>51</w:t>
        </w:r>
        <w:r w:rsidR="008204BD">
          <w:rPr>
            <w:noProof/>
            <w:webHidden/>
          </w:rPr>
          <w:fldChar w:fldCharType="end"/>
        </w:r>
      </w:hyperlink>
    </w:p>
    <w:p w14:paraId="539370EF" w14:textId="3034A13E" w:rsidR="008204BD" w:rsidRDefault="0049362F">
      <w:pPr>
        <w:pStyle w:val="TableofFigures"/>
        <w:tabs>
          <w:tab w:val="right" w:leader="dot" w:pos="9016"/>
        </w:tabs>
        <w:rPr>
          <w:rFonts w:asciiTheme="minorHAnsi" w:eastAsiaTheme="minorEastAsia" w:hAnsiTheme="minorHAnsi"/>
          <w:noProof/>
          <w:lang w:eastAsia="it-IT"/>
        </w:rPr>
      </w:pPr>
      <w:hyperlink w:anchor="_Toc64610966" w:history="1">
        <w:r w:rsidR="008204BD" w:rsidRPr="007E31A3">
          <w:rPr>
            <w:rStyle w:val="Hyperlink"/>
            <w:noProof/>
            <w:lang w:val="en-GB"/>
          </w:rPr>
          <w:t>Figure 18 – The natural change rate evolution in Hungarian (left) and Romanian (right) counties of the PA, 2009 – 2018</w:t>
        </w:r>
        <w:r w:rsidR="008204BD">
          <w:rPr>
            <w:noProof/>
            <w:webHidden/>
          </w:rPr>
          <w:tab/>
        </w:r>
        <w:r w:rsidR="008204BD">
          <w:rPr>
            <w:noProof/>
            <w:webHidden/>
          </w:rPr>
          <w:fldChar w:fldCharType="begin"/>
        </w:r>
        <w:r w:rsidR="008204BD">
          <w:rPr>
            <w:noProof/>
            <w:webHidden/>
          </w:rPr>
          <w:instrText xml:space="preserve"> PAGEREF _Toc64610966 \h </w:instrText>
        </w:r>
        <w:r w:rsidR="008204BD">
          <w:rPr>
            <w:noProof/>
            <w:webHidden/>
          </w:rPr>
        </w:r>
        <w:r w:rsidR="008204BD">
          <w:rPr>
            <w:noProof/>
            <w:webHidden/>
          </w:rPr>
          <w:fldChar w:fldCharType="separate"/>
        </w:r>
        <w:r w:rsidR="00FB3E93">
          <w:rPr>
            <w:noProof/>
            <w:webHidden/>
          </w:rPr>
          <w:t>52</w:t>
        </w:r>
        <w:r w:rsidR="008204BD">
          <w:rPr>
            <w:noProof/>
            <w:webHidden/>
          </w:rPr>
          <w:fldChar w:fldCharType="end"/>
        </w:r>
      </w:hyperlink>
    </w:p>
    <w:p w14:paraId="5A60574A" w14:textId="0C461A23" w:rsidR="008204BD" w:rsidRDefault="0049362F">
      <w:pPr>
        <w:pStyle w:val="TableofFigures"/>
        <w:tabs>
          <w:tab w:val="right" w:leader="dot" w:pos="9016"/>
        </w:tabs>
        <w:rPr>
          <w:rFonts w:asciiTheme="minorHAnsi" w:eastAsiaTheme="minorEastAsia" w:hAnsiTheme="minorHAnsi"/>
          <w:noProof/>
          <w:lang w:eastAsia="it-IT"/>
        </w:rPr>
      </w:pPr>
      <w:hyperlink w:anchor="_Toc64610967" w:history="1">
        <w:r w:rsidR="008204BD" w:rsidRPr="007E31A3">
          <w:rPr>
            <w:rStyle w:val="Hyperlink"/>
            <w:noProof/>
            <w:lang w:val="en-GB"/>
          </w:rPr>
          <w:t>Figure 19 - Total population change rate, net migration rate and natural population change rate evolution 2009 - 2018</w:t>
        </w:r>
        <w:r w:rsidR="008204BD">
          <w:rPr>
            <w:noProof/>
            <w:webHidden/>
          </w:rPr>
          <w:tab/>
        </w:r>
        <w:r w:rsidR="008204BD">
          <w:rPr>
            <w:noProof/>
            <w:webHidden/>
          </w:rPr>
          <w:fldChar w:fldCharType="begin"/>
        </w:r>
        <w:r w:rsidR="008204BD">
          <w:rPr>
            <w:noProof/>
            <w:webHidden/>
          </w:rPr>
          <w:instrText xml:space="preserve"> PAGEREF _Toc64610967 \h </w:instrText>
        </w:r>
        <w:r w:rsidR="008204BD">
          <w:rPr>
            <w:noProof/>
            <w:webHidden/>
          </w:rPr>
        </w:r>
        <w:r w:rsidR="008204BD">
          <w:rPr>
            <w:noProof/>
            <w:webHidden/>
          </w:rPr>
          <w:fldChar w:fldCharType="separate"/>
        </w:r>
        <w:r w:rsidR="00FB3E93">
          <w:rPr>
            <w:noProof/>
            <w:webHidden/>
          </w:rPr>
          <w:t>52</w:t>
        </w:r>
        <w:r w:rsidR="008204BD">
          <w:rPr>
            <w:noProof/>
            <w:webHidden/>
          </w:rPr>
          <w:fldChar w:fldCharType="end"/>
        </w:r>
      </w:hyperlink>
    </w:p>
    <w:p w14:paraId="3D01A340" w14:textId="649EFF06" w:rsidR="008204BD" w:rsidRDefault="0049362F">
      <w:pPr>
        <w:pStyle w:val="TableofFigures"/>
        <w:tabs>
          <w:tab w:val="right" w:leader="dot" w:pos="9016"/>
        </w:tabs>
        <w:rPr>
          <w:rFonts w:asciiTheme="minorHAnsi" w:eastAsiaTheme="minorEastAsia" w:hAnsiTheme="minorHAnsi"/>
          <w:noProof/>
          <w:lang w:eastAsia="it-IT"/>
        </w:rPr>
      </w:pPr>
      <w:hyperlink w:anchor="_Toc64610968" w:history="1">
        <w:r w:rsidR="008204BD" w:rsidRPr="007E31A3">
          <w:rPr>
            <w:rStyle w:val="Hyperlink"/>
            <w:noProof/>
            <w:lang w:val="en-GB"/>
          </w:rPr>
          <w:t>Figure 20 - Total population change rate evolution between 2009 - 2018</w:t>
        </w:r>
        <w:r w:rsidR="008204BD">
          <w:rPr>
            <w:noProof/>
            <w:webHidden/>
          </w:rPr>
          <w:tab/>
        </w:r>
        <w:r w:rsidR="008204BD">
          <w:rPr>
            <w:noProof/>
            <w:webHidden/>
          </w:rPr>
          <w:fldChar w:fldCharType="begin"/>
        </w:r>
        <w:r w:rsidR="008204BD">
          <w:rPr>
            <w:noProof/>
            <w:webHidden/>
          </w:rPr>
          <w:instrText xml:space="preserve"> PAGEREF _Toc64610968 \h </w:instrText>
        </w:r>
        <w:r w:rsidR="008204BD">
          <w:rPr>
            <w:noProof/>
            <w:webHidden/>
          </w:rPr>
        </w:r>
        <w:r w:rsidR="008204BD">
          <w:rPr>
            <w:noProof/>
            <w:webHidden/>
          </w:rPr>
          <w:fldChar w:fldCharType="separate"/>
        </w:r>
        <w:r w:rsidR="00FB3E93">
          <w:rPr>
            <w:noProof/>
            <w:webHidden/>
          </w:rPr>
          <w:t>53</w:t>
        </w:r>
        <w:r w:rsidR="008204BD">
          <w:rPr>
            <w:noProof/>
            <w:webHidden/>
          </w:rPr>
          <w:fldChar w:fldCharType="end"/>
        </w:r>
      </w:hyperlink>
    </w:p>
    <w:p w14:paraId="02E0A146" w14:textId="1F4375DE" w:rsidR="008204BD" w:rsidRDefault="0049362F">
      <w:pPr>
        <w:pStyle w:val="TableofFigures"/>
        <w:tabs>
          <w:tab w:val="right" w:leader="dot" w:pos="9016"/>
        </w:tabs>
        <w:rPr>
          <w:rFonts w:asciiTheme="minorHAnsi" w:eastAsiaTheme="minorEastAsia" w:hAnsiTheme="minorHAnsi"/>
          <w:noProof/>
          <w:lang w:eastAsia="it-IT"/>
        </w:rPr>
      </w:pPr>
      <w:hyperlink w:anchor="_Toc64610969" w:history="1">
        <w:r w:rsidR="008204BD" w:rsidRPr="007E31A3">
          <w:rPr>
            <w:rStyle w:val="Hyperlink"/>
            <w:noProof/>
            <w:lang w:val="en-GB"/>
          </w:rPr>
          <w:t>Figure 21 - Population dynamic at LAU 2 level between 2009-2018.</w:t>
        </w:r>
        <w:r w:rsidR="008204BD">
          <w:rPr>
            <w:noProof/>
            <w:webHidden/>
          </w:rPr>
          <w:tab/>
        </w:r>
        <w:r w:rsidR="008204BD">
          <w:rPr>
            <w:noProof/>
            <w:webHidden/>
          </w:rPr>
          <w:fldChar w:fldCharType="begin"/>
        </w:r>
        <w:r w:rsidR="008204BD">
          <w:rPr>
            <w:noProof/>
            <w:webHidden/>
          </w:rPr>
          <w:instrText xml:space="preserve"> PAGEREF _Toc64610969 \h </w:instrText>
        </w:r>
        <w:r w:rsidR="008204BD">
          <w:rPr>
            <w:noProof/>
            <w:webHidden/>
          </w:rPr>
        </w:r>
        <w:r w:rsidR="008204BD">
          <w:rPr>
            <w:noProof/>
            <w:webHidden/>
          </w:rPr>
          <w:fldChar w:fldCharType="separate"/>
        </w:r>
        <w:r w:rsidR="00FB3E93">
          <w:rPr>
            <w:noProof/>
            <w:webHidden/>
          </w:rPr>
          <w:t>53</w:t>
        </w:r>
        <w:r w:rsidR="008204BD">
          <w:rPr>
            <w:noProof/>
            <w:webHidden/>
          </w:rPr>
          <w:fldChar w:fldCharType="end"/>
        </w:r>
      </w:hyperlink>
    </w:p>
    <w:p w14:paraId="7E97B7CB" w14:textId="74E92FE5" w:rsidR="008204BD" w:rsidRDefault="0049362F">
      <w:pPr>
        <w:pStyle w:val="TableofFigures"/>
        <w:tabs>
          <w:tab w:val="right" w:leader="dot" w:pos="9016"/>
        </w:tabs>
        <w:rPr>
          <w:rFonts w:asciiTheme="minorHAnsi" w:eastAsiaTheme="minorEastAsia" w:hAnsiTheme="minorHAnsi"/>
          <w:noProof/>
          <w:lang w:eastAsia="it-IT"/>
        </w:rPr>
      </w:pPr>
      <w:hyperlink w:anchor="_Toc64610970" w:history="1">
        <w:r w:rsidR="008204BD" w:rsidRPr="007E31A3">
          <w:rPr>
            <w:rStyle w:val="Hyperlink"/>
            <w:noProof/>
            <w:lang w:val="en-GB"/>
          </w:rPr>
          <w:t>Figure 22 - Future demographic trends 2017-2032 in shrinking intermediate and rural regions (NUTS3).</w:t>
        </w:r>
        <w:r w:rsidR="008204BD">
          <w:rPr>
            <w:noProof/>
            <w:webHidden/>
          </w:rPr>
          <w:tab/>
        </w:r>
        <w:r w:rsidR="008204BD">
          <w:rPr>
            <w:noProof/>
            <w:webHidden/>
          </w:rPr>
          <w:fldChar w:fldCharType="begin"/>
        </w:r>
        <w:r w:rsidR="008204BD">
          <w:rPr>
            <w:noProof/>
            <w:webHidden/>
          </w:rPr>
          <w:instrText xml:space="preserve"> PAGEREF _Toc64610970 \h </w:instrText>
        </w:r>
        <w:r w:rsidR="008204BD">
          <w:rPr>
            <w:noProof/>
            <w:webHidden/>
          </w:rPr>
        </w:r>
        <w:r w:rsidR="008204BD">
          <w:rPr>
            <w:noProof/>
            <w:webHidden/>
          </w:rPr>
          <w:fldChar w:fldCharType="separate"/>
        </w:r>
        <w:r w:rsidR="00FB3E93">
          <w:rPr>
            <w:noProof/>
            <w:webHidden/>
          </w:rPr>
          <w:t>54</w:t>
        </w:r>
        <w:r w:rsidR="008204BD">
          <w:rPr>
            <w:noProof/>
            <w:webHidden/>
          </w:rPr>
          <w:fldChar w:fldCharType="end"/>
        </w:r>
      </w:hyperlink>
    </w:p>
    <w:p w14:paraId="1D72DDE3" w14:textId="01BCEF3D" w:rsidR="008204BD" w:rsidRDefault="0049362F">
      <w:pPr>
        <w:pStyle w:val="TableofFigures"/>
        <w:tabs>
          <w:tab w:val="right" w:leader="dot" w:pos="9016"/>
        </w:tabs>
        <w:rPr>
          <w:rFonts w:asciiTheme="minorHAnsi" w:eastAsiaTheme="minorEastAsia" w:hAnsiTheme="minorHAnsi"/>
          <w:noProof/>
          <w:lang w:eastAsia="it-IT"/>
        </w:rPr>
      </w:pPr>
      <w:hyperlink w:anchor="_Toc64610971" w:history="1">
        <w:r w:rsidR="008204BD" w:rsidRPr="007E31A3">
          <w:rPr>
            <w:rStyle w:val="Hyperlink"/>
            <w:noProof/>
            <w:lang w:val="en-GB"/>
          </w:rPr>
          <w:t>Figure 23 - Population age groups in PA in 2018</w:t>
        </w:r>
        <w:r w:rsidR="008204BD">
          <w:rPr>
            <w:noProof/>
            <w:webHidden/>
          </w:rPr>
          <w:tab/>
        </w:r>
        <w:r w:rsidR="008204BD">
          <w:rPr>
            <w:noProof/>
            <w:webHidden/>
          </w:rPr>
          <w:fldChar w:fldCharType="begin"/>
        </w:r>
        <w:r w:rsidR="008204BD">
          <w:rPr>
            <w:noProof/>
            <w:webHidden/>
          </w:rPr>
          <w:instrText xml:space="preserve"> PAGEREF _Toc64610971 \h </w:instrText>
        </w:r>
        <w:r w:rsidR="008204BD">
          <w:rPr>
            <w:noProof/>
            <w:webHidden/>
          </w:rPr>
        </w:r>
        <w:r w:rsidR="008204BD">
          <w:rPr>
            <w:noProof/>
            <w:webHidden/>
          </w:rPr>
          <w:fldChar w:fldCharType="separate"/>
        </w:r>
        <w:r w:rsidR="00FB3E93">
          <w:rPr>
            <w:noProof/>
            <w:webHidden/>
          </w:rPr>
          <w:t>55</w:t>
        </w:r>
        <w:r w:rsidR="008204BD">
          <w:rPr>
            <w:noProof/>
            <w:webHidden/>
          </w:rPr>
          <w:fldChar w:fldCharType="end"/>
        </w:r>
      </w:hyperlink>
    </w:p>
    <w:p w14:paraId="5AB710AD" w14:textId="5D1086A2" w:rsidR="008204BD" w:rsidRDefault="0049362F">
      <w:pPr>
        <w:pStyle w:val="TableofFigures"/>
        <w:tabs>
          <w:tab w:val="right" w:leader="dot" w:pos="9016"/>
        </w:tabs>
        <w:rPr>
          <w:rFonts w:asciiTheme="minorHAnsi" w:eastAsiaTheme="minorEastAsia" w:hAnsiTheme="minorHAnsi"/>
          <w:noProof/>
          <w:lang w:eastAsia="it-IT"/>
        </w:rPr>
      </w:pPr>
      <w:hyperlink w:anchor="_Toc64610972" w:history="1">
        <w:r w:rsidR="008204BD" w:rsidRPr="007E31A3">
          <w:rPr>
            <w:rStyle w:val="Hyperlink"/>
            <w:noProof/>
            <w:lang w:val="en-GB"/>
          </w:rPr>
          <w:t>Figure 24 - The median age of population between 2014 - 2019</w:t>
        </w:r>
        <w:r w:rsidR="008204BD">
          <w:rPr>
            <w:noProof/>
            <w:webHidden/>
          </w:rPr>
          <w:tab/>
        </w:r>
        <w:r w:rsidR="008204BD">
          <w:rPr>
            <w:noProof/>
            <w:webHidden/>
          </w:rPr>
          <w:fldChar w:fldCharType="begin"/>
        </w:r>
        <w:r w:rsidR="008204BD">
          <w:rPr>
            <w:noProof/>
            <w:webHidden/>
          </w:rPr>
          <w:instrText xml:space="preserve"> PAGEREF _Toc64610972 \h </w:instrText>
        </w:r>
        <w:r w:rsidR="008204BD">
          <w:rPr>
            <w:noProof/>
            <w:webHidden/>
          </w:rPr>
        </w:r>
        <w:r w:rsidR="008204BD">
          <w:rPr>
            <w:noProof/>
            <w:webHidden/>
          </w:rPr>
          <w:fldChar w:fldCharType="separate"/>
        </w:r>
        <w:r w:rsidR="00FB3E93">
          <w:rPr>
            <w:noProof/>
            <w:webHidden/>
          </w:rPr>
          <w:t>55</w:t>
        </w:r>
        <w:r w:rsidR="008204BD">
          <w:rPr>
            <w:noProof/>
            <w:webHidden/>
          </w:rPr>
          <w:fldChar w:fldCharType="end"/>
        </w:r>
      </w:hyperlink>
    </w:p>
    <w:p w14:paraId="3C079411" w14:textId="3DC8FA3E" w:rsidR="008204BD" w:rsidRDefault="0049362F">
      <w:pPr>
        <w:pStyle w:val="TableofFigures"/>
        <w:tabs>
          <w:tab w:val="right" w:leader="dot" w:pos="9016"/>
        </w:tabs>
        <w:rPr>
          <w:rFonts w:asciiTheme="minorHAnsi" w:eastAsiaTheme="minorEastAsia" w:hAnsiTheme="minorHAnsi"/>
          <w:noProof/>
          <w:lang w:eastAsia="it-IT"/>
        </w:rPr>
      </w:pPr>
      <w:hyperlink w:anchor="_Toc64610973" w:history="1">
        <w:r w:rsidR="008204BD" w:rsidRPr="007E31A3">
          <w:rPr>
            <w:rStyle w:val="Hyperlink"/>
            <w:noProof/>
            <w:lang w:val="en-GB"/>
          </w:rPr>
          <w:t>Figure 25 - Median age at NUTS3 level in Europe (2017) and the delineation of the PA (blue).</w:t>
        </w:r>
        <w:r w:rsidR="008204BD">
          <w:rPr>
            <w:noProof/>
            <w:webHidden/>
          </w:rPr>
          <w:tab/>
        </w:r>
        <w:r w:rsidR="008204BD">
          <w:rPr>
            <w:noProof/>
            <w:webHidden/>
          </w:rPr>
          <w:fldChar w:fldCharType="begin"/>
        </w:r>
        <w:r w:rsidR="008204BD">
          <w:rPr>
            <w:noProof/>
            <w:webHidden/>
          </w:rPr>
          <w:instrText xml:space="preserve"> PAGEREF _Toc64610973 \h </w:instrText>
        </w:r>
        <w:r w:rsidR="008204BD">
          <w:rPr>
            <w:noProof/>
            <w:webHidden/>
          </w:rPr>
        </w:r>
        <w:r w:rsidR="008204BD">
          <w:rPr>
            <w:noProof/>
            <w:webHidden/>
          </w:rPr>
          <w:fldChar w:fldCharType="separate"/>
        </w:r>
        <w:r w:rsidR="00FB3E93">
          <w:rPr>
            <w:noProof/>
            <w:webHidden/>
          </w:rPr>
          <w:t>56</w:t>
        </w:r>
        <w:r w:rsidR="008204BD">
          <w:rPr>
            <w:noProof/>
            <w:webHidden/>
          </w:rPr>
          <w:fldChar w:fldCharType="end"/>
        </w:r>
      </w:hyperlink>
    </w:p>
    <w:p w14:paraId="09C81424" w14:textId="24F8DE2A" w:rsidR="008204BD" w:rsidRDefault="0049362F">
      <w:pPr>
        <w:pStyle w:val="TableofFigures"/>
        <w:tabs>
          <w:tab w:val="right" w:leader="dot" w:pos="9016"/>
        </w:tabs>
        <w:rPr>
          <w:rFonts w:asciiTheme="minorHAnsi" w:eastAsiaTheme="minorEastAsia" w:hAnsiTheme="minorHAnsi"/>
          <w:noProof/>
          <w:lang w:eastAsia="it-IT"/>
        </w:rPr>
      </w:pPr>
      <w:hyperlink w:anchor="_Toc64610974" w:history="1">
        <w:r w:rsidR="008204BD" w:rsidRPr="007E31A3">
          <w:rPr>
            <w:rStyle w:val="Hyperlink"/>
            <w:noProof/>
            <w:lang w:val="en-GB"/>
          </w:rPr>
          <w:t>Figure 26 - Age pyramids in Hungarian counties for 2018</w:t>
        </w:r>
        <w:r w:rsidR="008204BD">
          <w:rPr>
            <w:noProof/>
            <w:webHidden/>
          </w:rPr>
          <w:tab/>
        </w:r>
        <w:r w:rsidR="008204BD">
          <w:rPr>
            <w:noProof/>
            <w:webHidden/>
          </w:rPr>
          <w:fldChar w:fldCharType="begin"/>
        </w:r>
        <w:r w:rsidR="008204BD">
          <w:rPr>
            <w:noProof/>
            <w:webHidden/>
          </w:rPr>
          <w:instrText xml:space="preserve"> PAGEREF _Toc64610974 \h </w:instrText>
        </w:r>
        <w:r w:rsidR="008204BD">
          <w:rPr>
            <w:noProof/>
            <w:webHidden/>
          </w:rPr>
        </w:r>
        <w:r w:rsidR="008204BD">
          <w:rPr>
            <w:noProof/>
            <w:webHidden/>
          </w:rPr>
          <w:fldChar w:fldCharType="separate"/>
        </w:r>
        <w:r w:rsidR="00FB3E93">
          <w:rPr>
            <w:noProof/>
            <w:webHidden/>
          </w:rPr>
          <w:t>57</w:t>
        </w:r>
        <w:r w:rsidR="008204BD">
          <w:rPr>
            <w:noProof/>
            <w:webHidden/>
          </w:rPr>
          <w:fldChar w:fldCharType="end"/>
        </w:r>
      </w:hyperlink>
    </w:p>
    <w:p w14:paraId="5BB952E3" w14:textId="2D50D572" w:rsidR="008204BD" w:rsidRDefault="0049362F">
      <w:pPr>
        <w:pStyle w:val="TableofFigures"/>
        <w:tabs>
          <w:tab w:val="right" w:leader="dot" w:pos="9016"/>
        </w:tabs>
        <w:rPr>
          <w:rFonts w:asciiTheme="minorHAnsi" w:eastAsiaTheme="minorEastAsia" w:hAnsiTheme="minorHAnsi"/>
          <w:noProof/>
          <w:lang w:eastAsia="it-IT"/>
        </w:rPr>
      </w:pPr>
      <w:hyperlink w:anchor="_Toc64610975" w:history="1">
        <w:r w:rsidR="008204BD" w:rsidRPr="007E31A3">
          <w:rPr>
            <w:rStyle w:val="Hyperlink"/>
            <w:noProof/>
            <w:lang w:val="en-GB"/>
          </w:rPr>
          <w:t>Figure 27 - Age pyramids in Romanian counties for 2018</w:t>
        </w:r>
        <w:r w:rsidR="008204BD">
          <w:rPr>
            <w:noProof/>
            <w:webHidden/>
          </w:rPr>
          <w:tab/>
        </w:r>
        <w:r w:rsidR="008204BD">
          <w:rPr>
            <w:noProof/>
            <w:webHidden/>
          </w:rPr>
          <w:fldChar w:fldCharType="begin"/>
        </w:r>
        <w:r w:rsidR="008204BD">
          <w:rPr>
            <w:noProof/>
            <w:webHidden/>
          </w:rPr>
          <w:instrText xml:space="preserve"> PAGEREF _Toc64610975 \h </w:instrText>
        </w:r>
        <w:r w:rsidR="008204BD">
          <w:rPr>
            <w:noProof/>
            <w:webHidden/>
          </w:rPr>
        </w:r>
        <w:r w:rsidR="008204BD">
          <w:rPr>
            <w:noProof/>
            <w:webHidden/>
          </w:rPr>
          <w:fldChar w:fldCharType="separate"/>
        </w:r>
        <w:r w:rsidR="00FB3E93">
          <w:rPr>
            <w:noProof/>
            <w:webHidden/>
          </w:rPr>
          <w:t>58</w:t>
        </w:r>
        <w:r w:rsidR="008204BD">
          <w:rPr>
            <w:noProof/>
            <w:webHidden/>
          </w:rPr>
          <w:fldChar w:fldCharType="end"/>
        </w:r>
      </w:hyperlink>
    </w:p>
    <w:p w14:paraId="6FADB5F0" w14:textId="118AB1E9" w:rsidR="008204BD" w:rsidRDefault="0049362F">
      <w:pPr>
        <w:pStyle w:val="TableofFigures"/>
        <w:tabs>
          <w:tab w:val="right" w:leader="dot" w:pos="9016"/>
        </w:tabs>
        <w:rPr>
          <w:rFonts w:asciiTheme="minorHAnsi" w:eastAsiaTheme="minorEastAsia" w:hAnsiTheme="minorHAnsi"/>
          <w:noProof/>
          <w:lang w:eastAsia="it-IT"/>
        </w:rPr>
      </w:pPr>
      <w:hyperlink w:anchor="_Toc64610976" w:history="1">
        <w:r w:rsidR="008204BD" w:rsidRPr="007E31A3">
          <w:rPr>
            <w:rStyle w:val="Hyperlink"/>
            <w:noProof/>
            <w:lang w:val="en-GB"/>
          </w:rPr>
          <w:t>Figure 28 - Age dependency ratio (population aged 0-14 and 65 and more to pop. aged 15-64)</w:t>
        </w:r>
        <w:r w:rsidR="008204BD">
          <w:rPr>
            <w:noProof/>
            <w:webHidden/>
          </w:rPr>
          <w:tab/>
        </w:r>
        <w:r w:rsidR="008204BD">
          <w:rPr>
            <w:noProof/>
            <w:webHidden/>
          </w:rPr>
          <w:fldChar w:fldCharType="begin"/>
        </w:r>
        <w:r w:rsidR="008204BD">
          <w:rPr>
            <w:noProof/>
            <w:webHidden/>
          </w:rPr>
          <w:instrText xml:space="preserve"> PAGEREF _Toc64610976 \h </w:instrText>
        </w:r>
        <w:r w:rsidR="008204BD">
          <w:rPr>
            <w:noProof/>
            <w:webHidden/>
          </w:rPr>
        </w:r>
        <w:r w:rsidR="008204BD">
          <w:rPr>
            <w:noProof/>
            <w:webHidden/>
          </w:rPr>
          <w:fldChar w:fldCharType="separate"/>
        </w:r>
        <w:r w:rsidR="00FB3E93">
          <w:rPr>
            <w:noProof/>
            <w:webHidden/>
          </w:rPr>
          <w:t>58</w:t>
        </w:r>
        <w:r w:rsidR="008204BD">
          <w:rPr>
            <w:noProof/>
            <w:webHidden/>
          </w:rPr>
          <w:fldChar w:fldCharType="end"/>
        </w:r>
      </w:hyperlink>
    </w:p>
    <w:p w14:paraId="7629B278" w14:textId="490477AC" w:rsidR="008204BD" w:rsidRDefault="0049362F">
      <w:pPr>
        <w:pStyle w:val="TableofFigures"/>
        <w:tabs>
          <w:tab w:val="right" w:leader="dot" w:pos="9016"/>
        </w:tabs>
        <w:rPr>
          <w:rFonts w:asciiTheme="minorHAnsi" w:eastAsiaTheme="minorEastAsia" w:hAnsiTheme="minorHAnsi"/>
          <w:noProof/>
          <w:lang w:eastAsia="it-IT"/>
        </w:rPr>
      </w:pPr>
      <w:hyperlink w:anchor="_Toc64610977" w:history="1">
        <w:r w:rsidR="008204BD" w:rsidRPr="007E31A3">
          <w:rPr>
            <w:rStyle w:val="Hyperlink"/>
            <w:noProof/>
            <w:lang w:val="en-GB"/>
          </w:rPr>
          <w:t>Figure 28 - Old age dependency ratio at NUTS 3 level.</w:t>
        </w:r>
        <w:r w:rsidR="008204BD">
          <w:rPr>
            <w:noProof/>
            <w:webHidden/>
          </w:rPr>
          <w:tab/>
        </w:r>
        <w:r w:rsidR="008204BD">
          <w:rPr>
            <w:noProof/>
            <w:webHidden/>
          </w:rPr>
          <w:fldChar w:fldCharType="begin"/>
        </w:r>
        <w:r w:rsidR="008204BD">
          <w:rPr>
            <w:noProof/>
            <w:webHidden/>
          </w:rPr>
          <w:instrText xml:space="preserve"> PAGEREF _Toc64610977 \h </w:instrText>
        </w:r>
        <w:r w:rsidR="008204BD">
          <w:rPr>
            <w:noProof/>
            <w:webHidden/>
          </w:rPr>
        </w:r>
        <w:r w:rsidR="008204BD">
          <w:rPr>
            <w:noProof/>
            <w:webHidden/>
          </w:rPr>
          <w:fldChar w:fldCharType="separate"/>
        </w:r>
        <w:r w:rsidR="00FB3E93">
          <w:rPr>
            <w:noProof/>
            <w:webHidden/>
          </w:rPr>
          <w:t>59</w:t>
        </w:r>
        <w:r w:rsidR="008204BD">
          <w:rPr>
            <w:noProof/>
            <w:webHidden/>
          </w:rPr>
          <w:fldChar w:fldCharType="end"/>
        </w:r>
      </w:hyperlink>
    </w:p>
    <w:p w14:paraId="38B09038" w14:textId="1C635AA8" w:rsidR="008204BD" w:rsidRDefault="0049362F">
      <w:pPr>
        <w:pStyle w:val="TableofFigures"/>
        <w:tabs>
          <w:tab w:val="right" w:leader="dot" w:pos="9016"/>
        </w:tabs>
        <w:rPr>
          <w:rFonts w:asciiTheme="minorHAnsi" w:eastAsiaTheme="minorEastAsia" w:hAnsiTheme="minorHAnsi"/>
          <w:noProof/>
          <w:lang w:eastAsia="it-IT"/>
        </w:rPr>
      </w:pPr>
      <w:hyperlink w:anchor="_Toc64610978" w:history="1">
        <w:r w:rsidR="008204BD" w:rsidRPr="007E31A3">
          <w:rPr>
            <w:rStyle w:val="Hyperlink"/>
            <w:noProof/>
            <w:lang w:val="en-GB"/>
          </w:rPr>
          <w:t>Figure 29 Ageing index in the PA between 2009 - 2018</w:t>
        </w:r>
        <w:r w:rsidR="008204BD">
          <w:rPr>
            <w:noProof/>
            <w:webHidden/>
          </w:rPr>
          <w:tab/>
        </w:r>
        <w:r w:rsidR="008204BD">
          <w:rPr>
            <w:noProof/>
            <w:webHidden/>
          </w:rPr>
          <w:fldChar w:fldCharType="begin"/>
        </w:r>
        <w:r w:rsidR="008204BD">
          <w:rPr>
            <w:noProof/>
            <w:webHidden/>
          </w:rPr>
          <w:instrText xml:space="preserve"> PAGEREF _Toc64610978 \h </w:instrText>
        </w:r>
        <w:r w:rsidR="008204BD">
          <w:rPr>
            <w:noProof/>
            <w:webHidden/>
          </w:rPr>
        </w:r>
        <w:r w:rsidR="008204BD">
          <w:rPr>
            <w:noProof/>
            <w:webHidden/>
          </w:rPr>
          <w:fldChar w:fldCharType="separate"/>
        </w:r>
        <w:r w:rsidR="00FB3E93">
          <w:rPr>
            <w:noProof/>
            <w:webHidden/>
          </w:rPr>
          <w:t>59</w:t>
        </w:r>
        <w:r w:rsidR="008204BD">
          <w:rPr>
            <w:noProof/>
            <w:webHidden/>
          </w:rPr>
          <w:fldChar w:fldCharType="end"/>
        </w:r>
      </w:hyperlink>
    </w:p>
    <w:p w14:paraId="68997A1A" w14:textId="61768CCF" w:rsidR="008204BD" w:rsidRDefault="0049362F">
      <w:pPr>
        <w:pStyle w:val="TableofFigures"/>
        <w:tabs>
          <w:tab w:val="right" w:leader="dot" w:pos="9016"/>
        </w:tabs>
        <w:rPr>
          <w:rFonts w:asciiTheme="minorHAnsi" w:eastAsiaTheme="minorEastAsia" w:hAnsiTheme="minorHAnsi"/>
          <w:noProof/>
          <w:lang w:eastAsia="it-IT"/>
        </w:rPr>
      </w:pPr>
      <w:hyperlink w:anchor="_Toc64610979" w:history="1">
        <w:r w:rsidR="008204BD" w:rsidRPr="007E31A3">
          <w:rPr>
            <w:rStyle w:val="Hyperlink"/>
            <w:noProof/>
            <w:lang w:val="en-GB"/>
          </w:rPr>
          <w:t>Figure 30 - Rate of net migration plus statistical adjustment (‰) between 2009 - 2018</w:t>
        </w:r>
        <w:r w:rsidR="008204BD">
          <w:rPr>
            <w:noProof/>
            <w:webHidden/>
          </w:rPr>
          <w:tab/>
        </w:r>
        <w:r w:rsidR="008204BD">
          <w:rPr>
            <w:noProof/>
            <w:webHidden/>
          </w:rPr>
          <w:fldChar w:fldCharType="begin"/>
        </w:r>
        <w:r w:rsidR="008204BD">
          <w:rPr>
            <w:noProof/>
            <w:webHidden/>
          </w:rPr>
          <w:instrText xml:space="preserve"> PAGEREF _Toc64610979 \h </w:instrText>
        </w:r>
        <w:r w:rsidR="008204BD">
          <w:rPr>
            <w:noProof/>
            <w:webHidden/>
          </w:rPr>
        </w:r>
        <w:r w:rsidR="008204BD">
          <w:rPr>
            <w:noProof/>
            <w:webHidden/>
          </w:rPr>
          <w:fldChar w:fldCharType="separate"/>
        </w:r>
        <w:r w:rsidR="00FB3E93">
          <w:rPr>
            <w:noProof/>
            <w:webHidden/>
          </w:rPr>
          <w:t>60</w:t>
        </w:r>
        <w:r w:rsidR="008204BD">
          <w:rPr>
            <w:noProof/>
            <w:webHidden/>
          </w:rPr>
          <w:fldChar w:fldCharType="end"/>
        </w:r>
      </w:hyperlink>
    </w:p>
    <w:p w14:paraId="62EE1567" w14:textId="000917F6" w:rsidR="008204BD" w:rsidRDefault="0049362F">
      <w:pPr>
        <w:pStyle w:val="TableofFigures"/>
        <w:tabs>
          <w:tab w:val="right" w:leader="dot" w:pos="9016"/>
        </w:tabs>
        <w:rPr>
          <w:rFonts w:asciiTheme="minorHAnsi" w:eastAsiaTheme="minorEastAsia" w:hAnsiTheme="minorHAnsi"/>
          <w:noProof/>
          <w:lang w:eastAsia="it-IT"/>
        </w:rPr>
      </w:pPr>
      <w:hyperlink w:anchor="_Toc64610980" w:history="1">
        <w:r w:rsidR="008204BD" w:rsidRPr="007E31A3">
          <w:rPr>
            <w:rStyle w:val="Hyperlink"/>
            <w:noProof/>
            <w:lang w:val="en-GB"/>
          </w:rPr>
          <w:t>Figure 31 - Permanent net migration rate (‰) between 2009 – 2018</w:t>
        </w:r>
        <w:r w:rsidR="008204BD">
          <w:rPr>
            <w:noProof/>
            <w:webHidden/>
          </w:rPr>
          <w:tab/>
        </w:r>
        <w:r w:rsidR="008204BD">
          <w:rPr>
            <w:noProof/>
            <w:webHidden/>
          </w:rPr>
          <w:fldChar w:fldCharType="begin"/>
        </w:r>
        <w:r w:rsidR="008204BD">
          <w:rPr>
            <w:noProof/>
            <w:webHidden/>
          </w:rPr>
          <w:instrText xml:space="preserve"> PAGEREF _Toc64610980 \h </w:instrText>
        </w:r>
        <w:r w:rsidR="008204BD">
          <w:rPr>
            <w:noProof/>
            <w:webHidden/>
          </w:rPr>
        </w:r>
        <w:r w:rsidR="008204BD">
          <w:rPr>
            <w:noProof/>
            <w:webHidden/>
          </w:rPr>
          <w:fldChar w:fldCharType="separate"/>
        </w:r>
        <w:r w:rsidR="00FB3E93">
          <w:rPr>
            <w:noProof/>
            <w:webHidden/>
          </w:rPr>
          <w:t>60</w:t>
        </w:r>
        <w:r w:rsidR="008204BD">
          <w:rPr>
            <w:noProof/>
            <w:webHidden/>
          </w:rPr>
          <w:fldChar w:fldCharType="end"/>
        </w:r>
      </w:hyperlink>
    </w:p>
    <w:p w14:paraId="62B80814" w14:textId="3AA47210" w:rsidR="008204BD" w:rsidRDefault="0049362F">
      <w:pPr>
        <w:pStyle w:val="TableofFigures"/>
        <w:tabs>
          <w:tab w:val="right" w:leader="dot" w:pos="9016"/>
        </w:tabs>
        <w:rPr>
          <w:rFonts w:asciiTheme="minorHAnsi" w:eastAsiaTheme="minorEastAsia" w:hAnsiTheme="minorHAnsi"/>
          <w:noProof/>
          <w:lang w:eastAsia="it-IT"/>
        </w:rPr>
      </w:pPr>
      <w:hyperlink r:id="rId13" w:anchor="_Toc64610981" w:history="1">
        <w:r w:rsidR="008204BD" w:rsidRPr="007E31A3">
          <w:rPr>
            <w:rStyle w:val="Hyperlink"/>
            <w:noProof/>
            <w:lang w:val="en-US"/>
          </w:rPr>
          <w:t>Figure 32 - Internal migration map at NUTS3 level 2018</w:t>
        </w:r>
        <w:r w:rsidR="008204BD">
          <w:rPr>
            <w:noProof/>
            <w:webHidden/>
          </w:rPr>
          <w:tab/>
        </w:r>
        <w:r w:rsidR="008204BD">
          <w:rPr>
            <w:noProof/>
            <w:webHidden/>
          </w:rPr>
          <w:fldChar w:fldCharType="begin"/>
        </w:r>
        <w:r w:rsidR="008204BD">
          <w:rPr>
            <w:noProof/>
            <w:webHidden/>
          </w:rPr>
          <w:instrText xml:space="preserve"> PAGEREF _Toc64610981 \h </w:instrText>
        </w:r>
        <w:r w:rsidR="008204BD">
          <w:rPr>
            <w:noProof/>
            <w:webHidden/>
          </w:rPr>
        </w:r>
        <w:r w:rsidR="008204BD">
          <w:rPr>
            <w:noProof/>
            <w:webHidden/>
          </w:rPr>
          <w:fldChar w:fldCharType="separate"/>
        </w:r>
        <w:r w:rsidR="00FB3E93">
          <w:rPr>
            <w:noProof/>
            <w:webHidden/>
          </w:rPr>
          <w:t>61</w:t>
        </w:r>
        <w:r w:rsidR="008204BD">
          <w:rPr>
            <w:noProof/>
            <w:webHidden/>
          </w:rPr>
          <w:fldChar w:fldCharType="end"/>
        </w:r>
      </w:hyperlink>
    </w:p>
    <w:p w14:paraId="491AC42D" w14:textId="3096E847" w:rsidR="008204BD" w:rsidRDefault="0049362F">
      <w:pPr>
        <w:pStyle w:val="TableofFigures"/>
        <w:tabs>
          <w:tab w:val="right" w:leader="dot" w:pos="9016"/>
        </w:tabs>
        <w:rPr>
          <w:rFonts w:asciiTheme="minorHAnsi" w:eastAsiaTheme="minorEastAsia" w:hAnsiTheme="minorHAnsi"/>
          <w:noProof/>
          <w:lang w:eastAsia="it-IT"/>
        </w:rPr>
      </w:pPr>
      <w:hyperlink w:anchor="_Toc64610982" w:history="1">
        <w:r w:rsidR="008204BD" w:rsidRPr="007E31A3">
          <w:rPr>
            <w:rStyle w:val="Hyperlink"/>
            <w:noProof/>
            <w:lang w:val="en-GB"/>
          </w:rPr>
          <w:t>Figure 33 - Comparative overview of performance for the three Cultural and Creative cities in the PA</w:t>
        </w:r>
        <w:r w:rsidR="008204BD">
          <w:rPr>
            <w:noProof/>
            <w:webHidden/>
          </w:rPr>
          <w:tab/>
        </w:r>
        <w:r w:rsidR="008204BD">
          <w:rPr>
            <w:noProof/>
            <w:webHidden/>
          </w:rPr>
          <w:fldChar w:fldCharType="begin"/>
        </w:r>
        <w:r w:rsidR="008204BD">
          <w:rPr>
            <w:noProof/>
            <w:webHidden/>
          </w:rPr>
          <w:instrText xml:space="preserve"> PAGEREF _Toc64610982 \h </w:instrText>
        </w:r>
        <w:r w:rsidR="008204BD">
          <w:rPr>
            <w:noProof/>
            <w:webHidden/>
          </w:rPr>
        </w:r>
        <w:r w:rsidR="008204BD">
          <w:rPr>
            <w:noProof/>
            <w:webHidden/>
          </w:rPr>
          <w:fldChar w:fldCharType="separate"/>
        </w:r>
        <w:r w:rsidR="00FB3E93">
          <w:rPr>
            <w:noProof/>
            <w:webHidden/>
          </w:rPr>
          <w:t>64</w:t>
        </w:r>
        <w:r w:rsidR="008204BD">
          <w:rPr>
            <w:noProof/>
            <w:webHidden/>
          </w:rPr>
          <w:fldChar w:fldCharType="end"/>
        </w:r>
      </w:hyperlink>
    </w:p>
    <w:p w14:paraId="22E4D52E" w14:textId="1500008C" w:rsidR="008204BD" w:rsidRDefault="0049362F">
      <w:pPr>
        <w:pStyle w:val="TableofFigures"/>
        <w:tabs>
          <w:tab w:val="right" w:leader="dot" w:pos="9016"/>
        </w:tabs>
        <w:rPr>
          <w:rFonts w:asciiTheme="minorHAnsi" w:eastAsiaTheme="minorEastAsia" w:hAnsiTheme="minorHAnsi"/>
          <w:noProof/>
          <w:lang w:eastAsia="it-IT"/>
        </w:rPr>
      </w:pPr>
      <w:hyperlink r:id="rId14" w:anchor="_Toc64610983" w:history="1">
        <w:r w:rsidR="008204BD" w:rsidRPr="007E31A3">
          <w:rPr>
            <w:rStyle w:val="Hyperlink"/>
            <w:noProof/>
            <w:lang w:val="en-GB"/>
          </w:rPr>
          <w:t>Figure 34 - Share distribution of university students out of total enrolment across the PA, 2018</w:t>
        </w:r>
        <w:r w:rsidR="008204BD">
          <w:rPr>
            <w:noProof/>
            <w:webHidden/>
          </w:rPr>
          <w:tab/>
        </w:r>
        <w:r w:rsidR="008204BD">
          <w:rPr>
            <w:noProof/>
            <w:webHidden/>
          </w:rPr>
          <w:fldChar w:fldCharType="begin"/>
        </w:r>
        <w:r w:rsidR="008204BD">
          <w:rPr>
            <w:noProof/>
            <w:webHidden/>
          </w:rPr>
          <w:instrText xml:space="preserve"> PAGEREF _Toc64610983 \h </w:instrText>
        </w:r>
        <w:r w:rsidR="008204BD">
          <w:rPr>
            <w:noProof/>
            <w:webHidden/>
          </w:rPr>
        </w:r>
        <w:r w:rsidR="008204BD">
          <w:rPr>
            <w:noProof/>
            <w:webHidden/>
          </w:rPr>
          <w:fldChar w:fldCharType="separate"/>
        </w:r>
        <w:r w:rsidR="00FB3E93">
          <w:rPr>
            <w:noProof/>
            <w:webHidden/>
          </w:rPr>
          <w:t>70</w:t>
        </w:r>
        <w:r w:rsidR="008204BD">
          <w:rPr>
            <w:noProof/>
            <w:webHidden/>
          </w:rPr>
          <w:fldChar w:fldCharType="end"/>
        </w:r>
      </w:hyperlink>
    </w:p>
    <w:p w14:paraId="3FD30F97" w14:textId="73CAE3AB" w:rsidR="008204BD" w:rsidRDefault="0049362F">
      <w:pPr>
        <w:pStyle w:val="TableofFigures"/>
        <w:tabs>
          <w:tab w:val="right" w:leader="dot" w:pos="9016"/>
        </w:tabs>
        <w:rPr>
          <w:rFonts w:asciiTheme="minorHAnsi" w:eastAsiaTheme="minorEastAsia" w:hAnsiTheme="minorHAnsi"/>
          <w:noProof/>
          <w:lang w:eastAsia="it-IT"/>
        </w:rPr>
      </w:pPr>
      <w:hyperlink w:anchor="_Toc64610984" w:history="1">
        <w:r w:rsidR="008204BD" w:rsidRPr="007E31A3">
          <w:rPr>
            <w:rStyle w:val="Hyperlink"/>
            <w:noProof/>
            <w:lang w:val="en-GB"/>
          </w:rPr>
          <w:t>Figure 35 - Percent of enrolled population in education by ISCED categories in 2018</w:t>
        </w:r>
        <w:r w:rsidR="008204BD">
          <w:rPr>
            <w:noProof/>
            <w:webHidden/>
          </w:rPr>
          <w:tab/>
        </w:r>
        <w:r w:rsidR="008204BD">
          <w:rPr>
            <w:noProof/>
            <w:webHidden/>
          </w:rPr>
          <w:fldChar w:fldCharType="begin"/>
        </w:r>
        <w:r w:rsidR="008204BD">
          <w:rPr>
            <w:noProof/>
            <w:webHidden/>
          </w:rPr>
          <w:instrText xml:space="preserve"> PAGEREF _Toc64610984 \h </w:instrText>
        </w:r>
        <w:r w:rsidR="008204BD">
          <w:rPr>
            <w:noProof/>
            <w:webHidden/>
          </w:rPr>
        </w:r>
        <w:r w:rsidR="008204BD">
          <w:rPr>
            <w:noProof/>
            <w:webHidden/>
          </w:rPr>
          <w:fldChar w:fldCharType="separate"/>
        </w:r>
        <w:r w:rsidR="00FB3E93">
          <w:rPr>
            <w:noProof/>
            <w:webHidden/>
          </w:rPr>
          <w:t>73</w:t>
        </w:r>
        <w:r w:rsidR="008204BD">
          <w:rPr>
            <w:noProof/>
            <w:webHidden/>
          </w:rPr>
          <w:fldChar w:fldCharType="end"/>
        </w:r>
      </w:hyperlink>
    </w:p>
    <w:p w14:paraId="1F09F171" w14:textId="449C5EB6" w:rsidR="008204BD" w:rsidRDefault="0049362F">
      <w:pPr>
        <w:pStyle w:val="TableofFigures"/>
        <w:tabs>
          <w:tab w:val="right" w:leader="dot" w:pos="9016"/>
        </w:tabs>
        <w:rPr>
          <w:rFonts w:asciiTheme="minorHAnsi" w:eastAsiaTheme="minorEastAsia" w:hAnsiTheme="minorHAnsi"/>
          <w:noProof/>
          <w:lang w:eastAsia="it-IT"/>
        </w:rPr>
      </w:pPr>
      <w:hyperlink w:anchor="_Toc64610985" w:history="1">
        <w:r w:rsidR="008204BD" w:rsidRPr="007E31A3">
          <w:rPr>
            <w:rStyle w:val="Hyperlink"/>
            <w:noProof/>
            <w:lang w:val="en-GB"/>
          </w:rPr>
          <w:t>Figure 36 - Education infrastructure in the PA</w:t>
        </w:r>
        <w:r w:rsidR="008204BD">
          <w:rPr>
            <w:noProof/>
            <w:webHidden/>
          </w:rPr>
          <w:tab/>
        </w:r>
        <w:r w:rsidR="008204BD">
          <w:rPr>
            <w:noProof/>
            <w:webHidden/>
          </w:rPr>
          <w:fldChar w:fldCharType="begin"/>
        </w:r>
        <w:r w:rsidR="008204BD">
          <w:rPr>
            <w:noProof/>
            <w:webHidden/>
          </w:rPr>
          <w:instrText xml:space="preserve"> PAGEREF _Toc64610985 \h </w:instrText>
        </w:r>
        <w:r w:rsidR="008204BD">
          <w:rPr>
            <w:noProof/>
            <w:webHidden/>
          </w:rPr>
        </w:r>
        <w:r w:rsidR="008204BD">
          <w:rPr>
            <w:noProof/>
            <w:webHidden/>
          </w:rPr>
          <w:fldChar w:fldCharType="separate"/>
        </w:r>
        <w:r w:rsidR="00FB3E93">
          <w:rPr>
            <w:noProof/>
            <w:webHidden/>
          </w:rPr>
          <w:t>75</w:t>
        </w:r>
        <w:r w:rsidR="008204BD">
          <w:rPr>
            <w:noProof/>
            <w:webHidden/>
          </w:rPr>
          <w:fldChar w:fldCharType="end"/>
        </w:r>
      </w:hyperlink>
    </w:p>
    <w:p w14:paraId="5B8050DE" w14:textId="5DAA8F46" w:rsidR="008204BD" w:rsidRDefault="0049362F">
      <w:pPr>
        <w:pStyle w:val="TableofFigures"/>
        <w:tabs>
          <w:tab w:val="right" w:leader="dot" w:pos="9016"/>
        </w:tabs>
        <w:rPr>
          <w:rFonts w:asciiTheme="minorHAnsi" w:eastAsiaTheme="minorEastAsia" w:hAnsiTheme="minorHAnsi"/>
          <w:noProof/>
          <w:lang w:eastAsia="it-IT"/>
        </w:rPr>
      </w:pPr>
      <w:hyperlink w:anchor="_Toc64610986" w:history="1">
        <w:r w:rsidR="008204BD" w:rsidRPr="007E31A3">
          <w:rPr>
            <w:rStyle w:val="Hyperlink"/>
            <w:noProof/>
            <w:lang w:val="en-GB"/>
          </w:rPr>
          <w:t>Figure 37. Infant mortality rate evolution between 2009 and 2018</w:t>
        </w:r>
        <w:r w:rsidR="008204BD">
          <w:rPr>
            <w:noProof/>
            <w:webHidden/>
          </w:rPr>
          <w:tab/>
        </w:r>
        <w:r w:rsidR="008204BD">
          <w:rPr>
            <w:noProof/>
            <w:webHidden/>
          </w:rPr>
          <w:fldChar w:fldCharType="begin"/>
        </w:r>
        <w:r w:rsidR="008204BD">
          <w:rPr>
            <w:noProof/>
            <w:webHidden/>
          </w:rPr>
          <w:instrText xml:space="preserve"> PAGEREF _Toc64610986 \h </w:instrText>
        </w:r>
        <w:r w:rsidR="008204BD">
          <w:rPr>
            <w:noProof/>
            <w:webHidden/>
          </w:rPr>
        </w:r>
        <w:r w:rsidR="008204BD">
          <w:rPr>
            <w:noProof/>
            <w:webHidden/>
          </w:rPr>
          <w:fldChar w:fldCharType="separate"/>
        </w:r>
        <w:r w:rsidR="00FB3E93">
          <w:rPr>
            <w:noProof/>
            <w:webHidden/>
          </w:rPr>
          <w:t>77</w:t>
        </w:r>
        <w:r w:rsidR="008204BD">
          <w:rPr>
            <w:noProof/>
            <w:webHidden/>
          </w:rPr>
          <w:fldChar w:fldCharType="end"/>
        </w:r>
      </w:hyperlink>
    </w:p>
    <w:p w14:paraId="64AB462A" w14:textId="108EAF87" w:rsidR="008204BD" w:rsidRDefault="0049362F">
      <w:pPr>
        <w:pStyle w:val="TableofFigures"/>
        <w:tabs>
          <w:tab w:val="right" w:leader="dot" w:pos="9016"/>
        </w:tabs>
        <w:rPr>
          <w:rFonts w:asciiTheme="minorHAnsi" w:eastAsiaTheme="minorEastAsia" w:hAnsiTheme="minorHAnsi"/>
          <w:noProof/>
          <w:lang w:eastAsia="it-IT"/>
        </w:rPr>
      </w:pPr>
      <w:hyperlink w:anchor="_Toc64610987" w:history="1">
        <w:r w:rsidR="008204BD" w:rsidRPr="007E31A3">
          <w:rPr>
            <w:rStyle w:val="Hyperlink"/>
            <w:noProof/>
            <w:lang w:val="en-GB"/>
          </w:rPr>
          <w:t>Figure 38 - Distribution of Health Infrastructure against population density distribution</w:t>
        </w:r>
        <w:r w:rsidR="008204BD">
          <w:rPr>
            <w:noProof/>
            <w:webHidden/>
          </w:rPr>
          <w:tab/>
        </w:r>
        <w:r w:rsidR="008204BD">
          <w:rPr>
            <w:noProof/>
            <w:webHidden/>
          </w:rPr>
          <w:fldChar w:fldCharType="begin"/>
        </w:r>
        <w:r w:rsidR="008204BD">
          <w:rPr>
            <w:noProof/>
            <w:webHidden/>
          </w:rPr>
          <w:instrText xml:space="preserve"> PAGEREF _Toc64610987 \h </w:instrText>
        </w:r>
        <w:r w:rsidR="008204BD">
          <w:rPr>
            <w:noProof/>
            <w:webHidden/>
          </w:rPr>
        </w:r>
        <w:r w:rsidR="008204BD">
          <w:rPr>
            <w:noProof/>
            <w:webHidden/>
          </w:rPr>
          <w:fldChar w:fldCharType="separate"/>
        </w:r>
        <w:r w:rsidR="00FB3E93">
          <w:rPr>
            <w:noProof/>
            <w:webHidden/>
          </w:rPr>
          <w:t>79</w:t>
        </w:r>
        <w:r w:rsidR="008204BD">
          <w:rPr>
            <w:noProof/>
            <w:webHidden/>
          </w:rPr>
          <w:fldChar w:fldCharType="end"/>
        </w:r>
      </w:hyperlink>
    </w:p>
    <w:p w14:paraId="19AF9A38" w14:textId="4171DF51" w:rsidR="008204BD" w:rsidRDefault="0049362F">
      <w:pPr>
        <w:pStyle w:val="TableofFigures"/>
        <w:tabs>
          <w:tab w:val="right" w:leader="dot" w:pos="9016"/>
        </w:tabs>
        <w:rPr>
          <w:rFonts w:asciiTheme="minorHAnsi" w:eastAsiaTheme="minorEastAsia" w:hAnsiTheme="minorHAnsi"/>
          <w:noProof/>
          <w:lang w:eastAsia="it-IT"/>
        </w:rPr>
      </w:pPr>
      <w:hyperlink w:anchor="_Toc64610988" w:history="1">
        <w:r w:rsidR="008204BD" w:rsidRPr="007E31A3">
          <w:rPr>
            <w:rStyle w:val="Hyperlink"/>
            <w:noProof/>
            <w:lang w:val="en-GB"/>
          </w:rPr>
          <w:t>Figure 39 - ISCED 0 number of institutions versus population density</w:t>
        </w:r>
        <w:r w:rsidR="008204BD">
          <w:rPr>
            <w:noProof/>
            <w:webHidden/>
          </w:rPr>
          <w:tab/>
        </w:r>
        <w:r w:rsidR="008204BD">
          <w:rPr>
            <w:noProof/>
            <w:webHidden/>
          </w:rPr>
          <w:fldChar w:fldCharType="begin"/>
        </w:r>
        <w:r w:rsidR="008204BD">
          <w:rPr>
            <w:noProof/>
            <w:webHidden/>
          </w:rPr>
          <w:instrText xml:space="preserve"> PAGEREF _Toc64610988 \h </w:instrText>
        </w:r>
        <w:r w:rsidR="008204BD">
          <w:rPr>
            <w:noProof/>
            <w:webHidden/>
          </w:rPr>
        </w:r>
        <w:r w:rsidR="008204BD">
          <w:rPr>
            <w:noProof/>
            <w:webHidden/>
          </w:rPr>
          <w:fldChar w:fldCharType="separate"/>
        </w:r>
        <w:r w:rsidR="00FB3E93">
          <w:rPr>
            <w:noProof/>
            <w:webHidden/>
          </w:rPr>
          <w:t>80</w:t>
        </w:r>
        <w:r w:rsidR="008204BD">
          <w:rPr>
            <w:noProof/>
            <w:webHidden/>
          </w:rPr>
          <w:fldChar w:fldCharType="end"/>
        </w:r>
      </w:hyperlink>
    </w:p>
    <w:p w14:paraId="00BC0B79" w14:textId="7D51078B" w:rsidR="008204BD" w:rsidRDefault="0049362F">
      <w:pPr>
        <w:pStyle w:val="TableofFigures"/>
        <w:tabs>
          <w:tab w:val="right" w:leader="dot" w:pos="9016"/>
        </w:tabs>
        <w:rPr>
          <w:rFonts w:asciiTheme="minorHAnsi" w:eastAsiaTheme="minorEastAsia" w:hAnsiTheme="minorHAnsi"/>
          <w:noProof/>
          <w:lang w:eastAsia="it-IT"/>
        </w:rPr>
      </w:pPr>
      <w:hyperlink w:anchor="_Toc64610989" w:history="1">
        <w:r w:rsidR="008204BD" w:rsidRPr="007E31A3">
          <w:rPr>
            <w:rStyle w:val="Hyperlink"/>
            <w:noProof/>
            <w:lang w:val="en-GB"/>
          </w:rPr>
          <w:t>Figure 40 - ISCED 1 and 2 number of institutions versus population density</w:t>
        </w:r>
        <w:r w:rsidR="008204BD">
          <w:rPr>
            <w:noProof/>
            <w:webHidden/>
          </w:rPr>
          <w:tab/>
        </w:r>
        <w:r w:rsidR="008204BD">
          <w:rPr>
            <w:noProof/>
            <w:webHidden/>
          </w:rPr>
          <w:fldChar w:fldCharType="begin"/>
        </w:r>
        <w:r w:rsidR="008204BD">
          <w:rPr>
            <w:noProof/>
            <w:webHidden/>
          </w:rPr>
          <w:instrText xml:space="preserve"> PAGEREF _Toc64610989 \h </w:instrText>
        </w:r>
        <w:r w:rsidR="008204BD">
          <w:rPr>
            <w:noProof/>
            <w:webHidden/>
          </w:rPr>
        </w:r>
        <w:r w:rsidR="008204BD">
          <w:rPr>
            <w:noProof/>
            <w:webHidden/>
          </w:rPr>
          <w:fldChar w:fldCharType="separate"/>
        </w:r>
        <w:r w:rsidR="00FB3E93">
          <w:rPr>
            <w:noProof/>
            <w:webHidden/>
          </w:rPr>
          <w:t>81</w:t>
        </w:r>
        <w:r w:rsidR="008204BD">
          <w:rPr>
            <w:noProof/>
            <w:webHidden/>
          </w:rPr>
          <w:fldChar w:fldCharType="end"/>
        </w:r>
      </w:hyperlink>
    </w:p>
    <w:p w14:paraId="4910CC1E" w14:textId="6D56D4E4" w:rsidR="008204BD" w:rsidRDefault="0049362F">
      <w:pPr>
        <w:pStyle w:val="TableofFigures"/>
        <w:tabs>
          <w:tab w:val="right" w:leader="dot" w:pos="9016"/>
        </w:tabs>
        <w:rPr>
          <w:rFonts w:asciiTheme="minorHAnsi" w:eastAsiaTheme="minorEastAsia" w:hAnsiTheme="minorHAnsi"/>
          <w:noProof/>
          <w:lang w:eastAsia="it-IT"/>
        </w:rPr>
      </w:pPr>
      <w:hyperlink w:anchor="_Toc64610990" w:history="1">
        <w:r w:rsidR="008204BD" w:rsidRPr="007E31A3">
          <w:rPr>
            <w:rStyle w:val="Hyperlink"/>
            <w:noProof/>
            <w:lang w:val="en-GB"/>
          </w:rPr>
          <w:t>Figure 41 - ISCED 3 number of institutions versus population density</w:t>
        </w:r>
        <w:r w:rsidR="008204BD">
          <w:rPr>
            <w:noProof/>
            <w:webHidden/>
          </w:rPr>
          <w:tab/>
        </w:r>
        <w:r w:rsidR="008204BD">
          <w:rPr>
            <w:noProof/>
            <w:webHidden/>
          </w:rPr>
          <w:fldChar w:fldCharType="begin"/>
        </w:r>
        <w:r w:rsidR="008204BD">
          <w:rPr>
            <w:noProof/>
            <w:webHidden/>
          </w:rPr>
          <w:instrText xml:space="preserve"> PAGEREF _Toc64610990 \h </w:instrText>
        </w:r>
        <w:r w:rsidR="008204BD">
          <w:rPr>
            <w:noProof/>
            <w:webHidden/>
          </w:rPr>
        </w:r>
        <w:r w:rsidR="008204BD">
          <w:rPr>
            <w:noProof/>
            <w:webHidden/>
          </w:rPr>
          <w:fldChar w:fldCharType="separate"/>
        </w:r>
        <w:r w:rsidR="00FB3E93">
          <w:rPr>
            <w:noProof/>
            <w:webHidden/>
          </w:rPr>
          <w:t>81</w:t>
        </w:r>
        <w:r w:rsidR="008204BD">
          <w:rPr>
            <w:noProof/>
            <w:webHidden/>
          </w:rPr>
          <w:fldChar w:fldCharType="end"/>
        </w:r>
      </w:hyperlink>
    </w:p>
    <w:p w14:paraId="2473665B" w14:textId="184F1998" w:rsidR="008204BD" w:rsidRDefault="0049362F">
      <w:pPr>
        <w:pStyle w:val="TableofFigures"/>
        <w:tabs>
          <w:tab w:val="right" w:leader="dot" w:pos="9016"/>
        </w:tabs>
        <w:rPr>
          <w:rFonts w:asciiTheme="minorHAnsi" w:eastAsiaTheme="minorEastAsia" w:hAnsiTheme="minorHAnsi"/>
          <w:noProof/>
          <w:lang w:eastAsia="it-IT"/>
        </w:rPr>
      </w:pPr>
      <w:hyperlink w:anchor="_Toc64610991" w:history="1">
        <w:r w:rsidR="008204BD" w:rsidRPr="007E31A3">
          <w:rPr>
            <w:rStyle w:val="Hyperlink"/>
            <w:noProof/>
            <w:lang w:val="en-GB"/>
          </w:rPr>
          <w:t>Figure 42 - People at risk of poverty or social exclusion by NUTS regions</w:t>
        </w:r>
        <w:r w:rsidR="008204BD">
          <w:rPr>
            <w:noProof/>
            <w:webHidden/>
          </w:rPr>
          <w:tab/>
        </w:r>
        <w:r w:rsidR="008204BD">
          <w:rPr>
            <w:noProof/>
            <w:webHidden/>
          </w:rPr>
          <w:fldChar w:fldCharType="begin"/>
        </w:r>
        <w:r w:rsidR="008204BD">
          <w:rPr>
            <w:noProof/>
            <w:webHidden/>
          </w:rPr>
          <w:instrText xml:space="preserve"> PAGEREF _Toc64610991 \h </w:instrText>
        </w:r>
        <w:r w:rsidR="008204BD">
          <w:rPr>
            <w:noProof/>
            <w:webHidden/>
          </w:rPr>
        </w:r>
        <w:r w:rsidR="008204BD">
          <w:rPr>
            <w:noProof/>
            <w:webHidden/>
          </w:rPr>
          <w:fldChar w:fldCharType="separate"/>
        </w:r>
        <w:r w:rsidR="00FB3E93">
          <w:rPr>
            <w:noProof/>
            <w:webHidden/>
          </w:rPr>
          <w:t>82</w:t>
        </w:r>
        <w:r w:rsidR="008204BD">
          <w:rPr>
            <w:noProof/>
            <w:webHidden/>
          </w:rPr>
          <w:fldChar w:fldCharType="end"/>
        </w:r>
      </w:hyperlink>
    </w:p>
    <w:p w14:paraId="7A2A6CA0" w14:textId="5F18016D" w:rsidR="008204BD" w:rsidRDefault="0049362F">
      <w:pPr>
        <w:pStyle w:val="TableofFigures"/>
        <w:tabs>
          <w:tab w:val="right" w:leader="dot" w:pos="9016"/>
        </w:tabs>
        <w:rPr>
          <w:rFonts w:asciiTheme="minorHAnsi" w:eastAsiaTheme="minorEastAsia" w:hAnsiTheme="minorHAnsi"/>
          <w:noProof/>
          <w:lang w:eastAsia="it-IT"/>
        </w:rPr>
      </w:pPr>
      <w:hyperlink w:anchor="_Toc64610992" w:history="1">
        <w:r w:rsidR="008204BD" w:rsidRPr="007E31A3">
          <w:rPr>
            <w:rStyle w:val="Hyperlink"/>
            <w:noProof/>
            <w:lang w:val="en-GB"/>
          </w:rPr>
          <w:t>Figure 43 - Percentage of population with no education, 2011</w:t>
        </w:r>
        <w:r w:rsidR="008204BD">
          <w:rPr>
            <w:noProof/>
            <w:webHidden/>
          </w:rPr>
          <w:tab/>
        </w:r>
        <w:r w:rsidR="008204BD">
          <w:rPr>
            <w:noProof/>
            <w:webHidden/>
          </w:rPr>
          <w:fldChar w:fldCharType="begin"/>
        </w:r>
        <w:r w:rsidR="008204BD">
          <w:rPr>
            <w:noProof/>
            <w:webHidden/>
          </w:rPr>
          <w:instrText xml:space="preserve"> PAGEREF _Toc64610992 \h </w:instrText>
        </w:r>
        <w:r w:rsidR="008204BD">
          <w:rPr>
            <w:noProof/>
            <w:webHidden/>
          </w:rPr>
        </w:r>
        <w:r w:rsidR="008204BD">
          <w:rPr>
            <w:noProof/>
            <w:webHidden/>
          </w:rPr>
          <w:fldChar w:fldCharType="separate"/>
        </w:r>
        <w:r w:rsidR="00FB3E93">
          <w:rPr>
            <w:noProof/>
            <w:webHidden/>
          </w:rPr>
          <w:t>83</w:t>
        </w:r>
        <w:r w:rsidR="008204BD">
          <w:rPr>
            <w:noProof/>
            <w:webHidden/>
          </w:rPr>
          <w:fldChar w:fldCharType="end"/>
        </w:r>
      </w:hyperlink>
    </w:p>
    <w:p w14:paraId="48961F79" w14:textId="6FBCA304" w:rsidR="008204BD" w:rsidRDefault="0049362F">
      <w:pPr>
        <w:pStyle w:val="TableofFigures"/>
        <w:tabs>
          <w:tab w:val="right" w:leader="dot" w:pos="9016"/>
        </w:tabs>
        <w:rPr>
          <w:rFonts w:asciiTheme="minorHAnsi" w:eastAsiaTheme="minorEastAsia" w:hAnsiTheme="minorHAnsi"/>
          <w:noProof/>
          <w:lang w:eastAsia="it-IT"/>
        </w:rPr>
      </w:pPr>
      <w:hyperlink w:anchor="_Toc64610993" w:history="1">
        <w:r w:rsidR="008204BD" w:rsidRPr="007E31A3">
          <w:rPr>
            <w:rStyle w:val="Hyperlink"/>
            <w:noProof/>
            <w:lang w:val="en-GB"/>
          </w:rPr>
          <w:t>Figure 44 ––Proportion of economically active population</w:t>
        </w:r>
        <w:r w:rsidR="008204BD">
          <w:rPr>
            <w:noProof/>
            <w:webHidden/>
          </w:rPr>
          <w:tab/>
        </w:r>
        <w:r w:rsidR="008204BD">
          <w:rPr>
            <w:noProof/>
            <w:webHidden/>
          </w:rPr>
          <w:fldChar w:fldCharType="begin"/>
        </w:r>
        <w:r w:rsidR="008204BD">
          <w:rPr>
            <w:noProof/>
            <w:webHidden/>
          </w:rPr>
          <w:instrText xml:space="preserve"> PAGEREF _Toc64610993 \h </w:instrText>
        </w:r>
        <w:r w:rsidR="008204BD">
          <w:rPr>
            <w:noProof/>
            <w:webHidden/>
          </w:rPr>
        </w:r>
        <w:r w:rsidR="008204BD">
          <w:rPr>
            <w:noProof/>
            <w:webHidden/>
          </w:rPr>
          <w:fldChar w:fldCharType="separate"/>
        </w:r>
        <w:r w:rsidR="00FB3E93">
          <w:rPr>
            <w:noProof/>
            <w:webHidden/>
          </w:rPr>
          <w:t>85</w:t>
        </w:r>
        <w:r w:rsidR="008204BD">
          <w:rPr>
            <w:noProof/>
            <w:webHidden/>
          </w:rPr>
          <w:fldChar w:fldCharType="end"/>
        </w:r>
      </w:hyperlink>
    </w:p>
    <w:p w14:paraId="42424DC8" w14:textId="0C76DA70" w:rsidR="008204BD" w:rsidRDefault="0049362F">
      <w:pPr>
        <w:pStyle w:val="TableofFigures"/>
        <w:tabs>
          <w:tab w:val="right" w:leader="dot" w:pos="9016"/>
        </w:tabs>
        <w:rPr>
          <w:rFonts w:asciiTheme="minorHAnsi" w:eastAsiaTheme="minorEastAsia" w:hAnsiTheme="minorHAnsi"/>
          <w:noProof/>
          <w:lang w:eastAsia="it-IT"/>
        </w:rPr>
      </w:pPr>
      <w:hyperlink w:anchor="_Toc64610994" w:history="1">
        <w:r w:rsidR="008204BD" w:rsidRPr="007E31A3">
          <w:rPr>
            <w:rStyle w:val="Hyperlink"/>
            <w:noProof/>
            <w:lang w:val="en-GB"/>
          </w:rPr>
          <w:t>Figure 45 - Employment by NACE Rev 2 categories</w:t>
        </w:r>
        <w:r w:rsidR="008204BD">
          <w:rPr>
            <w:noProof/>
            <w:webHidden/>
          </w:rPr>
          <w:tab/>
        </w:r>
        <w:r w:rsidR="008204BD">
          <w:rPr>
            <w:noProof/>
            <w:webHidden/>
          </w:rPr>
          <w:fldChar w:fldCharType="begin"/>
        </w:r>
        <w:r w:rsidR="008204BD">
          <w:rPr>
            <w:noProof/>
            <w:webHidden/>
          </w:rPr>
          <w:instrText xml:space="preserve"> PAGEREF _Toc64610994 \h </w:instrText>
        </w:r>
        <w:r w:rsidR="008204BD">
          <w:rPr>
            <w:noProof/>
            <w:webHidden/>
          </w:rPr>
        </w:r>
        <w:r w:rsidR="008204BD">
          <w:rPr>
            <w:noProof/>
            <w:webHidden/>
          </w:rPr>
          <w:fldChar w:fldCharType="separate"/>
        </w:r>
        <w:r w:rsidR="00FB3E93">
          <w:rPr>
            <w:noProof/>
            <w:webHidden/>
          </w:rPr>
          <w:t>86</w:t>
        </w:r>
        <w:r w:rsidR="008204BD">
          <w:rPr>
            <w:noProof/>
            <w:webHidden/>
          </w:rPr>
          <w:fldChar w:fldCharType="end"/>
        </w:r>
      </w:hyperlink>
    </w:p>
    <w:p w14:paraId="04AECFEC" w14:textId="06A1CE56" w:rsidR="008204BD" w:rsidRDefault="0049362F">
      <w:pPr>
        <w:pStyle w:val="TableofFigures"/>
        <w:tabs>
          <w:tab w:val="right" w:leader="dot" w:pos="9016"/>
        </w:tabs>
        <w:rPr>
          <w:rFonts w:asciiTheme="minorHAnsi" w:eastAsiaTheme="minorEastAsia" w:hAnsiTheme="minorHAnsi"/>
          <w:noProof/>
          <w:lang w:eastAsia="it-IT"/>
        </w:rPr>
      </w:pPr>
      <w:hyperlink w:anchor="_Toc64610995" w:history="1">
        <w:r w:rsidR="008204BD" w:rsidRPr="007E31A3">
          <w:rPr>
            <w:rStyle w:val="Hyperlink"/>
            <w:noProof/>
            <w:lang w:val="en-GB"/>
          </w:rPr>
          <w:t>Figure 46 - Average monthly net earnings of full-time employees</w:t>
        </w:r>
        <w:r w:rsidR="008204BD">
          <w:rPr>
            <w:noProof/>
            <w:webHidden/>
          </w:rPr>
          <w:tab/>
        </w:r>
        <w:r w:rsidR="008204BD">
          <w:rPr>
            <w:noProof/>
            <w:webHidden/>
          </w:rPr>
          <w:fldChar w:fldCharType="begin"/>
        </w:r>
        <w:r w:rsidR="008204BD">
          <w:rPr>
            <w:noProof/>
            <w:webHidden/>
          </w:rPr>
          <w:instrText xml:space="preserve"> PAGEREF _Toc64610995 \h </w:instrText>
        </w:r>
        <w:r w:rsidR="008204BD">
          <w:rPr>
            <w:noProof/>
            <w:webHidden/>
          </w:rPr>
        </w:r>
        <w:r w:rsidR="008204BD">
          <w:rPr>
            <w:noProof/>
            <w:webHidden/>
          </w:rPr>
          <w:fldChar w:fldCharType="separate"/>
        </w:r>
        <w:r w:rsidR="00FB3E93">
          <w:rPr>
            <w:noProof/>
            <w:webHidden/>
          </w:rPr>
          <w:t>87</w:t>
        </w:r>
        <w:r w:rsidR="008204BD">
          <w:rPr>
            <w:noProof/>
            <w:webHidden/>
          </w:rPr>
          <w:fldChar w:fldCharType="end"/>
        </w:r>
      </w:hyperlink>
    </w:p>
    <w:p w14:paraId="416B312E" w14:textId="197A1BCE" w:rsidR="008204BD" w:rsidRDefault="0049362F">
      <w:pPr>
        <w:pStyle w:val="TableofFigures"/>
        <w:tabs>
          <w:tab w:val="right" w:leader="dot" w:pos="9016"/>
        </w:tabs>
        <w:rPr>
          <w:rFonts w:asciiTheme="minorHAnsi" w:eastAsiaTheme="minorEastAsia" w:hAnsiTheme="minorHAnsi"/>
          <w:noProof/>
          <w:lang w:eastAsia="it-IT"/>
        </w:rPr>
      </w:pPr>
      <w:hyperlink r:id="rId15" w:anchor="_Toc64610996" w:history="1">
        <w:r w:rsidR="008204BD" w:rsidRPr="007E31A3">
          <w:rPr>
            <w:rStyle w:val="Hyperlink"/>
            <w:noProof/>
            <w:lang w:val="en-GB"/>
          </w:rPr>
          <w:t>Figure 47 - Registered unemployment</w:t>
        </w:r>
        <w:r w:rsidR="008204BD">
          <w:rPr>
            <w:noProof/>
            <w:webHidden/>
          </w:rPr>
          <w:tab/>
        </w:r>
        <w:r w:rsidR="008204BD">
          <w:rPr>
            <w:noProof/>
            <w:webHidden/>
          </w:rPr>
          <w:fldChar w:fldCharType="begin"/>
        </w:r>
        <w:r w:rsidR="008204BD">
          <w:rPr>
            <w:noProof/>
            <w:webHidden/>
          </w:rPr>
          <w:instrText xml:space="preserve"> PAGEREF _Toc64610996 \h </w:instrText>
        </w:r>
        <w:r w:rsidR="008204BD">
          <w:rPr>
            <w:noProof/>
            <w:webHidden/>
          </w:rPr>
        </w:r>
        <w:r w:rsidR="008204BD">
          <w:rPr>
            <w:noProof/>
            <w:webHidden/>
          </w:rPr>
          <w:fldChar w:fldCharType="separate"/>
        </w:r>
        <w:r w:rsidR="00FB3E93">
          <w:rPr>
            <w:noProof/>
            <w:webHidden/>
          </w:rPr>
          <w:t>87</w:t>
        </w:r>
        <w:r w:rsidR="008204BD">
          <w:rPr>
            <w:noProof/>
            <w:webHidden/>
          </w:rPr>
          <w:fldChar w:fldCharType="end"/>
        </w:r>
      </w:hyperlink>
    </w:p>
    <w:p w14:paraId="484A7E23" w14:textId="412A0069" w:rsidR="008204BD" w:rsidRDefault="0049362F">
      <w:pPr>
        <w:pStyle w:val="TableofFigures"/>
        <w:tabs>
          <w:tab w:val="right" w:leader="dot" w:pos="9016"/>
        </w:tabs>
        <w:rPr>
          <w:rFonts w:asciiTheme="minorHAnsi" w:eastAsiaTheme="minorEastAsia" w:hAnsiTheme="minorHAnsi"/>
          <w:noProof/>
          <w:lang w:eastAsia="it-IT"/>
        </w:rPr>
      </w:pPr>
      <w:hyperlink w:anchor="_Toc64610997" w:history="1">
        <w:r w:rsidR="008204BD" w:rsidRPr="007E31A3">
          <w:rPr>
            <w:rStyle w:val="Hyperlink"/>
            <w:noProof/>
            <w:lang w:val="en-GB"/>
          </w:rPr>
          <w:t>Figure 48 - Unemployment rate at NUTS 2 level in Europe, 2019</w:t>
        </w:r>
        <w:r w:rsidR="008204BD">
          <w:rPr>
            <w:noProof/>
            <w:webHidden/>
          </w:rPr>
          <w:tab/>
        </w:r>
        <w:r w:rsidR="008204BD">
          <w:rPr>
            <w:noProof/>
            <w:webHidden/>
          </w:rPr>
          <w:fldChar w:fldCharType="begin"/>
        </w:r>
        <w:r w:rsidR="008204BD">
          <w:rPr>
            <w:noProof/>
            <w:webHidden/>
          </w:rPr>
          <w:instrText xml:space="preserve"> PAGEREF _Toc64610997 \h </w:instrText>
        </w:r>
        <w:r w:rsidR="008204BD">
          <w:rPr>
            <w:noProof/>
            <w:webHidden/>
          </w:rPr>
        </w:r>
        <w:r w:rsidR="008204BD">
          <w:rPr>
            <w:noProof/>
            <w:webHidden/>
          </w:rPr>
          <w:fldChar w:fldCharType="separate"/>
        </w:r>
        <w:r w:rsidR="00FB3E93">
          <w:rPr>
            <w:noProof/>
            <w:webHidden/>
          </w:rPr>
          <w:t>88</w:t>
        </w:r>
        <w:r w:rsidR="008204BD">
          <w:rPr>
            <w:noProof/>
            <w:webHidden/>
          </w:rPr>
          <w:fldChar w:fldCharType="end"/>
        </w:r>
      </w:hyperlink>
    </w:p>
    <w:p w14:paraId="6CD5E90B" w14:textId="5EB275F5" w:rsidR="008204BD" w:rsidRDefault="0049362F">
      <w:pPr>
        <w:pStyle w:val="TableofFigures"/>
        <w:tabs>
          <w:tab w:val="right" w:leader="dot" w:pos="9016"/>
        </w:tabs>
        <w:rPr>
          <w:rFonts w:asciiTheme="minorHAnsi" w:eastAsiaTheme="minorEastAsia" w:hAnsiTheme="minorHAnsi"/>
          <w:noProof/>
          <w:lang w:eastAsia="it-IT"/>
        </w:rPr>
      </w:pPr>
      <w:hyperlink r:id="rId16" w:anchor="_Toc64610998" w:history="1">
        <w:r w:rsidR="008204BD" w:rsidRPr="007E31A3">
          <w:rPr>
            <w:rStyle w:val="Hyperlink"/>
            <w:noProof/>
            <w:lang w:val="en-GB"/>
          </w:rPr>
          <w:t>Figure 49 - Share of unemployed persons by education level</w:t>
        </w:r>
        <w:r w:rsidR="008204BD">
          <w:rPr>
            <w:noProof/>
            <w:webHidden/>
          </w:rPr>
          <w:tab/>
        </w:r>
        <w:r w:rsidR="008204BD">
          <w:rPr>
            <w:noProof/>
            <w:webHidden/>
          </w:rPr>
          <w:fldChar w:fldCharType="begin"/>
        </w:r>
        <w:r w:rsidR="008204BD">
          <w:rPr>
            <w:noProof/>
            <w:webHidden/>
          </w:rPr>
          <w:instrText xml:space="preserve"> PAGEREF _Toc64610998 \h </w:instrText>
        </w:r>
        <w:r w:rsidR="008204BD">
          <w:rPr>
            <w:noProof/>
            <w:webHidden/>
          </w:rPr>
        </w:r>
        <w:r w:rsidR="008204BD">
          <w:rPr>
            <w:noProof/>
            <w:webHidden/>
          </w:rPr>
          <w:fldChar w:fldCharType="separate"/>
        </w:r>
        <w:r w:rsidR="00FB3E93">
          <w:rPr>
            <w:noProof/>
            <w:webHidden/>
          </w:rPr>
          <w:t>88</w:t>
        </w:r>
        <w:r w:rsidR="008204BD">
          <w:rPr>
            <w:noProof/>
            <w:webHidden/>
          </w:rPr>
          <w:fldChar w:fldCharType="end"/>
        </w:r>
      </w:hyperlink>
    </w:p>
    <w:p w14:paraId="655A2D26" w14:textId="417FA9EE" w:rsidR="008204BD" w:rsidRDefault="0049362F">
      <w:pPr>
        <w:pStyle w:val="TableofFigures"/>
        <w:tabs>
          <w:tab w:val="right" w:leader="dot" w:pos="9016"/>
        </w:tabs>
        <w:rPr>
          <w:rFonts w:asciiTheme="minorHAnsi" w:eastAsiaTheme="minorEastAsia" w:hAnsiTheme="minorHAnsi"/>
          <w:noProof/>
          <w:lang w:eastAsia="it-IT"/>
        </w:rPr>
      </w:pPr>
      <w:hyperlink w:anchor="_Toc64610999" w:history="1">
        <w:r w:rsidR="008204BD" w:rsidRPr="007E31A3">
          <w:rPr>
            <w:rStyle w:val="Hyperlink"/>
            <w:noProof/>
            <w:lang w:val="en-GB"/>
          </w:rPr>
          <w:t>Figure 50 - Time evolution of Regional Competitiveness Index score of the PA regions.</w:t>
        </w:r>
        <w:r w:rsidR="008204BD">
          <w:rPr>
            <w:noProof/>
            <w:webHidden/>
          </w:rPr>
          <w:tab/>
        </w:r>
        <w:r w:rsidR="008204BD">
          <w:rPr>
            <w:noProof/>
            <w:webHidden/>
          </w:rPr>
          <w:fldChar w:fldCharType="begin"/>
        </w:r>
        <w:r w:rsidR="008204BD">
          <w:rPr>
            <w:noProof/>
            <w:webHidden/>
          </w:rPr>
          <w:instrText xml:space="preserve"> PAGEREF _Toc64610999 \h </w:instrText>
        </w:r>
        <w:r w:rsidR="008204BD">
          <w:rPr>
            <w:noProof/>
            <w:webHidden/>
          </w:rPr>
        </w:r>
        <w:r w:rsidR="008204BD">
          <w:rPr>
            <w:noProof/>
            <w:webHidden/>
          </w:rPr>
          <w:fldChar w:fldCharType="separate"/>
        </w:r>
        <w:r w:rsidR="00FB3E93">
          <w:rPr>
            <w:noProof/>
            <w:webHidden/>
          </w:rPr>
          <w:t>96</w:t>
        </w:r>
        <w:r w:rsidR="008204BD">
          <w:rPr>
            <w:noProof/>
            <w:webHidden/>
          </w:rPr>
          <w:fldChar w:fldCharType="end"/>
        </w:r>
      </w:hyperlink>
    </w:p>
    <w:p w14:paraId="4F830935" w14:textId="702C24DA" w:rsidR="008204BD" w:rsidRDefault="0049362F">
      <w:pPr>
        <w:pStyle w:val="TableofFigures"/>
        <w:tabs>
          <w:tab w:val="right" w:leader="dot" w:pos="9016"/>
        </w:tabs>
        <w:rPr>
          <w:rFonts w:asciiTheme="minorHAnsi" w:eastAsiaTheme="minorEastAsia" w:hAnsiTheme="minorHAnsi"/>
          <w:noProof/>
          <w:lang w:eastAsia="it-IT"/>
        </w:rPr>
      </w:pPr>
      <w:hyperlink w:anchor="_Toc64611000" w:history="1">
        <w:r w:rsidR="008204BD" w:rsidRPr="007E31A3">
          <w:rPr>
            <w:rStyle w:val="Hyperlink"/>
            <w:noProof/>
            <w:lang w:val="en-GB"/>
          </w:rPr>
          <w:t>Figure 51 - Regional competitiveness benchmarking (2019).</w:t>
        </w:r>
        <w:r w:rsidR="008204BD">
          <w:rPr>
            <w:noProof/>
            <w:webHidden/>
          </w:rPr>
          <w:tab/>
        </w:r>
        <w:r w:rsidR="008204BD">
          <w:rPr>
            <w:noProof/>
            <w:webHidden/>
          </w:rPr>
          <w:fldChar w:fldCharType="begin"/>
        </w:r>
        <w:r w:rsidR="008204BD">
          <w:rPr>
            <w:noProof/>
            <w:webHidden/>
          </w:rPr>
          <w:instrText xml:space="preserve"> PAGEREF _Toc64611000 \h </w:instrText>
        </w:r>
        <w:r w:rsidR="008204BD">
          <w:rPr>
            <w:noProof/>
            <w:webHidden/>
          </w:rPr>
        </w:r>
        <w:r w:rsidR="008204BD">
          <w:rPr>
            <w:noProof/>
            <w:webHidden/>
          </w:rPr>
          <w:fldChar w:fldCharType="separate"/>
        </w:r>
        <w:r w:rsidR="00FB3E93">
          <w:rPr>
            <w:noProof/>
            <w:webHidden/>
          </w:rPr>
          <w:t>97</w:t>
        </w:r>
        <w:r w:rsidR="008204BD">
          <w:rPr>
            <w:noProof/>
            <w:webHidden/>
          </w:rPr>
          <w:fldChar w:fldCharType="end"/>
        </w:r>
      </w:hyperlink>
    </w:p>
    <w:p w14:paraId="71052080" w14:textId="47B33967" w:rsidR="008204BD" w:rsidRDefault="0049362F">
      <w:pPr>
        <w:pStyle w:val="TableofFigures"/>
        <w:tabs>
          <w:tab w:val="right" w:leader="dot" w:pos="9016"/>
        </w:tabs>
        <w:rPr>
          <w:rFonts w:asciiTheme="minorHAnsi" w:eastAsiaTheme="minorEastAsia" w:hAnsiTheme="minorHAnsi"/>
          <w:noProof/>
          <w:lang w:eastAsia="it-IT"/>
        </w:rPr>
      </w:pPr>
      <w:hyperlink r:id="rId17" w:anchor="_Toc64611001" w:history="1">
        <w:r w:rsidR="008204BD" w:rsidRPr="007E31A3">
          <w:rPr>
            <w:rStyle w:val="Hyperlink"/>
            <w:noProof/>
            <w:lang w:val="en-US"/>
          </w:rPr>
          <w:t>Figure 52 - Change in GDP county share &amp; eligible area, between 2009-2018.</w:t>
        </w:r>
        <w:r w:rsidR="008204BD">
          <w:rPr>
            <w:noProof/>
            <w:webHidden/>
          </w:rPr>
          <w:tab/>
        </w:r>
        <w:r w:rsidR="008204BD">
          <w:rPr>
            <w:noProof/>
            <w:webHidden/>
          </w:rPr>
          <w:fldChar w:fldCharType="begin"/>
        </w:r>
        <w:r w:rsidR="008204BD">
          <w:rPr>
            <w:noProof/>
            <w:webHidden/>
          </w:rPr>
          <w:instrText xml:space="preserve"> PAGEREF _Toc64611001 \h </w:instrText>
        </w:r>
        <w:r w:rsidR="008204BD">
          <w:rPr>
            <w:noProof/>
            <w:webHidden/>
          </w:rPr>
        </w:r>
        <w:r w:rsidR="008204BD">
          <w:rPr>
            <w:noProof/>
            <w:webHidden/>
          </w:rPr>
          <w:fldChar w:fldCharType="separate"/>
        </w:r>
        <w:r w:rsidR="00FB3E93">
          <w:rPr>
            <w:noProof/>
            <w:webHidden/>
          </w:rPr>
          <w:t>97</w:t>
        </w:r>
        <w:r w:rsidR="008204BD">
          <w:rPr>
            <w:noProof/>
            <w:webHidden/>
          </w:rPr>
          <w:fldChar w:fldCharType="end"/>
        </w:r>
      </w:hyperlink>
    </w:p>
    <w:p w14:paraId="6CBCBE11" w14:textId="4DF9B960" w:rsidR="008204BD" w:rsidRDefault="0049362F">
      <w:pPr>
        <w:pStyle w:val="TableofFigures"/>
        <w:tabs>
          <w:tab w:val="right" w:leader="dot" w:pos="9016"/>
        </w:tabs>
        <w:rPr>
          <w:rFonts w:asciiTheme="minorHAnsi" w:eastAsiaTheme="minorEastAsia" w:hAnsiTheme="minorHAnsi"/>
          <w:noProof/>
          <w:lang w:eastAsia="it-IT"/>
        </w:rPr>
      </w:pPr>
      <w:hyperlink r:id="rId18" w:anchor="_Toc64611002" w:history="1">
        <w:r w:rsidR="008204BD" w:rsidRPr="007E31A3">
          <w:rPr>
            <w:rStyle w:val="Hyperlink"/>
            <w:noProof/>
            <w:lang w:val="en-US"/>
          </w:rPr>
          <w:t>Figure 53 - GDP growth (annual %), 2009-2018, in the eligible areas of the two analyzed countries.</w:t>
        </w:r>
        <w:r w:rsidR="008204BD">
          <w:rPr>
            <w:noProof/>
            <w:webHidden/>
          </w:rPr>
          <w:tab/>
        </w:r>
        <w:r w:rsidR="008204BD">
          <w:rPr>
            <w:noProof/>
            <w:webHidden/>
          </w:rPr>
          <w:fldChar w:fldCharType="begin"/>
        </w:r>
        <w:r w:rsidR="008204BD">
          <w:rPr>
            <w:noProof/>
            <w:webHidden/>
          </w:rPr>
          <w:instrText xml:space="preserve"> PAGEREF _Toc64611002 \h </w:instrText>
        </w:r>
        <w:r w:rsidR="008204BD">
          <w:rPr>
            <w:noProof/>
            <w:webHidden/>
          </w:rPr>
        </w:r>
        <w:r w:rsidR="008204BD">
          <w:rPr>
            <w:noProof/>
            <w:webHidden/>
          </w:rPr>
          <w:fldChar w:fldCharType="separate"/>
        </w:r>
        <w:r w:rsidR="00FB3E93">
          <w:rPr>
            <w:noProof/>
            <w:webHidden/>
          </w:rPr>
          <w:t>98</w:t>
        </w:r>
        <w:r w:rsidR="008204BD">
          <w:rPr>
            <w:noProof/>
            <w:webHidden/>
          </w:rPr>
          <w:fldChar w:fldCharType="end"/>
        </w:r>
      </w:hyperlink>
    </w:p>
    <w:p w14:paraId="1FD47DDA" w14:textId="1F9BC8A0" w:rsidR="008204BD" w:rsidRDefault="0049362F">
      <w:pPr>
        <w:pStyle w:val="TableofFigures"/>
        <w:tabs>
          <w:tab w:val="right" w:leader="dot" w:pos="9016"/>
        </w:tabs>
        <w:rPr>
          <w:rFonts w:asciiTheme="minorHAnsi" w:eastAsiaTheme="minorEastAsia" w:hAnsiTheme="minorHAnsi"/>
          <w:noProof/>
          <w:lang w:eastAsia="it-IT"/>
        </w:rPr>
      </w:pPr>
      <w:hyperlink w:anchor="_Toc64611003" w:history="1">
        <w:r w:rsidR="008204BD" w:rsidRPr="007E31A3">
          <w:rPr>
            <w:rStyle w:val="Hyperlink"/>
            <w:noProof/>
            <w:lang w:val="en-GB"/>
          </w:rPr>
          <w:t>Figure 54 - GDP/per capita (PPS) of the Hungarian and Romanian counties (NUTS 3 level) in comparison</w:t>
        </w:r>
        <w:r w:rsidR="008204BD">
          <w:rPr>
            <w:noProof/>
            <w:webHidden/>
          </w:rPr>
          <w:tab/>
        </w:r>
        <w:r w:rsidR="008204BD">
          <w:rPr>
            <w:noProof/>
            <w:webHidden/>
          </w:rPr>
          <w:fldChar w:fldCharType="begin"/>
        </w:r>
        <w:r w:rsidR="008204BD">
          <w:rPr>
            <w:noProof/>
            <w:webHidden/>
          </w:rPr>
          <w:instrText xml:space="preserve"> PAGEREF _Toc64611003 \h </w:instrText>
        </w:r>
        <w:r w:rsidR="008204BD">
          <w:rPr>
            <w:noProof/>
            <w:webHidden/>
          </w:rPr>
        </w:r>
        <w:r w:rsidR="008204BD">
          <w:rPr>
            <w:noProof/>
            <w:webHidden/>
          </w:rPr>
          <w:fldChar w:fldCharType="separate"/>
        </w:r>
        <w:r w:rsidR="00FB3E93">
          <w:rPr>
            <w:noProof/>
            <w:webHidden/>
          </w:rPr>
          <w:t>99</w:t>
        </w:r>
        <w:r w:rsidR="008204BD">
          <w:rPr>
            <w:noProof/>
            <w:webHidden/>
          </w:rPr>
          <w:fldChar w:fldCharType="end"/>
        </w:r>
      </w:hyperlink>
    </w:p>
    <w:p w14:paraId="35ECC86C" w14:textId="76E020B2" w:rsidR="008204BD" w:rsidRDefault="0049362F">
      <w:pPr>
        <w:pStyle w:val="TableofFigures"/>
        <w:tabs>
          <w:tab w:val="right" w:leader="dot" w:pos="9016"/>
        </w:tabs>
        <w:rPr>
          <w:rFonts w:asciiTheme="minorHAnsi" w:eastAsiaTheme="minorEastAsia" w:hAnsiTheme="minorHAnsi"/>
          <w:noProof/>
          <w:lang w:eastAsia="it-IT"/>
        </w:rPr>
      </w:pPr>
      <w:hyperlink w:anchor="_Toc64611004" w:history="1">
        <w:r w:rsidR="008204BD" w:rsidRPr="007E31A3">
          <w:rPr>
            <w:rStyle w:val="Hyperlink"/>
            <w:noProof/>
          </w:rPr>
          <w:t>Figure 55 - Change in GDP/per capita, 2009-2018 (2009=100%).</w:t>
        </w:r>
        <w:r w:rsidR="008204BD">
          <w:rPr>
            <w:noProof/>
            <w:webHidden/>
          </w:rPr>
          <w:tab/>
        </w:r>
        <w:r w:rsidR="008204BD">
          <w:rPr>
            <w:noProof/>
            <w:webHidden/>
          </w:rPr>
          <w:fldChar w:fldCharType="begin"/>
        </w:r>
        <w:r w:rsidR="008204BD">
          <w:rPr>
            <w:noProof/>
            <w:webHidden/>
          </w:rPr>
          <w:instrText xml:space="preserve"> PAGEREF _Toc64611004 \h </w:instrText>
        </w:r>
        <w:r w:rsidR="008204BD">
          <w:rPr>
            <w:noProof/>
            <w:webHidden/>
          </w:rPr>
        </w:r>
        <w:r w:rsidR="008204BD">
          <w:rPr>
            <w:noProof/>
            <w:webHidden/>
          </w:rPr>
          <w:fldChar w:fldCharType="separate"/>
        </w:r>
        <w:r w:rsidR="00FB3E93">
          <w:rPr>
            <w:noProof/>
            <w:webHidden/>
          </w:rPr>
          <w:t>99</w:t>
        </w:r>
        <w:r w:rsidR="008204BD">
          <w:rPr>
            <w:noProof/>
            <w:webHidden/>
          </w:rPr>
          <w:fldChar w:fldCharType="end"/>
        </w:r>
      </w:hyperlink>
    </w:p>
    <w:p w14:paraId="57D1A1DD" w14:textId="09B5D29A" w:rsidR="008204BD" w:rsidRDefault="0049362F">
      <w:pPr>
        <w:pStyle w:val="TableofFigures"/>
        <w:tabs>
          <w:tab w:val="right" w:leader="dot" w:pos="9016"/>
        </w:tabs>
        <w:rPr>
          <w:rFonts w:asciiTheme="minorHAnsi" w:eastAsiaTheme="minorEastAsia" w:hAnsiTheme="minorHAnsi"/>
          <w:noProof/>
          <w:lang w:eastAsia="it-IT"/>
        </w:rPr>
      </w:pPr>
      <w:hyperlink w:anchor="_Toc64611005" w:history="1">
        <w:r w:rsidR="008204BD" w:rsidRPr="007E31A3">
          <w:rPr>
            <w:rStyle w:val="Hyperlink"/>
            <w:noProof/>
            <w:lang w:val="en-GB"/>
          </w:rPr>
          <w:t>Figure 56 - Dynamnic of GDP distribution along sectors</w:t>
        </w:r>
        <w:r w:rsidR="008204BD">
          <w:rPr>
            <w:noProof/>
            <w:webHidden/>
          </w:rPr>
          <w:tab/>
        </w:r>
        <w:r w:rsidR="008204BD">
          <w:rPr>
            <w:noProof/>
            <w:webHidden/>
          </w:rPr>
          <w:fldChar w:fldCharType="begin"/>
        </w:r>
        <w:r w:rsidR="008204BD">
          <w:rPr>
            <w:noProof/>
            <w:webHidden/>
          </w:rPr>
          <w:instrText xml:space="preserve"> PAGEREF _Toc64611005 \h </w:instrText>
        </w:r>
        <w:r w:rsidR="008204BD">
          <w:rPr>
            <w:noProof/>
            <w:webHidden/>
          </w:rPr>
        </w:r>
        <w:r w:rsidR="008204BD">
          <w:rPr>
            <w:noProof/>
            <w:webHidden/>
          </w:rPr>
          <w:fldChar w:fldCharType="separate"/>
        </w:r>
        <w:r w:rsidR="00FB3E93">
          <w:rPr>
            <w:noProof/>
            <w:webHidden/>
          </w:rPr>
          <w:t>100</w:t>
        </w:r>
        <w:r w:rsidR="008204BD">
          <w:rPr>
            <w:noProof/>
            <w:webHidden/>
          </w:rPr>
          <w:fldChar w:fldCharType="end"/>
        </w:r>
      </w:hyperlink>
    </w:p>
    <w:p w14:paraId="203B71D4" w14:textId="5315AF84" w:rsidR="008204BD" w:rsidRDefault="0049362F">
      <w:pPr>
        <w:pStyle w:val="TableofFigures"/>
        <w:tabs>
          <w:tab w:val="right" w:leader="dot" w:pos="9016"/>
        </w:tabs>
        <w:rPr>
          <w:rFonts w:asciiTheme="minorHAnsi" w:eastAsiaTheme="minorEastAsia" w:hAnsiTheme="minorHAnsi"/>
          <w:noProof/>
          <w:lang w:eastAsia="it-IT"/>
        </w:rPr>
      </w:pPr>
      <w:hyperlink w:anchor="_Toc64611006" w:history="1">
        <w:r w:rsidR="008204BD" w:rsidRPr="007E31A3">
          <w:rPr>
            <w:rStyle w:val="Hyperlink"/>
            <w:noProof/>
            <w:lang w:val="en-GB"/>
          </w:rPr>
          <w:t>Figure 57 - Productivity change in the PA across main sectors (NACE2 categories), between 2009 and 2017.</w:t>
        </w:r>
        <w:r w:rsidR="008204BD">
          <w:rPr>
            <w:noProof/>
            <w:webHidden/>
          </w:rPr>
          <w:tab/>
        </w:r>
        <w:r w:rsidR="008204BD">
          <w:rPr>
            <w:noProof/>
            <w:webHidden/>
          </w:rPr>
          <w:fldChar w:fldCharType="begin"/>
        </w:r>
        <w:r w:rsidR="008204BD">
          <w:rPr>
            <w:noProof/>
            <w:webHidden/>
          </w:rPr>
          <w:instrText xml:space="preserve"> PAGEREF _Toc64611006 \h </w:instrText>
        </w:r>
        <w:r w:rsidR="008204BD">
          <w:rPr>
            <w:noProof/>
            <w:webHidden/>
          </w:rPr>
        </w:r>
        <w:r w:rsidR="008204BD">
          <w:rPr>
            <w:noProof/>
            <w:webHidden/>
          </w:rPr>
          <w:fldChar w:fldCharType="separate"/>
        </w:r>
        <w:r w:rsidR="00FB3E93">
          <w:rPr>
            <w:noProof/>
            <w:webHidden/>
          </w:rPr>
          <w:t>102</w:t>
        </w:r>
        <w:r w:rsidR="008204BD">
          <w:rPr>
            <w:noProof/>
            <w:webHidden/>
          </w:rPr>
          <w:fldChar w:fldCharType="end"/>
        </w:r>
      </w:hyperlink>
    </w:p>
    <w:p w14:paraId="238AA3FD" w14:textId="1BAC925D" w:rsidR="008204BD" w:rsidRDefault="0049362F">
      <w:pPr>
        <w:pStyle w:val="TableofFigures"/>
        <w:tabs>
          <w:tab w:val="right" w:leader="dot" w:pos="9016"/>
        </w:tabs>
        <w:rPr>
          <w:rFonts w:asciiTheme="minorHAnsi" w:eastAsiaTheme="minorEastAsia" w:hAnsiTheme="minorHAnsi"/>
          <w:noProof/>
          <w:lang w:eastAsia="it-IT"/>
        </w:rPr>
      </w:pPr>
      <w:hyperlink r:id="rId19" w:anchor="_Toc64611007" w:history="1">
        <w:r w:rsidR="008204BD" w:rsidRPr="007E31A3">
          <w:rPr>
            <w:rStyle w:val="Hyperlink"/>
            <w:noProof/>
          </w:rPr>
          <w:t>Figure 58 - FDI per capita 2018</w:t>
        </w:r>
        <w:r w:rsidR="008204BD">
          <w:rPr>
            <w:noProof/>
            <w:webHidden/>
          </w:rPr>
          <w:tab/>
        </w:r>
        <w:r w:rsidR="008204BD">
          <w:rPr>
            <w:noProof/>
            <w:webHidden/>
          </w:rPr>
          <w:fldChar w:fldCharType="begin"/>
        </w:r>
        <w:r w:rsidR="008204BD">
          <w:rPr>
            <w:noProof/>
            <w:webHidden/>
          </w:rPr>
          <w:instrText xml:space="preserve"> PAGEREF _Toc64611007 \h </w:instrText>
        </w:r>
        <w:r w:rsidR="008204BD">
          <w:rPr>
            <w:noProof/>
            <w:webHidden/>
          </w:rPr>
        </w:r>
        <w:r w:rsidR="008204BD">
          <w:rPr>
            <w:noProof/>
            <w:webHidden/>
          </w:rPr>
          <w:fldChar w:fldCharType="separate"/>
        </w:r>
        <w:r w:rsidR="00FB3E93">
          <w:rPr>
            <w:noProof/>
            <w:webHidden/>
          </w:rPr>
          <w:t>103</w:t>
        </w:r>
        <w:r w:rsidR="008204BD">
          <w:rPr>
            <w:noProof/>
            <w:webHidden/>
          </w:rPr>
          <w:fldChar w:fldCharType="end"/>
        </w:r>
      </w:hyperlink>
    </w:p>
    <w:p w14:paraId="18C1EFD0" w14:textId="7897E801" w:rsidR="008204BD" w:rsidRDefault="0049362F">
      <w:pPr>
        <w:pStyle w:val="TableofFigures"/>
        <w:tabs>
          <w:tab w:val="right" w:leader="dot" w:pos="9016"/>
        </w:tabs>
        <w:rPr>
          <w:rFonts w:asciiTheme="minorHAnsi" w:eastAsiaTheme="minorEastAsia" w:hAnsiTheme="minorHAnsi"/>
          <w:noProof/>
          <w:lang w:eastAsia="it-IT"/>
        </w:rPr>
      </w:pPr>
      <w:hyperlink w:anchor="_Toc64611008" w:history="1">
        <w:r w:rsidR="008204BD" w:rsidRPr="007E31A3">
          <w:rPr>
            <w:rStyle w:val="Hyperlink"/>
            <w:noProof/>
            <w:lang w:val="en-GB"/>
          </w:rPr>
          <w:t>Figure 59 - Change in labour force involvement, 2015-2009</w:t>
        </w:r>
        <w:r w:rsidR="008204BD">
          <w:rPr>
            <w:noProof/>
            <w:webHidden/>
          </w:rPr>
          <w:tab/>
        </w:r>
        <w:r w:rsidR="008204BD">
          <w:rPr>
            <w:noProof/>
            <w:webHidden/>
          </w:rPr>
          <w:fldChar w:fldCharType="begin"/>
        </w:r>
        <w:r w:rsidR="008204BD">
          <w:rPr>
            <w:noProof/>
            <w:webHidden/>
          </w:rPr>
          <w:instrText xml:space="preserve"> PAGEREF _Toc64611008 \h </w:instrText>
        </w:r>
        <w:r w:rsidR="008204BD">
          <w:rPr>
            <w:noProof/>
            <w:webHidden/>
          </w:rPr>
        </w:r>
        <w:r w:rsidR="008204BD">
          <w:rPr>
            <w:noProof/>
            <w:webHidden/>
          </w:rPr>
          <w:fldChar w:fldCharType="separate"/>
        </w:r>
        <w:r w:rsidR="00FB3E93">
          <w:rPr>
            <w:noProof/>
            <w:webHidden/>
          </w:rPr>
          <w:t>104</w:t>
        </w:r>
        <w:r w:rsidR="008204BD">
          <w:rPr>
            <w:noProof/>
            <w:webHidden/>
          </w:rPr>
          <w:fldChar w:fldCharType="end"/>
        </w:r>
      </w:hyperlink>
    </w:p>
    <w:p w14:paraId="6319BC4D" w14:textId="4CC7A8B4" w:rsidR="008204BD" w:rsidRDefault="0049362F">
      <w:pPr>
        <w:pStyle w:val="TableofFigures"/>
        <w:tabs>
          <w:tab w:val="right" w:leader="dot" w:pos="9016"/>
        </w:tabs>
        <w:rPr>
          <w:rFonts w:asciiTheme="minorHAnsi" w:eastAsiaTheme="minorEastAsia" w:hAnsiTheme="minorHAnsi"/>
          <w:noProof/>
          <w:lang w:eastAsia="it-IT"/>
        </w:rPr>
      </w:pPr>
      <w:hyperlink w:anchor="_Toc64611009" w:history="1">
        <w:r w:rsidR="008204BD" w:rsidRPr="007E31A3">
          <w:rPr>
            <w:rStyle w:val="Hyperlink"/>
            <w:noProof/>
            <w:lang w:val="en-GB"/>
          </w:rPr>
          <w:t>Figure 60 - Change in active enterprises (annual %), 2012-2017</w:t>
        </w:r>
        <w:r w:rsidR="008204BD">
          <w:rPr>
            <w:noProof/>
            <w:webHidden/>
          </w:rPr>
          <w:tab/>
        </w:r>
        <w:r w:rsidR="008204BD">
          <w:rPr>
            <w:noProof/>
            <w:webHidden/>
          </w:rPr>
          <w:fldChar w:fldCharType="begin"/>
        </w:r>
        <w:r w:rsidR="008204BD">
          <w:rPr>
            <w:noProof/>
            <w:webHidden/>
          </w:rPr>
          <w:instrText xml:space="preserve"> PAGEREF _Toc64611009 \h </w:instrText>
        </w:r>
        <w:r w:rsidR="008204BD">
          <w:rPr>
            <w:noProof/>
            <w:webHidden/>
          </w:rPr>
        </w:r>
        <w:r w:rsidR="008204BD">
          <w:rPr>
            <w:noProof/>
            <w:webHidden/>
          </w:rPr>
          <w:fldChar w:fldCharType="separate"/>
        </w:r>
        <w:r w:rsidR="00FB3E93">
          <w:rPr>
            <w:noProof/>
            <w:webHidden/>
          </w:rPr>
          <w:t>105</w:t>
        </w:r>
        <w:r w:rsidR="008204BD">
          <w:rPr>
            <w:noProof/>
            <w:webHidden/>
          </w:rPr>
          <w:fldChar w:fldCharType="end"/>
        </w:r>
      </w:hyperlink>
    </w:p>
    <w:p w14:paraId="6D59C996" w14:textId="697C3A2C" w:rsidR="008204BD" w:rsidRDefault="0049362F">
      <w:pPr>
        <w:pStyle w:val="TableofFigures"/>
        <w:tabs>
          <w:tab w:val="right" w:leader="dot" w:pos="9016"/>
        </w:tabs>
        <w:rPr>
          <w:rFonts w:asciiTheme="minorHAnsi" w:eastAsiaTheme="minorEastAsia" w:hAnsiTheme="minorHAnsi"/>
          <w:noProof/>
          <w:lang w:eastAsia="it-IT"/>
        </w:rPr>
      </w:pPr>
      <w:hyperlink r:id="rId20" w:anchor="_Toc64611010" w:history="1">
        <w:r w:rsidR="008204BD" w:rsidRPr="007E31A3">
          <w:rPr>
            <w:rStyle w:val="Hyperlink"/>
            <w:noProof/>
            <w:lang w:val="en-GB"/>
          </w:rPr>
          <w:t>Figure 61 - Tourism capacities, 2018</w:t>
        </w:r>
        <w:r w:rsidR="008204BD">
          <w:rPr>
            <w:noProof/>
            <w:webHidden/>
          </w:rPr>
          <w:tab/>
        </w:r>
        <w:r w:rsidR="008204BD">
          <w:rPr>
            <w:noProof/>
            <w:webHidden/>
          </w:rPr>
          <w:fldChar w:fldCharType="begin"/>
        </w:r>
        <w:r w:rsidR="008204BD">
          <w:rPr>
            <w:noProof/>
            <w:webHidden/>
          </w:rPr>
          <w:instrText xml:space="preserve"> PAGEREF _Toc64611010 \h </w:instrText>
        </w:r>
        <w:r w:rsidR="008204BD">
          <w:rPr>
            <w:noProof/>
            <w:webHidden/>
          </w:rPr>
        </w:r>
        <w:r w:rsidR="008204BD">
          <w:rPr>
            <w:noProof/>
            <w:webHidden/>
          </w:rPr>
          <w:fldChar w:fldCharType="separate"/>
        </w:r>
        <w:r w:rsidR="00FB3E93">
          <w:rPr>
            <w:noProof/>
            <w:webHidden/>
          </w:rPr>
          <w:t>109</w:t>
        </w:r>
        <w:r w:rsidR="008204BD">
          <w:rPr>
            <w:noProof/>
            <w:webHidden/>
          </w:rPr>
          <w:fldChar w:fldCharType="end"/>
        </w:r>
      </w:hyperlink>
    </w:p>
    <w:p w14:paraId="289763BF" w14:textId="276E9883" w:rsidR="008204BD" w:rsidRDefault="0049362F">
      <w:pPr>
        <w:pStyle w:val="TableofFigures"/>
        <w:tabs>
          <w:tab w:val="right" w:leader="dot" w:pos="9016"/>
        </w:tabs>
        <w:rPr>
          <w:rFonts w:asciiTheme="minorHAnsi" w:eastAsiaTheme="minorEastAsia" w:hAnsiTheme="minorHAnsi"/>
          <w:noProof/>
          <w:lang w:eastAsia="it-IT"/>
        </w:rPr>
      </w:pPr>
      <w:hyperlink w:anchor="_Toc64611011" w:history="1">
        <w:r w:rsidR="008204BD" w:rsidRPr="007E31A3">
          <w:rPr>
            <w:rStyle w:val="Hyperlink"/>
            <w:noProof/>
            <w:lang w:val="en-GB"/>
          </w:rPr>
          <w:t>Figure 62 - Overnights spent</w:t>
        </w:r>
        <w:r w:rsidR="008204BD">
          <w:rPr>
            <w:noProof/>
            <w:webHidden/>
          </w:rPr>
          <w:tab/>
        </w:r>
        <w:r w:rsidR="008204BD">
          <w:rPr>
            <w:noProof/>
            <w:webHidden/>
          </w:rPr>
          <w:fldChar w:fldCharType="begin"/>
        </w:r>
        <w:r w:rsidR="008204BD">
          <w:rPr>
            <w:noProof/>
            <w:webHidden/>
          </w:rPr>
          <w:instrText xml:space="preserve"> PAGEREF _Toc64611011 \h </w:instrText>
        </w:r>
        <w:r w:rsidR="008204BD">
          <w:rPr>
            <w:noProof/>
            <w:webHidden/>
          </w:rPr>
        </w:r>
        <w:r w:rsidR="008204BD">
          <w:rPr>
            <w:noProof/>
            <w:webHidden/>
          </w:rPr>
          <w:fldChar w:fldCharType="separate"/>
        </w:r>
        <w:r w:rsidR="00FB3E93">
          <w:rPr>
            <w:noProof/>
            <w:webHidden/>
          </w:rPr>
          <w:t>110</w:t>
        </w:r>
        <w:r w:rsidR="008204BD">
          <w:rPr>
            <w:noProof/>
            <w:webHidden/>
          </w:rPr>
          <w:fldChar w:fldCharType="end"/>
        </w:r>
      </w:hyperlink>
    </w:p>
    <w:p w14:paraId="52DA71B9" w14:textId="470F101F" w:rsidR="008204BD" w:rsidRDefault="0049362F">
      <w:pPr>
        <w:pStyle w:val="TableofFigures"/>
        <w:tabs>
          <w:tab w:val="right" w:leader="dot" w:pos="9016"/>
        </w:tabs>
        <w:rPr>
          <w:rFonts w:asciiTheme="minorHAnsi" w:eastAsiaTheme="minorEastAsia" w:hAnsiTheme="minorHAnsi"/>
          <w:noProof/>
          <w:lang w:eastAsia="it-IT"/>
        </w:rPr>
      </w:pPr>
      <w:hyperlink r:id="rId21" w:anchor="_Toc64611012" w:history="1">
        <w:r w:rsidR="008204BD" w:rsidRPr="007E31A3">
          <w:rPr>
            <w:rStyle w:val="Hyperlink"/>
            <w:noProof/>
            <w:lang w:val="en-US"/>
          </w:rPr>
          <w:t>Figure 63 - Occupancy rate, % 2018</w:t>
        </w:r>
        <w:r w:rsidR="008204BD">
          <w:rPr>
            <w:noProof/>
            <w:webHidden/>
          </w:rPr>
          <w:tab/>
        </w:r>
        <w:r w:rsidR="008204BD">
          <w:rPr>
            <w:noProof/>
            <w:webHidden/>
          </w:rPr>
          <w:fldChar w:fldCharType="begin"/>
        </w:r>
        <w:r w:rsidR="008204BD">
          <w:rPr>
            <w:noProof/>
            <w:webHidden/>
          </w:rPr>
          <w:instrText xml:space="preserve"> PAGEREF _Toc64611012 \h </w:instrText>
        </w:r>
        <w:r w:rsidR="008204BD">
          <w:rPr>
            <w:noProof/>
            <w:webHidden/>
          </w:rPr>
        </w:r>
        <w:r w:rsidR="008204BD">
          <w:rPr>
            <w:noProof/>
            <w:webHidden/>
          </w:rPr>
          <w:fldChar w:fldCharType="separate"/>
        </w:r>
        <w:r w:rsidR="00FB3E93">
          <w:rPr>
            <w:noProof/>
            <w:webHidden/>
          </w:rPr>
          <w:t>112</w:t>
        </w:r>
        <w:r w:rsidR="008204BD">
          <w:rPr>
            <w:noProof/>
            <w:webHidden/>
          </w:rPr>
          <w:fldChar w:fldCharType="end"/>
        </w:r>
      </w:hyperlink>
    </w:p>
    <w:p w14:paraId="2149B028" w14:textId="65398F79" w:rsidR="008204BD" w:rsidRDefault="0049362F">
      <w:pPr>
        <w:pStyle w:val="TableofFigures"/>
        <w:tabs>
          <w:tab w:val="right" w:leader="dot" w:pos="9016"/>
        </w:tabs>
        <w:rPr>
          <w:rFonts w:asciiTheme="minorHAnsi" w:eastAsiaTheme="minorEastAsia" w:hAnsiTheme="minorHAnsi"/>
          <w:noProof/>
          <w:lang w:eastAsia="it-IT"/>
        </w:rPr>
      </w:pPr>
      <w:hyperlink w:anchor="_Toc64611013" w:history="1">
        <w:r w:rsidR="008204BD" w:rsidRPr="007E31A3">
          <w:rPr>
            <w:rStyle w:val="Hyperlink"/>
            <w:noProof/>
            <w:lang w:val="en-GB"/>
          </w:rPr>
          <w:t>Figure 64 - Figure X Change in researcher’s share in total R&amp;D payroll (annual %), 2009-2018</w:t>
        </w:r>
        <w:r w:rsidR="008204BD">
          <w:rPr>
            <w:noProof/>
            <w:webHidden/>
          </w:rPr>
          <w:tab/>
        </w:r>
        <w:r w:rsidR="008204BD">
          <w:rPr>
            <w:noProof/>
            <w:webHidden/>
          </w:rPr>
          <w:fldChar w:fldCharType="begin"/>
        </w:r>
        <w:r w:rsidR="008204BD">
          <w:rPr>
            <w:noProof/>
            <w:webHidden/>
          </w:rPr>
          <w:instrText xml:space="preserve"> PAGEREF _Toc64611013 \h </w:instrText>
        </w:r>
        <w:r w:rsidR="008204BD">
          <w:rPr>
            <w:noProof/>
            <w:webHidden/>
          </w:rPr>
        </w:r>
        <w:r w:rsidR="008204BD">
          <w:rPr>
            <w:noProof/>
            <w:webHidden/>
          </w:rPr>
          <w:fldChar w:fldCharType="separate"/>
        </w:r>
        <w:r w:rsidR="00FB3E93">
          <w:rPr>
            <w:noProof/>
            <w:webHidden/>
          </w:rPr>
          <w:t>113</w:t>
        </w:r>
        <w:r w:rsidR="008204BD">
          <w:rPr>
            <w:noProof/>
            <w:webHidden/>
          </w:rPr>
          <w:fldChar w:fldCharType="end"/>
        </w:r>
      </w:hyperlink>
    </w:p>
    <w:p w14:paraId="22F7C23A" w14:textId="3D63A0E1" w:rsidR="008204BD" w:rsidRDefault="0049362F">
      <w:pPr>
        <w:pStyle w:val="TableofFigures"/>
        <w:tabs>
          <w:tab w:val="right" w:leader="dot" w:pos="9016"/>
        </w:tabs>
        <w:rPr>
          <w:rFonts w:asciiTheme="minorHAnsi" w:eastAsiaTheme="minorEastAsia" w:hAnsiTheme="minorHAnsi"/>
          <w:noProof/>
          <w:lang w:eastAsia="it-IT"/>
        </w:rPr>
      </w:pPr>
      <w:hyperlink r:id="rId22" w:anchor="_Toc64611014" w:history="1">
        <w:r w:rsidR="008204BD" w:rsidRPr="007E31A3">
          <w:rPr>
            <w:rStyle w:val="Hyperlink"/>
            <w:noProof/>
            <w:lang w:val="en-US"/>
          </w:rPr>
          <w:t>Figure 65 - Euro per R&amp;D personnel in Romania, Hungary and RO-HU area</w:t>
        </w:r>
        <w:r w:rsidR="008204BD">
          <w:rPr>
            <w:noProof/>
            <w:webHidden/>
          </w:rPr>
          <w:tab/>
        </w:r>
        <w:r w:rsidR="008204BD">
          <w:rPr>
            <w:noProof/>
            <w:webHidden/>
          </w:rPr>
          <w:fldChar w:fldCharType="begin"/>
        </w:r>
        <w:r w:rsidR="008204BD">
          <w:rPr>
            <w:noProof/>
            <w:webHidden/>
          </w:rPr>
          <w:instrText xml:space="preserve"> PAGEREF _Toc64611014 \h </w:instrText>
        </w:r>
        <w:r w:rsidR="008204BD">
          <w:rPr>
            <w:noProof/>
            <w:webHidden/>
          </w:rPr>
        </w:r>
        <w:r w:rsidR="008204BD">
          <w:rPr>
            <w:noProof/>
            <w:webHidden/>
          </w:rPr>
          <w:fldChar w:fldCharType="separate"/>
        </w:r>
        <w:r w:rsidR="00FB3E93">
          <w:rPr>
            <w:noProof/>
            <w:webHidden/>
          </w:rPr>
          <w:t>114</w:t>
        </w:r>
        <w:r w:rsidR="008204BD">
          <w:rPr>
            <w:noProof/>
            <w:webHidden/>
          </w:rPr>
          <w:fldChar w:fldCharType="end"/>
        </w:r>
      </w:hyperlink>
    </w:p>
    <w:p w14:paraId="15E300CB" w14:textId="0359DE8C" w:rsidR="008204BD" w:rsidRDefault="0049362F">
      <w:pPr>
        <w:pStyle w:val="TableofFigures"/>
        <w:tabs>
          <w:tab w:val="right" w:leader="dot" w:pos="9016"/>
        </w:tabs>
        <w:rPr>
          <w:rFonts w:asciiTheme="minorHAnsi" w:eastAsiaTheme="minorEastAsia" w:hAnsiTheme="minorHAnsi"/>
          <w:noProof/>
          <w:lang w:eastAsia="it-IT"/>
        </w:rPr>
      </w:pPr>
      <w:hyperlink w:anchor="_Toc64611015" w:history="1">
        <w:r w:rsidR="008204BD" w:rsidRPr="007E31A3">
          <w:rPr>
            <w:rStyle w:val="Hyperlink"/>
            <w:noProof/>
            <w:lang w:val="en-GB"/>
          </w:rPr>
          <w:t>Figure 66 - R&amp;D as % of GDP of (NUTS 3 level) in comparison Source: INS, KSH, calculated</w:t>
        </w:r>
        <w:r w:rsidR="008204BD">
          <w:rPr>
            <w:noProof/>
            <w:webHidden/>
          </w:rPr>
          <w:tab/>
        </w:r>
        <w:r w:rsidR="008204BD">
          <w:rPr>
            <w:noProof/>
            <w:webHidden/>
          </w:rPr>
          <w:fldChar w:fldCharType="begin"/>
        </w:r>
        <w:r w:rsidR="008204BD">
          <w:rPr>
            <w:noProof/>
            <w:webHidden/>
          </w:rPr>
          <w:instrText xml:space="preserve"> PAGEREF _Toc64611015 \h </w:instrText>
        </w:r>
        <w:r w:rsidR="008204BD">
          <w:rPr>
            <w:noProof/>
            <w:webHidden/>
          </w:rPr>
        </w:r>
        <w:r w:rsidR="008204BD">
          <w:rPr>
            <w:noProof/>
            <w:webHidden/>
          </w:rPr>
          <w:fldChar w:fldCharType="separate"/>
        </w:r>
        <w:r w:rsidR="00FB3E93">
          <w:rPr>
            <w:noProof/>
            <w:webHidden/>
          </w:rPr>
          <w:t>114</w:t>
        </w:r>
        <w:r w:rsidR="008204BD">
          <w:rPr>
            <w:noProof/>
            <w:webHidden/>
          </w:rPr>
          <w:fldChar w:fldCharType="end"/>
        </w:r>
      </w:hyperlink>
    </w:p>
    <w:p w14:paraId="40A2176E" w14:textId="12C7771B" w:rsidR="008204BD" w:rsidRDefault="0049362F">
      <w:pPr>
        <w:pStyle w:val="TableofFigures"/>
        <w:tabs>
          <w:tab w:val="right" w:leader="dot" w:pos="9016"/>
        </w:tabs>
        <w:rPr>
          <w:rFonts w:asciiTheme="minorHAnsi" w:eastAsiaTheme="minorEastAsia" w:hAnsiTheme="minorHAnsi"/>
          <w:noProof/>
          <w:lang w:eastAsia="it-IT"/>
        </w:rPr>
      </w:pPr>
      <w:hyperlink w:anchor="_Toc64611016" w:history="1">
        <w:r w:rsidR="008204BD" w:rsidRPr="007E31A3">
          <w:rPr>
            <w:rStyle w:val="Hyperlink"/>
            <w:noProof/>
            <w:lang w:val="en-GB"/>
          </w:rPr>
          <w:t>Figure 67 - Business structure in RO-HU PA</w:t>
        </w:r>
        <w:r w:rsidR="008204BD">
          <w:rPr>
            <w:noProof/>
            <w:webHidden/>
          </w:rPr>
          <w:tab/>
        </w:r>
        <w:r w:rsidR="008204BD">
          <w:rPr>
            <w:noProof/>
            <w:webHidden/>
          </w:rPr>
          <w:fldChar w:fldCharType="begin"/>
        </w:r>
        <w:r w:rsidR="008204BD">
          <w:rPr>
            <w:noProof/>
            <w:webHidden/>
          </w:rPr>
          <w:instrText xml:space="preserve"> PAGEREF _Toc64611016 \h </w:instrText>
        </w:r>
        <w:r w:rsidR="008204BD">
          <w:rPr>
            <w:noProof/>
            <w:webHidden/>
          </w:rPr>
        </w:r>
        <w:r w:rsidR="008204BD">
          <w:rPr>
            <w:noProof/>
            <w:webHidden/>
          </w:rPr>
          <w:fldChar w:fldCharType="separate"/>
        </w:r>
        <w:r w:rsidR="00FB3E93">
          <w:rPr>
            <w:noProof/>
            <w:webHidden/>
          </w:rPr>
          <w:t>116</w:t>
        </w:r>
        <w:r w:rsidR="008204BD">
          <w:rPr>
            <w:noProof/>
            <w:webHidden/>
          </w:rPr>
          <w:fldChar w:fldCharType="end"/>
        </w:r>
      </w:hyperlink>
    </w:p>
    <w:p w14:paraId="2569ACD5" w14:textId="39C7741F" w:rsidR="008204BD" w:rsidRDefault="0049362F">
      <w:pPr>
        <w:pStyle w:val="TableofFigures"/>
        <w:tabs>
          <w:tab w:val="right" w:leader="dot" w:pos="9016"/>
        </w:tabs>
        <w:rPr>
          <w:rFonts w:asciiTheme="minorHAnsi" w:eastAsiaTheme="minorEastAsia" w:hAnsiTheme="minorHAnsi"/>
          <w:noProof/>
          <w:lang w:eastAsia="it-IT"/>
        </w:rPr>
      </w:pPr>
      <w:hyperlink w:anchor="_Toc64611017" w:history="1">
        <w:r w:rsidR="008204BD" w:rsidRPr="007E31A3">
          <w:rPr>
            <w:rStyle w:val="Hyperlink"/>
            <w:noProof/>
            <w:lang w:val="en-GB"/>
          </w:rPr>
          <w:t>Figure 68 -Industrial parks in the cross-border area between Hungary and Romania</w:t>
        </w:r>
        <w:r w:rsidR="008204BD">
          <w:rPr>
            <w:noProof/>
            <w:webHidden/>
          </w:rPr>
          <w:tab/>
        </w:r>
        <w:r w:rsidR="008204BD">
          <w:rPr>
            <w:noProof/>
            <w:webHidden/>
          </w:rPr>
          <w:fldChar w:fldCharType="begin"/>
        </w:r>
        <w:r w:rsidR="008204BD">
          <w:rPr>
            <w:noProof/>
            <w:webHidden/>
          </w:rPr>
          <w:instrText xml:space="preserve"> PAGEREF _Toc64611017 \h </w:instrText>
        </w:r>
        <w:r w:rsidR="008204BD">
          <w:rPr>
            <w:noProof/>
            <w:webHidden/>
          </w:rPr>
        </w:r>
        <w:r w:rsidR="008204BD">
          <w:rPr>
            <w:noProof/>
            <w:webHidden/>
          </w:rPr>
          <w:fldChar w:fldCharType="separate"/>
        </w:r>
        <w:r w:rsidR="00FB3E93">
          <w:rPr>
            <w:noProof/>
            <w:webHidden/>
          </w:rPr>
          <w:t>117</w:t>
        </w:r>
        <w:r w:rsidR="008204BD">
          <w:rPr>
            <w:noProof/>
            <w:webHidden/>
          </w:rPr>
          <w:fldChar w:fldCharType="end"/>
        </w:r>
      </w:hyperlink>
    </w:p>
    <w:p w14:paraId="621820FF" w14:textId="2FC3D950" w:rsidR="008204BD" w:rsidRDefault="0049362F">
      <w:pPr>
        <w:pStyle w:val="TableofFigures"/>
        <w:tabs>
          <w:tab w:val="right" w:leader="dot" w:pos="9016"/>
        </w:tabs>
        <w:rPr>
          <w:rFonts w:asciiTheme="minorHAnsi" w:eastAsiaTheme="minorEastAsia" w:hAnsiTheme="minorHAnsi"/>
          <w:noProof/>
          <w:lang w:eastAsia="it-IT"/>
        </w:rPr>
      </w:pPr>
      <w:hyperlink r:id="rId23" w:anchor="_Toc64611018" w:history="1">
        <w:r w:rsidR="008204BD" w:rsidRPr="007E31A3">
          <w:rPr>
            <w:rStyle w:val="Hyperlink"/>
            <w:noProof/>
            <w:lang w:val="en-GB"/>
          </w:rPr>
          <w:t>Figure 69 - Number of PaM Instrument type by country</w:t>
        </w:r>
        <w:r w:rsidR="008204BD">
          <w:rPr>
            <w:noProof/>
            <w:webHidden/>
          </w:rPr>
          <w:tab/>
        </w:r>
        <w:r w:rsidR="008204BD">
          <w:rPr>
            <w:noProof/>
            <w:webHidden/>
          </w:rPr>
          <w:fldChar w:fldCharType="begin"/>
        </w:r>
        <w:r w:rsidR="008204BD">
          <w:rPr>
            <w:noProof/>
            <w:webHidden/>
          </w:rPr>
          <w:instrText xml:space="preserve"> PAGEREF _Toc64611018 \h </w:instrText>
        </w:r>
        <w:r w:rsidR="008204BD">
          <w:rPr>
            <w:noProof/>
            <w:webHidden/>
          </w:rPr>
        </w:r>
        <w:r w:rsidR="008204BD">
          <w:rPr>
            <w:noProof/>
            <w:webHidden/>
          </w:rPr>
          <w:fldChar w:fldCharType="separate"/>
        </w:r>
        <w:r w:rsidR="00FB3E93">
          <w:rPr>
            <w:noProof/>
            <w:webHidden/>
          </w:rPr>
          <w:t>125</w:t>
        </w:r>
        <w:r w:rsidR="008204BD">
          <w:rPr>
            <w:noProof/>
            <w:webHidden/>
          </w:rPr>
          <w:fldChar w:fldCharType="end"/>
        </w:r>
      </w:hyperlink>
    </w:p>
    <w:p w14:paraId="52B6CAA0" w14:textId="21301763" w:rsidR="008204BD" w:rsidRDefault="0049362F">
      <w:pPr>
        <w:pStyle w:val="TableofFigures"/>
        <w:tabs>
          <w:tab w:val="right" w:leader="dot" w:pos="9016"/>
        </w:tabs>
        <w:rPr>
          <w:rFonts w:asciiTheme="minorHAnsi" w:eastAsiaTheme="minorEastAsia" w:hAnsiTheme="minorHAnsi"/>
          <w:noProof/>
          <w:lang w:eastAsia="it-IT"/>
        </w:rPr>
      </w:pPr>
      <w:hyperlink w:anchor="_Toc64611019" w:history="1">
        <w:r w:rsidR="008204BD" w:rsidRPr="007E31A3">
          <w:rPr>
            <w:rStyle w:val="Hyperlink"/>
            <w:rFonts w:cs="Calibri"/>
            <w:noProof/>
            <w:lang w:val="en-GB"/>
          </w:rPr>
          <w:t>Figure 70 - Sectors targeted by PaMs by Country</w:t>
        </w:r>
        <w:r w:rsidR="008204BD">
          <w:rPr>
            <w:noProof/>
            <w:webHidden/>
          </w:rPr>
          <w:tab/>
        </w:r>
        <w:r w:rsidR="008204BD">
          <w:rPr>
            <w:noProof/>
            <w:webHidden/>
          </w:rPr>
          <w:fldChar w:fldCharType="begin"/>
        </w:r>
        <w:r w:rsidR="008204BD">
          <w:rPr>
            <w:noProof/>
            <w:webHidden/>
          </w:rPr>
          <w:instrText xml:space="preserve"> PAGEREF _Toc64611019 \h </w:instrText>
        </w:r>
        <w:r w:rsidR="008204BD">
          <w:rPr>
            <w:noProof/>
            <w:webHidden/>
          </w:rPr>
        </w:r>
        <w:r w:rsidR="008204BD">
          <w:rPr>
            <w:noProof/>
            <w:webHidden/>
          </w:rPr>
          <w:fldChar w:fldCharType="separate"/>
        </w:r>
        <w:r w:rsidR="00FB3E93">
          <w:rPr>
            <w:noProof/>
            <w:webHidden/>
          </w:rPr>
          <w:t>126</w:t>
        </w:r>
        <w:r w:rsidR="008204BD">
          <w:rPr>
            <w:noProof/>
            <w:webHidden/>
          </w:rPr>
          <w:fldChar w:fldCharType="end"/>
        </w:r>
      </w:hyperlink>
    </w:p>
    <w:p w14:paraId="49883CDB" w14:textId="44E0C153" w:rsidR="008204BD" w:rsidRDefault="0049362F">
      <w:pPr>
        <w:pStyle w:val="TableofFigures"/>
        <w:tabs>
          <w:tab w:val="right" w:leader="dot" w:pos="9016"/>
        </w:tabs>
        <w:rPr>
          <w:rFonts w:asciiTheme="minorHAnsi" w:eastAsiaTheme="minorEastAsia" w:hAnsiTheme="minorHAnsi"/>
          <w:noProof/>
          <w:lang w:eastAsia="it-IT"/>
        </w:rPr>
      </w:pPr>
      <w:hyperlink w:anchor="_Toc64611020" w:history="1">
        <w:r w:rsidR="008204BD" w:rsidRPr="007E31A3">
          <w:rPr>
            <w:rStyle w:val="Hyperlink"/>
            <w:rFonts w:cs="Calibri"/>
            <w:noProof/>
            <w:lang w:val="en-GB"/>
          </w:rPr>
          <w:t>Figure 71 - Land use within the PA</w:t>
        </w:r>
        <w:r w:rsidR="008204BD">
          <w:rPr>
            <w:noProof/>
            <w:webHidden/>
          </w:rPr>
          <w:tab/>
        </w:r>
        <w:r w:rsidR="008204BD">
          <w:rPr>
            <w:noProof/>
            <w:webHidden/>
          </w:rPr>
          <w:fldChar w:fldCharType="begin"/>
        </w:r>
        <w:r w:rsidR="008204BD">
          <w:rPr>
            <w:noProof/>
            <w:webHidden/>
          </w:rPr>
          <w:instrText xml:space="preserve"> PAGEREF _Toc64611020 \h </w:instrText>
        </w:r>
        <w:r w:rsidR="008204BD">
          <w:rPr>
            <w:noProof/>
            <w:webHidden/>
          </w:rPr>
        </w:r>
        <w:r w:rsidR="008204BD">
          <w:rPr>
            <w:noProof/>
            <w:webHidden/>
          </w:rPr>
          <w:fldChar w:fldCharType="separate"/>
        </w:r>
        <w:r w:rsidR="00FB3E93">
          <w:rPr>
            <w:noProof/>
            <w:webHidden/>
          </w:rPr>
          <w:t>127</w:t>
        </w:r>
        <w:r w:rsidR="008204BD">
          <w:rPr>
            <w:noProof/>
            <w:webHidden/>
          </w:rPr>
          <w:fldChar w:fldCharType="end"/>
        </w:r>
      </w:hyperlink>
    </w:p>
    <w:p w14:paraId="0A938A82" w14:textId="3574F839" w:rsidR="008204BD" w:rsidRDefault="0049362F">
      <w:pPr>
        <w:pStyle w:val="TableofFigures"/>
        <w:tabs>
          <w:tab w:val="right" w:leader="dot" w:pos="9016"/>
        </w:tabs>
        <w:rPr>
          <w:rFonts w:asciiTheme="minorHAnsi" w:eastAsiaTheme="minorEastAsia" w:hAnsiTheme="minorHAnsi"/>
          <w:noProof/>
          <w:lang w:eastAsia="it-IT"/>
        </w:rPr>
      </w:pPr>
      <w:hyperlink w:anchor="_Toc64611021" w:history="1">
        <w:r w:rsidR="008204BD" w:rsidRPr="007E31A3">
          <w:rPr>
            <w:rStyle w:val="Hyperlink"/>
            <w:noProof/>
            <w:lang w:val="fr-FR"/>
          </w:rPr>
          <w:t>Figure 72 - Fragmentation status 2015</w:t>
        </w:r>
        <w:r w:rsidR="008204BD">
          <w:rPr>
            <w:noProof/>
            <w:webHidden/>
          </w:rPr>
          <w:tab/>
        </w:r>
        <w:r w:rsidR="008204BD">
          <w:rPr>
            <w:noProof/>
            <w:webHidden/>
          </w:rPr>
          <w:fldChar w:fldCharType="begin"/>
        </w:r>
        <w:r w:rsidR="008204BD">
          <w:rPr>
            <w:noProof/>
            <w:webHidden/>
          </w:rPr>
          <w:instrText xml:space="preserve"> PAGEREF _Toc64611021 \h </w:instrText>
        </w:r>
        <w:r w:rsidR="008204BD">
          <w:rPr>
            <w:noProof/>
            <w:webHidden/>
          </w:rPr>
        </w:r>
        <w:r w:rsidR="008204BD">
          <w:rPr>
            <w:noProof/>
            <w:webHidden/>
          </w:rPr>
          <w:fldChar w:fldCharType="separate"/>
        </w:r>
        <w:r w:rsidR="00FB3E93">
          <w:rPr>
            <w:noProof/>
            <w:webHidden/>
          </w:rPr>
          <w:t>128</w:t>
        </w:r>
        <w:r w:rsidR="008204BD">
          <w:rPr>
            <w:noProof/>
            <w:webHidden/>
          </w:rPr>
          <w:fldChar w:fldCharType="end"/>
        </w:r>
      </w:hyperlink>
    </w:p>
    <w:p w14:paraId="593554BF" w14:textId="79EA6152" w:rsidR="008204BD" w:rsidRDefault="0049362F">
      <w:pPr>
        <w:pStyle w:val="TableofFigures"/>
        <w:tabs>
          <w:tab w:val="right" w:leader="dot" w:pos="9016"/>
        </w:tabs>
        <w:rPr>
          <w:rFonts w:asciiTheme="minorHAnsi" w:eastAsiaTheme="minorEastAsia" w:hAnsiTheme="minorHAnsi"/>
          <w:noProof/>
          <w:lang w:eastAsia="it-IT"/>
        </w:rPr>
      </w:pPr>
      <w:hyperlink r:id="rId24" w:anchor="_Toc64611022" w:history="1">
        <w:r w:rsidR="008204BD" w:rsidRPr="007E31A3">
          <w:rPr>
            <w:rStyle w:val="Hyperlink"/>
            <w:noProof/>
            <w:lang w:val="en-GB"/>
          </w:rPr>
          <w:t>Figure 73 - Hydrography in the region.</w:t>
        </w:r>
        <w:r w:rsidR="008204BD">
          <w:rPr>
            <w:noProof/>
            <w:webHidden/>
          </w:rPr>
          <w:tab/>
        </w:r>
        <w:r w:rsidR="008204BD">
          <w:rPr>
            <w:noProof/>
            <w:webHidden/>
          </w:rPr>
          <w:fldChar w:fldCharType="begin"/>
        </w:r>
        <w:r w:rsidR="008204BD">
          <w:rPr>
            <w:noProof/>
            <w:webHidden/>
          </w:rPr>
          <w:instrText xml:space="preserve"> PAGEREF _Toc64611022 \h </w:instrText>
        </w:r>
        <w:r w:rsidR="008204BD">
          <w:rPr>
            <w:noProof/>
            <w:webHidden/>
          </w:rPr>
        </w:r>
        <w:r w:rsidR="008204BD">
          <w:rPr>
            <w:noProof/>
            <w:webHidden/>
          </w:rPr>
          <w:fldChar w:fldCharType="separate"/>
        </w:r>
        <w:r w:rsidR="00FB3E93">
          <w:rPr>
            <w:noProof/>
            <w:webHidden/>
          </w:rPr>
          <w:t>129</w:t>
        </w:r>
        <w:r w:rsidR="008204BD">
          <w:rPr>
            <w:noProof/>
            <w:webHidden/>
          </w:rPr>
          <w:fldChar w:fldCharType="end"/>
        </w:r>
      </w:hyperlink>
    </w:p>
    <w:p w14:paraId="6E011414" w14:textId="578ABC9F" w:rsidR="008204BD" w:rsidRDefault="0049362F">
      <w:pPr>
        <w:pStyle w:val="TableofFigures"/>
        <w:tabs>
          <w:tab w:val="right" w:leader="dot" w:pos="9016"/>
        </w:tabs>
        <w:rPr>
          <w:rFonts w:asciiTheme="minorHAnsi" w:eastAsiaTheme="minorEastAsia" w:hAnsiTheme="minorHAnsi"/>
          <w:noProof/>
          <w:lang w:eastAsia="it-IT"/>
        </w:rPr>
      </w:pPr>
      <w:hyperlink w:anchor="_Toc64611023" w:history="1">
        <w:r w:rsidR="008204BD" w:rsidRPr="007E31A3">
          <w:rPr>
            <w:rStyle w:val="Hyperlink"/>
            <w:rFonts w:cs="Calibri"/>
            <w:noProof/>
            <w:lang w:val="en-GB"/>
          </w:rPr>
          <w:t>Figure 74 – Flood recurrence based on historical data at EU level and high / very high prevalence in the programme area.</w:t>
        </w:r>
        <w:r w:rsidR="008204BD">
          <w:rPr>
            <w:noProof/>
            <w:webHidden/>
          </w:rPr>
          <w:tab/>
        </w:r>
        <w:r w:rsidR="008204BD">
          <w:rPr>
            <w:noProof/>
            <w:webHidden/>
          </w:rPr>
          <w:fldChar w:fldCharType="begin"/>
        </w:r>
        <w:r w:rsidR="008204BD">
          <w:rPr>
            <w:noProof/>
            <w:webHidden/>
          </w:rPr>
          <w:instrText xml:space="preserve"> PAGEREF _Toc64611023 \h </w:instrText>
        </w:r>
        <w:r w:rsidR="008204BD">
          <w:rPr>
            <w:noProof/>
            <w:webHidden/>
          </w:rPr>
        </w:r>
        <w:r w:rsidR="008204BD">
          <w:rPr>
            <w:noProof/>
            <w:webHidden/>
          </w:rPr>
          <w:fldChar w:fldCharType="separate"/>
        </w:r>
        <w:r w:rsidR="00FB3E93">
          <w:rPr>
            <w:noProof/>
            <w:webHidden/>
          </w:rPr>
          <w:t>130</w:t>
        </w:r>
        <w:r w:rsidR="008204BD">
          <w:rPr>
            <w:noProof/>
            <w:webHidden/>
          </w:rPr>
          <w:fldChar w:fldCharType="end"/>
        </w:r>
      </w:hyperlink>
    </w:p>
    <w:p w14:paraId="3A6C244C" w14:textId="5631B6DE" w:rsidR="008204BD" w:rsidRDefault="0049362F">
      <w:pPr>
        <w:pStyle w:val="TableofFigures"/>
        <w:tabs>
          <w:tab w:val="right" w:leader="dot" w:pos="9016"/>
        </w:tabs>
        <w:rPr>
          <w:rFonts w:asciiTheme="minorHAnsi" w:eastAsiaTheme="minorEastAsia" w:hAnsiTheme="minorHAnsi"/>
          <w:noProof/>
          <w:lang w:eastAsia="it-IT"/>
        </w:rPr>
      </w:pPr>
      <w:hyperlink r:id="rId25" w:anchor="_Toc64611024" w:history="1">
        <w:r w:rsidR="008204BD" w:rsidRPr="007E31A3">
          <w:rPr>
            <w:rStyle w:val="Hyperlink"/>
            <w:noProof/>
            <w:lang w:val="en-GB"/>
          </w:rPr>
          <w:t>Figure 75 - Distribution of seismic sources by epicentral intensity in the PA</w:t>
        </w:r>
        <w:r w:rsidR="008204BD">
          <w:rPr>
            <w:noProof/>
            <w:webHidden/>
          </w:rPr>
          <w:tab/>
        </w:r>
        <w:r w:rsidR="008204BD">
          <w:rPr>
            <w:noProof/>
            <w:webHidden/>
          </w:rPr>
          <w:fldChar w:fldCharType="begin"/>
        </w:r>
        <w:r w:rsidR="008204BD">
          <w:rPr>
            <w:noProof/>
            <w:webHidden/>
          </w:rPr>
          <w:instrText xml:space="preserve"> PAGEREF _Toc64611024 \h </w:instrText>
        </w:r>
        <w:r w:rsidR="008204BD">
          <w:rPr>
            <w:noProof/>
            <w:webHidden/>
          </w:rPr>
        </w:r>
        <w:r w:rsidR="008204BD">
          <w:rPr>
            <w:noProof/>
            <w:webHidden/>
          </w:rPr>
          <w:fldChar w:fldCharType="separate"/>
        </w:r>
        <w:r w:rsidR="00FB3E93">
          <w:rPr>
            <w:noProof/>
            <w:webHidden/>
          </w:rPr>
          <w:t>131</w:t>
        </w:r>
        <w:r w:rsidR="008204BD">
          <w:rPr>
            <w:noProof/>
            <w:webHidden/>
          </w:rPr>
          <w:fldChar w:fldCharType="end"/>
        </w:r>
      </w:hyperlink>
    </w:p>
    <w:p w14:paraId="61B95A23" w14:textId="7CFF8CF3" w:rsidR="008204BD" w:rsidRDefault="0049362F">
      <w:pPr>
        <w:pStyle w:val="TableofFigures"/>
        <w:tabs>
          <w:tab w:val="right" w:leader="dot" w:pos="9016"/>
        </w:tabs>
        <w:rPr>
          <w:rFonts w:asciiTheme="minorHAnsi" w:eastAsiaTheme="minorEastAsia" w:hAnsiTheme="minorHAnsi"/>
          <w:noProof/>
          <w:lang w:eastAsia="it-IT"/>
        </w:rPr>
      </w:pPr>
      <w:hyperlink r:id="rId26" w:anchor="_Toc64611025" w:history="1">
        <w:r w:rsidR="008204BD" w:rsidRPr="007E31A3">
          <w:rPr>
            <w:rStyle w:val="Hyperlink"/>
            <w:noProof/>
            <w:lang w:val="en-GB"/>
          </w:rPr>
          <w:t>Figure 76 - Landslide risks in the PA</w:t>
        </w:r>
        <w:r w:rsidR="008204BD">
          <w:rPr>
            <w:noProof/>
            <w:webHidden/>
          </w:rPr>
          <w:tab/>
        </w:r>
        <w:r w:rsidR="008204BD">
          <w:rPr>
            <w:noProof/>
            <w:webHidden/>
          </w:rPr>
          <w:fldChar w:fldCharType="begin"/>
        </w:r>
        <w:r w:rsidR="008204BD">
          <w:rPr>
            <w:noProof/>
            <w:webHidden/>
          </w:rPr>
          <w:instrText xml:space="preserve"> PAGEREF _Toc64611025 \h </w:instrText>
        </w:r>
        <w:r w:rsidR="008204BD">
          <w:rPr>
            <w:noProof/>
            <w:webHidden/>
          </w:rPr>
        </w:r>
        <w:r w:rsidR="008204BD">
          <w:rPr>
            <w:noProof/>
            <w:webHidden/>
          </w:rPr>
          <w:fldChar w:fldCharType="separate"/>
        </w:r>
        <w:r w:rsidR="00FB3E93">
          <w:rPr>
            <w:noProof/>
            <w:webHidden/>
          </w:rPr>
          <w:t>132</w:t>
        </w:r>
        <w:r w:rsidR="008204BD">
          <w:rPr>
            <w:noProof/>
            <w:webHidden/>
          </w:rPr>
          <w:fldChar w:fldCharType="end"/>
        </w:r>
      </w:hyperlink>
    </w:p>
    <w:p w14:paraId="1EC3EB73" w14:textId="1370FE36" w:rsidR="008204BD" w:rsidRDefault="0049362F">
      <w:pPr>
        <w:pStyle w:val="TableofFigures"/>
        <w:tabs>
          <w:tab w:val="right" w:leader="dot" w:pos="9016"/>
        </w:tabs>
        <w:rPr>
          <w:rFonts w:asciiTheme="minorHAnsi" w:eastAsiaTheme="minorEastAsia" w:hAnsiTheme="minorHAnsi"/>
          <w:noProof/>
          <w:lang w:eastAsia="it-IT"/>
        </w:rPr>
      </w:pPr>
      <w:hyperlink r:id="rId27" w:anchor="_Toc64611026" w:history="1">
        <w:r w:rsidR="008204BD" w:rsidRPr="007E31A3">
          <w:rPr>
            <w:rStyle w:val="Hyperlink"/>
            <w:noProof/>
            <w:lang w:val="en-GB"/>
          </w:rPr>
          <w:t>Figure 77 – No. (left) and surface (right) burnt by wildfires</w:t>
        </w:r>
        <w:r w:rsidR="008204BD">
          <w:rPr>
            <w:noProof/>
            <w:webHidden/>
          </w:rPr>
          <w:tab/>
        </w:r>
        <w:r w:rsidR="008204BD">
          <w:rPr>
            <w:noProof/>
            <w:webHidden/>
          </w:rPr>
          <w:fldChar w:fldCharType="begin"/>
        </w:r>
        <w:r w:rsidR="008204BD">
          <w:rPr>
            <w:noProof/>
            <w:webHidden/>
          </w:rPr>
          <w:instrText xml:space="preserve"> PAGEREF _Toc64611026 \h </w:instrText>
        </w:r>
        <w:r w:rsidR="008204BD">
          <w:rPr>
            <w:noProof/>
            <w:webHidden/>
          </w:rPr>
        </w:r>
        <w:r w:rsidR="008204BD">
          <w:rPr>
            <w:noProof/>
            <w:webHidden/>
          </w:rPr>
          <w:fldChar w:fldCharType="separate"/>
        </w:r>
        <w:r w:rsidR="00FB3E93">
          <w:rPr>
            <w:noProof/>
            <w:webHidden/>
          </w:rPr>
          <w:t>132</w:t>
        </w:r>
        <w:r w:rsidR="008204BD">
          <w:rPr>
            <w:noProof/>
            <w:webHidden/>
          </w:rPr>
          <w:fldChar w:fldCharType="end"/>
        </w:r>
      </w:hyperlink>
    </w:p>
    <w:p w14:paraId="5D2C627B" w14:textId="3A95C507" w:rsidR="008204BD" w:rsidRDefault="0049362F">
      <w:pPr>
        <w:pStyle w:val="TableofFigures"/>
        <w:tabs>
          <w:tab w:val="right" w:leader="dot" w:pos="9016"/>
        </w:tabs>
        <w:rPr>
          <w:rFonts w:asciiTheme="minorHAnsi" w:eastAsiaTheme="minorEastAsia" w:hAnsiTheme="minorHAnsi"/>
          <w:noProof/>
          <w:lang w:eastAsia="it-IT"/>
        </w:rPr>
      </w:pPr>
      <w:hyperlink w:anchor="_Toc64611027" w:history="1">
        <w:r w:rsidR="008204BD" w:rsidRPr="007E31A3">
          <w:rPr>
            <w:rStyle w:val="Hyperlink"/>
            <w:noProof/>
            <w:lang w:val="en-GB"/>
          </w:rPr>
          <w:t>Figure 78 - Wildfire burnt areas over the course of 2020 (1 Jan - 31 Dec) as identified through MODIS and VIIRS</w:t>
        </w:r>
        <w:r w:rsidR="008204BD">
          <w:rPr>
            <w:noProof/>
            <w:webHidden/>
          </w:rPr>
          <w:tab/>
        </w:r>
        <w:r w:rsidR="008204BD">
          <w:rPr>
            <w:noProof/>
            <w:webHidden/>
          </w:rPr>
          <w:fldChar w:fldCharType="begin"/>
        </w:r>
        <w:r w:rsidR="008204BD">
          <w:rPr>
            <w:noProof/>
            <w:webHidden/>
          </w:rPr>
          <w:instrText xml:space="preserve"> PAGEREF _Toc64611027 \h </w:instrText>
        </w:r>
        <w:r w:rsidR="008204BD">
          <w:rPr>
            <w:noProof/>
            <w:webHidden/>
          </w:rPr>
        </w:r>
        <w:r w:rsidR="008204BD">
          <w:rPr>
            <w:noProof/>
            <w:webHidden/>
          </w:rPr>
          <w:fldChar w:fldCharType="separate"/>
        </w:r>
        <w:r w:rsidR="00FB3E93">
          <w:rPr>
            <w:noProof/>
            <w:webHidden/>
          </w:rPr>
          <w:t>133</w:t>
        </w:r>
        <w:r w:rsidR="008204BD">
          <w:rPr>
            <w:noProof/>
            <w:webHidden/>
          </w:rPr>
          <w:fldChar w:fldCharType="end"/>
        </w:r>
      </w:hyperlink>
    </w:p>
    <w:p w14:paraId="0ACB025F" w14:textId="0ACDCDDE" w:rsidR="008204BD" w:rsidRDefault="0049362F">
      <w:pPr>
        <w:pStyle w:val="TableofFigures"/>
        <w:tabs>
          <w:tab w:val="right" w:leader="dot" w:pos="9016"/>
        </w:tabs>
        <w:rPr>
          <w:rFonts w:asciiTheme="minorHAnsi" w:eastAsiaTheme="minorEastAsia" w:hAnsiTheme="minorHAnsi"/>
          <w:noProof/>
          <w:lang w:eastAsia="it-IT"/>
        </w:rPr>
      </w:pPr>
      <w:hyperlink w:anchor="_Toc64611028" w:history="1">
        <w:r w:rsidR="008204BD" w:rsidRPr="007E31A3">
          <w:rPr>
            <w:rStyle w:val="Hyperlink"/>
            <w:noProof/>
            <w:lang w:val="en-GB"/>
          </w:rPr>
          <w:t>Figure 79 - European map estimating the level of invasion by alien plant species</w:t>
        </w:r>
        <w:r w:rsidR="008204BD">
          <w:rPr>
            <w:noProof/>
            <w:webHidden/>
          </w:rPr>
          <w:tab/>
        </w:r>
        <w:r w:rsidR="008204BD">
          <w:rPr>
            <w:noProof/>
            <w:webHidden/>
          </w:rPr>
          <w:fldChar w:fldCharType="begin"/>
        </w:r>
        <w:r w:rsidR="008204BD">
          <w:rPr>
            <w:noProof/>
            <w:webHidden/>
          </w:rPr>
          <w:instrText xml:space="preserve"> PAGEREF _Toc64611028 \h </w:instrText>
        </w:r>
        <w:r w:rsidR="008204BD">
          <w:rPr>
            <w:noProof/>
            <w:webHidden/>
          </w:rPr>
        </w:r>
        <w:r w:rsidR="008204BD">
          <w:rPr>
            <w:noProof/>
            <w:webHidden/>
          </w:rPr>
          <w:fldChar w:fldCharType="separate"/>
        </w:r>
        <w:r w:rsidR="00FB3E93">
          <w:rPr>
            <w:noProof/>
            <w:webHidden/>
          </w:rPr>
          <w:t>134</w:t>
        </w:r>
        <w:r w:rsidR="008204BD">
          <w:rPr>
            <w:noProof/>
            <w:webHidden/>
          </w:rPr>
          <w:fldChar w:fldCharType="end"/>
        </w:r>
      </w:hyperlink>
    </w:p>
    <w:p w14:paraId="2926A964" w14:textId="2A3384F1" w:rsidR="008204BD" w:rsidRDefault="0049362F">
      <w:pPr>
        <w:pStyle w:val="TableofFigures"/>
        <w:tabs>
          <w:tab w:val="right" w:leader="dot" w:pos="9016"/>
        </w:tabs>
        <w:rPr>
          <w:rFonts w:asciiTheme="minorHAnsi" w:eastAsiaTheme="minorEastAsia" w:hAnsiTheme="minorHAnsi"/>
          <w:noProof/>
          <w:lang w:eastAsia="it-IT"/>
        </w:rPr>
      </w:pPr>
      <w:hyperlink w:anchor="_Toc64611029" w:history="1">
        <w:r w:rsidR="008204BD" w:rsidRPr="007E31A3">
          <w:rPr>
            <w:rStyle w:val="Hyperlink"/>
            <w:noProof/>
            <w:lang w:val="en-GB"/>
          </w:rPr>
          <w:t>Figure 80 - Potential level of invasive alien species-related pressures on forest ecosystems</w:t>
        </w:r>
        <w:r w:rsidR="008204BD">
          <w:rPr>
            <w:noProof/>
            <w:webHidden/>
          </w:rPr>
          <w:tab/>
        </w:r>
        <w:r w:rsidR="008204BD">
          <w:rPr>
            <w:noProof/>
            <w:webHidden/>
          </w:rPr>
          <w:fldChar w:fldCharType="begin"/>
        </w:r>
        <w:r w:rsidR="008204BD">
          <w:rPr>
            <w:noProof/>
            <w:webHidden/>
          </w:rPr>
          <w:instrText xml:space="preserve"> PAGEREF _Toc64611029 \h </w:instrText>
        </w:r>
        <w:r w:rsidR="008204BD">
          <w:rPr>
            <w:noProof/>
            <w:webHidden/>
          </w:rPr>
        </w:r>
        <w:r w:rsidR="008204BD">
          <w:rPr>
            <w:noProof/>
            <w:webHidden/>
          </w:rPr>
          <w:fldChar w:fldCharType="separate"/>
        </w:r>
        <w:r w:rsidR="00FB3E93">
          <w:rPr>
            <w:noProof/>
            <w:webHidden/>
          </w:rPr>
          <w:t>135</w:t>
        </w:r>
        <w:r w:rsidR="008204BD">
          <w:rPr>
            <w:noProof/>
            <w:webHidden/>
          </w:rPr>
          <w:fldChar w:fldCharType="end"/>
        </w:r>
      </w:hyperlink>
    </w:p>
    <w:p w14:paraId="4B3D219E" w14:textId="6262E774" w:rsidR="008204BD" w:rsidRDefault="0049362F">
      <w:pPr>
        <w:pStyle w:val="TableofFigures"/>
        <w:tabs>
          <w:tab w:val="right" w:leader="dot" w:pos="9016"/>
        </w:tabs>
        <w:rPr>
          <w:rFonts w:asciiTheme="minorHAnsi" w:eastAsiaTheme="minorEastAsia" w:hAnsiTheme="minorHAnsi"/>
          <w:noProof/>
          <w:lang w:eastAsia="it-IT"/>
        </w:rPr>
      </w:pPr>
      <w:hyperlink w:anchor="_Toc64611030" w:history="1">
        <w:r w:rsidR="008204BD" w:rsidRPr="007E31A3">
          <w:rPr>
            <w:rStyle w:val="Hyperlink"/>
            <w:noProof/>
            <w:lang w:val="en-GB"/>
          </w:rPr>
          <w:t>Figure 81 - The classification of forests, per country, according to their degree of naturalness in 2015</w:t>
        </w:r>
        <w:r w:rsidR="008204BD">
          <w:rPr>
            <w:noProof/>
            <w:webHidden/>
          </w:rPr>
          <w:tab/>
        </w:r>
        <w:r w:rsidR="008204BD">
          <w:rPr>
            <w:noProof/>
            <w:webHidden/>
          </w:rPr>
          <w:fldChar w:fldCharType="begin"/>
        </w:r>
        <w:r w:rsidR="008204BD">
          <w:rPr>
            <w:noProof/>
            <w:webHidden/>
          </w:rPr>
          <w:instrText xml:space="preserve"> PAGEREF _Toc64611030 \h </w:instrText>
        </w:r>
        <w:r w:rsidR="008204BD">
          <w:rPr>
            <w:noProof/>
            <w:webHidden/>
          </w:rPr>
        </w:r>
        <w:r w:rsidR="008204BD">
          <w:rPr>
            <w:noProof/>
            <w:webHidden/>
          </w:rPr>
          <w:fldChar w:fldCharType="separate"/>
        </w:r>
        <w:r w:rsidR="00FB3E93">
          <w:rPr>
            <w:noProof/>
            <w:webHidden/>
          </w:rPr>
          <w:t>136</w:t>
        </w:r>
        <w:r w:rsidR="008204BD">
          <w:rPr>
            <w:noProof/>
            <w:webHidden/>
          </w:rPr>
          <w:fldChar w:fldCharType="end"/>
        </w:r>
      </w:hyperlink>
    </w:p>
    <w:p w14:paraId="033F7E66" w14:textId="124158E8" w:rsidR="008204BD" w:rsidRDefault="0049362F">
      <w:pPr>
        <w:pStyle w:val="TableofFigures"/>
        <w:tabs>
          <w:tab w:val="right" w:leader="dot" w:pos="9016"/>
        </w:tabs>
        <w:rPr>
          <w:rFonts w:asciiTheme="minorHAnsi" w:eastAsiaTheme="minorEastAsia" w:hAnsiTheme="minorHAnsi"/>
          <w:noProof/>
          <w:lang w:eastAsia="it-IT"/>
        </w:rPr>
      </w:pPr>
      <w:hyperlink w:anchor="_Toc64611031" w:history="1">
        <w:r w:rsidR="008204BD" w:rsidRPr="007E31A3">
          <w:rPr>
            <w:rStyle w:val="Hyperlink"/>
            <w:noProof/>
            <w:lang w:val="en-GB"/>
          </w:rPr>
          <w:t>Figure 82 - Percentage of forest areas within Natura 2000 site in the EU Member states in 2012</w:t>
        </w:r>
        <w:r w:rsidR="008204BD">
          <w:rPr>
            <w:noProof/>
            <w:webHidden/>
          </w:rPr>
          <w:tab/>
        </w:r>
        <w:r w:rsidR="008204BD">
          <w:rPr>
            <w:noProof/>
            <w:webHidden/>
          </w:rPr>
          <w:fldChar w:fldCharType="begin"/>
        </w:r>
        <w:r w:rsidR="008204BD">
          <w:rPr>
            <w:noProof/>
            <w:webHidden/>
          </w:rPr>
          <w:instrText xml:space="preserve"> PAGEREF _Toc64611031 \h </w:instrText>
        </w:r>
        <w:r w:rsidR="008204BD">
          <w:rPr>
            <w:noProof/>
            <w:webHidden/>
          </w:rPr>
        </w:r>
        <w:r w:rsidR="008204BD">
          <w:rPr>
            <w:noProof/>
            <w:webHidden/>
          </w:rPr>
          <w:fldChar w:fldCharType="separate"/>
        </w:r>
        <w:r w:rsidR="00FB3E93">
          <w:rPr>
            <w:noProof/>
            <w:webHidden/>
          </w:rPr>
          <w:t>136</w:t>
        </w:r>
        <w:r w:rsidR="008204BD">
          <w:rPr>
            <w:noProof/>
            <w:webHidden/>
          </w:rPr>
          <w:fldChar w:fldCharType="end"/>
        </w:r>
      </w:hyperlink>
    </w:p>
    <w:p w14:paraId="35E0B3EC" w14:textId="43102EDF" w:rsidR="008204BD" w:rsidRDefault="0049362F">
      <w:pPr>
        <w:pStyle w:val="TableofFigures"/>
        <w:tabs>
          <w:tab w:val="right" w:leader="dot" w:pos="9016"/>
        </w:tabs>
        <w:rPr>
          <w:rFonts w:asciiTheme="minorHAnsi" w:eastAsiaTheme="minorEastAsia" w:hAnsiTheme="minorHAnsi"/>
          <w:noProof/>
          <w:lang w:eastAsia="it-IT"/>
        </w:rPr>
      </w:pPr>
      <w:hyperlink w:anchor="_Toc64611032" w:history="1">
        <w:r w:rsidR="008204BD" w:rsidRPr="007E31A3">
          <w:rPr>
            <w:rStyle w:val="Hyperlink"/>
            <w:noProof/>
            <w:lang w:val="en-GB"/>
          </w:rPr>
          <w:t>Figure 83 - Trends in drought and extreme drought frequency, 1950-2018</w:t>
        </w:r>
        <w:r w:rsidR="008204BD">
          <w:rPr>
            <w:noProof/>
            <w:webHidden/>
          </w:rPr>
          <w:tab/>
        </w:r>
        <w:r w:rsidR="008204BD">
          <w:rPr>
            <w:noProof/>
            <w:webHidden/>
          </w:rPr>
          <w:fldChar w:fldCharType="begin"/>
        </w:r>
        <w:r w:rsidR="008204BD">
          <w:rPr>
            <w:noProof/>
            <w:webHidden/>
          </w:rPr>
          <w:instrText xml:space="preserve"> PAGEREF _Toc64611032 \h </w:instrText>
        </w:r>
        <w:r w:rsidR="008204BD">
          <w:rPr>
            <w:noProof/>
            <w:webHidden/>
          </w:rPr>
        </w:r>
        <w:r w:rsidR="008204BD">
          <w:rPr>
            <w:noProof/>
            <w:webHidden/>
          </w:rPr>
          <w:fldChar w:fldCharType="separate"/>
        </w:r>
        <w:r w:rsidR="00FB3E93">
          <w:rPr>
            <w:noProof/>
            <w:webHidden/>
          </w:rPr>
          <w:t>137</w:t>
        </w:r>
        <w:r w:rsidR="008204BD">
          <w:rPr>
            <w:noProof/>
            <w:webHidden/>
          </w:rPr>
          <w:fldChar w:fldCharType="end"/>
        </w:r>
      </w:hyperlink>
    </w:p>
    <w:p w14:paraId="0863264D" w14:textId="456AC71C" w:rsidR="008204BD" w:rsidRDefault="0049362F">
      <w:pPr>
        <w:pStyle w:val="TableofFigures"/>
        <w:tabs>
          <w:tab w:val="right" w:leader="dot" w:pos="9016"/>
        </w:tabs>
        <w:rPr>
          <w:rFonts w:asciiTheme="minorHAnsi" w:eastAsiaTheme="minorEastAsia" w:hAnsiTheme="minorHAnsi"/>
          <w:noProof/>
          <w:lang w:eastAsia="it-IT"/>
        </w:rPr>
      </w:pPr>
      <w:hyperlink w:anchor="_Toc64611033" w:history="1">
        <w:r w:rsidR="008204BD" w:rsidRPr="007E31A3">
          <w:rPr>
            <w:rStyle w:val="Hyperlink"/>
            <w:rFonts w:cs="Calibri"/>
            <w:noProof/>
            <w:lang w:val="en-GB"/>
          </w:rPr>
          <w:t>Figure 84 - Quality status of rivers in the PA</w:t>
        </w:r>
        <w:r w:rsidR="008204BD">
          <w:rPr>
            <w:noProof/>
            <w:webHidden/>
          </w:rPr>
          <w:tab/>
        </w:r>
        <w:r w:rsidR="008204BD">
          <w:rPr>
            <w:noProof/>
            <w:webHidden/>
          </w:rPr>
          <w:fldChar w:fldCharType="begin"/>
        </w:r>
        <w:r w:rsidR="008204BD">
          <w:rPr>
            <w:noProof/>
            <w:webHidden/>
          </w:rPr>
          <w:instrText xml:space="preserve"> PAGEREF _Toc64611033 \h </w:instrText>
        </w:r>
        <w:r w:rsidR="008204BD">
          <w:rPr>
            <w:noProof/>
            <w:webHidden/>
          </w:rPr>
        </w:r>
        <w:r w:rsidR="008204BD">
          <w:rPr>
            <w:noProof/>
            <w:webHidden/>
          </w:rPr>
          <w:fldChar w:fldCharType="separate"/>
        </w:r>
        <w:r w:rsidR="00FB3E93">
          <w:rPr>
            <w:noProof/>
            <w:webHidden/>
          </w:rPr>
          <w:t>139</w:t>
        </w:r>
        <w:r w:rsidR="008204BD">
          <w:rPr>
            <w:noProof/>
            <w:webHidden/>
          </w:rPr>
          <w:fldChar w:fldCharType="end"/>
        </w:r>
      </w:hyperlink>
    </w:p>
    <w:p w14:paraId="5EC11FFA" w14:textId="44273E06" w:rsidR="008204BD" w:rsidRDefault="0049362F">
      <w:pPr>
        <w:pStyle w:val="TableofFigures"/>
        <w:tabs>
          <w:tab w:val="right" w:leader="dot" w:pos="9016"/>
        </w:tabs>
        <w:rPr>
          <w:rFonts w:asciiTheme="minorHAnsi" w:eastAsiaTheme="minorEastAsia" w:hAnsiTheme="minorHAnsi"/>
          <w:noProof/>
          <w:lang w:eastAsia="it-IT"/>
        </w:rPr>
      </w:pPr>
      <w:hyperlink w:anchor="_Toc64611034" w:history="1">
        <w:r w:rsidR="008204BD" w:rsidRPr="007E31A3">
          <w:rPr>
            <w:rStyle w:val="Hyperlink"/>
            <w:noProof/>
            <w:lang w:val="en-GB"/>
          </w:rPr>
          <w:t>Figure 85 – Industrial water pollution profiles of Hungary and Romania, 2017</w:t>
        </w:r>
        <w:r w:rsidR="008204BD">
          <w:rPr>
            <w:noProof/>
            <w:webHidden/>
          </w:rPr>
          <w:tab/>
        </w:r>
        <w:r w:rsidR="008204BD">
          <w:rPr>
            <w:noProof/>
            <w:webHidden/>
          </w:rPr>
          <w:fldChar w:fldCharType="begin"/>
        </w:r>
        <w:r w:rsidR="008204BD">
          <w:rPr>
            <w:noProof/>
            <w:webHidden/>
          </w:rPr>
          <w:instrText xml:space="preserve"> PAGEREF _Toc64611034 \h </w:instrText>
        </w:r>
        <w:r w:rsidR="008204BD">
          <w:rPr>
            <w:noProof/>
            <w:webHidden/>
          </w:rPr>
        </w:r>
        <w:r w:rsidR="008204BD">
          <w:rPr>
            <w:noProof/>
            <w:webHidden/>
          </w:rPr>
          <w:fldChar w:fldCharType="separate"/>
        </w:r>
        <w:r w:rsidR="00FB3E93">
          <w:rPr>
            <w:noProof/>
            <w:webHidden/>
          </w:rPr>
          <w:t>139</w:t>
        </w:r>
        <w:r w:rsidR="008204BD">
          <w:rPr>
            <w:noProof/>
            <w:webHidden/>
          </w:rPr>
          <w:fldChar w:fldCharType="end"/>
        </w:r>
      </w:hyperlink>
    </w:p>
    <w:p w14:paraId="31F4A904" w14:textId="37D9F736" w:rsidR="008204BD" w:rsidRDefault="0049362F">
      <w:pPr>
        <w:pStyle w:val="TableofFigures"/>
        <w:tabs>
          <w:tab w:val="right" w:leader="dot" w:pos="9016"/>
        </w:tabs>
        <w:rPr>
          <w:rFonts w:asciiTheme="minorHAnsi" w:eastAsiaTheme="minorEastAsia" w:hAnsiTheme="minorHAnsi"/>
          <w:noProof/>
          <w:lang w:eastAsia="it-IT"/>
        </w:rPr>
      </w:pPr>
      <w:hyperlink w:anchor="_Toc64611035" w:history="1">
        <w:r w:rsidR="008204BD" w:rsidRPr="007E31A3">
          <w:rPr>
            <w:rStyle w:val="Hyperlink"/>
            <w:noProof/>
            <w:lang w:val="en-GB"/>
          </w:rPr>
          <w:t>Figure 86 - Compliance with UWWTD at treatment plant level in the PA</w:t>
        </w:r>
        <w:r w:rsidR="008204BD">
          <w:rPr>
            <w:noProof/>
            <w:webHidden/>
          </w:rPr>
          <w:tab/>
        </w:r>
        <w:r w:rsidR="008204BD">
          <w:rPr>
            <w:noProof/>
            <w:webHidden/>
          </w:rPr>
          <w:fldChar w:fldCharType="begin"/>
        </w:r>
        <w:r w:rsidR="008204BD">
          <w:rPr>
            <w:noProof/>
            <w:webHidden/>
          </w:rPr>
          <w:instrText xml:space="preserve"> PAGEREF _Toc64611035 \h </w:instrText>
        </w:r>
        <w:r w:rsidR="008204BD">
          <w:rPr>
            <w:noProof/>
            <w:webHidden/>
          </w:rPr>
        </w:r>
        <w:r w:rsidR="008204BD">
          <w:rPr>
            <w:noProof/>
            <w:webHidden/>
          </w:rPr>
          <w:fldChar w:fldCharType="separate"/>
        </w:r>
        <w:r w:rsidR="00FB3E93">
          <w:rPr>
            <w:noProof/>
            <w:webHidden/>
          </w:rPr>
          <w:t>140</w:t>
        </w:r>
        <w:r w:rsidR="008204BD">
          <w:rPr>
            <w:noProof/>
            <w:webHidden/>
          </w:rPr>
          <w:fldChar w:fldCharType="end"/>
        </w:r>
      </w:hyperlink>
    </w:p>
    <w:p w14:paraId="1204C736" w14:textId="1CA48EAD" w:rsidR="008204BD" w:rsidRDefault="0049362F">
      <w:pPr>
        <w:pStyle w:val="TableofFigures"/>
        <w:tabs>
          <w:tab w:val="right" w:leader="dot" w:pos="9016"/>
        </w:tabs>
        <w:rPr>
          <w:rFonts w:asciiTheme="minorHAnsi" w:eastAsiaTheme="minorEastAsia" w:hAnsiTheme="minorHAnsi"/>
          <w:noProof/>
          <w:lang w:eastAsia="it-IT"/>
        </w:rPr>
      </w:pPr>
      <w:hyperlink w:anchor="_Toc64611036" w:history="1">
        <w:r w:rsidR="008204BD" w:rsidRPr="007E31A3">
          <w:rPr>
            <w:rStyle w:val="Hyperlink"/>
            <w:noProof/>
            <w:lang w:val="en-GB"/>
          </w:rPr>
          <w:t>Figure 88 - Occurrence and exceedance of Environmental Quality Standards (EQS) of individual pesticides in groundwater monitoring stations, (%), 2010-2011</w:t>
        </w:r>
        <w:r w:rsidR="008204BD">
          <w:rPr>
            <w:noProof/>
            <w:webHidden/>
          </w:rPr>
          <w:tab/>
        </w:r>
        <w:r w:rsidR="008204BD">
          <w:rPr>
            <w:noProof/>
            <w:webHidden/>
          </w:rPr>
          <w:fldChar w:fldCharType="begin"/>
        </w:r>
        <w:r w:rsidR="008204BD">
          <w:rPr>
            <w:noProof/>
            <w:webHidden/>
          </w:rPr>
          <w:instrText xml:space="preserve"> PAGEREF _Toc64611036 \h </w:instrText>
        </w:r>
        <w:r w:rsidR="008204BD">
          <w:rPr>
            <w:noProof/>
            <w:webHidden/>
          </w:rPr>
        </w:r>
        <w:r w:rsidR="008204BD">
          <w:rPr>
            <w:noProof/>
            <w:webHidden/>
          </w:rPr>
          <w:fldChar w:fldCharType="separate"/>
        </w:r>
        <w:r w:rsidR="00FB3E93">
          <w:rPr>
            <w:noProof/>
            <w:webHidden/>
          </w:rPr>
          <w:t>141</w:t>
        </w:r>
        <w:r w:rsidR="008204BD">
          <w:rPr>
            <w:noProof/>
            <w:webHidden/>
          </w:rPr>
          <w:fldChar w:fldCharType="end"/>
        </w:r>
      </w:hyperlink>
    </w:p>
    <w:p w14:paraId="5C5B2467" w14:textId="24462DA6" w:rsidR="008204BD" w:rsidRDefault="0049362F">
      <w:pPr>
        <w:pStyle w:val="TableofFigures"/>
        <w:tabs>
          <w:tab w:val="right" w:leader="dot" w:pos="9016"/>
        </w:tabs>
        <w:rPr>
          <w:rFonts w:asciiTheme="minorHAnsi" w:eastAsiaTheme="minorEastAsia" w:hAnsiTheme="minorHAnsi"/>
          <w:noProof/>
          <w:lang w:eastAsia="it-IT"/>
        </w:rPr>
      </w:pPr>
      <w:hyperlink w:anchor="_Toc64611037" w:history="1">
        <w:r w:rsidR="008204BD" w:rsidRPr="007E31A3">
          <w:rPr>
            <w:rStyle w:val="Hyperlink"/>
            <w:noProof/>
            <w:lang w:val="en-GB"/>
          </w:rPr>
          <w:t>Figure 89 - Share of irrigated areas in UAA by NUTS 2 regions, EU-28, 2016</w:t>
        </w:r>
        <w:r w:rsidR="008204BD">
          <w:rPr>
            <w:noProof/>
            <w:webHidden/>
          </w:rPr>
          <w:tab/>
        </w:r>
        <w:r w:rsidR="008204BD">
          <w:rPr>
            <w:noProof/>
            <w:webHidden/>
          </w:rPr>
          <w:fldChar w:fldCharType="begin"/>
        </w:r>
        <w:r w:rsidR="008204BD">
          <w:rPr>
            <w:noProof/>
            <w:webHidden/>
          </w:rPr>
          <w:instrText xml:space="preserve"> PAGEREF _Toc64611037 \h </w:instrText>
        </w:r>
        <w:r w:rsidR="008204BD">
          <w:rPr>
            <w:noProof/>
            <w:webHidden/>
          </w:rPr>
        </w:r>
        <w:r w:rsidR="008204BD">
          <w:rPr>
            <w:noProof/>
            <w:webHidden/>
          </w:rPr>
          <w:fldChar w:fldCharType="separate"/>
        </w:r>
        <w:r w:rsidR="00FB3E93">
          <w:rPr>
            <w:noProof/>
            <w:webHidden/>
          </w:rPr>
          <w:t>142</w:t>
        </w:r>
        <w:r w:rsidR="008204BD">
          <w:rPr>
            <w:noProof/>
            <w:webHidden/>
          </w:rPr>
          <w:fldChar w:fldCharType="end"/>
        </w:r>
      </w:hyperlink>
    </w:p>
    <w:p w14:paraId="2F906FB1" w14:textId="6AC171A2" w:rsidR="008204BD" w:rsidRDefault="0049362F">
      <w:pPr>
        <w:pStyle w:val="TableofFigures"/>
        <w:tabs>
          <w:tab w:val="right" w:leader="dot" w:pos="9016"/>
        </w:tabs>
        <w:rPr>
          <w:rFonts w:asciiTheme="minorHAnsi" w:eastAsiaTheme="minorEastAsia" w:hAnsiTheme="minorHAnsi"/>
          <w:noProof/>
          <w:lang w:eastAsia="it-IT"/>
        </w:rPr>
      </w:pPr>
      <w:hyperlink w:anchor="_Toc64611038" w:history="1">
        <w:r w:rsidR="008204BD" w:rsidRPr="007E31A3">
          <w:rPr>
            <w:rStyle w:val="Hyperlink"/>
            <w:noProof/>
            <w:lang w:val="en-GB"/>
          </w:rPr>
          <w:t>Figure 90 - Total irrigated area for agricultural activities</w:t>
        </w:r>
        <w:r w:rsidR="008204BD">
          <w:rPr>
            <w:noProof/>
            <w:webHidden/>
          </w:rPr>
          <w:tab/>
        </w:r>
        <w:r w:rsidR="008204BD">
          <w:rPr>
            <w:noProof/>
            <w:webHidden/>
          </w:rPr>
          <w:fldChar w:fldCharType="begin"/>
        </w:r>
        <w:r w:rsidR="008204BD">
          <w:rPr>
            <w:noProof/>
            <w:webHidden/>
          </w:rPr>
          <w:instrText xml:space="preserve"> PAGEREF _Toc64611038 \h </w:instrText>
        </w:r>
        <w:r w:rsidR="008204BD">
          <w:rPr>
            <w:noProof/>
            <w:webHidden/>
          </w:rPr>
        </w:r>
        <w:r w:rsidR="008204BD">
          <w:rPr>
            <w:noProof/>
            <w:webHidden/>
          </w:rPr>
          <w:fldChar w:fldCharType="separate"/>
        </w:r>
        <w:r w:rsidR="00FB3E93">
          <w:rPr>
            <w:noProof/>
            <w:webHidden/>
          </w:rPr>
          <w:t>142</w:t>
        </w:r>
        <w:r w:rsidR="008204BD">
          <w:rPr>
            <w:noProof/>
            <w:webHidden/>
          </w:rPr>
          <w:fldChar w:fldCharType="end"/>
        </w:r>
      </w:hyperlink>
    </w:p>
    <w:p w14:paraId="53199ED5" w14:textId="704D3BF2" w:rsidR="008204BD" w:rsidRDefault="0049362F">
      <w:pPr>
        <w:pStyle w:val="TableofFigures"/>
        <w:tabs>
          <w:tab w:val="right" w:leader="dot" w:pos="9016"/>
        </w:tabs>
        <w:rPr>
          <w:rFonts w:asciiTheme="minorHAnsi" w:eastAsiaTheme="minorEastAsia" w:hAnsiTheme="minorHAnsi"/>
          <w:noProof/>
          <w:lang w:eastAsia="it-IT"/>
        </w:rPr>
      </w:pPr>
      <w:hyperlink w:anchor="_Toc64611039" w:history="1">
        <w:r w:rsidR="008204BD" w:rsidRPr="007E31A3">
          <w:rPr>
            <w:rStyle w:val="Hyperlink"/>
            <w:noProof/>
            <w:lang w:val="en-GB"/>
          </w:rPr>
          <w:t>Figure 91 - Quantity of chemical fertilizers applied in agriculture</w:t>
        </w:r>
        <w:r w:rsidR="008204BD">
          <w:rPr>
            <w:noProof/>
            <w:webHidden/>
          </w:rPr>
          <w:tab/>
        </w:r>
        <w:r w:rsidR="008204BD">
          <w:rPr>
            <w:noProof/>
            <w:webHidden/>
          </w:rPr>
          <w:fldChar w:fldCharType="begin"/>
        </w:r>
        <w:r w:rsidR="008204BD">
          <w:rPr>
            <w:noProof/>
            <w:webHidden/>
          </w:rPr>
          <w:instrText xml:space="preserve"> PAGEREF _Toc64611039 \h </w:instrText>
        </w:r>
        <w:r w:rsidR="008204BD">
          <w:rPr>
            <w:noProof/>
            <w:webHidden/>
          </w:rPr>
        </w:r>
        <w:r w:rsidR="008204BD">
          <w:rPr>
            <w:noProof/>
            <w:webHidden/>
          </w:rPr>
          <w:fldChar w:fldCharType="separate"/>
        </w:r>
        <w:r w:rsidR="00FB3E93">
          <w:rPr>
            <w:noProof/>
            <w:webHidden/>
          </w:rPr>
          <w:t>143</w:t>
        </w:r>
        <w:r w:rsidR="008204BD">
          <w:rPr>
            <w:noProof/>
            <w:webHidden/>
          </w:rPr>
          <w:fldChar w:fldCharType="end"/>
        </w:r>
      </w:hyperlink>
    </w:p>
    <w:p w14:paraId="18EF40CD" w14:textId="01F0DB45" w:rsidR="008204BD" w:rsidRDefault="0049362F">
      <w:pPr>
        <w:pStyle w:val="TableofFigures"/>
        <w:tabs>
          <w:tab w:val="right" w:leader="dot" w:pos="9016"/>
        </w:tabs>
        <w:rPr>
          <w:rFonts w:asciiTheme="minorHAnsi" w:eastAsiaTheme="minorEastAsia" w:hAnsiTheme="minorHAnsi"/>
          <w:noProof/>
          <w:lang w:eastAsia="it-IT"/>
        </w:rPr>
      </w:pPr>
      <w:hyperlink w:anchor="_Toc64611040" w:history="1">
        <w:r w:rsidR="008204BD" w:rsidRPr="007E31A3">
          <w:rPr>
            <w:rStyle w:val="Hyperlink"/>
            <w:noProof/>
            <w:lang w:val="en-GB"/>
          </w:rPr>
          <w:t>Figure 92 - Recycling of MSW in Romania and Hungary and important policy initiatives</w:t>
        </w:r>
        <w:r w:rsidR="008204BD">
          <w:rPr>
            <w:noProof/>
            <w:webHidden/>
          </w:rPr>
          <w:tab/>
        </w:r>
        <w:r w:rsidR="008204BD">
          <w:rPr>
            <w:noProof/>
            <w:webHidden/>
          </w:rPr>
          <w:fldChar w:fldCharType="begin"/>
        </w:r>
        <w:r w:rsidR="008204BD">
          <w:rPr>
            <w:noProof/>
            <w:webHidden/>
          </w:rPr>
          <w:instrText xml:space="preserve"> PAGEREF _Toc64611040 \h </w:instrText>
        </w:r>
        <w:r w:rsidR="008204BD">
          <w:rPr>
            <w:noProof/>
            <w:webHidden/>
          </w:rPr>
        </w:r>
        <w:r w:rsidR="008204BD">
          <w:rPr>
            <w:noProof/>
            <w:webHidden/>
          </w:rPr>
          <w:fldChar w:fldCharType="separate"/>
        </w:r>
        <w:r w:rsidR="00FB3E93">
          <w:rPr>
            <w:noProof/>
            <w:webHidden/>
          </w:rPr>
          <w:t>146</w:t>
        </w:r>
        <w:r w:rsidR="008204BD">
          <w:rPr>
            <w:noProof/>
            <w:webHidden/>
          </w:rPr>
          <w:fldChar w:fldCharType="end"/>
        </w:r>
      </w:hyperlink>
    </w:p>
    <w:p w14:paraId="2D95AFC5" w14:textId="1BCCCF67" w:rsidR="008204BD" w:rsidRDefault="0049362F">
      <w:pPr>
        <w:pStyle w:val="TableofFigures"/>
        <w:tabs>
          <w:tab w:val="right" w:leader="dot" w:pos="9016"/>
        </w:tabs>
        <w:rPr>
          <w:rFonts w:asciiTheme="minorHAnsi" w:eastAsiaTheme="minorEastAsia" w:hAnsiTheme="minorHAnsi"/>
          <w:noProof/>
          <w:lang w:eastAsia="it-IT"/>
        </w:rPr>
      </w:pPr>
      <w:hyperlink w:anchor="_Toc64611041" w:history="1">
        <w:r w:rsidR="008204BD" w:rsidRPr="007E31A3">
          <w:rPr>
            <w:rStyle w:val="Hyperlink"/>
            <w:noProof/>
            <w:lang w:val="en-GB"/>
          </w:rPr>
          <w:t>Figure 93 - Percentage of recycled municipal waste in European countries, 2004/2017 comparison</w:t>
        </w:r>
        <w:r w:rsidR="008204BD">
          <w:rPr>
            <w:noProof/>
            <w:webHidden/>
          </w:rPr>
          <w:tab/>
        </w:r>
        <w:r w:rsidR="008204BD">
          <w:rPr>
            <w:noProof/>
            <w:webHidden/>
          </w:rPr>
          <w:fldChar w:fldCharType="begin"/>
        </w:r>
        <w:r w:rsidR="008204BD">
          <w:rPr>
            <w:noProof/>
            <w:webHidden/>
          </w:rPr>
          <w:instrText xml:space="preserve"> PAGEREF _Toc64611041 \h </w:instrText>
        </w:r>
        <w:r w:rsidR="008204BD">
          <w:rPr>
            <w:noProof/>
            <w:webHidden/>
          </w:rPr>
        </w:r>
        <w:r w:rsidR="008204BD">
          <w:rPr>
            <w:noProof/>
            <w:webHidden/>
          </w:rPr>
          <w:fldChar w:fldCharType="separate"/>
        </w:r>
        <w:r w:rsidR="00FB3E93">
          <w:rPr>
            <w:noProof/>
            <w:webHidden/>
          </w:rPr>
          <w:t>146</w:t>
        </w:r>
        <w:r w:rsidR="008204BD">
          <w:rPr>
            <w:noProof/>
            <w:webHidden/>
          </w:rPr>
          <w:fldChar w:fldCharType="end"/>
        </w:r>
      </w:hyperlink>
    </w:p>
    <w:p w14:paraId="6284F45A" w14:textId="1FC0CE11" w:rsidR="008204BD" w:rsidRDefault="0049362F">
      <w:pPr>
        <w:pStyle w:val="TableofFigures"/>
        <w:tabs>
          <w:tab w:val="right" w:leader="dot" w:pos="9016"/>
        </w:tabs>
        <w:rPr>
          <w:rFonts w:asciiTheme="minorHAnsi" w:eastAsiaTheme="minorEastAsia" w:hAnsiTheme="minorHAnsi"/>
          <w:noProof/>
          <w:lang w:eastAsia="it-IT"/>
        </w:rPr>
      </w:pPr>
      <w:hyperlink w:anchor="_Toc64611042" w:history="1">
        <w:r w:rsidR="008204BD" w:rsidRPr="007E31A3">
          <w:rPr>
            <w:rStyle w:val="Hyperlink"/>
            <w:noProof/>
            <w:lang w:val="en-GB"/>
          </w:rPr>
          <w:t>Figure 94 - Municipal waste (generated per capita) by treatment in Romania and Hungary, 2010-2017</w:t>
        </w:r>
        <w:r w:rsidR="008204BD">
          <w:rPr>
            <w:noProof/>
            <w:webHidden/>
          </w:rPr>
          <w:tab/>
        </w:r>
        <w:r w:rsidR="008204BD">
          <w:rPr>
            <w:noProof/>
            <w:webHidden/>
          </w:rPr>
          <w:fldChar w:fldCharType="begin"/>
        </w:r>
        <w:r w:rsidR="008204BD">
          <w:rPr>
            <w:noProof/>
            <w:webHidden/>
          </w:rPr>
          <w:instrText xml:space="preserve"> PAGEREF _Toc64611042 \h </w:instrText>
        </w:r>
        <w:r w:rsidR="008204BD">
          <w:rPr>
            <w:noProof/>
            <w:webHidden/>
          </w:rPr>
        </w:r>
        <w:r w:rsidR="008204BD">
          <w:rPr>
            <w:noProof/>
            <w:webHidden/>
          </w:rPr>
          <w:fldChar w:fldCharType="separate"/>
        </w:r>
        <w:r w:rsidR="00FB3E93">
          <w:rPr>
            <w:noProof/>
            <w:webHidden/>
          </w:rPr>
          <w:t>147</w:t>
        </w:r>
        <w:r w:rsidR="008204BD">
          <w:rPr>
            <w:noProof/>
            <w:webHidden/>
          </w:rPr>
          <w:fldChar w:fldCharType="end"/>
        </w:r>
      </w:hyperlink>
    </w:p>
    <w:p w14:paraId="219F0E18" w14:textId="2D3C256D" w:rsidR="008204BD" w:rsidRDefault="0049362F">
      <w:pPr>
        <w:pStyle w:val="TableofFigures"/>
        <w:tabs>
          <w:tab w:val="right" w:leader="dot" w:pos="9016"/>
        </w:tabs>
        <w:rPr>
          <w:rFonts w:asciiTheme="minorHAnsi" w:eastAsiaTheme="minorEastAsia" w:hAnsiTheme="minorHAnsi"/>
          <w:noProof/>
          <w:lang w:eastAsia="it-IT"/>
        </w:rPr>
      </w:pPr>
      <w:hyperlink w:anchor="_Toc64611043" w:history="1">
        <w:r w:rsidR="008204BD" w:rsidRPr="007E31A3">
          <w:rPr>
            <w:rStyle w:val="Hyperlink"/>
            <w:noProof/>
            <w:lang w:val="en-GB"/>
          </w:rPr>
          <w:t>Figure 95 - Eco-innovation index (2017) for Romania and Hungary</w:t>
        </w:r>
        <w:r w:rsidR="008204BD">
          <w:rPr>
            <w:noProof/>
            <w:webHidden/>
          </w:rPr>
          <w:tab/>
        </w:r>
        <w:r w:rsidR="008204BD">
          <w:rPr>
            <w:noProof/>
            <w:webHidden/>
          </w:rPr>
          <w:fldChar w:fldCharType="begin"/>
        </w:r>
        <w:r w:rsidR="008204BD">
          <w:rPr>
            <w:noProof/>
            <w:webHidden/>
          </w:rPr>
          <w:instrText xml:space="preserve"> PAGEREF _Toc64611043 \h </w:instrText>
        </w:r>
        <w:r w:rsidR="008204BD">
          <w:rPr>
            <w:noProof/>
            <w:webHidden/>
          </w:rPr>
        </w:r>
        <w:r w:rsidR="008204BD">
          <w:rPr>
            <w:noProof/>
            <w:webHidden/>
          </w:rPr>
          <w:fldChar w:fldCharType="separate"/>
        </w:r>
        <w:r w:rsidR="00FB3E93">
          <w:rPr>
            <w:noProof/>
            <w:webHidden/>
          </w:rPr>
          <w:t>147</w:t>
        </w:r>
        <w:r w:rsidR="008204BD">
          <w:rPr>
            <w:noProof/>
            <w:webHidden/>
          </w:rPr>
          <w:fldChar w:fldCharType="end"/>
        </w:r>
      </w:hyperlink>
    </w:p>
    <w:p w14:paraId="6DEC69AF" w14:textId="4D0B5F16" w:rsidR="008204BD" w:rsidRDefault="0049362F">
      <w:pPr>
        <w:pStyle w:val="TableofFigures"/>
        <w:tabs>
          <w:tab w:val="right" w:leader="dot" w:pos="9016"/>
        </w:tabs>
        <w:rPr>
          <w:rFonts w:asciiTheme="minorHAnsi" w:eastAsiaTheme="minorEastAsia" w:hAnsiTheme="minorHAnsi"/>
          <w:noProof/>
          <w:lang w:eastAsia="it-IT"/>
        </w:rPr>
      </w:pPr>
      <w:hyperlink r:id="rId28" w:anchor="_Toc64611044" w:history="1">
        <w:r w:rsidR="008204BD" w:rsidRPr="007E31A3">
          <w:rPr>
            <w:rStyle w:val="Hyperlink"/>
            <w:noProof/>
            <w:lang w:val="en-GB"/>
          </w:rPr>
          <w:t>Figure 96 - Solar Energy, installed capacity in 2012, MW/km2</w:t>
        </w:r>
        <w:r w:rsidR="008204BD">
          <w:rPr>
            <w:noProof/>
            <w:webHidden/>
          </w:rPr>
          <w:tab/>
        </w:r>
        <w:r w:rsidR="008204BD">
          <w:rPr>
            <w:noProof/>
            <w:webHidden/>
          </w:rPr>
          <w:fldChar w:fldCharType="begin"/>
        </w:r>
        <w:r w:rsidR="008204BD">
          <w:rPr>
            <w:noProof/>
            <w:webHidden/>
          </w:rPr>
          <w:instrText xml:space="preserve"> PAGEREF _Toc64611044 \h </w:instrText>
        </w:r>
        <w:r w:rsidR="008204BD">
          <w:rPr>
            <w:noProof/>
            <w:webHidden/>
          </w:rPr>
        </w:r>
        <w:r w:rsidR="008204BD">
          <w:rPr>
            <w:noProof/>
            <w:webHidden/>
          </w:rPr>
          <w:fldChar w:fldCharType="separate"/>
        </w:r>
        <w:r w:rsidR="00FB3E93">
          <w:rPr>
            <w:noProof/>
            <w:webHidden/>
          </w:rPr>
          <w:t>148</w:t>
        </w:r>
        <w:r w:rsidR="008204BD">
          <w:rPr>
            <w:noProof/>
            <w:webHidden/>
          </w:rPr>
          <w:fldChar w:fldCharType="end"/>
        </w:r>
      </w:hyperlink>
    </w:p>
    <w:p w14:paraId="219F5CE8" w14:textId="1C78A3F2" w:rsidR="008204BD" w:rsidRDefault="0049362F">
      <w:pPr>
        <w:pStyle w:val="TableofFigures"/>
        <w:tabs>
          <w:tab w:val="right" w:leader="dot" w:pos="9016"/>
        </w:tabs>
        <w:rPr>
          <w:rFonts w:asciiTheme="minorHAnsi" w:eastAsiaTheme="minorEastAsia" w:hAnsiTheme="minorHAnsi"/>
          <w:noProof/>
          <w:lang w:eastAsia="it-IT"/>
        </w:rPr>
      </w:pPr>
      <w:hyperlink w:anchor="_Toc64611045" w:history="1">
        <w:r w:rsidR="008204BD" w:rsidRPr="007E31A3">
          <w:rPr>
            <w:rStyle w:val="Hyperlink"/>
            <w:noProof/>
            <w:lang w:val="en-GB"/>
          </w:rPr>
          <w:t>Figure 97 - Large hydro power exploitation rate 2012</w:t>
        </w:r>
        <w:r w:rsidR="008204BD">
          <w:rPr>
            <w:noProof/>
            <w:webHidden/>
          </w:rPr>
          <w:tab/>
        </w:r>
        <w:r w:rsidR="008204BD">
          <w:rPr>
            <w:noProof/>
            <w:webHidden/>
          </w:rPr>
          <w:fldChar w:fldCharType="begin"/>
        </w:r>
        <w:r w:rsidR="008204BD">
          <w:rPr>
            <w:noProof/>
            <w:webHidden/>
          </w:rPr>
          <w:instrText xml:space="preserve"> PAGEREF _Toc64611045 \h </w:instrText>
        </w:r>
        <w:r w:rsidR="008204BD">
          <w:rPr>
            <w:noProof/>
            <w:webHidden/>
          </w:rPr>
        </w:r>
        <w:r w:rsidR="008204BD">
          <w:rPr>
            <w:noProof/>
            <w:webHidden/>
          </w:rPr>
          <w:fldChar w:fldCharType="separate"/>
        </w:r>
        <w:r w:rsidR="00FB3E93">
          <w:rPr>
            <w:noProof/>
            <w:webHidden/>
          </w:rPr>
          <w:t>148</w:t>
        </w:r>
        <w:r w:rsidR="008204BD">
          <w:rPr>
            <w:noProof/>
            <w:webHidden/>
          </w:rPr>
          <w:fldChar w:fldCharType="end"/>
        </w:r>
      </w:hyperlink>
    </w:p>
    <w:p w14:paraId="79BBED58" w14:textId="4B6D23AB" w:rsidR="008204BD" w:rsidRDefault="0049362F">
      <w:pPr>
        <w:pStyle w:val="TableofFigures"/>
        <w:tabs>
          <w:tab w:val="right" w:leader="dot" w:pos="9016"/>
        </w:tabs>
        <w:rPr>
          <w:rFonts w:asciiTheme="minorHAnsi" w:eastAsiaTheme="minorEastAsia" w:hAnsiTheme="minorHAnsi"/>
          <w:noProof/>
          <w:lang w:eastAsia="it-IT"/>
        </w:rPr>
      </w:pPr>
      <w:hyperlink w:anchor="_Toc64611046" w:history="1">
        <w:r w:rsidR="008204BD" w:rsidRPr="007E31A3">
          <w:rPr>
            <w:rStyle w:val="Hyperlink"/>
            <w:noProof/>
            <w:lang w:val="en-GB"/>
          </w:rPr>
          <w:t>Figure 98 - Model temperature at 2.000 m depth</w:t>
        </w:r>
        <w:r w:rsidR="008204BD">
          <w:rPr>
            <w:noProof/>
            <w:webHidden/>
          </w:rPr>
          <w:tab/>
        </w:r>
        <w:r w:rsidR="008204BD">
          <w:rPr>
            <w:noProof/>
            <w:webHidden/>
          </w:rPr>
          <w:fldChar w:fldCharType="begin"/>
        </w:r>
        <w:r w:rsidR="008204BD">
          <w:rPr>
            <w:noProof/>
            <w:webHidden/>
          </w:rPr>
          <w:instrText xml:space="preserve"> PAGEREF _Toc64611046 \h </w:instrText>
        </w:r>
        <w:r w:rsidR="008204BD">
          <w:rPr>
            <w:noProof/>
            <w:webHidden/>
          </w:rPr>
        </w:r>
        <w:r w:rsidR="008204BD">
          <w:rPr>
            <w:noProof/>
            <w:webHidden/>
          </w:rPr>
          <w:fldChar w:fldCharType="separate"/>
        </w:r>
        <w:r w:rsidR="00FB3E93">
          <w:rPr>
            <w:noProof/>
            <w:webHidden/>
          </w:rPr>
          <w:t>149</w:t>
        </w:r>
        <w:r w:rsidR="008204BD">
          <w:rPr>
            <w:noProof/>
            <w:webHidden/>
          </w:rPr>
          <w:fldChar w:fldCharType="end"/>
        </w:r>
      </w:hyperlink>
    </w:p>
    <w:p w14:paraId="398D4A98" w14:textId="176C963F" w:rsidR="008204BD" w:rsidRDefault="0049362F">
      <w:pPr>
        <w:pStyle w:val="TableofFigures"/>
        <w:tabs>
          <w:tab w:val="right" w:leader="dot" w:pos="9016"/>
        </w:tabs>
        <w:rPr>
          <w:rFonts w:asciiTheme="minorHAnsi" w:eastAsiaTheme="minorEastAsia" w:hAnsiTheme="minorHAnsi"/>
          <w:noProof/>
          <w:lang w:eastAsia="it-IT"/>
        </w:rPr>
      </w:pPr>
      <w:hyperlink w:anchor="_Toc64611047" w:history="1">
        <w:r w:rsidR="008204BD" w:rsidRPr="007E31A3">
          <w:rPr>
            <w:rStyle w:val="Hyperlink"/>
            <w:noProof/>
            <w:lang w:val="en-GB"/>
          </w:rPr>
          <w:t>Figure 99 - Total potential of geothermal district heating in ktoe thermal</w:t>
        </w:r>
        <w:r w:rsidR="008204BD">
          <w:rPr>
            <w:noProof/>
            <w:webHidden/>
          </w:rPr>
          <w:tab/>
        </w:r>
        <w:r w:rsidR="008204BD">
          <w:rPr>
            <w:noProof/>
            <w:webHidden/>
          </w:rPr>
          <w:fldChar w:fldCharType="begin"/>
        </w:r>
        <w:r w:rsidR="008204BD">
          <w:rPr>
            <w:noProof/>
            <w:webHidden/>
          </w:rPr>
          <w:instrText xml:space="preserve"> PAGEREF _Toc64611047 \h </w:instrText>
        </w:r>
        <w:r w:rsidR="008204BD">
          <w:rPr>
            <w:noProof/>
            <w:webHidden/>
          </w:rPr>
        </w:r>
        <w:r w:rsidR="008204BD">
          <w:rPr>
            <w:noProof/>
            <w:webHidden/>
          </w:rPr>
          <w:fldChar w:fldCharType="separate"/>
        </w:r>
        <w:r w:rsidR="00FB3E93">
          <w:rPr>
            <w:noProof/>
            <w:webHidden/>
          </w:rPr>
          <w:t>150</w:t>
        </w:r>
        <w:r w:rsidR="008204BD">
          <w:rPr>
            <w:noProof/>
            <w:webHidden/>
          </w:rPr>
          <w:fldChar w:fldCharType="end"/>
        </w:r>
      </w:hyperlink>
    </w:p>
    <w:p w14:paraId="7C738C58" w14:textId="386BAE32" w:rsidR="008204BD" w:rsidRDefault="0049362F">
      <w:pPr>
        <w:pStyle w:val="TableofFigures"/>
        <w:tabs>
          <w:tab w:val="right" w:leader="dot" w:pos="9016"/>
        </w:tabs>
        <w:rPr>
          <w:rFonts w:asciiTheme="minorHAnsi" w:eastAsiaTheme="minorEastAsia" w:hAnsiTheme="minorHAnsi"/>
          <w:noProof/>
          <w:lang w:eastAsia="it-IT"/>
        </w:rPr>
      </w:pPr>
      <w:hyperlink w:anchor="_Toc64611048" w:history="1">
        <w:r w:rsidR="008204BD" w:rsidRPr="007E31A3">
          <w:rPr>
            <w:rStyle w:val="Hyperlink"/>
            <w:noProof/>
            <w:lang w:val="en-GB"/>
          </w:rPr>
          <w:t>Figure 100 - Primary energy potential of biodegradable wastes and biogas</w:t>
        </w:r>
        <w:r w:rsidR="008204BD">
          <w:rPr>
            <w:noProof/>
            <w:webHidden/>
          </w:rPr>
          <w:tab/>
        </w:r>
        <w:r w:rsidR="008204BD">
          <w:rPr>
            <w:noProof/>
            <w:webHidden/>
          </w:rPr>
          <w:fldChar w:fldCharType="begin"/>
        </w:r>
        <w:r w:rsidR="008204BD">
          <w:rPr>
            <w:noProof/>
            <w:webHidden/>
          </w:rPr>
          <w:instrText xml:space="preserve"> PAGEREF _Toc64611048 \h </w:instrText>
        </w:r>
        <w:r w:rsidR="008204BD">
          <w:rPr>
            <w:noProof/>
            <w:webHidden/>
          </w:rPr>
        </w:r>
        <w:r w:rsidR="008204BD">
          <w:rPr>
            <w:noProof/>
            <w:webHidden/>
          </w:rPr>
          <w:fldChar w:fldCharType="separate"/>
        </w:r>
        <w:r w:rsidR="00FB3E93">
          <w:rPr>
            <w:noProof/>
            <w:webHidden/>
          </w:rPr>
          <w:t>151</w:t>
        </w:r>
        <w:r w:rsidR="008204BD">
          <w:rPr>
            <w:noProof/>
            <w:webHidden/>
          </w:rPr>
          <w:fldChar w:fldCharType="end"/>
        </w:r>
      </w:hyperlink>
    </w:p>
    <w:p w14:paraId="77DC1815" w14:textId="1101B663" w:rsidR="008204BD" w:rsidRDefault="0049362F">
      <w:pPr>
        <w:pStyle w:val="TableofFigures"/>
        <w:tabs>
          <w:tab w:val="right" w:leader="dot" w:pos="9016"/>
        </w:tabs>
        <w:rPr>
          <w:rFonts w:asciiTheme="minorHAnsi" w:eastAsiaTheme="minorEastAsia" w:hAnsiTheme="minorHAnsi"/>
          <w:noProof/>
          <w:lang w:eastAsia="it-IT"/>
        </w:rPr>
      </w:pPr>
      <w:hyperlink w:anchor="_Toc64611049" w:history="1">
        <w:r w:rsidR="008204BD" w:rsidRPr="007E31A3">
          <w:rPr>
            <w:rStyle w:val="Hyperlink"/>
            <w:noProof/>
            <w:lang w:val="en-GB"/>
          </w:rPr>
          <w:t>Figure 101 - Wind onshore energy potential, MWh per km2</w:t>
        </w:r>
        <w:r w:rsidR="008204BD">
          <w:rPr>
            <w:noProof/>
            <w:webHidden/>
          </w:rPr>
          <w:tab/>
        </w:r>
        <w:r w:rsidR="008204BD">
          <w:rPr>
            <w:noProof/>
            <w:webHidden/>
          </w:rPr>
          <w:fldChar w:fldCharType="begin"/>
        </w:r>
        <w:r w:rsidR="008204BD">
          <w:rPr>
            <w:noProof/>
            <w:webHidden/>
          </w:rPr>
          <w:instrText xml:space="preserve"> PAGEREF _Toc64611049 \h </w:instrText>
        </w:r>
        <w:r w:rsidR="008204BD">
          <w:rPr>
            <w:noProof/>
            <w:webHidden/>
          </w:rPr>
        </w:r>
        <w:r w:rsidR="008204BD">
          <w:rPr>
            <w:noProof/>
            <w:webHidden/>
          </w:rPr>
          <w:fldChar w:fldCharType="separate"/>
        </w:r>
        <w:r w:rsidR="00FB3E93">
          <w:rPr>
            <w:noProof/>
            <w:webHidden/>
          </w:rPr>
          <w:t>151</w:t>
        </w:r>
        <w:r w:rsidR="008204BD">
          <w:rPr>
            <w:noProof/>
            <w:webHidden/>
          </w:rPr>
          <w:fldChar w:fldCharType="end"/>
        </w:r>
      </w:hyperlink>
    </w:p>
    <w:p w14:paraId="5194D13E" w14:textId="75100A5B" w:rsidR="008204BD" w:rsidRDefault="0049362F">
      <w:pPr>
        <w:pStyle w:val="TableofFigures"/>
        <w:tabs>
          <w:tab w:val="right" w:leader="dot" w:pos="9016"/>
        </w:tabs>
        <w:rPr>
          <w:rFonts w:asciiTheme="minorHAnsi" w:eastAsiaTheme="minorEastAsia" w:hAnsiTheme="minorHAnsi"/>
          <w:noProof/>
          <w:lang w:eastAsia="it-IT"/>
        </w:rPr>
      </w:pPr>
      <w:hyperlink w:anchor="_Toc64611050" w:history="1">
        <w:r w:rsidR="008204BD" w:rsidRPr="007E31A3">
          <w:rPr>
            <w:rStyle w:val="Hyperlink"/>
            <w:noProof/>
            <w:lang w:val="en-GB"/>
          </w:rPr>
          <w:t>Figure 102 - Solar energy potential, MWh/km2</w:t>
        </w:r>
        <w:r w:rsidR="008204BD">
          <w:rPr>
            <w:noProof/>
            <w:webHidden/>
          </w:rPr>
          <w:tab/>
        </w:r>
        <w:r w:rsidR="008204BD">
          <w:rPr>
            <w:noProof/>
            <w:webHidden/>
          </w:rPr>
          <w:fldChar w:fldCharType="begin"/>
        </w:r>
        <w:r w:rsidR="008204BD">
          <w:rPr>
            <w:noProof/>
            <w:webHidden/>
          </w:rPr>
          <w:instrText xml:space="preserve"> PAGEREF _Toc64611050 \h </w:instrText>
        </w:r>
        <w:r w:rsidR="008204BD">
          <w:rPr>
            <w:noProof/>
            <w:webHidden/>
          </w:rPr>
        </w:r>
        <w:r w:rsidR="008204BD">
          <w:rPr>
            <w:noProof/>
            <w:webHidden/>
          </w:rPr>
          <w:fldChar w:fldCharType="separate"/>
        </w:r>
        <w:r w:rsidR="00FB3E93">
          <w:rPr>
            <w:noProof/>
            <w:webHidden/>
          </w:rPr>
          <w:t>152</w:t>
        </w:r>
        <w:r w:rsidR="008204BD">
          <w:rPr>
            <w:noProof/>
            <w:webHidden/>
          </w:rPr>
          <w:fldChar w:fldCharType="end"/>
        </w:r>
      </w:hyperlink>
    </w:p>
    <w:p w14:paraId="552C1BDA" w14:textId="1AC29D33" w:rsidR="008204BD" w:rsidRDefault="0049362F">
      <w:pPr>
        <w:pStyle w:val="TableofFigures"/>
        <w:tabs>
          <w:tab w:val="right" w:leader="dot" w:pos="9016"/>
        </w:tabs>
        <w:rPr>
          <w:rFonts w:asciiTheme="minorHAnsi" w:eastAsiaTheme="minorEastAsia" w:hAnsiTheme="minorHAnsi"/>
          <w:noProof/>
          <w:lang w:eastAsia="it-IT"/>
        </w:rPr>
      </w:pPr>
      <w:hyperlink w:anchor="_Toc64611051" w:history="1">
        <w:r w:rsidR="008204BD" w:rsidRPr="007E31A3">
          <w:rPr>
            <w:rStyle w:val="Hyperlink"/>
            <w:noProof/>
            <w:lang w:val="en-GB"/>
          </w:rPr>
          <w:t>Figure 103 - Photovoltaic potential of the cooperation PA</w:t>
        </w:r>
        <w:r w:rsidR="008204BD">
          <w:rPr>
            <w:noProof/>
            <w:webHidden/>
          </w:rPr>
          <w:tab/>
        </w:r>
        <w:r w:rsidR="008204BD">
          <w:rPr>
            <w:noProof/>
            <w:webHidden/>
          </w:rPr>
          <w:fldChar w:fldCharType="begin"/>
        </w:r>
        <w:r w:rsidR="008204BD">
          <w:rPr>
            <w:noProof/>
            <w:webHidden/>
          </w:rPr>
          <w:instrText xml:space="preserve"> PAGEREF _Toc64611051 \h </w:instrText>
        </w:r>
        <w:r w:rsidR="008204BD">
          <w:rPr>
            <w:noProof/>
            <w:webHidden/>
          </w:rPr>
        </w:r>
        <w:r w:rsidR="008204BD">
          <w:rPr>
            <w:noProof/>
            <w:webHidden/>
          </w:rPr>
          <w:fldChar w:fldCharType="separate"/>
        </w:r>
        <w:r w:rsidR="00FB3E93">
          <w:rPr>
            <w:noProof/>
            <w:webHidden/>
          </w:rPr>
          <w:t>152</w:t>
        </w:r>
        <w:r w:rsidR="008204BD">
          <w:rPr>
            <w:noProof/>
            <w:webHidden/>
          </w:rPr>
          <w:fldChar w:fldCharType="end"/>
        </w:r>
      </w:hyperlink>
    </w:p>
    <w:p w14:paraId="18355C5B" w14:textId="4AF7CC5F" w:rsidR="008204BD" w:rsidRDefault="0049362F">
      <w:pPr>
        <w:pStyle w:val="TableofFigures"/>
        <w:tabs>
          <w:tab w:val="right" w:leader="dot" w:pos="9016"/>
        </w:tabs>
        <w:rPr>
          <w:rFonts w:asciiTheme="minorHAnsi" w:eastAsiaTheme="minorEastAsia" w:hAnsiTheme="minorHAnsi"/>
          <w:noProof/>
          <w:lang w:eastAsia="it-IT"/>
        </w:rPr>
      </w:pPr>
      <w:hyperlink w:anchor="_Toc64611052" w:history="1">
        <w:r w:rsidR="008204BD" w:rsidRPr="007E31A3">
          <w:rPr>
            <w:rStyle w:val="Hyperlink"/>
            <w:noProof/>
            <w:lang w:val="en-GB"/>
          </w:rPr>
          <w:t>Figure 104 - Large hydropower, potential for electricity generation (GWh, 2017)</w:t>
        </w:r>
        <w:r w:rsidR="008204BD">
          <w:rPr>
            <w:noProof/>
            <w:webHidden/>
          </w:rPr>
          <w:tab/>
        </w:r>
        <w:r w:rsidR="008204BD">
          <w:rPr>
            <w:noProof/>
            <w:webHidden/>
          </w:rPr>
          <w:fldChar w:fldCharType="begin"/>
        </w:r>
        <w:r w:rsidR="008204BD">
          <w:rPr>
            <w:noProof/>
            <w:webHidden/>
          </w:rPr>
          <w:instrText xml:space="preserve"> PAGEREF _Toc64611052 \h </w:instrText>
        </w:r>
        <w:r w:rsidR="008204BD">
          <w:rPr>
            <w:noProof/>
            <w:webHidden/>
          </w:rPr>
        </w:r>
        <w:r w:rsidR="008204BD">
          <w:rPr>
            <w:noProof/>
            <w:webHidden/>
          </w:rPr>
          <w:fldChar w:fldCharType="separate"/>
        </w:r>
        <w:r w:rsidR="00FB3E93">
          <w:rPr>
            <w:noProof/>
            <w:webHidden/>
          </w:rPr>
          <w:t>153</w:t>
        </w:r>
        <w:r w:rsidR="008204BD">
          <w:rPr>
            <w:noProof/>
            <w:webHidden/>
          </w:rPr>
          <w:fldChar w:fldCharType="end"/>
        </w:r>
      </w:hyperlink>
    </w:p>
    <w:p w14:paraId="5224C096" w14:textId="7A2CE634" w:rsidR="008204BD" w:rsidRDefault="0049362F">
      <w:pPr>
        <w:pStyle w:val="TableofFigures"/>
        <w:tabs>
          <w:tab w:val="right" w:leader="dot" w:pos="9016"/>
        </w:tabs>
        <w:rPr>
          <w:rFonts w:asciiTheme="minorHAnsi" w:eastAsiaTheme="minorEastAsia" w:hAnsiTheme="minorHAnsi"/>
          <w:noProof/>
          <w:lang w:eastAsia="it-IT"/>
        </w:rPr>
      </w:pPr>
      <w:hyperlink w:anchor="_Toc64611053" w:history="1">
        <w:r w:rsidR="008204BD" w:rsidRPr="007E31A3">
          <w:rPr>
            <w:rStyle w:val="Hyperlink"/>
            <w:noProof/>
            <w:lang w:val="en-GB"/>
          </w:rPr>
          <w:t>Figure 105 - Distribution of Natura 2000 and CDDA sites in the PA</w:t>
        </w:r>
        <w:r w:rsidR="008204BD">
          <w:rPr>
            <w:noProof/>
            <w:webHidden/>
          </w:rPr>
          <w:tab/>
        </w:r>
        <w:r w:rsidR="008204BD">
          <w:rPr>
            <w:noProof/>
            <w:webHidden/>
          </w:rPr>
          <w:fldChar w:fldCharType="begin"/>
        </w:r>
        <w:r w:rsidR="008204BD">
          <w:rPr>
            <w:noProof/>
            <w:webHidden/>
          </w:rPr>
          <w:instrText xml:space="preserve"> PAGEREF _Toc64611053 \h </w:instrText>
        </w:r>
        <w:r w:rsidR="008204BD">
          <w:rPr>
            <w:noProof/>
            <w:webHidden/>
          </w:rPr>
        </w:r>
        <w:r w:rsidR="008204BD">
          <w:rPr>
            <w:noProof/>
            <w:webHidden/>
          </w:rPr>
          <w:fldChar w:fldCharType="separate"/>
        </w:r>
        <w:r w:rsidR="00FB3E93">
          <w:rPr>
            <w:noProof/>
            <w:webHidden/>
          </w:rPr>
          <w:t>156</w:t>
        </w:r>
        <w:r w:rsidR="008204BD">
          <w:rPr>
            <w:noProof/>
            <w:webHidden/>
          </w:rPr>
          <w:fldChar w:fldCharType="end"/>
        </w:r>
      </w:hyperlink>
    </w:p>
    <w:p w14:paraId="66FD16CD" w14:textId="31D501D0" w:rsidR="008204BD" w:rsidRDefault="0049362F">
      <w:pPr>
        <w:pStyle w:val="TableofFigures"/>
        <w:tabs>
          <w:tab w:val="right" w:leader="dot" w:pos="9016"/>
        </w:tabs>
        <w:rPr>
          <w:rFonts w:asciiTheme="minorHAnsi" w:eastAsiaTheme="minorEastAsia" w:hAnsiTheme="minorHAnsi"/>
          <w:noProof/>
          <w:lang w:eastAsia="it-IT"/>
        </w:rPr>
      </w:pPr>
      <w:hyperlink w:anchor="_Toc64611054" w:history="1">
        <w:r w:rsidR="008204BD" w:rsidRPr="007E31A3">
          <w:rPr>
            <w:rStyle w:val="Hyperlink"/>
            <w:noProof/>
            <w:lang w:val="en-GB"/>
          </w:rPr>
          <w:t>Figure 106 - Potential of soils to serve as biodiversity pool (2016)</w:t>
        </w:r>
        <w:r w:rsidR="008204BD">
          <w:rPr>
            <w:noProof/>
            <w:webHidden/>
          </w:rPr>
          <w:tab/>
        </w:r>
        <w:r w:rsidR="008204BD">
          <w:rPr>
            <w:noProof/>
            <w:webHidden/>
          </w:rPr>
          <w:fldChar w:fldCharType="begin"/>
        </w:r>
        <w:r w:rsidR="008204BD">
          <w:rPr>
            <w:noProof/>
            <w:webHidden/>
          </w:rPr>
          <w:instrText xml:space="preserve"> PAGEREF _Toc64611054 \h </w:instrText>
        </w:r>
        <w:r w:rsidR="008204BD">
          <w:rPr>
            <w:noProof/>
            <w:webHidden/>
          </w:rPr>
        </w:r>
        <w:r w:rsidR="008204BD">
          <w:rPr>
            <w:noProof/>
            <w:webHidden/>
          </w:rPr>
          <w:fldChar w:fldCharType="separate"/>
        </w:r>
        <w:r w:rsidR="00FB3E93">
          <w:rPr>
            <w:noProof/>
            <w:webHidden/>
          </w:rPr>
          <w:t>156</w:t>
        </w:r>
        <w:r w:rsidR="008204BD">
          <w:rPr>
            <w:noProof/>
            <w:webHidden/>
          </w:rPr>
          <w:fldChar w:fldCharType="end"/>
        </w:r>
      </w:hyperlink>
    </w:p>
    <w:p w14:paraId="1660AE49" w14:textId="22C7871F" w:rsidR="008204BD" w:rsidRDefault="0049362F">
      <w:pPr>
        <w:pStyle w:val="TableofFigures"/>
        <w:tabs>
          <w:tab w:val="right" w:leader="dot" w:pos="9016"/>
        </w:tabs>
        <w:rPr>
          <w:rFonts w:asciiTheme="minorHAnsi" w:eastAsiaTheme="minorEastAsia" w:hAnsiTheme="minorHAnsi"/>
          <w:noProof/>
          <w:lang w:eastAsia="it-IT"/>
        </w:rPr>
      </w:pPr>
      <w:hyperlink w:anchor="_Toc64611055" w:history="1">
        <w:r w:rsidR="008204BD" w:rsidRPr="007E31A3">
          <w:rPr>
            <w:rStyle w:val="Hyperlink"/>
            <w:noProof/>
            <w:lang w:val="en-GB"/>
          </w:rPr>
          <w:t>Figure 107 – Estimated spatial distribution of forest biomass availability</w:t>
        </w:r>
        <w:r w:rsidR="008204BD">
          <w:rPr>
            <w:noProof/>
            <w:webHidden/>
          </w:rPr>
          <w:tab/>
        </w:r>
        <w:r w:rsidR="008204BD">
          <w:rPr>
            <w:noProof/>
            <w:webHidden/>
          </w:rPr>
          <w:fldChar w:fldCharType="begin"/>
        </w:r>
        <w:r w:rsidR="008204BD">
          <w:rPr>
            <w:noProof/>
            <w:webHidden/>
          </w:rPr>
          <w:instrText xml:space="preserve"> PAGEREF _Toc64611055 \h </w:instrText>
        </w:r>
        <w:r w:rsidR="008204BD">
          <w:rPr>
            <w:noProof/>
            <w:webHidden/>
          </w:rPr>
        </w:r>
        <w:r w:rsidR="008204BD">
          <w:rPr>
            <w:noProof/>
            <w:webHidden/>
          </w:rPr>
          <w:fldChar w:fldCharType="separate"/>
        </w:r>
        <w:r w:rsidR="00FB3E93">
          <w:rPr>
            <w:noProof/>
            <w:webHidden/>
          </w:rPr>
          <w:t>157</w:t>
        </w:r>
        <w:r w:rsidR="008204BD">
          <w:rPr>
            <w:noProof/>
            <w:webHidden/>
          </w:rPr>
          <w:fldChar w:fldCharType="end"/>
        </w:r>
      </w:hyperlink>
    </w:p>
    <w:p w14:paraId="160AEB02" w14:textId="59BA7CC1" w:rsidR="008204BD" w:rsidRDefault="0049362F">
      <w:pPr>
        <w:pStyle w:val="TableofFigures"/>
        <w:tabs>
          <w:tab w:val="right" w:leader="dot" w:pos="9016"/>
        </w:tabs>
        <w:rPr>
          <w:rFonts w:asciiTheme="minorHAnsi" w:eastAsiaTheme="minorEastAsia" w:hAnsiTheme="minorHAnsi"/>
          <w:noProof/>
          <w:lang w:eastAsia="it-IT"/>
        </w:rPr>
      </w:pPr>
      <w:hyperlink w:anchor="_Toc64611056" w:history="1">
        <w:r w:rsidR="008204BD" w:rsidRPr="007E31A3">
          <w:rPr>
            <w:rStyle w:val="Hyperlink"/>
            <w:noProof/>
            <w:lang w:val="en-GB"/>
          </w:rPr>
          <w:t>Figure 108 - Evolution of forest areas in the Hungarian counties, 2001-2019.</w:t>
        </w:r>
        <w:r w:rsidR="008204BD">
          <w:rPr>
            <w:noProof/>
            <w:webHidden/>
          </w:rPr>
          <w:tab/>
        </w:r>
        <w:r w:rsidR="008204BD">
          <w:rPr>
            <w:noProof/>
            <w:webHidden/>
          </w:rPr>
          <w:fldChar w:fldCharType="begin"/>
        </w:r>
        <w:r w:rsidR="008204BD">
          <w:rPr>
            <w:noProof/>
            <w:webHidden/>
          </w:rPr>
          <w:instrText xml:space="preserve"> PAGEREF _Toc64611056 \h </w:instrText>
        </w:r>
        <w:r w:rsidR="008204BD">
          <w:rPr>
            <w:noProof/>
            <w:webHidden/>
          </w:rPr>
        </w:r>
        <w:r w:rsidR="008204BD">
          <w:rPr>
            <w:noProof/>
            <w:webHidden/>
          </w:rPr>
          <w:fldChar w:fldCharType="separate"/>
        </w:r>
        <w:r w:rsidR="00FB3E93">
          <w:rPr>
            <w:noProof/>
            <w:webHidden/>
          </w:rPr>
          <w:t>158</w:t>
        </w:r>
        <w:r w:rsidR="008204BD">
          <w:rPr>
            <w:noProof/>
            <w:webHidden/>
          </w:rPr>
          <w:fldChar w:fldCharType="end"/>
        </w:r>
      </w:hyperlink>
    </w:p>
    <w:p w14:paraId="3BE65FF4" w14:textId="528D640F" w:rsidR="008204BD" w:rsidRDefault="0049362F">
      <w:pPr>
        <w:pStyle w:val="TableofFigures"/>
        <w:tabs>
          <w:tab w:val="right" w:leader="dot" w:pos="9016"/>
        </w:tabs>
        <w:rPr>
          <w:rFonts w:asciiTheme="minorHAnsi" w:eastAsiaTheme="minorEastAsia" w:hAnsiTheme="minorHAnsi"/>
          <w:noProof/>
          <w:lang w:eastAsia="it-IT"/>
        </w:rPr>
      </w:pPr>
      <w:hyperlink w:anchor="_Toc64611057" w:history="1">
        <w:r w:rsidR="008204BD" w:rsidRPr="007E31A3">
          <w:rPr>
            <w:rStyle w:val="Hyperlink"/>
            <w:noProof/>
            <w:lang w:val="en-GB"/>
          </w:rPr>
          <w:t>Figure 109 – Evolution of forest areas in the Romanian counties, 2001-2019</w:t>
        </w:r>
        <w:r w:rsidR="008204BD">
          <w:rPr>
            <w:noProof/>
            <w:webHidden/>
          </w:rPr>
          <w:tab/>
        </w:r>
        <w:r w:rsidR="008204BD">
          <w:rPr>
            <w:noProof/>
            <w:webHidden/>
          </w:rPr>
          <w:fldChar w:fldCharType="begin"/>
        </w:r>
        <w:r w:rsidR="008204BD">
          <w:rPr>
            <w:noProof/>
            <w:webHidden/>
          </w:rPr>
          <w:instrText xml:space="preserve"> PAGEREF _Toc64611057 \h </w:instrText>
        </w:r>
        <w:r w:rsidR="008204BD">
          <w:rPr>
            <w:noProof/>
            <w:webHidden/>
          </w:rPr>
        </w:r>
        <w:r w:rsidR="008204BD">
          <w:rPr>
            <w:noProof/>
            <w:webHidden/>
          </w:rPr>
          <w:fldChar w:fldCharType="separate"/>
        </w:r>
        <w:r w:rsidR="00FB3E93">
          <w:rPr>
            <w:noProof/>
            <w:webHidden/>
          </w:rPr>
          <w:t>159</w:t>
        </w:r>
        <w:r w:rsidR="008204BD">
          <w:rPr>
            <w:noProof/>
            <w:webHidden/>
          </w:rPr>
          <w:fldChar w:fldCharType="end"/>
        </w:r>
      </w:hyperlink>
    </w:p>
    <w:p w14:paraId="0FFBDE46" w14:textId="00D33703" w:rsidR="008204BD" w:rsidRDefault="0049362F">
      <w:pPr>
        <w:pStyle w:val="TableofFigures"/>
        <w:tabs>
          <w:tab w:val="right" w:leader="dot" w:pos="9016"/>
        </w:tabs>
        <w:rPr>
          <w:rFonts w:asciiTheme="minorHAnsi" w:eastAsiaTheme="minorEastAsia" w:hAnsiTheme="minorHAnsi"/>
          <w:noProof/>
          <w:lang w:eastAsia="it-IT"/>
        </w:rPr>
      </w:pPr>
      <w:hyperlink w:anchor="_Toc64611058" w:history="1">
        <w:r w:rsidR="008204BD" w:rsidRPr="007E31A3">
          <w:rPr>
            <w:rStyle w:val="Hyperlink"/>
            <w:noProof/>
            <w:lang w:val="en-GB"/>
          </w:rPr>
          <w:t>Figure 110 - Unmet demand for crop pollination (status and change between 2000 and 2012)</w:t>
        </w:r>
        <w:r w:rsidR="008204BD">
          <w:rPr>
            <w:noProof/>
            <w:webHidden/>
          </w:rPr>
          <w:tab/>
        </w:r>
        <w:r w:rsidR="008204BD">
          <w:rPr>
            <w:noProof/>
            <w:webHidden/>
          </w:rPr>
          <w:fldChar w:fldCharType="begin"/>
        </w:r>
        <w:r w:rsidR="008204BD">
          <w:rPr>
            <w:noProof/>
            <w:webHidden/>
          </w:rPr>
          <w:instrText xml:space="preserve"> PAGEREF _Toc64611058 \h </w:instrText>
        </w:r>
        <w:r w:rsidR="008204BD">
          <w:rPr>
            <w:noProof/>
            <w:webHidden/>
          </w:rPr>
        </w:r>
        <w:r w:rsidR="008204BD">
          <w:rPr>
            <w:noProof/>
            <w:webHidden/>
          </w:rPr>
          <w:fldChar w:fldCharType="separate"/>
        </w:r>
        <w:r w:rsidR="00FB3E93">
          <w:rPr>
            <w:noProof/>
            <w:webHidden/>
          </w:rPr>
          <w:t>160</w:t>
        </w:r>
        <w:r w:rsidR="008204BD">
          <w:rPr>
            <w:noProof/>
            <w:webHidden/>
          </w:rPr>
          <w:fldChar w:fldCharType="end"/>
        </w:r>
      </w:hyperlink>
    </w:p>
    <w:p w14:paraId="4C8AD39C" w14:textId="7EF640C1" w:rsidR="008204BD" w:rsidRDefault="0049362F">
      <w:pPr>
        <w:pStyle w:val="TableofFigures"/>
        <w:tabs>
          <w:tab w:val="right" w:leader="dot" w:pos="9016"/>
        </w:tabs>
        <w:rPr>
          <w:rFonts w:asciiTheme="minorHAnsi" w:eastAsiaTheme="minorEastAsia" w:hAnsiTheme="minorHAnsi"/>
          <w:noProof/>
          <w:lang w:eastAsia="it-IT"/>
        </w:rPr>
      </w:pPr>
      <w:hyperlink w:anchor="_Toc64611059" w:history="1">
        <w:r w:rsidR="008204BD" w:rsidRPr="007E31A3">
          <w:rPr>
            <w:rStyle w:val="Hyperlink"/>
            <w:noProof/>
            <w:lang w:val="en-GB"/>
          </w:rPr>
          <w:t>Figure 111 - Unmet demand for recreation of the current green infrastructure in the programme area</w:t>
        </w:r>
        <w:r w:rsidR="008204BD">
          <w:rPr>
            <w:noProof/>
            <w:webHidden/>
          </w:rPr>
          <w:tab/>
        </w:r>
        <w:r w:rsidR="008204BD">
          <w:rPr>
            <w:noProof/>
            <w:webHidden/>
          </w:rPr>
          <w:fldChar w:fldCharType="begin"/>
        </w:r>
        <w:r w:rsidR="008204BD">
          <w:rPr>
            <w:noProof/>
            <w:webHidden/>
          </w:rPr>
          <w:instrText xml:space="preserve"> PAGEREF _Toc64611059 \h </w:instrText>
        </w:r>
        <w:r w:rsidR="008204BD">
          <w:rPr>
            <w:noProof/>
            <w:webHidden/>
          </w:rPr>
        </w:r>
        <w:r w:rsidR="008204BD">
          <w:rPr>
            <w:noProof/>
            <w:webHidden/>
          </w:rPr>
          <w:fldChar w:fldCharType="separate"/>
        </w:r>
        <w:r w:rsidR="00FB3E93">
          <w:rPr>
            <w:noProof/>
            <w:webHidden/>
          </w:rPr>
          <w:t>160</w:t>
        </w:r>
        <w:r w:rsidR="008204BD">
          <w:rPr>
            <w:noProof/>
            <w:webHidden/>
          </w:rPr>
          <w:fldChar w:fldCharType="end"/>
        </w:r>
      </w:hyperlink>
    </w:p>
    <w:p w14:paraId="04E4D9A6" w14:textId="6D674304" w:rsidR="008204BD" w:rsidRDefault="0049362F">
      <w:pPr>
        <w:pStyle w:val="TableofFigures"/>
        <w:tabs>
          <w:tab w:val="right" w:leader="dot" w:pos="9016"/>
        </w:tabs>
        <w:rPr>
          <w:rFonts w:asciiTheme="minorHAnsi" w:eastAsiaTheme="minorEastAsia" w:hAnsiTheme="minorHAnsi"/>
          <w:noProof/>
          <w:lang w:eastAsia="it-IT"/>
        </w:rPr>
      </w:pPr>
      <w:hyperlink w:anchor="_Toc64611060" w:history="1">
        <w:r w:rsidR="008204BD" w:rsidRPr="007E31A3">
          <w:rPr>
            <w:rStyle w:val="Hyperlink"/>
            <w:noProof/>
            <w:lang w:val="en-GB"/>
          </w:rPr>
          <w:t>Figure 112 - The European Orient / East-Med and Rhine-Danube corridors crossing the programme area</w:t>
        </w:r>
        <w:r w:rsidR="008204BD">
          <w:rPr>
            <w:noProof/>
            <w:webHidden/>
          </w:rPr>
          <w:tab/>
        </w:r>
        <w:r w:rsidR="008204BD">
          <w:rPr>
            <w:noProof/>
            <w:webHidden/>
          </w:rPr>
          <w:fldChar w:fldCharType="begin"/>
        </w:r>
        <w:r w:rsidR="008204BD">
          <w:rPr>
            <w:noProof/>
            <w:webHidden/>
          </w:rPr>
          <w:instrText xml:space="preserve"> PAGEREF _Toc64611060 \h </w:instrText>
        </w:r>
        <w:r w:rsidR="008204BD">
          <w:rPr>
            <w:noProof/>
            <w:webHidden/>
          </w:rPr>
        </w:r>
        <w:r w:rsidR="008204BD">
          <w:rPr>
            <w:noProof/>
            <w:webHidden/>
          </w:rPr>
          <w:fldChar w:fldCharType="separate"/>
        </w:r>
        <w:r w:rsidR="00FB3E93">
          <w:rPr>
            <w:noProof/>
            <w:webHidden/>
          </w:rPr>
          <w:t>165</w:t>
        </w:r>
        <w:r w:rsidR="008204BD">
          <w:rPr>
            <w:noProof/>
            <w:webHidden/>
          </w:rPr>
          <w:fldChar w:fldCharType="end"/>
        </w:r>
      </w:hyperlink>
    </w:p>
    <w:p w14:paraId="5A7E5DD7" w14:textId="134E8F18" w:rsidR="008204BD" w:rsidRDefault="0049362F">
      <w:pPr>
        <w:pStyle w:val="TableofFigures"/>
        <w:tabs>
          <w:tab w:val="right" w:leader="dot" w:pos="9016"/>
        </w:tabs>
        <w:rPr>
          <w:rFonts w:asciiTheme="minorHAnsi" w:eastAsiaTheme="minorEastAsia" w:hAnsiTheme="minorHAnsi"/>
          <w:noProof/>
          <w:lang w:eastAsia="it-IT"/>
        </w:rPr>
      </w:pPr>
      <w:hyperlink w:anchor="_Toc64611061" w:history="1">
        <w:r w:rsidR="008204BD" w:rsidRPr="007E31A3">
          <w:rPr>
            <w:rStyle w:val="Hyperlink"/>
            <w:noProof/>
            <w:lang w:val="en-GB"/>
          </w:rPr>
          <w:t>Figure 113 - The TEN-T Core and Comprehensive road and rail network in the programme area</w:t>
        </w:r>
        <w:r w:rsidR="008204BD">
          <w:rPr>
            <w:noProof/>
            <w:webHidden/>
          </w:rPr>
          <w:tab/>
        </w:r>
        <w:r w:rsidR="008204BD">
          <w:rPr>
            <w:noProof/>
            <w:webHidden/>
          </w:rPr>
          <w:fldChar w:fldCharType="begin"/>
        </w:r>
        <w:r w:rsidR="008204BD">
          <w:rPr>
            <w:noProof/>
            <w:webHidden/>
          </w:rPr>
          <w:instrText xml:space="preserve"> PAGEREF _Toc64611061 \h </w:instrText>
        </w:r>
        <w:r w:rsidR="008204BD">
          <w:rPr>
            <w:noProof/>
            <w:webHidden/>
          </w:rPr>
        </w:r>
        <w:r w:rsidR="008204BD">
          <w:rPr>
            <w:noProof/>
            <w:webHidden/>
          </w:rPr>
          <w:fldChar w:fldCharType="separate"/>
        </w:r>
        <w:r w:rsidR="00FB3E93">
          <w:rPr>
            <w:noProof/>
            <w:webHidden/>
          </w:rPr>
          <w:t>166</w:t>
        </w:r>
        <w:r w:rsidR="008204BD">
          <w:rPr>
            <w:noProof/>
            <w:webHidden/>
          </w:rPr>
          <w:fldChar w:fldCharType="end"/>
        </w:r>
      </w:hyperlink>
    </w:p>
    <w:p w14:paraId="3CE2E536" w14:textId="36523E46" w:rsidR="008204BD" w:rsidRDefault="0049362F">
      <w:pPr>
        <w:pStyle w:val="TableofFigures"/>
        <w:tabs>
          <w:tab w:val="right" w:leader="dot" w:pos="9016"/>
        </w:tabs>
        <w:rPr>
          <w:rFonts w:asciiTheme="minorHAnsi" w:eastAsiaTheme="minorEastAsia" w:hAnsiTheme="minorHAnsi"/>
          <w:noProof/>
          <w:lang w:eastAsia="it-IT"/>
        </w:rPr>
      </w:pPr>
      <w:hyperlink w:anchor="_Toc64611062" w:history="1">
        <w:r w:rsidR="008204BD" w:rsidRPr="007E31A3">
          <w:rPr>
            <w:rStyle w:val="Hyperlink"/>
            <w:noProof/>
            <w:lang w:val="en-GB"/>
          </w:rPr>
          <w:t>Figure 114 - Road accidents 2009-2018</w:t>
        </w:r>
        <w:r w:rsidR="008204BD">
          <w:rPr>
            <w:noProof/>
            <w:webHidden/>
          </w:rPr>
          <w:tab/>
        </w:r>
        <w:r w:rsidR="008204BD">
          <w:rPr>
            <w:noProof/>
            <w:webHidden/>
          </w:rPr>
          <w:fldChar w:fldCharType="begin"/>
        </w:r>
        <w:r w:rsidR="008204BD">
          <w:rPr>
            <w:noProof/>
            <w:webHidden/>
          </w:rPr>
          <w:instrText xml:space="preserve"> PAGEREF _Toc64611062 \h </w:instrText>
        </w:r>
        <w:r w:rsidR="008204BD">
          <w:rPr>
            <w:noProof/>
            <w:webHidden/>
          </w:rPr>
        </w:r>
        <w:r w:rsidR="008204BD">
          <w:rPr>
            <w:noProof/>
            <w:webHidden/>
          </w:rPr>
          <w:fldChar w:fldCharType="separate"/>
        </w:r>
        <w:r w:rsidR="00FB3E93">
          <w:rPr>
            <w:noProof/>
            <w:webHidden/>
          </w:rPr>
          <w:t>169</w:t>
        </w:r>
        <w:r w:rsidR="008204BD">
          <w:rPr>
            <w:noProof/>
            <w:webHidden/>
          </w:rPr>
          <w:fldChar w:fldCharType="end"/>
        </w:r>
      </w:hyperlink>
    </w:p>
    <w:p w14:paraId="678015DE" w14:textId="094D57D2" w:rsidR="008204BD" w:rsidRDefault="0049362F">
      <w:pPr>
        <w:pStyle w:val="TableofFigures"/>
        <w:tabs>
          <w:tab w:val="right" w:leader="dot" w:pos="9016"/>
        </w:tabs>
        <w:rPr>
          <w:rFonts w:asciiTheme="minorHAnsi" w:eastAsiaTheme="minorEastAsia" w:hAnsiTheme="minorHAnsi"/>
          <w:noProof/>
          <w:lang w:eastAsia="it-IT"/>
        </w:rPr>
      </w:pPr>
      <w:hyperlink w:anchor="_Toc64611063" w:history="1">
        <w:r w:rsidR="008204BD" w:rsidRPr="007E31A3">
          <w:rPr>
            <w:rStyle w:val="Hyperlink"/>
            <w:noProof/>
            <w:lang w:val="en-GB"/>
          </w:rPr>
          <w:t>Figure 115 - The transport performance by car</w:t>
        </w:r>
        <w:r w:rsidR="008204BD">
          <w:rPr>
            <w:noProof/>
            <w:webHidden/>
          </w:rPr>
          <w:tab/>
        </w:r>
        <w:r w:rsidR="008204BD">
          <w:rPr>
            <w:noProof/>
            <w:webHidden/>
          </w:rPr>
          <w:fldChar w:fldCharType="begin"/>
        </w:r>
        <w:r w:rsidR="008204BD">
          <w:rPr>
            <w:noProof/>
            <w:webHidden/>
          </w:rPr>
          <w:instrText xml:space="preserve"> PAGEREF _Toc64611063 \h </w:instrText>
        </w:r>
        <w:r w:rsidR="008204BD">
          <w:rPr>
            <w:noProof/>
            <w:webHidden/>
          </w:rPr>
        </w:r>
        <w:r w:rsidR="008204BD">
          <w:rPr>
            <w:noProof/>
            <w:webHidden/>
          </w:rPr>
          <w:fldChar w:fldCharType="separate"/>
        </w:r>
        <w:r w:rsidR="00FB3E93">
          <w:rPr>
            <w:noProof/>
            <w:webHidden/>
          </w:rPr>
          <w:t>170</w:t>
        </w:r>
        <w:r w:rsidR="008204BD">
          <w:rPr>
            <w:noProof/>
            <w:webHidden/>
          </w:rPr>
          <w:fldChar w:fldCharType="end"/>
        </w:r>
      </w:hyperlink>
    </w:p>
    <w:p w14:paraId="37D3C9E7" w14:textId="58C2BC6B" w:rsidR="008204BD" w:rsidRDefault="0049362F">
      <w:pPr>
        <w:pStyle w:val="TableofFigures"/>
        <w:tabs>
          <w:tab w:val="right" w:leader="dot" w:pos="9016"/>
        </w:tabs>
        <w:rPr>
          <w:rFonts w:asciiTheme="minorHAnsi" w:eastAsiaTheme="minorEastAsia" w:hAnsiTheme="minorHAnsi"/>
          <w:noProof/>
          <w:lang w:eastAsia="it-IT"/>
        </w:rPr>
      </w:pPr>
      <w:hyperlink w:anchor="_Toc64611064" w:history="1">
        <w:r w:rsidR="008204BD" w:rsidRPr="007E31A3">
          <w:rPr>
            <w:rStyle w:val="Hyperlink"/>
            <w:noProof/>
            <w:lang w:val="en-GB"/>
          </w:rPr>
          <w:t>Figure 116 - Network efficiency of border regions</w:t>
        </w:r>
        <w:r w:rsidR="008204BD">
          <w:rPr>
            <w:noProof/>
            <w:webHidden/>
          </w:rPr>
          <w:tab/>
        </w:r>
        <w:r w:rsidR="008204BD">
          <w:rPr>
            <w:noProof/>
            <w:webHidden/>
          </w:rPr>
          <w:fldChar w:fldCharType="begin"/>
        </w:r>
        <w:r w:rsidR="008204BD">
          <w:rPr>
            <w:noProof/>
            <w:webHidden/>
          </w:rPr>
          <w:instrText xml:space="preserve"> PAGEREF _Toc64611064 \h </w:instrText>
        </w:r>
        <w:r w:rsidR="008204BD">
          <w:rPr>
            <w:noProof/>
            <w:webHidden/>
          </w:rPr>
        </w:r>
        <w:r w:rsidR="008204BD">
          <w:rPr>
            <w:noProof/>
            <w:webHidden/>
          </w:rPr>
          <w:fldChar w:fldCharType="separate"/>
        </w:r>
        <w:r w:rsidR="00FB3E93">
          <w:rPr>
            <w:noProof/>
            <w:webHidden/>
          </w:rPr>
          <w:t>171</w:t>
        </w:r>
        <w:r w:rsidR="008204BD">
          <w:rPr>
            <w:noProof/>
            <w:webHidden/>
          </w:rPr>
          <w:fldChar w:fldCharType="end"/>
        </w:r>
      </w:hyperlink>
    </w:p>
    <w:p w14:paraId="52F57E1B" w14:textId="77991126" w:rsidR="008204BD" w:rsidRDefault="0049362F">
      <w:pPr>
        <w:pStyle w:val="TableofFigures"/>
        <w:tabs>
          <w:tab w:val="right" w:leader="dot" w:pos="9016"/>
        </w:tabs>
        <w:rPr>
          <w:rFonts w:asciiTheme="minorHAnsi" w:eastAsiaTheme="minorEastAsia" w:hAnsiTheme="minorHAnsi"/>
          <w:noProof/>
          <w:lang w:eastAsia="it-IT"/>
        </w:rPr>
      </w:pPr>
      <w:hyperlink w:anchor="_Toc64611065" w:history="1">
        <w:r w:rsidR="008204BD" w:rsidRPr="007E31A3">
          <w:rPr>
            <w:rStyle w:val="Hyperlink"/>
            <w:noProof/>
            <w:lang w:val="en-GB"/>
          </w:rPr>
          <w:t>Figure 117 - The potential of the rail border accessibility</w:t>
        </w:r>
        <w:r w:rsidR="008204BD">
          <w:rPr>
            <w:noProof/>
            <w:webHidden/>
          </w:rPr>
          <w:tab/>
        </w:r>
        <w:r w:rsidR="008204BD">
          <w:rPr>
            <w:noProof/>
            <w:webHidden/>
          </w:rPr>
          <w:fldChar w:fldCharType="begin"/>
        </w:r>
        <w:r w:rsidR="008204BD">
          <w:rPr>
            <w:noProof/>
            <w:webHidden/>
          </w:rPr>
          <w:instrText xml:space="preserve"> PAGEREF _Toc64611065 \h </w:instrText>
        </w:r>
        <w:r w:rsidR="008204BD">
          <w:rPr>
            <w:noProof/>
            <w:webHidden/>
          </w:rPr>
        </w:r>
        <w:r w:rsidR="008204BD">
          <w:rPr>
            <w:noProof/>
            <w:webHidden/>
          </w:rPr>
          <w:fldChar w:fldCharType="separate"/>
        </w:r>
        <w:r w:rsidR="00FB3E93">
          <w:rPr>
            <w:noProof/>
            <w:webHidden/>
          </w:rPr>
          <w:t>172</w:t>
        </w:r>
        <w:r w:rsidR="008204BD">
          <w:rPr>
            <w:noProof/>
            <w:webHidden/>
          </w:rPr>
          <w:fldChar w:fldCharType="end"/>
        </w:r>
      </w:hyperlink>
    </w:p>
    <w:p w14:paraId="2EF3ADD2" w14:textId="4DBD2FF5" w:rsidR="008204BD" w:rsidRDefault="0049362F">
      <w:pPr>
        <w:pStyle w:val="TableofFigures"/>
        <w:tabs>
          <w:tab w:val="right" w:leader="dot" w:pos="9016"/>
        </w:tabs>
        <w:rPr>
          <w:rFonts w:asciiTheme="minorHAnsi" w:eastAsiaTheme="minorEastAsia" w:hAnsiTheme="minorHAnsi"/>
          <w:noProof/>
          <w:lang w:eastAsia="it-IT"/>
        </w:rPr>
      </w:pPr>
      <w:hyperlink w:anchor="_Toc64611066" w:history="1">
        <w:r w:rsidR="008204BD" w:rsidRPr="007E31A3">
          <w:rPr>
            <w:rStyle w:val="Hyperlink"/>
            <w:noProof/>
            <w:lang w:val="en-GB"/>
          </w:rPr>
          <w:t>Figure 118 - European core and comprehensive rail network by line speed.</w:t>
        </w:r>
        <w:r w:rsidR="008204BD">
          <w:rPr>
            <w:noProof/>
            <w:webHidden/>
          </w:rPr>
          <w:tab/>
        </w:r>
        <w:r w:rsidR="008204BD">
          <w:rPr>
            <w:noProof/>
            <w:webHidden/>
          </w:rPr>
          <w:fldChar w:fldCharType="begin"/>
        </w:r>
        <w:r w:rsidR="008204BD">
          <w:rPr>
            <w:noProof/>
            <w:webHidden/>
          </w:rPr>
          <w:instrText xml:space="preserve"> PAGEREF _Toc64611066 \h </w:instrText>
        </w:r>
        <w:r w:rsidR="008204BD">
          <w:rPr>
            <w:noProof/>
            <w:webHidden/>
          </w:rPr>
        </w:r>
        <w:r w:rsidR="008204BD">
          <w:rPr>
            <w:noProof/>
            <w:webHidden/>
          </w:rPr>
          <w:fldChar w:fldCharType="separate"/>
        </w:r>
        <w:r w:rsidR="00FB3E93">
          <w:rPr>
            <w:noProof/>
            <w:webHidden/>
          </w:rPr>
          <w:t>173</w:t>
        </w:r>
        <w:r w:rsidR="008204BD">
          <w:rPr>
            <w:noProof/>
            <w:webHidden/>
          </w:rPr>
          <w:fldChar w:fldCharType="end"/>
        </w:r>
      </w:hyperlink>
    </w:p>
    <w:p w14:paraId="55602D3A" w14:textId="1EF379D3" w:rsidR="008204BD" w:rsidRDefault="0049362F">
      <w:pPr>
        <w:pStyle w:val="TableofFigures"/>
        <w:tabs>
          <w:tab w:val="right" w:leader="dot" w:pos="9016"/>
        </w:tabs>
        <w:rPr>
          <w:rFonts w:asciiTheme="minorHAnsi" w:eastAsiaTheme="minorEastAsia" w:hAnsiTheme="minorHAnsi"/>
          <w:noProof/>
          <w:lang w:eastAsia="it-IT"/>
        </w:rPr>
      </w:pPr>
      <w:hyperlink w:anchor="_Toc64611067" w:history="1">
        <w:r w:rsidR="008204BD" w:rsidRPr="007E31A3">
          <w:rPr>
            <w:rStyle w:val="Hyperlink"/>
            <w:noProof/>
            <w:lang w:val="en-GB"/>
          </w:rPr>
          <w:t>Figure 119 - Road and rail border crossings at county level, by direction, 2019</w:t>
        </w:r>
        <w:r w:rsidR="008204BD">
          <w:rPr>
            <w:noProof/>
            <w:webHidden/>
          </w:rPr>
          <w:tab/>
        </w:r>
        <w:r w:rsidR="008204BD">
          <w:rPr>
            <w:noProof/>
            <w:webHidden/>
          </w:rPr>
          <w:fldChar w:fldCharType="begin"/>
        </w:r>
        <w:r w:rsidR="008204BD">
          <w:rPr>
            <w:noProof/>
            <w:webHidden/>
          </w:rPr>
          <w:instrText xml:space="preserve"> PAGEREF _Toc64611067 \h </w:instrText>
        </w:r>
        <w:r w:rsidR="008204BD">
          <w:rPr>
            <w:noProof/>
            <w:webHidden/>
          </w:rPr>
        </w:r>
        <w:r w:rsidR="008204BD">
          <w:rPr>
            <w:noProof/>
            <w:webHidden/>
          </w:rPr>
          <w:fldChar w:fldCharType="separate"/>
        </w:r>
        <w:r w:rsidR="00FB3E93">
          <w:rPr>
            <w:noProof/>
            <w:webHidden/>
          </w:rPr>
          <w:t>176</w:t>
        </w:r>
        <w:r w:rsidR="008204BD">
          <w:rPr>
            <w:noProof/>
            <w:webHidden/>
          </w:rPr>
          <w:fldChar w:fldCharType="end"/>
        </w:r>
      </w:hyperlink>
    </w:p>
    <w:p w14:paraId="65B3DF09" w14:textId="62695393" w:rsidR="008204BD" w:rsidRDefault="0049362F">
      <w:pPr>
        <w:pStyle w:val="TableofFigures"/>
        <w:tabs>
          <w:tab w:val="right" w:leader="dot" w:pos="9016"/>
        </w:tabs>
        <w:rPr>
          <w:rFonts w:asciiTheme="minorHAnsi" w:eastAsiaTheme="minorEastAsia" w:hAnsiTheme="minorHAnsi"/>
          <w:noProof/>
          <w:lang w:eastAsia="it-IT"/>
        </w:rPr>
      </w:pPr>
      <w:hyperlink w:anchor="_Toc64611068" w:history="1">
        <w:r w:rsidR="008204BD" w:rsidRPr="007E31A3">
          <w:rPr>
            <w:rStyle w:val="Hyperlink"/>
            <w:noProof/>
            <w:lang w:val="en-GB"/>
          </w:rPr>
          <w:t>Figure 120 - Cross-border road traffic dynamic at county level (2009-2019)</w:t>
        </w:r>
        <w:r w:rsidR="008204BD">
          <w:rPr>
            <w:noProof/>
            <w:webHidden/>
          </w:rPr>
          <w:tab/>
        </w:r>
        <w:r w:rsidR="008204BD">
          <w:rPr>
            <w:noProof/>
            <w:webHidden/>
          </w:rPr>
          <w:fldChar w:fldCharType="begin"/>
        </w:r>
        <w:r w:rsidR="008204BD">
          <w:rPr>
            <w:noProof/>
            <w:webHidden/>
          </w:rPr>
          <w:instrText xml:space="preserve"> PAGEREF _Toc64611068 \h </w:instrText>
        </w:r>
        <w:r w:rsidR="008204BD">
          <w:rPr>
            <w:noProof/>
            <w:webHidden/>
          </w:rPr>
        </w:r>
        <w:r w:rsidR="008204BD">
          <w:rPr>
            <w:noProof/>
            <w:webHidden/>
          </w:rPr>
          <w:fldChar w:fldCharType="separate"/>
        </w:r>
        <w:r w:rsidR="00FB3E93">
          <w:rPr>
            <w:noProof/>
            <w:webHidden/>
          </w:rPr>
          <w:t>176</w:t>
        </w:r>
        <w:r w:rsidR="008204BD">
          <w:rPr>
            <w:noProof/>
            <w:webHidden/>
          </w:rPr>
          <w:fldChar w:fldCharType="end"/>
        </w:r>
      </w:hyperlink>
    </w:p>
    <w:p w14:paraId="40805BB9" w14:textId="18887F8B" w:rsidR="008204BD" w:rsidRDefault="0049362F">
      <w:pPr>
        <w:pStyle w:val="TableofFigures"/>
        <w:tabs>
          <w:tab w:val="right" w:leader="dot" w:pos="9016"/>
        </w:tabs>
        <w:rPr>
          <w:rFonts w:asciiTheme="minorHAnsi" w:eastAsiaTheme="minorEastAsia" w:hAnsiTheme="minorHAnsi"/>
          <w:noProof/>
          <w:lang w:eastAsia="it-IT"/>
        </w:rPr>
      </w:pPr>
      <w:hyperlink w:anchor="_Toc64611069" w:history="1">
        <w:r w:rsidR="008204BD" w:rsidRPr="007E31A3">
          <w:rPr>
            <w:rStyle w:val="Hyperlink"/>
            <w:noProof/>
            <w:lang w:val="en-GB"/>
          </w:rPr>
          <w:t>Figure 121 - Cross-border rail traffic dynamic at main crossing points (2009-2019)</w:t>
        </w:r>
        <w:r w:rsidR="008204BD">
          <w:rPr>
            <w:noProof/>
            <w:webHidden/>
          </w:rPr>
          <w:tab/>
        </w:r>
        <w:r w:rsidR="008204BD">
          <w:rPr>
            <w:noProof/>
            <w:webHidden/>
          </w:rPr>
          <w:fldChar w:fldCharType="begin"/>
        </w:r>
        <w:r w:rsidR="008204BD">
          <w:rPr>
            <w:noProof/>
            <w:webHidden/>
          </w:rPr>
          <w:instrText xml:space="preserve"> PAGEREF _Toc64611069 \h </w:instrText>
        </w:r>
        <w:r w:rsidR="008204BD">
          <w:rPr>
            <w:noProof/>
            <w:webHidden/>
          </w:rPr>
        </w:r>
        <w:r w:rsidR="008204BD">
          <w:rPr>
            <w:noProof/>
            <w:webHidden/>
          </w:rPr>
          <w:fldChar w:fldCharType="separate"/>
        </w:r>
        <w:r w:rsidR="00FB3E93">
          <w:rPr>
            <w:noProof/>
            <w:webHidden/>
          </w:rPr>
          <w:t>177</w:t>
        </w:r>
        <w:r w:rsidR="008204BD">
          <w:rPr>
            <w:noProof/>
            <w:webHidden/>
          </w:rPr>
          <w:fldChar w:fldCharType="end"/>
        </w:r>
      </w:hyperlink>
    </w:p>
    <w:p w14:paraId="174BA0ED" w14:textId="3B10DBDA" w:rsidR="008204BD" w:rsidRDefault="0049362F">
      <w:pPr>
        <w:pStyle w:val="TableofFigures"/>
        <w:tabs>
          <w:tab w:val="right" w:leader="dot" w:pos="9016"/>
        </w:tabs>
        <w:rPr>
          <w:rFonts w:asciiTheme="minorHAnsi" w:eastAsiaTheme="minorEastAsia" w:hAnsiTheme="minorHAnsi"/>
          <w:noProof/>
          <w:lang w:eastAsia="it-IT"/>
        </w:rPr>
      </w:pPr>
      <w:hyperlink w:anchor="_Toc64611070" w:history="1">
        <w:r w:rsidR="008204BD" w:rsidRPr="007E31A3">
          <w:rPr>
            <w:rStyle w:val="Hyperlink"/>
            <w:noProof/>
            <w:lang w:val="en-GB"/>
          </w:rPr>
          <w:t>Figure 122 - Road freight transport loading/unloading 2015-2018</w:t>
        </w:r>
        <w:r w:rsidR="008204BD">
          <w:rPr>
            <w:noProof/>
            <w:webHidden/>
          </w:rPr>
          <w:tab/>
        </w:r>
        <w:r w:rsidR="008204BD">
          <w:rPr>
            <w:noProof/>
            <w:webHidden/>
          </w:rPr>
          <w:fldChar w:fldCharType="begin"/>
        </w:r>
        <w:r w:rsidR="008204BD">
          <w:rPr>
            <w:noProof/>
            <w:webHidden/>
          </w:rPr>
          <w:instrText xml:space="preserve"> PAGEREF _Toc64611070 \h </w:instrText>
        </w:r>
        <w:r w:rsidR="008204BD">
          <w:rPr>
            <w:noProof/>
            <w:webHidden/>
          </w:rPr>
        </w:r>
        <w:r w:rsidR="008204BD">
          <w:rPr>
            <w:noProof/>
            <w:webHidden/>
          </w:rPr>
          <w:fldChar w:fldCharType="separate"/>
        </w:r>
        <w:r w:rsidR="00FB3E93">
          <w:rPr>
            <w:noProof/>
            <w:webHidden/>
          </w:rPr>
          <w:t>181</w:t>
        </w:r>
        <w:r w:rsidR="008204BD">
          <w:rPr>
            <w:noProof/>
            <w:webHidden/>
          </w:rPr>
          <w:fldChar w:fldCharType="end"/>
        </w:r>
      </w:hyperlink>
    </w:p>
    <w:p w14:paraId="4B6959F9" w14:textId="73E72770" w:rsidR="008204BD" w:rsidRDefault="0049362F">
      <w:pPr>
        <w:pStyle w:val="TableofFigures"/>
        <w:tabs>
          <w:tab w:val="right" w:leader="dot" w:pos="9016"/>
        </w:tabs>
        <w:rPr>
          <w:rFonts w:asciiTheme="minorHAnsi" w:eastAsiaTheme="minorEastAsia" w:hAnsiTheme="minorHAnsi"/>
          <w:noProof/>
          <w:lang w:eastAsia="it-IT"/>
        </w:rPr>
      </w:pPr>
      <w:hyperlink w:anchor="_Toc64611071" w:history="1">
        <w:r w:rsidR="008204BD" w:rsidRPr="007E31A3">
          <w:rPr>
            <w:rStyle w:val="Hyperlink"/>
            <w:noProof/>
            <w:lang w:val="en-GB"/>
          </w:rPr>
          <w:t>Figure 123 - Energy consumption per capita 2009-2018</w:t>
        </w:r>
        <w:r w:rsidR="008204BD">
          <w:rPr>
            <w:noProof/>
            <w:webHidden/>
          </w:rPr>
          <w:tab/>
        </w:r>
        <w:r w:rsidR="008204BD">
          <w:rPr>
            <w:noProof/>
            <w:webHidden/>
          </w:rPr>
          <w:fldChar w:fldCharType="begin"/>
        </w:r>
        <w:r w:rsidR="008204BD">
          <w:rPr>
            <w:noProof/>
            <w:webHidden/>
          </w:rPr>
          <w:instrText xml:space="preserve"> PAGEREF _Toc64611071 \h </w:instrText>
        </w:r>
        <w:r w:rsidR="008204BD">
          <w:rPr>
            <w:noProof/>
            <w:webHidden/>
          </w:rPr>
        </w:r>
        <w:r w:rsidR="008204BD">
          <w:rPr>
            <w:noProof/>
            <w:webHidden/>
          </w:rPr>
          <w:fldChar w:fldCharType="separate"/>
        </w:r>
        <w:r w:rsidR="00FB3E93">
          <w:rPr>
            <w:noProof/>
            <w:webHidden/>
          </w:rPr>
          <w:t>182</w:t>
        </w:r>
        <w:r w:rsidR="008204BD">
          <w:rPr>
            <w:noProof/>
            <w:webHidden/>
          </w:rPr>
          <w:fldChar w:fldCharType="end"/>
        </w:r>
      </w:hyperlink>
    </w:p>
    <w:p w14:paraId="23AD6FF0" w14:textId="2094D39D" w:rsidR="008204BD" w:rsidRDefault="0049362F">
      <w:pPr>
        <w:pStyle w:val="TableofFigures"/>
        <w:tabs>
          <w:tab w:val="right" w:leader="dot" w:pos="9016"/>
        </w:tabs>
        <w:rPr>
          <w:rFonts w:asciiTheme="minorHAnsi" w:eastAsiaTheme="minorEastAsia" w:hAnsiTheme="minorHAnsi"/>
          <w:noProof/>
          <w:lang w:eastAsia="it-IT"/>
        </w:rPr>
      </w:pPr>
      <w:hyperlink w:anchor="_Toc64611072" w:history="1">
        <w:r w:rsidR="008204BD" w:rsidRPr="007E31A3">
          <w:rPr>
            <w:rStyle w:val="Hyperlink"/>
            <w:noProof/>
            <w:lang w:val="en-GB"/>
          </w:rPr>
          <w:t>Figure 124 - Overall fixed broadband coverage, 2019, at NUTS 3 level in Europe</w:t>
        </w:r>
        <w:r w:rsidR="008204BD">
          <w:rPr>
            <w:noProof/>
            <w:webHidden/>
          </w:rPr>
          <w:tab/>
        </w:r>
        <w:r w:rsidR="008204BD">
          <w:rPr>
            <w:noProof/>
            <w:webHidden/>
          </w:rPr>
          <w:fldChar w:fldCharType="begin"/>
        </w:r>
        <w:r w:rsidR="008204BD">
          <w:rPr>
            <w:noProof/>
            <w:webHidden/>
          </w:rPr>
          <w:instrText xml:space="preserve"> PAGEREF _Toc64611072 \h </w:instrText>
        </w:r>
        <w:r w:rsidR="008204BD">
          <w:rPr>
            <w:noProof/>
            <w:webHidden/>
          </w:rPr>
        </w:r>
        <w:r w:rsidR="008204BD">
          <w:rPr>
            <w:noProof/>
            <w:webHidden/>
          </w:rPr>
          <w:fldChar w:fldCharType="separate"/>
        </w:r>
        <w:r w:rsidR="00FB3E93">
          <w:rPr>
            <w:noProof/>
            <w:webHidden/>
          </w:rPr>
          <w:t>184</w:t>
        </w:r>
        <w:r w:rsidR="008204BD">
          <w:rPr>
            <w:noProof/>
            <w:webHidden/>
          </w:rPr>
          <w:fldChar w:fldCharType="end"/>
        </w:r>
      </w:hyperlink>
    </w:p>
    <w:p w14:paraId="4FAC12CB" w14:textId="3C57AFCD" w:rsidR="008204BD" w:rsidRDefault="0049362F">
      <w:pPr>
        <w:pStyle w:val="TableofFigures"/>
        <w:tabs>
          <w:tab w:val="right" w:leader="dot" w:pos="9016"/>
        </w:tabs>
        <w:rPr>
          <w:rFonts w:asciiTheme="minorHAnsi" w:eastAsiaTheme="minorEastAsia" w:hAnsiTheme="minorHAnsi"/>
          <w:noProof/>
          <w:lang w:eastAsia="it-IT"/>
        </w:rPr>
      </w:pPr>
      <w:hyperlink w:anchor="_Toc64611073" w:history="1">
        <w:r w:rsidR="008204BD" w:rsidRPr="007E31A3">
          <w:rPr>
            <w:rStyle w:val="Hyperlink"/>
            <w:noProof/>
            <w:lang w:val="en-GB"/>
          </w:rPr>
          <w:t>Figure 125 - Frequency of internet access: once a week (including every day) - % of population</w:t>
        </w:r>
        <w:r w:rsidR="008204BD">
          <w:rPr>
            <w:noProof/>
            <w:webHidden/>
          </w:rPr>
          <w:tab/>
        </w:r>
        <w:r w:rsidR="008204BD">
          <w:rPr>
            <w:noProof/>
            <w:webHidden/>
          </w:rPr>
          <w:fldChar w:fldCharType="begin"/>
        </w:r>
        <w:r w:rsidR="008204BD">
          <w:rPr>
            <w:noProof/>
            <w:webHidden/>
          </w:rPr>
          <w:instrText xml:space="preserve"> PAGEREF _Toc64611073 \h </w:instrText>
        </w:r>
        <w:r w:rsidR="008204BD">
          <w:rPr>
            <w:noProof/>
            <w:webHidden/>
          </w:rPr>
        </w:r>
        <w:r w:rsidR="008204BD">
          <w:rPr>
            <w:noProof/>
            <w:webHidden/>
          </w:rPr>
          <w:fldChar w:fldCharType="separate"/>
        </w:r>
        <w:r w:rsidR="00FB3E93">
          <w:rPr>
            <w:noProof/>
            <w:webHidden/>
          </w:rPr>
          <w:t>185</w:t>
        </w:r>
        <w:r w:rsidR="008204BD">
          <w:rPr>
            <w:noProof/>
            <w:webHidden/>
          </w:rPr>
          <w:fldChar w:fldCharType="end"/>
        </w:r>
      </w:hyperlink>
    </w:p>
    <w:p w14:paraId="1759CFF6" w14:textId="1FC99E0E" w:rsidR="008204BD" w:rsidRDefault="0049362F">
      <w:pPr>
        <w:pStyle w:val="TableofFigures"/>
        <w:tabs>
          <w:tab w:val="right" w:leader="dot" w:pos="9016"/>
        </w:tabs>
        <w:rPr>
          <w:rFonts w:asciiTheme="minorHAnsi" w:eastAsiaTheme="minorEastAsia" w:hAnsiTheme="minorHAnsi"/>
          <w:noProof/>
          <w:lang w:eastAsia="it-IT"/>
        </w:rPr>
      </w:pPr>
      <w:hyperlink w:anchor="_Toc64611074" w:history="1">
        <w:r w:rsidR="008204BD" w:rsidRPr="007E31A3">
          <w:rPr>
            <w:rStyle w:val="Hyperlink"/>
            <w:noProof/>
            <w:lang w:val="en-GB"/>
          </w:rPr>
          <w:t>Figure 126 - Internet use for selling goods or services and internet banking, at NUTS 2 level</w:t>
        </w:r>
        <w:r w:rsidR="008204BD">
          <w:rPr>
            <w:noProof/>
            <w:webHidden/>
          </w:rPr>
          <w:tab/>
        </w:r>
        <w:r w:rsidR="008204BD">
          <w:rPr>
            <w:noProof/>
            <w:webHidden/>
          </w:rPr>
          <w:fldChar w:fldCharType="begin"/>
        </w:r>
        <w:r w:rsidR="008204BD">
          <w:rPr>
            <w:noProof/>
            <w:webHidden/>
          </w:rPr>
          <w:instrText xml:space="preserve"> PAGEREF _Toc64611074 \h </w:instrText>
        </w:r>
        <w:r w:rsidR="008204BD">
          <w:rPr>
            <w:noProof/>
            <w:webHidden/>
          </w:rPr>
        </w:r>
        <w:r w:rsidR="008204BD">
          <w:rPr>
            <w:noProof/>
            <w:webHidden/>
          </w:rPr>
          <w:fldChar w:fldCharType="separate"/>
        </w:r>
        <w:r w:rsidR="00FB3E93">
          <w:rPr>
            <w:noProof/>
            <w:webHidden/>
          </w:rPr>
          <w:t>186</w:t>
        </w:r>
        <w:r w:rsidR="008204BD">
          <w:rPr>
            <w:noProof/>
            <w:webHidden/>
          </w:rPr>
          <w:fldChar w:fldCharType="end"/>
        </w:r>
      </w:hyperlink>
    </w:p>
    <w:p w14:paraId="6B8BDE84" w14:textId="562488CC" w:rsidR="008204BD" w:rsidRDefault="0049362F">
      <w:pPr>
        <w:pStyle w:val="TableofFigures"/>
        <w:tabs>
          <w:tab w:val="right" w:leader="dot" w:pos="9016"/>
        </w:tabs>
        <w:rPr>
          <w:rFonts w:asciiTheme="minorHAnsi" w:eastAsiaTheme="minorEastAsia" w:hAnsiTheme="minorHAnsi"/>
          <w:noProof/>
          <w:lang w:eastAsia="it-IT"/>
        </w:rPr>
      </w:pPr>
      <w:hyperlink w:anchor="_Toc64611075" w:history="1">
        <w:r w:rsidR="008204BD" w:rsidRPr="007E31A3">
          <w:rPr>
            <w:rStyle w:val="Hyperlink"/>
            <w:noProof/>
            <w:lang w:val="en-GB"/>
          </w:rPr>
          <w:t>Figure 127 - Administrative divisions in the cross-border program area between Romania and Hungary</w:t>
        </w:r>
        <w:r w:rsidR="008204BD">
          <w:rPr>
            <w:noProof/>
            <w:webHidden/>
          </w:rPr>
          <w:tab/>
        </w:r>
        <w:r w:rsidR="008204BD">
          <w:rPr>
            <w:noProof/>
            <w:webHidden/>
          </w:rPr>
          <w:fldChar w:fldCharType="begin"/>
        </w:r>
        <w:r w:rsidR="008204BD">
          <w:rPr>
            <w:noProof/>
            <w:webHidden/>
          </w:rPr>
          <w:instrText xml:space="preserve"> PAGEREF _Toc64611075 \h </w:instrText>
        </w:r>
        <w:r w:rsidR="008204BD">
          <w:rPr>
            <w:noProof/>
            <w:webHidden/>
          </w:rPr>
        </w:r>
        <w:r w:rsidR="008204BD">
          <w:rPr>
            <w:noProof/>
            <w:webHidden/>
          </w:rPr>
          <w:fldChar w:fldCharType="separate"/>
        </w:r>
        <w:r w:rsidR="00FB3E93">
          <w:rPr>
            <w:noProof/>
            <w:webHidden/>
          </w:rPr>
          <w:t>191</w:t>
        </w:r>
        <w:r w:rsidR="008204BD">
          <w:rPr>
            <w:noProof/>
            <w:webHidden/>
          </w:rPr>
          <w:fldChar w:fldCharType="end"/>
        </w:r>
      </w:hyperlink>
    </w:p>
    <w:p w14:paraId="6FE45919" w14:textId="0176A5DB" w:rsidR="008204BD" w:rsidRDefault="0049362F">
      <w:pPr>
        <w:pStyle w:val="TableofFigures"/>
        <w:tabs>
          <w:tab w:val="right" w:leader="dot" w:pos="9016"/>
        </w:tabs>
        <w:rPr>
          <w:rFonts w:asciiTheme="minorHAnsi" w:eastAsiaTheme="minorEastAsia" w:hAnsiTheme="minorHAnsi"/>
          <w:noProof/>
          <w:lang w:eastAsia="it-IT"/>
        </w:rPr>
      </w:pPr>
      <w:hyperlink w:anchor="_Toc64611076" w:history="1">
        <w:r w:rsidR="008204BD" w:rsidRPr="007E31A3">
          <w:rPr>
            <w:rStyle w:val="Hyperlink"/>
            <w:noProof/>
            <w:lang w:val="en-GB"/>
          </w:rPr>
          <w:t>Figure 128 - Situational overview of migration directions and EU entry points</w:t>
        </w:r>
        <w:r w:rsidR="008204BD">
          <w:rPr>
            <w:noProof/>
            <w:webHidden/>
          </w:rPr>
          <w:tab/>
        </w:r>
        <w:r w:rsidR="008204BD">
          <w:rPr>
            <w:noProof/>
            <w:webHidden/>
          </w:rPr>
          <w:fldChar w:fldCharType="begin"/>
        </w:r>
        <w:r w:rsidR="008204BD">
          <w:rPr>
            <w:noProof/>
            <w:webHidden/>
          </w:rPr>
          <w:instrText xml:space="preserve"> PAGEREF _Toc64611076 \h </w:instrText>
        </w:r>
        <w:r w:rsidR="008204BD">
          <w:rPr>
            <w:noProof/>
            <w:webHidden/>
          </w:rPr>
        </w:r>
        <w:r w:rsidR="008204BD">
          <w:rPr>
            <w:noProof/>
            <w:webHidden/>
          </w:rPr>
          <w:fldChar w:fldCharType="separate"/>
        </w:r>
        <w:r w:rsidR="00FB3E93">
          <w:rPr>
            <w:noProof/>
            <w:webHidden/>
          </w:rPr>
          <w:t>195</w:t>
        </w:r>
        <w:r w:rsidR="008204BD">
          <w:rPr>
            <w:noProof/>
            <w:webHidden/>
          </w:rPr>
          <w:fldChar w:fldCharType="end"/>
        </w:r>
      </w:hyperlink>
    </w:p>
    <w:p w14:paraId="263B0AB2" w14:textId="1442B4F9" w:rsidR="008204BD" w:rsidRDefault="0049362F">
      <w:pPr>
        <w:pStyle w:val="TableofFigures"/>
        <w:tabs>
          <w:tab w:val="right" w:leader="dot" w:pos="9016"/>
        </w:tabs>
        <w:rPr>
          <w:rFonts w:asciiTheme="minorHAnsi" w:eastAsiaTheme="minorEastAsia" w:hAnsiTheme="minorHAnsi"/>
          <w:noProof/>
          <w:lang w:eastAsia="it-IT"/>
        </w:rPr>
      </w:pPr>
      <w:hyperlink w:anchor="_Toc64611077" w:history="1">
        <w:r w:rsidR="008204BD" w:rsidRPr="007E31A3">
          <w:rPr>
            <w:rStyle w:val="Hyperlink"/>
            <w:noProof/>
            <w:lang w:val="en-GB"/>
          </w:rPr>
          <w:t>Figure 129 - Map of Detection of illegal border-crossing at the EU`s external borders 2019</w:t>
        </w:r>
        <w:r w:rsidR="008204BD">
          <w:rPr>
            <w:noProof/>
            <w:webHidden/>
          </w:rPr>
          <w:tab/>
        </w:r>
        <w:r w:rsidR="008204BD">
          <w:rPr>
            <w:noProof/>
            <w:webHidden/>
          </w:rPr>
          <w:fldChar w:fldCharType="begin"/>
        </w:r>
        <w:r w:rsidR="008204BD">
          <w:rPr>
            <w:noProof/>
            <w:webHidden/>
          </w:rPr>
          <w:instrText xml:space="preserve"> PAGEREF _Toc64611077 \h </w:instrText>
        </w:r>
        <w:r w:rsidR="008204BD">
          <w:rPr>
            <w:noProof/>
            <w:webHidden/>
          </w:rPr>
        </w:r>
        <w:r w:rsidR="008204BD">
          <w:rPr>
            <w:noProof/>
            <w:webHidden/>
          </w:rPr>
          <w:fldChar w:fldCharType="separate"/>
        </w:r>
        <w:r w:rsidR="00FB3E93">
          <w:rPr>
            <w:noProof/>
            <w:webHidden/>
          </w:rPr>
          <w:t>196</w:t>
        </w:r>
        <w:r w:rsidR="008204BD">
          <w:rPr>
            <w:noProof/>
            <w:webHidden/>
          </w:rPr>
          <w:fldChar w:fldCharType="end"/>
        </w:r>
      </w:hyperlink>
    </w:p>
    <w:p w14:paraId="421616D2" w14:textId="5DA93B21" w:rsidR="008204BD" w:rsidRDefault="0049362F">
      <w:pPr>
        <w:pStyle w:val="TableofFigures"/>
        <w:tabs>
          <w:tab w:val="right" w:leader="dot" w:pos="9016"/>
        </w:tabs>
        <w:rPr>
          <w:rFonts w:asciiTheme="minorHAnsi" w:eastAsiaTheme="minorEastAsia" w:hAnsiTheme="minorHAnsi"/>
          <w:noProof/>
          <w:lang w:eastAsia="it-IT"/>
        </w:rPr>
      </w:pPr>
      <w:hyperlink w:anchor="_Toc64611078" w:history="1">
        <w:r w:rsidR="008204BD" w:rsidRPr="007E31A3">
          <w:rPr>
            <w:rStyle w:val="Hyperlink"/>
            <w:noProof/>
            <w:lang w:val="en-GB"/>
          </w:rPr>
          <w:t>Figure 130 – Map of refusals of entry per border type 2019</w:t>
        </w:r>
        <w:r w:rsidR="008204BD">
          <w:rPr>
            <w:noProof/>
            <w:webHidden/>
          </w:rPr>
          <w:tab/>
        </w:r>
        <w:r w:rsidR="008204BD">
          <w:rPr>
            <w:noProof/>
            <w:webHidden/>
          </w:rPr>
          <w:fldChar w:fldCharType="begin"/>
        </w:r>
        <w:r w:rsidR="008204BD">
          <w:rPr>
            <w:noProof/>
            <w:webHidden/>
          </w:rPr>
          <w:instrText xml:space="preserve"> PAGEREF _Toc64611078 \h </w:instrText>
        </w:r>
        <w:r w:rsidR="008204BD">
          <w:rPr>
            <w:noProof/>
            <w:webHidden/>
          </w:rPr>
        </w:r>
        <w:r w:rsidR="008204BD">
          <w:rPr>
            <w:noProof/>
            <w:webHidden/>
          </w:rPr>
          <w:fldChar w:fldCharType="separate"/>
        </w:r>
        <w:r w:rsidR="00FB3E93">
          <w:rPr>
            <w:noProof/>
            <w:webHidden/>
          </w:rPr>
          <w:t>196</w:t>
        </w:r>
        <w:r w:rsidR="008204BD">
          <w:rPr>
            <w:noProof/>
            <w:webHidden/>
          </w:rPr>
          <w:fldChar w:fldCharType="end"/>
        </w:r>
      </w:hyperlink>
    </w:p>
    <w:p w14:paraId="64764D0E" w14:textId="186C7810" w:rsidR="008204BD" w:rsidRDefault="0049362F">
      <w:pPr>
        <w:pStyle w:val="TableofFigures"/>
        <w:tabs>
          <w:tab w:val="right" w:leader="dot" w:pos="9016"/>
        </w:tabs>
        <w:rPr>
          <w:rFonts w:asciiTheme="minorHAnsi" w:eastAsiaTheme="minorEastAsia" w:hAnsiTheme="minorHAnsi"/>
          <w:noProof/>
          <w:lang w:eastAsia="it-IT"/>
        </w:rPr>
      </w:pPr>
      <w:hyperlink w:anchor="_Toc64611079" w:history="1">
        <w:r w:rsidR="008204BD" w:rsidRPr="007E31A3">
          <w:rPr>
            <w:rStyle w:val="Hyperlink"/>
            <w:noProof/>
            <w:lang w:val="en-GB"/>
          </w:rPr>
          <w:t>Figure 131 - Nationality of users of fraudulent documents detected by MS</w:t>
        </w:r>
        <w:r w:rsidR="008204BD">
          <w:rPr>
            <w:noProof/>
            <w:webHidden/>
          </w:rPr>
          <w:tab/>
        </w:r>
        <w:r w:rsidR="008204BD">
          <w:rPr>
            <w:noProof/>
            <w:webHidden/>
          </w:rPr>
          <w:fldChar w:fldCharType="begin"/>
        </w:r>
        <w:r w:rsidR="008204BD">
          <w:rPr>
            <w:noProof/>
            <w:webHidden/>
          </w:rPr>
          <w:instrText xml:space="preserve"> PAGEREF _Toc64611079 \h </w:instrText>
        </w:r>
        <w:r w:rsidR="008204BD">
          <w:rPr>
            <w:noProof/>
            <w:webHidden/>
          </w:rPr>
        </w:r>
        <w:r w:rsidR="008204BD">
          <w:rPr>
            <w:noProof/>
            <w:webHidden/>
          </w:rPr>
          <w:fldChar w:fldCharType="separate"/>
        </w:r>
        <w:r w:rsidR="00FB3E93">
          <w:rPr>
            <w:noProof/>
            <w:webHidden/>
          </w:rPr>
          <w:t>197</w:t>
        </w:r>
        <w:r w:rsidR="008204BD">
          <w:rPr>
            <w:noProof/>
            <w:webHidden/>
          </w:rPr>
          <w:fldChar w:fldCharType="end"/>
        </w:r>
      </w:hyperlink>
    </w:p>
    <w:p w14:paraId="2976F8F7" w14:textId="7A7BCDFA" w:rsidR="008204BD" w:rsidRDefault="0049362F">
      <w:pPr>
        <w:pStyle w:val="TableofFigures"/>
        <w:tabs>
          <w:tab w:val="right" w:leader="dot" w:pos="9016"/>
        </w:tabs>
        <w:rPr>
          <w:rFonts w:asciiTheme="minorHAnsi" w:eastAsiaTheme="minorEastAsia" w:hAnsiTheme="minorHAnsi"/>
          <w:noProof/>
          <w:lang w:eastAsia="it-IT"/>
        </w:rPr>
      </w:pPr>
      <w:hyperlink w:anchor="_Toc64611080" w:history="1">
        <w:r w:rsidR="008204BD" w:rsidRPr="007E31A3">
          <w:rPr>
            <w:rStyle w:val="Hyperlink"/>
            <w:noProof/>
            <w:lang w:val="en-GB"/>
          </w:rPr>
          <w:t>Figure 132 - European Quality of Government index (2017), illustrated at NUTS2 level.</w:t>
        </w:r>
        <w:r w:rsidR="008204BD">
          <w:rPr>
            <w:noProof/>
            <w:webHidden/>
          </w:rPr>
          <w:tab/>
        </w:r>
        <w:r w:rsidR="008204BD">
          <w:rPr>
            <w:noProof/>
            <w:webHidden/>
          </w:rPr>
          <w:fldChar w:fldCharType="begin"/>
        </w:r>
        <w:r w:rsidR="008204BD">
          <w:rPr>
            <w:noProof/>
            <w:webHidden/>
          </w:rPr>
          <w:instrText xml:space="preserve"> PAGEREF _Toc64611080 \h </w:instrText>
        </w:r>
        <w:r w:rsidR="008204BD">
          <w:rPr>
            <w:noProof/>
            <w:webHidden/>
          </w:rPr>
        </w:r>
        <w:r w:rsidR="008204BD">
          <w:rPr>
            <w:noProof/>
            <w:webHidden/>
          </w:rPr>
          <w:fldChar w:fldCharType="separate"/>
        </w:r>
        <w:r w:rsidR="00FB3E93">
          <w:rPr>
            <w:noProof/>
            <w:webHidden/>
          </w:rPr>
          <w:t>199</w:t>
        </w:r>
        <w:r w:rsidR="008204BD">
          <w:rPr>
            <w:noProof/>
            <w:webHidden/>
          </w:rPr>
          <w:fldChar w:fldCharType="end"/>
        </w:r>
      </w:hyperlink>
    </w:p>
    <w:p w14:paraId="5439DE44" w14:textId="7F46602A" w:rsidR="008204BD" w:rsidRDefault="0049362F">
      <w:pPr>
        <w:pStyle w:val="TableofFigures"/>
        <w:tabs>
          <w:tab w:val="right" w:leader="dot" w:pos="9016"/>
        </w:tabs>
        <w:rPr>
          <w:rFonts w:asciiTheme="minorHAnsi" w:eastAsiaTheme="minorEastAsia" w:hAnsiTheme="minorHAnsi"/>
          <w:noProof/>
          <w:lang w:eastAsia="it-IT"/>
        </w:rPr>
      </w:pPr>
      <w:hyperlink w:anchor="_Toc64611081" w:history="1">
        <w:r w:rsidR="008204BD" w:rsidRPr="007E31A3">
          <w:rPr>
            <w:rStyle w:val="Hyperlink"/>
            <w:noProof/>
            <w:lang w:val="en-GB"/>
          </w:rPr>
          <w:t>Figure 133 - Regional benchmarking for quality of government in the four NUTS2 regions afferent to the programming area.</w:t>
        </w:r>
        <w:r w:rsidR="008204BD">
          <w:rPr>
            <w:noProof/>
            <w:webHidden/>
          </w:rPr>
          <w:tab/>
        </w:r>
        <w:r w:rsidR="008204BD">
          <w:rPr>
            <w:noProof/>
            <w:webHidden/>
          </w:rPr>
          <w:fldChar w:fldCharType="begin"/>
        </w:r>
        <w:r w:rsidR="008204BD">
          <w:rPr>
            <w:noProof/>
            <w:webHidden/>
          </w:rPr>
          <w:instrText xml:space="preserve"> PAGEREF _Toc64611081 \h </w:instrText>
        </w:r>
        <w:r w:rsidR="008204BD">
          <w:rPr>
            <w:noProof/>
            <w:webHidden/>
          </w:rPr>
        </w:r>
        <w:r w:rsidR="008204BD">
          <w:rPr>
            <w:noProof/>
            <w:webHidden/>
          </w:rPr>
          <w:fldChar w:fldCharType="separate"/>
        </w:r>
        <w:r w:rsidR="00FB3E93">
          <w:rPr>
            <w:noProof/>
            <w:webHidden/>
          </w:rPr>
          <w:t>200</w:t>
        </w:r>
        <w:r w:rsidR="008204BD">
          <w:rPr>
            <w:noProof/>
            <w:webHidden/>
          </w:rPr>
          <w:fldChar w:fldCharType="end"/>
        </w:r>
      </w:hyperlink>
    </w:p>
    <w:p w14:paraId="4B10BBEE" w14:textId="4FD1B1B8" w:rsidR="008204BD" w:rsidRDefault="0049362F">
      <w:pPr>
        <w:pStyle w:val="TableofFigures"/>
        <w:tabs>
          <w:tab w:val="right" w:leader="dot" w:pos="9016"/>
        </w:tabs>
        <w:rPr>
          <w:rFonts w:asciiTheme="minorHAnsi" w:eastAsiaTheme="minorEastAsia" w:hAnsiTheme="minorHAnsi"/>
          <w:noProof/>
          <w:lang w:eastAsia="it-IT"/>
        </w:rPr>
      </w:pPr>
      <w:hyperlink w:anchor="_Toc64611082" w:history="1">
        <w:r w:rsidR="008204BD" w:rsidRPr="007E31A3">
          <w:rPr>
            <w:rStyle w:val="Hyperlink"/>
            <w:noProof/>
            <w:lang w:val="en-GB"/>
          </w:rPr>
          <w:t>Figure 134 - Structure of local government expenditure on public services in Hungary, Romania and average EU-27 (2018).</w:t>
        </w:r>
        <w:r w:rsidR="008204BD">
          <w:rPr>
            <w:noProof/>
            <w:webHidden/>
          </w:rPr>
          <w:tab/>
        </w:r>
        <w:r w:rsidR="008204BD">
          <w:rPr>
            <w:noProof/>
            <w:webHidden/>
          </w:rPr>
          <w:fldChar w:fldCharType="begin"/>
        </w:r>
        <w:r w:rsidR="008204BD">
          <w:rPr>
            <w:noProof/>
            <w:webHidden/>
          </w:rPr>
          <w:instrText xml:space="preserve"> PAGEREF _Toc64611082 \h </w:instrText>
        </w:r>
        <w:r w:rsidR="008204BD">
          <w:rPr>
            <w:noProof/>
            <w:webHidden/>
          </w:rPr>
        </w:r>
        <w:r w:rsidR="008204BD">
          <w:rPr>
            <w:noProof/>
            <w:webHidden/>
          </w:rPr>
          <w:fldChar w:fldCharType="separate"/>
        </w:r>
        <w:r w:rsidR="00FB3E93">
          <w:rPr>
            <w:noProof/>
            <w:webHidden/>
          </w:rPr>
          <w:t>200</w:t>
        </w:r>
        <w:r w:rsidR="008204BD">
          <w:rPr>
            <w:noProof/>
            <w:webHidden/>
          </w:rPr>
          <w:fldChar w:fldCharType="end"/>
        </w:r>
      </w:hyperlink>
    </w:p>
    <w:p w14:paraId="5C068282" w14:textId="0462D26A" w:rsidR="008204BD" w:rsidRDefault="0049362F">
      <w:pPr>
        <w:pStyle w:val="TableofFigures"/>
        <w:tabs>
          <w:tab w:val="right" w:leader="dot" w:pos="9016"/>
        </w:tabs>
        <w:rPr>
          <w:rFonts w:asciiTheme="minorHAnsi" w:eastAsiaTheme="minorEastAsia" w:hAnsiTheme="minorHAnsi"/>
          <w:noProof/>
          <w:lang w:eastAsia="it-IT"/>
        </w:rPr>
      </w:pPr>
      <w:hyperlink w:anchor="_Toc64611083" w:history="1">
        <w:r w:rsidR="008204BD" w:rsidRPr="007E31A3">
          <w:rPr>
            <w:rStyle w:val="Hyperlink"/>
            <w:noProof/>
            <w:lang w:val="en-GB"/>
          </w:rPr>
          <w:t>Figure 135 - Individuals using internet to interact with authorities in the last 12 months.</w:t>
        </w:r>
        <w:r w:rsidR="008204BD">
          <w:rPr>
            <w:noProof/>
            <w:webHidden/>
          </w:rPr>
          <w:tab/>
        </w:r>
        <w:r w:rsidR="008204BD">
          <w:rPr>
            <w:noProof/>
            <w:webHidden/>
          </w:rPr>
          <w:fldChar w:fldCharType="begin"/>
        </w:r>
        <w:r w:rsidR="008204BD">
          <w:rPr>
            <w:noProof/>
            <w:webHidden/>
          </w:rPr>
          <w:instrText xml:space="preserve"> PAGEREF _Toc64611083 \h </w:instrText>
        </w:r>
        <w:r w:rsidR="008204BD">
          <w:rPr>
            <w:noProof/>
            <w:webHidden/>
          </w:rPr>
        </w:r>
        <w:r w:rsidR="008204BD">
          <w:rPr>
            <w:noProof/>
            <w:webHidden/>
          </w:rPr>
          <w:fldChar w:fldCharType="separate"/>
        </w:r>
        <w:r w:rsidR="00FB3E93">
          <w:rPr>
            <w:noProof/>
            <w:webHidden/>
          </w:rPr>
          <w:t>202</w:t>
        </w:r>
        <w:r w:rsidR="008204BD">
          <w:rPr>
            <w:noProof/>
            <w:webHidden/>
          </w:rPr>
          <w:fldChar w:fldCharType="end"/>
        </w:r>
      </w:hyperlink>
    </w:p>
    <w:p w14:paraId="00C9A865" w14:textId="446B19B7" w:rsidR="008204BD" w:rsidRDefault="0049362F">
      <w:pPr>
        <w:pStyle w:val="TableofFigures"/>
        <w:tabs>
          <w:tab w:val="right" w:leader="dot" w:pos="9016"/>
        </w:tabs>
        <w:rPr>
          <w:rFonts w:asciiTheme="minorHAnsi" w:eastAsiaTheme="minorEastAsia" w:hAnsiTheme="minorHAnsi"/>
          <w:noProof/>
          <w:lang w:eastAsia="it-IT"/>
        </w:rPr>
      </w:pPr>
      <w:hyperlink w:anchor="_Toc64611084" w:history="1">
        <w:r w:rsidR="008204BD" w:rsidRPr="007E31A3">
          <w:rPr>
            <w:rStyle w:val="Hyperlink"/>
            <w:noProof/>
            <w:lang w:val="en-GB"/>
          </w:rPr>
          <w:t>Figure 136 - eGovernment State of Play 2019 - Country comparison between Hungary and Romania</w:t>
        </w:r>
        <w:r w:rsidR="008204BD">
          <w:rPr>
            <w:noProof/>
            <w:webHidden/>
          </w:rPr>
          <w:tab/>
        </w:r>
        <w:r w:rsidR="008204BD">
          <w:rPr>
            <w:noProof/>
            <w:webHidden/>
          </w:rPr>
          <w:fldChar w:fldCharType="begin"/>
        </w:r>
        <w:r w:rsidR="008204BD">
          <w:rPr>
            <w:noProof/>
            <w:webHidden/>
          </w:rPr>
          <w:instrText xml:space="preserve"> PAGEREF _Toc64611084 \h </w:instrText>
        </w:r>
        <w:r w:rsidR="008204BD">
          <w:rPr>
            <w:noProof/>
            <w:webHidden/>
          </w:rPr>
        </w:r>
        <w:r w:rsidR="008204BD">
          <w:rPr>
            <w:noProof/>
            <w:webHidden/>
          </w:rPr>
          <w:fldChar w:fldCharType="separate"/>
        </w:r>
        <w:r w:rsidR="00FB3E93">
          <w:rPr>
            <w:noProof/>
            <w:webHidden/>
          </w:rPr>
          <w:t>202</w:t>
        </w:r>
        <w:r w:rsidR="008204BD">
          <w:rPr>
            <w:noProof/>
            <w:webHidden/>
          </w:rPr>
          <w:fldChar w:fldCharType="end"/>
        </w:r>
      </w:hyperlink>
    </w:p>
    <w:p w14:paraId="534DE522" w14:textId="62935701" w:rsidR="008204BD" w:rsidRDefault="0049362F">
      <w:pPr>
        <w:pStyle w:val="TableofFigures"/>
        <w:tabs>
          <w:tab w:val="right" w:leader="dot" w:pos="9016"/>
        </w:tabs>
        <w:rPr>
          <w:rFonts w:asciiTheme="minorHAnsi" w:eastAsiaTheme="minorEastAsia" w:hAnsiTheme="minorHAnsi"/>
          <w:noProof/>
          <w:lang w:eastAsia="it-IT"/>
        </w:rPr>
      </w:pPr>
      <w:hyperlink r:id="rId29" w:anchor="_Toc64611085" w:history="1">
        <w:r w:rsidR="008204BD" w:rsidRPr="007E31A3">
          <w:rPr>
            <w:rStyle w:val="Hyperlink"/>
            <w:noProof/>
            <w:lang w:val="en-GB"/>
          </w:rPr>
          <w:t>Figure 137 - Figure 121 - Active LAGs in the programming area.</w:t>
        </w:r>
        <w:r w:rsidR="008204BD">
          <w:rPr>
            <w:noProof/>
            <w:webHidden/>
          </w:rPr>
          <w:tab/>
        </w:r>
        <w:r w:rsidR="008204BD">
          <w:rPr>
            <w:noProof/>
            <w:webHidden/>
          </w:rPr>
          <w:fldChar w:fldCharType="begin"/>
        </w:r>
        <w:r w:rsidR="008204BD">
          <w:rPr>
            <w:noProof/>
            <w:webHidden/>
          </w:rPr>
          <w:instrText xml:space="preserve"> PAGEREF _Toc64611085 \h </w:instrText>
        </w:r>
        <w:r w:rsidR="008204BD">
          <w:rPr>
            <w:noProof/>
            <w:webHidden/>
          </w:rPr>
        </w:r>
        <w:r w:rsidR="008204BD">
          <w:rPr>
            <w:noProof/>
            <w:webHidden/>
          </w:rPr>
          <w:fldChar w:fldCharType="separate"/>
        </w:r>
        <w:r w:rsidR="00FB3E93">
          <w:rPr>
            <w:noProof/>
            <w:webHidden/>
          </w:rPr>
          <w:t>204</w:t>
        </w:r>
        <w:r w:rsidR="008204BD">
          <w:rPr>
            <w:noProof/>
            <w:webHidden/>
          </w:rPr>
          <w:fldChar w:fldCharType="end"/>
        </w:r>
      </w:hyperlink>
    </w:p>
    <w:p w14:paraId="6E5C3D44" w14:textId="7510B088" w:rsidR="008204BD" w:rsidRDefault="0049362F">
      <w:pPr>
        <w:pStyle w:val="TableofFigures"/>
        <w:tabs>
          <w:tab w:val="right" w:leader="dot" w:pos="9016"/>
        </w:tabs>
        <w:rPr>
          <w:rFonts w:asciiTheme="minorHAnsi" w:eastAsiaTheme="minorEastAsia" w:hAnsiTheme="minorHAnsi"/>
          <w:noProof/>
          <w:lang w:eastAsia="it-IT"/>
        </w:rPr>
      </w:pPr>
      <w:hyperlink w:anchor="_Toc64611086" w:history="1">
        <w:r w:rsidR="008204BD" w:rsidRPr="007E31A3">
          <w:rPr>
            <w:rStyle w:val="Hyperlink"/>
            <w:noProof/>
            <w:lang w:val="en-GB"/>
          </w:rPr>
          <w:t>Figure 138 - Heatmaps of cooperation in European projects at NUTS3 Level overlapped for Hungary (left) and Romania (right).</w:t>
        </w:r>
        <w:r w:rsidR="008204BD">
          <w:rPr>
            <w:noProof/>
            <w:webHidden/>
          </w:rPr>
          <w:tab/>
        </w:r>
        <w:r w:rsidR="008204BD">
          <w:rPr>
            <w:noProof/>
            <w:webHidden/>
          </w:rPr>
          <w:fldChar w:fldCharType="begin"/>
        </w:r>
        <w:r w:rsidR="008204BD">
          <w:rPr>
            <w:noProof/>
            <w:webHidden/>
          </w:rPr>
          <w:instrText xml:space="preserve"> PAGEREF _Toc64611086 \h </w:instrText>
        </w:r>
        <w:r w:rsidR="008204BD">
          <w:rPr>
            <w:noProof/>
            <w:webHidden/>
          </w:rPr>
        </w:r>
        <w:r w:rsidR="008204BD">
          <w:rPr>
            <w:noProof/>
            <w:webHidden/>
          </w:rPr>
          <w:fldChar w:fldCharType="separate"/>
        </w:r>
        <w:r w:rsidR="00FB3E93">
          <w:rPr>
            <w:noProof/>
            <w:webHidden/>
          </w:rPr>
          <w:t>206</w:t>
        </w:r>
        <w:r w:rsidR="008204BD">
          <w:rPr>
            <w:noProof/>
            <w:webHidden/>
          </w:rPr>
          <w:fldChar w:fldCharType="end"/>
        </w:r>
      </w:hyperlink>
    </w:p>
    <w:p w14:paraId="63A73EEE" w14:textId="740B5E24" w:rsidR="008204BD" w:rsidRDefault="0049362F">
      <w:pPr>
        <w:pStyle w:val="TableofFigures"/>
        <w:tabs>
          <w:tab w:val="right" w:leader="dot" w:pos="9016"/>
        </w:tabs>
        <w:rPr>
          <w:rFonts w:asciiTheme="minorHAnsi" w:eastAsiaTheme="minorEastAsia" w:hAnsiTheme="minorHAnsi"/>
          <w:noProof/>
          <w:lang w:eastAsia="it-IT"/>
        </w:rPr>
      </w:pPr>
      <w:hyperlink w:anchor="_Toc64611087" w:history="1">
        <w:r w:rsidR="008204BD" w:rsidRPr="007E31A3">
          <w:rPr>
            <w:rStyle w:val="Hyperlink"/>
            <w:noProof/>
            <w:lang w:val="en-GB"/>
          </w:rPr>
          <w:t>Figure 139 - Map of EGTCs at European and macro-regional level.</w:t>
        </w:r>
        <w:r w:rsidR="008204BD">
          <w:rPr>
            <w:noProof/>
            <w:webHidden/>
          </w:rPr>
          <w:tab/>
        </w:r>
        <w:r w:rsidR="008204BD">
          <w:rPr>
            <w:noProof/>
            <w:webHidden/>
          </w:rPr>
          <w:fldChar w:fldCharType="begin"/>
        </w:r>
        <w:r w:rsidR="008204BD">
          <w:rPr>
            <w:noProof/>
            <w:webHidden/>
          </w:rPr>
          <w:instrText xml:space="preserve"> PAGEREF _Toc64611087 \h </w:instrText>
        </w:r>
        <w:r w:rsidR="008204BD">
          <w:rPr>
            <w:noProof/>
            <w:webHidden/>
          </w:rPr>
        </w:r>
        <w:r w:rsidR="008204BD">
          <w:rPr>
            <w:noProof/>
            <w:webHidden/>
          </w:rPr>
          <w:fldChar w:fldCharType="separate"/>
        </w:r>
        <w:r w:rsidR="00FB3E93">
          <w:rPr>
            <w:noProof/>
            <w:webHidden/>
          </w:rPr>
          <w:t>207</w:t>
        </w:r>
        <w:r w:rsidR="008204BD">
          <w:rPr>
            <w:noProof/>
            <w:webHidden/>
          </w:rPr>
          <w:fldChar w:fldCharType="end"/>
        </w:r>
      </w:hyperlink>
    </w:p>
    <w:p w14:paraId="22261996" w14:textId="4E004786" w:rsidR="008204BD" w:rsidRDefault="0049362F">
      <w:pPr>
        <w:pStyle w:val="TableofFigures"/>
        <w:tabs>
          <w:tab w:val="right" w:leader="dot" w:pos="9016"/>
        </w:tabs>
        <w:rPr>
          <w:rFonts w:asciiTheme="minorHAnsi" w:eastAsiaTheme="minorEastAsia" w:hAnsiTheme="minorHAnsi"/>
          <w:noProof/>
          <w:lang w:eastAsia="it-IT"/>
        </w:rPr>
      </w:pPr>
      <w:hyperlink w:anchor="_Toc64611088" w:history="1">
        <w:r w:rsidR="008204BD" w:rsidRPr="007E31A3">
          <w:rPr>
            <w:rStyle w:val="Hyperlink"/>
            <w:noProof/>
            <w:lang w:val="en-GB"/>
          </w:rPr>
          <w:t>Figure 140 - Typology of functional urban areas in border areas.</w:t>
        </w:r>
        <w:r w:rsidR="008204BD">
          <w:rPr>
            <w:noProof/>
            <w:webHidden/>
          </w:rPr>
          <w:tab/>
        </w:r>
        <w:r w:rsidR="008204BD">
          <w:rPr>
            <w:noProof/>
            <w:webHidden/>
          </w:rPr>
          <w:fldChar w:fldCharType="begin"/>
        </w:r>
        <w:r w:rsidR="008204BD">
          <w:rPr>
            <w:noProof/>
            <w:webHidden/>
          </w:rPr>
          <w:instrText xml:space="preserve"> PAGEREF _Toc64611088 \h </w:instrText>
        </w:r>
        <w:r w:rsidR="008204BD">
          <w:rPr>
            <w:noProof/>
            <w:webHidden/>
          </w:rPr>
        </w:r>
        <w:r w:rsidR="008204BD">
          <w:rPr>
            <w:noProof/>
            <w:webHidden/>
          </w:rPr>
          <w:fldChar w:fldCharType="separate"/>
        </w:r>
        <w:r w:rsidR="00FB3E93">
          <w:rPr>
            <w:noProof/>
            <w:webHidden/>
          </w:rPr>
          <w:t>217</w:t>
        </w:r>
        <w:r w:rsidR="008204BD">
          <w:rPr>
            <w:noProof/>
            <w:webHidden/>
          </w:rPr>
          <w:fldChar w:fldCharType="end"/>
        </w:r>
      </w:hyperlink>
    </w:p>
    <w:p w14:paraId="2AB06343" w14:textId="43C083FD" w:rsidR="008204BD" w:rsidRDefault="0049362F">
      <w:pPr>
        <w:pStyle w:val="TableofFigures"/>
        <w:tabs>
          <w:tab w:val="right" w:leader="dot" w:pos="9016"/>
        </w:tabs>
        <w:rPr>
          <w:rFonts w:asciiTheme="minorHAnsi" w:eastAsiaTheme="minorEastAsia" w:hAnsiTheme="minorHAnsi"/>
          <w:noProof/>
          <w:lang w:eastAsia="it-IT"/>
        </w:rPr>
      </w:pPr>
      <w:hyperlink w:anchor="_Toc64611089" w:history="1">
        <w:r w:rsidR="008204BD" w:rsidRPr="007E31A3">
          <w:rPr>
            <w:rStyle w:val="Hyperlink"/>
            <w:noProof/>
            <w:lang w:val="en-GB"/>
          </w:rPr>
          <w:t>Figure 141 - Cross-border urban connectivity in European context.</w:t>
        </w:r>
        <w:r w:rsidR="008204BD">
          <w:rPr>
            <w:noProof/>
            <w:webHidden/>
          </w:rPr>
          <w:tab/>
        </w:r>
        <w:r w:rsidR="008204BD">
          <w:rPr>
            <w:noProof/>
            <w:webHidden/>
          </w:rPr>
          <w:fldChar w:fldCharType="begin"/>
        </w:r>
        <w:r w:rsidR="008204BD">
          <w:rPr>
            <w:noProof/>
            <w:webHidden/>
          </w:rPr>
          <w:instrText xml:space="preserve"> PAGEREF _Toc64611089 \h </w:instrText>
        </w:r>
        <w:r w:rsidR="008204BD">
          <w:rPr>
            <w:noProof/>
            <w:webHidden/>
          </w:rPr>
        </w:r>
        <w:r w:rsidR="008204BD">
          <w:rPr>
            <w:noProof/>
            <w:webHidden/>
          </w:rPr>
          <w:fldChar w:fldCharType="separate"/>
        </w:r>
        <w:r w:rsidR="00FB3E93">
          <w:rPr>
            <w:noProof/>
            <w:webHidden/>
          </w:rPr>
          <w:t>218</w:t>
        </w:r>
        <w:r w:rsidR="008204BD">
          <w:rPr>
            <w:noProof/>
            <w:webHidden/>
          </w:rPr>
          <w:fldChar w:fldCharType="end"/>
        </w:r>
      </w:hyperlink>
    </w:p>
    <w:p w14:paraId="4BDCDE07" w14:textId="18052B6C" w:rsidR="008204BD" w:rsidRDefault="0049362F">
      <w:pPr>
        <w:pStyle w:val="TableofFigures"/>
        <w:tabs>
          <w:tab w:val="right" w:leader="dot" w:pos="9016"/>
        </w:tabs>
        <w:rPr>
          <w:rFonts w:asciiTheme="minorHAnsi" w:eastAsiaTheme="minorEastAsia" w:hAnsiTheme="minorHAnsi"/>
          <w:noProof/>
          <w:lang w:eastAsia="it-IT"/>
        </w:rPr>
      </w:pPr>
      <w:hyperlink w:anchor="_Toc64611090" w:history="1">
        <w:r w:rsidR="008204BD" w:rsidRPr="007E31A3">
          <w:rPr>
            <w:rStyle w:val="Hyperlink"/>
            <w:noProof/>
            <w:lang w:val="en-GB"/>
          </w:rPr>
          <w:t>Figure 142 - High density urban clusters and potential cross-border functional areas.</w:t>
        </w:r>
        <w:r w:rsidR="008204BD">
          <w:rPr>
            <w:noProof/>
            <w:webHidden/>
          </w:rPr>
          <w:tab/>
        </w:r>
        <w:r w:rsidR="008204BD">
          <w:rPr>
            <w:noProof/>
            <w:webHidden/>
          </w:rPr>
          <w:fldChar w:fldCharType="begin"/>
        </w:r>
        <w:r w:rsidR="008204BD">
          <w:rPr>
            <w:noProof/>
            <w:webHidden/>
          </w:rPr>
          <w:instrText xml:space="preserve"> PAGEREF _Toc64611090 \h </w:instrText>
        </w:r>
        <w:r w:rsidR="008204BD">
          <w:rPr>
            <w:noProof/>
            <w:webHidden/>
          </w:rPr>
        </w:r>
        <w:r w:rsidR="008204BD">
          <w:rPr>
            <w:noProof/>
            <w:webHidden/>
          </w:rPr>
          <w:fldChar w:fldCharType="separate"/>
        </w:r>
        <w:r w:rsidR="00FB3E93">
          <w:rPr>
            <w:noProof/>
            <w:webHidden/>
          </w:rPr>
          <w:t>220</w:t>
        </w:r>
        <w:r w:rsidR="008204BD">
          <w:rPr>
            <w:noProof/>
            <w:webHidden/>
          </w:rPr>
          <w:fldChar w:fldCharType="end"/>
        </w:r>
      </w:hyperlink>
    </w:p>
    <w:p w14:paraId="733E8077" w14:textId="0061B065" w:rsidR="008204BD" w:rsidRDefault="0049362F">
      <w:pPr>
        <w:pStyle w:val="TableofFigures"/>
        <w:tabs>
          <w:tab w:val="right" w:leader="dot" w:pos="9016"/>
        </w:tabs>
        <w:rPr>
          <w:rFonts w:asciiTheme="minorHAnsi" w:eastAsiaTheme="minorEastAsia" w:hAnsiTheme="minorHAnsi"/>
          <w:noProof/>
          <w:lang w:eastAsia="it-IT"/>
        </w:rPr>
      </w:pPr>
      <w:hyperlink w:anchor="_Toc64611091" w:history="1">
        <w:r w:rsidR="008204BD" w:rsidRPr="007E31A3">
          <w:rPr>
            <w:rStyle w:val="Hyperlink"/>
            <w:noProof/>
            <w:lang w:val="en-GB"/>
          </w:rPr>
          <w:t>Figure 143 - Competitiveness endowments: International airports and public universities, by catchment area and size.</w:t>
        </w:r>
        <w:r w:rsidR="008204BD">
          <w:rPr>
            <w:noProof/>
            <w:webHidden/>
          </w:rPr>
          <w:tab/>
        </w:r>
        <w:r w:rsidR="008204BD">
          <w:rPr>
            <w:noProof/>
            <w:webHidden/>
          </w:rPr>
          <w:fldChar w:fldCharType="begin"/>
        </w:r>
        <w:r w:rsidR="008204BD">
          <w:rPr>
            <w:noProof/>
            <w:webHidden/>
          </w:rPr>
          <w:instrText xml:space="preserve"> PAGEREF _Toc64611091 \h </w:instrText>
        </w:r>
        <w:r w:rsidR="008204BD">
          <w:rPr>
            <w:noProof/>
            <w:webHidden/>
          </w:rPr>
        </w:r>
        <w:r w:rsidR="008204BD">
          <w:rPr>
            <w:noProof/>
            <w:webHidden/>
          </w:rPr>
          <w:fldChar w:fldCharType="separate"/>
        </w:r>
        <w:r w:rsidR="00FB3E93">
          <w:rPr>
            <w:noProof/>
            <w:webHidden/>
          </w:rPr>
          <w:t>221</w:t>
        </w:r>
        <w:r w:rsidR="008204BD">
          <w:rPr>
            <w:noProof/>
            <w:webHidden/>
          </w:rPr>
          <w:fldChar w:fldCharType="end"/>
        </w:r>
      </w:hyperlink>
    </w:p>
    <w:p w14:paraId="3FD351D6" w14:textId="53859B0D" w:rsidR="008204BD" w:rsidRDefault="0049362F">
      <w:pPr>
        <w:pStyle w:val="TableofFigures"/>
        <w:tabs>
          <w:tab w:val="right" w:leader="dot" w:pos="9016"/>
        </w:tabs>
        <w:rPr>
          <w:rFonts w:asciiTheme="minorHAnsi" w:eastAsiaTheme="minorEastAsia" w:hAnsiTheme="minorHAnsi"/>
          <w:noProof/>
          <w:lang w:eastAsia="it-IT"/>
        </w:rPr>
      </w:pPr>
      <w:hyperlink w:anchor="_Toc64611092" w:history="1">
        <w:r w:rsidR="008204BD" w:rsidRPr="007E31A3">
          <w:rPr>
            <w:rStyle w:val="Hyperlink"/>
            <w:noProof/>
            <w:lang w:val="en-GB"/>
          </w:rPr>
          <w:t>Figure 144 - Disadvantaged border areas and inner peripheries.</w:t>
        </w:r>
        <w:r w:rsidR="008204BD">
          <w:rPr>
            <w:noProof/>
            <w:webHidden/>
          </w:rPr>
          <w:tab/>
        </w:r>
        <w:r w:rsidR="008204BD">
          <w:rPr>
            <w:noProof/>
            <w:webHidden/>
          </w:rPr>
          <w:fldChar w:fldCharType="begin"/>
        </w:r>
        <w:r w:rsidR="008204BD">
          <w:rPr>
            <w:noProof/>
            <w:webHidden/>
          </w:rPr>
          <w:instrText xml:space="preserve"> PAGEREF _Toc64611092 \h </w:instrText>
        </w:r>
        <w:r w:rsidR="008204BD">
          <w:rPr>
            <w:noProof/>
            <w:webHidden/>
          </w:rPr>
        </w:r>
        <w:r w:rsidR="008204BD">
          <w:rPr>
            <w:noProof/>
            <w:webHidden/>
          </w:rPr>
          <w:fldChar w:fldCharType="separate"/>
        </w:r>
        <w:r w:rsidR="00FB3E93">
          <w:rPr>
            <w:noProof/>
            <w:webHidden/>
          </w:rPr>
          <w:t>222</w:t>
        </w:r>
        <w:r w:rsidR="008204BD">
          <w:rPr>
            <w:noProof/>
            <w:webHidden/>
          </w:rPr>
          <w:fldChar w:fldCharType="end"/>
        </w:r>
      </w:hyperlink>
    </w:p>
    <w:p w14:paraId="28F75B48" w14:textId="7D797C7B" w:rsidR="008204BD" w:rsidRDefault="0049362F">
      <w:pPr>
        <w:pStyle w:val="TableofFigures"/>
        <w:tabs>
          <w:tab w:val="right" w:leader="dot" w:pos="9016"/>
        </w:tabs>
        <w:rPr>
          <w:rFonts w:asciiTheme="minorHAnsi" w:eastAsiaTheme="minorEastAsia" w:hAnsiTheme="minorHAnsi"/>
          <w:noProof/>
          <w:lang w:eastAsia="it-IT"/>
        </w:rPr>
      </w:pPr>
      <w:hyperlink w:anchor="_Toc64611093" w:history="1">
        <w:r w:rsidR="008204BD" w:rsidRPr="007E31A3">
          <w:rPr>
            <w:rStyle w:val="Hyperlink"/>
            <w:noProof/>
            <w:lang w:val="en-GB"/>
          </w:rPr>
          <w:t>Figure 145 - Areas with low access to main and secondary urban centers and afferent services</w:t>
        </w:r>
        <w:r w:rsidR="008204BD">
          <w:rPr>
            <w:noProof/>
            <w:webHidden/>
          </w:rPr>
          <w:tab/>
        </w:r>
        <w:r w:rsidR="008204BD">
          <w:rPr>
            <w:noProof/>
            <w:webHidden/>
          </w:rPr>
          <w:fldChar w:fldCharType="begin"/>
        </w:r>
        <w:r w:rsidR="008204BD">
          <w:rPr>
            <w:noProof/>
            <w:webHidden/>
          </w:rPr>
          <w:instrText xml:space="preserve"> PAGEREF _Toc64611093 \h </w:instrText>
        </w:r>
        <w:r w:rsidR="008204BD">
          <w:rPr>
            <w:noProof/>
            <w:webHidden/>
          </w:rPr>
        </w:r>
        <w:r w:rsidR="008204BD">
          <w:rPr>
            <w:noProof/>
            <w:webHidden/>
          </w:rPr>
          <w:fldChar w:fldCharType="separate"/>
        </w:r>
        <w:r w:rsidR="00FB3E93">
          <w:rPr>
            <w:noProof/>
            <w:webHidden/>
          </w:rPr>
          <w:t>223</w:t>
        </w:r>
        <w:r w:rsidR="008204BD">
          <w:rPr>
            <w:noProof/>
            <w:webHidden/>
          </w:rPr>
          <w:fldChar w:fldCharType="end"/>
        </w:r>
      </w:hyperlink>
    </w:p>
    <w:p w14:paraId="34759925" w14:textId="5A1E19BA" w:rsidR="008204BD" w:rsidRDefault="0049362F">
      <w:pPr>
        <w:pStyle w:val="TableofFigures"/>
        <w:tabs>
          <w:tab w:val="right" w:leader="dot" w:pos="9016"/>
        </w:tabs>
        <w:rPr>
          <w:rFonts w:asciiTheme="minorHAnsi" w:eastAsiaTheme="minorEastAsia" w:hAnsiTheme="minorHAnsi"/>
          <w:noProof/>
          <w:lang w:eastAsia="it-IT"/>
        </w:rPr>
      </w:pPr>
      <w:hyperlink w:anchor="_Toc64611094" w:history="1">
        <w:r w:rsidR="008204BD" w:rsidRPr="007E31A3">
          <w:rPr>
            <w:rStyle w:val="Hyperlink"/>
            <w:noProof/>
            <w:lang w:val="en-GB"/>
          </w:rPr>
          <w:t>Figure 146 - Natural assets and potentials in rural depopulating and low-density areas</w:t>
        </w:r>
        <w:r w:rsidR="008204BD">
          <w:rPr>
            <w:noProof/>
            <w:webHidden/>
          </w:rPr>
          <w:tab/>
        </w:r>
        <w:r w:rsidR="008204BD">
          <w:rPr>
            <w:noProof/>
            <w:webHidden/>
          </w:rPr>
          <w:fldChar w:fldCharType="begin"/>
        </w:r>
        <w:r w:rsidR="008204BD">
          <w:rPr>
            <w:noProof/>
            <w:webHidden/>
          </w:rPr>
          <w:instrText xml:space="preserve"> PAGEREF _Toc64611094 \h </w:instrText>
        </w:r>
        <w:r w:rsidR="008204BD">
          <w:rPr>
            <w:noProof/>
            <w:webHidden/>
          </w:rPr>
        </w:r>
        <w:r w:rsidR="008204BD">
          <w:rPr>
            <w:noProof/>
            <w:webHidden/>
          </w:rPr>
          <w:fldChar w:fldCharType="separate"/>
        </w:r>
        <w:r w:rsidR="00FB3E93">
          <w:rPr>
            <w:noProof/>
            <w:webHidden/>
          </w:rPr>
          <w:t>224</w:t>
        </w:r>
        <w:r w:rsidR="008204BD">
          <w:rPr>
            <w:noProof/>
            <w:webHidden/>
          </w:rPr>
          <w:fldChar w:fldCharType="end"/>
        </w:r>
      </w:hyperlink>
    </w:p>
    <w:p w14:paraId="1E80FEEE" w14:textId="26407AA3" w:rsidR="008204BD" w:rsidRDefault="0049362F">
      <w:pPr>
        <w:pStyle w:val="TableofFigures"/>
        <w:tabs>
          <w:tab w:val="right" w:leader="dot" w:pos="9016"/>
        </w:tabs>
        <w:rPr>
          <w:rFonts w:asciiTheme="minorHAnsi" w:eastAsiaTheme="minorEastAsia" w:hAnsiTheme="minorHAnsi"/>
          <w:noProof/>
          <w:lang w:eastAsia="it-IT"/>
        </w:rPr>
      </w:pPr>
      <w:hyperlink w:anchor="_Toc64611095" w:history="1">
        <w:r w:rsidR="008204BD" w:rsidRPr="007E31A3">
          <w:rPr>
            <w:rStyle w:val="Hyperlink"/>
            <w:noProof/>
            <w:lang w:val="en-GB"/>
          </w:rPr>
          <w:t>Figure 147 - Cross-border corridors and potentials in national territorial development concepts.</w:t>
        </w:r>
        <w:r w:rsidR="008204BD">
          <w:rPr>
            <w:noProof/>
            <w:webHidden/>
          </w:rPr>
          <w:tab/>
        </w:r>
        <w:r w:rsidR="008204BD">
          <w:rPr>
            <w:noProof/>
            <w:webHidden/>
          </w:rPr>
          <w:fldChar w:fldCharType="begin"/>
        </w:r>
        <w:r w:rsidR="008204BD">
          <w:rPr>
            <w:noProof/>
            <w:webHidden/>
          </w:rPr>
          <w:instrText xml:space="preserve"> PAGEREF _Toc64611095 \h </w:instrText>
        </w:r>
        <w:r w:rsidR="008204BD">
          <w:rPr>
            <w:noProof/>
            <w:webHidden/>
          </w:rPr>
        </w:r>
        <w:r w:rsidR="008204BD">
          <w:rPr>
            <w:noProof/>
            <w:webHidden/>
          </w:rPr>
          <w:fldChar w:fldCharType="separate"/>
        </w:r>
        <w:r w:rsidR="00FB3E93">
          <w:rPr>
            <w:noProof/>
            <w:webHidden/>
          </w:rPr>
          <w:t>225</w:t>
        </w:r>
        <w:r w:rsidR="008204BD">
          <w:rPr>
            <w:noProof/>
            <w:webHidden/>
          </w:rPr>
          <w:fldChar w:fldCharType="end"/>
        </w:r>
      </w:hyperlink>
    </w:p>
    <w:p w14:paraId="55C0A5CF" w14:textId="25298A0D" w:rsidR="008204BD" w:rsidRDefault="0049362F">
      <w:pPr>
        <w:pStyle w:val="TableofFigures"/>
        <w:tabs>
          <w:tab w:val="right" w:leader="dot" w:pos="9016"/>
        </w:tabs>
        <w:rPr>
          <w:rFonts w:asciiTheme="minorHAnsi" w:eastAsiaTheme="minorEastAsia" w:hAnsiTheme="minorHAnsi"/>
          <w:noProof/>
          <w:lang w:eastAsia="it-IT"/>
        </w:rPr>
      </w:pPr>
      <w:hyperlink w:anchor="_Toc64611096" w:history="1">
        <w:r w:rsidR="008204BD" w:rsidRPr="007E31A3">
          <w:rPr>
            <w:rStyle w:val="Hyperlink"/>
            <w:noProof/>
            <w:lang w:val="en-GB"/>
          </w:rPr>
          <w:t>Figure 148 - Cross-border cooperation hotspot areas in the programme area</w:t>
        </w:r>
        <w:r w:rsidR="008204BD">
          <w:rPr>
            <w:noProof/>
            <w:webHidden/>
          </w:rPr>
          <w:tab/>
        </w:r>
        <w:r w:rsidR="008204BD">
          <w:rPr>
            <w:noProof/>
            <w:webHidden/>
          </w:rPr>
          <w:fldChar w:fldCharType="begin"/>
        </w:r>
        <w:r w:rsidR="008204BD">
          <w:rPr>
            <w:noProof/>
            <w:webHidden/>
          </w:rPr>
          <w:instrText xml:space="preserve"> PAGEREF _Toc64611096 \h </w:instrText>
        </w:r>
        <w:r w:rsidR="008204BD">
          <w:rPr>
            <w:noProof/>
            <w:webHidden/>
          </w:rPr>
        </w:r>
        <w:r w:rsidR="008204BD">
          <w:rPr>
            <w:noProof/>
            <w:webHidden/>
          </w:rPr>
          <w:fldChar w:fldCharType="separate"/>
        </w:r>
        <w:r w:rsidR="00FB3E93">
          <w:rPr>
            <w:noProof/>
            <w:webHidden/>
          </w:rPr>
          <w:t>226</w:t>
        </w:r>
        <w:r w:rsidR="008204BD">
          <w:rPr>
            <w:noProof/>
            <w:webHidden/>
          </w:rPr>
          <w:fldChar w:fldCharType="end"/>
        </w:r>
      </w:hyperlink>
    </w:p>
    <w:p w14:paraId="5AA5DCA0" w14:textId="6B33B691" w:rsidR="008204BD" w:rsidRDefault="0049362F">
      <w:pPr>
        <w:pStyle w:val="TableofFigures"/>
        <w:tabs>
          <w:tab w:val="right" w:leader="dot" w:pos="9016"/>
        </w:tabs>
        <w:rPr>
          <w:rFonts w:asciiTheme="minorHAnsi" w:eastAsiaTheme="minorEastAsia" w:hAnsiTheme="minorHAnsi"/>
          <w:noProof/>
          <w:lang w:eastAsia="it-IT"/>
        </w:rPr>
      </w:pPr>
      <w:hyperlink r:id="rId30" w:anchor="_Toc64611097" w:history="1">
        <w:r w:rsidR="008204BD" w:rsidRPr="007E31A3">
          <w:rPr>
            <w:rStyle w:val="Hyperlink"/>
            <w:noProof/>
            <w:lang w:val="en-US"/>
          </w:rPr>
          <w:t>Figure 149 - Theoretical hinterlands of main urban centers</w:t>
        </w:r>
        <w:r w:rsidR="008204BD">
          <w:rPr>
            <w:noProof/>
            <w:webHidden/>
          </w:rPr>
          <w:tab/>
        </w:r>
        <w:r w:rsidR="008204BD">
          <w:rPr>
            <w:noProof/>
            <w:webHidden/>
          </w:rPr>
          <w:fldChar w:fldCharType="begin"/>
        </w:r>
        <w:r w:rsidR="008204BD">
          <w:rPr>
            <w:noProof/>
            <w:webHidden/>
          </w:rPr>
          <w:instrText xml:space="preserve"> PAGEREF _Toc64611097 \h </w:instrText>
        </w:r>
        <w:r w:rsidR="008204BD">
          <w:rPr>
            <w:noProof/>
            <w:webHidden/>
          </w:rPr>
        </w:r>
        <w:r w:rsidR="008204BD">
          <w:rPr>
            <w:noProof/>
            <w:webHidden/>
          </w:rPr>
          <w:fldChar w:fldCharType="separate"/>
        </w:r>
        <w:r w:rsidR="00FB3E93">
          <w:rPr>
            <w:noProof/>
            <w:webHidden/>
          </w:rPr>
          <w:t>227</w:t>
        </w:r>
        <w:r w:rsidR="008204BD">
          <w:rPr>
            <w:noProof/>
            <w:webHidden/>
          </w:rPr>
          <w:fldChar w:fldCharType="end"/>
        </w:r>
      </w:hyperlink>
    </w:p>
    <w:p w14:paraId="280DCB94" w14:textId="3F5D788F" w:rsidR="008204BD" w:rsidRDefault="0049362F">
      <w:pPr>
        <w:pStyle w:val="TableofFigures"/>
        <w:tabs>
          <w:tab w:val="right" w:leader="dot" w:pos="9016"/>
        </w:tabs>
        <w:rPr>
          <w:rFonts w:asciiTheme="minorHAnsi" w:eastAsiaTheme="minorEastAsia" w:hAnsiTheme="minorHAnsi"/>
          <w:noProof/>
          <w:lang w:eastAsia="it-IT"/>
        </w:rPr>
      </w:pPr>
      <w:hyperlink w:anchor="_Toc64611098" w:history="1">
        <w:r w:rsidR="008204BD" w:rsidRPr="007E31A3">
          <w:rPr>
            <w:rStyle w:val="Hyperlink"/>
            <w:noProof/>
            <w:lang w:val="en-GB"/>
          </w:rPr>
          <w:t>Figure 150 - Isochrone map 30min and 60min for main urban centers</w:t>
        </w:r>
        <w:r w:rsidR="008204BD">
          <w:rPr>
            <w:noProof/>
            <w:webHidden/>
          </w:rPr>
          <w:tab/>
        </w:r>
        <w:r w:rsidR="008204BD">
          <w:rPr>
            <w:noProof/>
            <w:webHidden/>
          </w:rPr>
          <w:fldChar w:fldCharType="begin"/>
        </w:r>
        <w:r w:rsidR="008204BD">
          <w:rPr>
            <w:noProof/>
            <w:webHidden/>
          </w:rPr>
          <w:instrText xml:space="preserve"> PAGEREF _Toc64611098 \h </w:instrText>
        </w:r>
        <w:r w:rsidR="008204BD">
          <w:rPr>
            <w:noProof/>
            <w:webHidden/>
          </w:rPr>
        </w:r>
        <w:r w:rsidR="008204BD">
          <w:rPr>
            <w:noProof/>
            <w:webHidden/>
          </w:rPr>
          <w:fldChar w:fldCharType="separate"/>
        </w:r>
        <w:r w:rsidR="00FB3E93">
          <w:rPr>
            <w:noProof/>
            <w:webHidden/>
          </w:rPr>
          <w:t>228</w:t>
        </w:r>
        <w:r w:rsidR="008204BD">
          <w:rPr>
            <w:noProof/>
            <w:webHidden/>
          </w:rPr>
          <w:fldChar w:fldCharType="end"/>
        </w:r>
      </w:hyperlink>
    </w:p>
    <w:p w14:paraId="3447C45C" w14:textId="58632BB3" w:rsidR="008204BD" w:rsidRDefault="0049362F">
      <w:pPr>
        <w:pStyle w:val="TableofFigures"/>
        <w:tabs>
          <w:tab w:val="right" w:leader="dot" w:pos="9016"/>
        </w:tabs>
        <w:rPr>
          <w:rFonts w:asciiTheme="minorHAnsi" w:eastAsiaTheme="minorEastAsia" w:hAnsiTheme="minorHAnsi"/>
          <w:noProof/>
          <w:lang w:eastAsia="it-IT"/>
        </w:rPr>
      </w:pPr>
      <w:hyperlink w:anchor="_Toc64611099" w:history="1">
        <w:r w:rsidR="008204BD" w:rsidRPr="007E31A3">
          <w:rPr>
            <w:rStyle w:val="Hyperlink"/>
            <w:noProof/>
            <w:lang w:val="en-GB"/>
          </w:rPr>
          <w:t>Figure 151 – Public functions (local relevance) score distribution map</w:t>
        </w:r>
        <w:r w:rsidR="008204BD">
          <w:rPr>
            <w:noProof/>
            <w:webHidden/>
          </w:rPr>
          <w:tab/>
        </w:r>
        <w:r w:rsidR="008204BD">
          <w:rPr>
            <w:noProof/>
            <w:webHidden/>
          </w:rPr>
          <w:fldChar w:fldCharType="begin"/>
        </w:r>
        <w:r w:rsidR="008204BD">
          <w:rPr>
            <w:noProof/>
            <w:webHidden/>
          </w:rPr>
          <w:instrText xml:space="preserve"> PAGEREF _Toc64611099 \h </w:instrText>
        </w:r>
        <w:r w:rsidR="008204BD">
          <w:rPr>
            <w:noProof/>
            <w:webHidden/>
          </w:rPr>
        </w:r>
        <w:r w:rsidR="008204BD">
          <w:rPr>
            <w:noProof/>
            <w:webHidden/>
          </w:rPr>
          <w:fldChar w:fldCharType="separate"/>
        </w:r>
        <w:r w:rsidR="00FB3E93">
          <w:rPr>
            <w:noProof/>
            <w:webHidden/>
          </w:rPr>
          <w:t>230</w:t>
        </w:r>
        <w:r w:rsidR="008204BD">
          <w:rPr>
            <w:noProof/>
            <w:webHidden/>
          </w:rPr>
          <w:fldChar w:fldCharType="end"/>
        </w:r>
      </w:hyperlink>
    </w:p>
    <w:p w14:paraId="4044BDDC" w14:textId="0E1D10ED" w:rsidR="008204BD" w:rsidRDefault="0049362F">
      <w:pPr>
        <w:pStyle w:val="TableofFigures"/>
        <w:tabs>
          <w:tab w:val="right" w:leader="dot" w:pos="9016"/>
        </w:tabs>
        <w:rPr>
          <w:rFonts w:asciiTheme="minorHAnsi" w:eastAsiaTheme="minorEastAsia" w:hAnsiTheme="minorHAnsi"/>
          <w:noProof/>
          <w:lang w:eastAsia="it-IT"/>
        </w:rPr>
      </w:pPr>
      <w:hyperlink w:anchor="_Toc64611100" w:history="1">
        <w:r w:rsidR="008204BD" w:rsidRPr="007E31A3">
          <w:rPr>
            <w:rStyle w:val="Hyperlink"/>
            <w:noProof/>
            <w:lang w:val="en-GB"/>
          </w:rPr>
          <w:t>Figure 152 – Free-time public functions score distribution map</w:t>
        </w:r>
        <w:r w:rsidR="008204BD">
          <w:rPr>
            <w:noProof/>
            <w:webHidden/>
          </w:rPr>
          <w:tab/>
        </w:r>
        <w:r w:rsidR="008204BD">
          <w:rPr>
            <w:noProof/>
            <w:webHidden/>
          </w:rPr>
          <w:fldChar w:fldCharType="begin"/>
        </w:r>
        <w:r w:rsidR="008204BD">
          <w:rPr>
            <w:noProof/>
            <w:webHidden/>
          </w:rPr>
          <w:instrText xml:space="preserve"> PAGEREF _Toc64611100 \h </w:instrText>
        </w:r>
        <w:r w:rsidR="008204BD">
          <w:rPr>
            <w:noProof/>
            <w:webHidden/>
          </w:rPr>
        </w:r>
        <w:r w:rsidR="008204BD">
          <w:rPr>
            <w:noProof/>
            <w:webHidden/>
          </w:rPr>
          <w:fldChar w:fldCharType="separate"/>
        </w:r>
        <w:r w:rsidR="00FB3E93">
          <w:rPr>
            <w:noProof/>
            <w:webHidden/>
          </w:rPr>
          <w:t>231</w:t>
        </w:r>
        <w:r w:rsidR="008204BD">
          <w:rPr>
            <w:noProof/>
            <w:webHidden/>
          </w:rPr>
          <w:fldChar w:fldCharType="end"/>
        </w:r>
      </w:hyperlink>
    </w:p>
    <w:p w14:paraId="283482DB" w14:textId="1F60CDD5" w:rsidR="008204BD" w:rsidRDefault="0049362F">
      <w:pPr>
        <w:pStyle w:val="TableofFigures"/>
        <w:tabs>
          <w:tab w:val="right" w:leader="dot" w:pos="9016"/>
        </w:tabs>
        <w:rPr>
          <w:rFonts w:asciiTheme="minorHAnsi" w:eastAsiaTheme="minorEastAsia" w:hAnsiTheme="minorHAnsi"/>
          <w:noProof/>
          <w:lang w:eastAsia="it-IT"/>
        </w:rPr>
      </w:pPr>
      <w:hyperlink w:anchor="_Toc64611101" w:history="1">
        <w:r w:rsidR="008204BD" w:rsidRPr="007E31A3">
          <w:rPr>
            <w:rStyle w:val="Hyperlink"/>
            <w:noProof/>
            <w:lang w:val="en-GB"/>
          </w:rPr>
          <w:t>Figure 153 - Touristic functions and amenities</w:t>
        </w:r>
        <w:r w:rsidR="008204BD">
          <w:rPr>
            <w:noProof/>
            <w:webHidden/>
          </w:rPr>
          <w:tab/>
        </w:r>
        <w:r w:rsidR="008204BD">
          <w:rPr>
            <w:noProof/>
            <w:webHidden/>
          </w:rPr>
          <w:fldChar w:fldCharType="begin"/>
        </w:r>
        <w:r w:rsidR="008204BD">
          <w:rPr>
            <w:noProof/>
            <w:webHidden/>
          </w:rPr>
          <w:instrText xml:space="preserve"> PAGEREF _Toc64611101 \h </w:instrText>
        </w:r>
        <w:r w:rsidR="008204BD">
          <w:rPr>
            <w:noProof/>
            <w:webHidden/>
          </w:rPr>
        </w:r>
        <w:r w:rsidR="008204BD">
          <w:rPr>
            <w:noProof/>
            <w:webHidden/>
          </w:rPr>
          <w:fldChar w:fldCharType="separate"/>
        </w:r>
        <w:r w:rsidR="00FB3E93">
          <w:rPr>
            <w:noProof/>
            <w:webHidden/>
          </w:rPr>
          <w:t>232</w:t>
        </w:r>
        <w:r w:rsidR="008204BD">
          <w:rPr>
            <w:noProof/>
            <w:webHidden/>
          </w:rPr>
          <w:fldChar w:fldCharType="end"/>
        </w:r>
      </w:hyperlink>
    </w:p>
    <w:p w14:paraId="018CCE8C" w14:textId="2A221C59" w:rsidR="008204BD" w:rsidRDefault="0049362F">
      <w:pPr>
        <w:pStyle w:val="TableofFigures"/>
        <w:tabs>
          <w:tab w:val="right" w:leader="dot" w:pos="9016"/>
        </w:tabs>
        <w:rPr>
          <w:rFonts w:asciiTheme="minorHAnsi" w:eastAsiaTheme="minorEastAsia" w:hAnsiTheme="minorHAnsi"/>
          <w:noProof/>
          <w:lang w:eastAsia="it-IT"/>
        </w:rPr>
      </w:pPr>
      <w:hyperlink w:anchor="_Toc64611102" w:history="1">
        <w:r w:rsidR="008204BD" w:rsidRPr="007E31A3">
          <w:rPr>
            <w:rStyle w:val="Hyperlink"/>
            <w:noProof/>
            <w:lang w:val="en-GB"/>
          </w:rPr>
          <w:t>Figure 154 – Public functions Synthesis total score distribution map</w:t>
        </w:r>
        <w:r w:rsidR="008204BD">
          <w:rPr>
            <w:noProof/>
            <w:webHidden/>
          </w:rPr>
          <w:tab/>
        </w:r>
        <w:r w:rsidR="008204BD">
          <w:rPr>
            <w:noProof/>
            <w:webHidden/>
          </w:rPr>
          <w:fldChar w:fldCharType="begin"/>
        </w:r>
        <w:r w:rsidR="008204BD">
          <w:rPr>
            <w:noProof/>
            <w:webHidden/>
          </w:rPr>
          <w:instrText xml:space="preserve"> PAGEREF _Toc64611102 \h </w:instrText>
        </w:r>
        <w:r w:rsidR="008204BD">
          <w:rPr>
            <w:noProof/>
            <w:webHidden/>
          </w:rPr>
        </w:r>
        <w:r w:rsidR="008204BD">
          <w:rPr>
            <w:noProof/>
            <w:webHidden/>
          </w:rPr>
          <w:fldChar w:fldCharType="separate"/>
        </w:r>
        <w:r w:rsidR="00FB3E93">
          <w:rPr>
            <w:noProof/>
            <w:webHidden/>
          </w:rPr>
          <w:t>233</w:t>
        </w:r>
        <w:r w:rsidR="008204BD">
          <w:rPr>
            <w:noProof/>
            <w:webHidden/>
          </w:rPr>
          <w:fldChar w:fldCharType="end"/>
        </w:r>
      </w:hyperlink>
    </w:p>
    <w:p w14:paraId="11DC932D" w14:textId="7D44E000" w:rsidR="008204BD" w:rsidRDefault="0049362F">
      <w:pPr>
        <w:pStyle w:val="TableofFigures"/>
        <w:tabs>
          <w:tab w:val="right" w:leader="dot" w:pos="9016"/>
        </w:tabs>
        <w:rPr>
          <w:rFonts w:asciiTheme="minorHAnsi" w:eastAsiaTheme="minorEastAsia" w:hAnsiTheme="minorHAnsi"/>
          <w:noProof/>
          <w:lang w:eastAsia="it-IT"/>
        </w:rPr>
      </w:pPr>
      <w:hyperlink w:anchor="_Toc64611103" w:history="1">
        <w:r w:rsidR="008204BD" w:rsidRPr="007E31A3">
          <w:rPr>
            <w:rStyle w:val="Hyperlink"/>
            <w:noProof/>
            <w:lang w:val="en-GB"/>
          </w:rPr>
          <w:t>Figure 155 - Cross-border polycentricity and territorial integration potential of FUAs</w:t>
        </w:r>
        <w:r w:rsidR="008204BD">
          <w:rPr>
            <w:noProof/>
            <w:webHidden/>
          </w:rPr>
          <w:tab/>
        </w:r>
        <w:r w:rsidR="008204BD">
          <w:rPr>
            <w:noProof/>
            <w:webHidden/>
          </w:rPr>
          <w:fldChar w:fldCharType="begin"/>
        </w:r>
        <w:r w:rsidR="008204BD">
          <w:rPr>
            <w:noProof/>
            <w:webHidden/>
          </w:rPr>
          <w:instrText xml:space="preserve"> PAGEREF _Toc64611103 \h </w:instrText>
        </w:r>
        <w:r w:rsidR="008204BD">
          <w:rPr>
            <w:noProof/>
            <w:webHidden/>
          </w:rPr>
        </w:r>
        <w:r w:rsidR="008204BD">
          <w:rPr>
            <w:noProof/>
            <w:webHidden/>
          </w:rPr>
          <w:fldChar w:fldCharType="separate"/>
        </w:r>
        <w:r w:rsidR="00FB3E93">
          <w:rPr>
            <w:noProof/>
            <w:webHidden/>
          </w:rPr>
          <w:t>235</w:t>
        </w:r>
        <w:r w:rsidR="008204BD">
          <w:rPr>
            <w:noProof/>
            <w:webHidden/>
          </w:rPr>
          <w:fldChar w:fldCharType="end"/>
        </w:r>
      </w:hyperlink>
    </w:p>
    <w:p w14:paraId="00724D42" w14:textId="5606CF4F" w:rsidR="00A34C1A" w:rsidRPr="00053F25" w:rsidRDefault="00E136EC" w:rsidP="007273BC">
      <w:pPr>
        <w:pStyle w:val="nova-e-listitem"/>
        <w:rPr>
          <w:sz w:val="20"/>
          <w:szCs w:val="20"/>
        </w:rPr>
      </w:pPr>
      <w:r w:rsidRPr="00053F25">
        <w:rPr>
          <w:sz w:val="20"/>
          <w:szCs w:val="20"/>
        </w:rPr>
        <w:fldChar w:fldCharType="end"/>
      </w:r>
    </w:p>
    <w:p w14:paraId="3D73FB36" w14:textId="4790F8E2" w:rsidR="00E136EC" w:rsidRPr="00053F25" w:rsidRDefault="00E136EC" w:rsidP="00E136EC">
      <w:pPr>
        <w:pStyle w:val="SubtitlenoToC"/>
        <w:rPr>
          <w:lang w:val="en-GB"/>
        </w:rPr>
      </w:pPr>
      <w:r w:rsidRPr="00053F25">
        <w:rPr>
          <w:lang w:val="en-GB"/>
        </w:rPr>
        <w:t xml:space="preserve">Table of Tables </w:t>
      </w:r>
    </w:p>
    <w:p w14:paraId="434F6185" w14:textId="2EE0180E" w:rsidR="00835623" w:rsidRPr="00053F25" w:rsidRDefault="00E136EC">
      <w:pPr>
        <w:pStyle w:val="TableofFigures"/>
        <w:tabs>
          <w:tab w:val="right" w:leader="dot" w:pos="9016"/>
        </w:tabs>
        <w:rPr>
          <w:rFonts w:asciiTheme="minorHAnsi" w:eastAsiaTheme="minorEastAsia" w:hAnsiTheme="minorHAnsi"/>
          <w:noProof/>
          <w:lang w:val="en-GB" w:eastAsia="ro-RO"/>
        </w:rPr>
      </w:pPr>
      <w:r w:rsidRPr="00053F25">
        <w:rPr>
          <w:sz w:val="20"/>
          <w:szCs w:val="20"/>
          <w:lang w:val="en-GB"/>
        </w:rPr>
        <w:fldChar w:fldCharType="begin"/>
      </w:r>
      <w:r w:rsidRPr="00053F25">
        <w:rPr>
          <w:sz w:val="20"/>
          <w:szCs w:val="20"/>
          <w:lang w:val="en-GB"/>
        </w:rPr>
        <w:instrText xml:space="preserve"> TOC \h \z \c "Table" </w:instrText>
      </w:r>
      <w:r w:rsidRPr="00053F25">
        <w:rPr>
          <w:sz w:val="20"/>
          <w:szCs w:val="20"/>
          <w:lang w:val="en-GB"/>
        </w:rPr>
        <w:fldChar w:fldCharType="separate"/>
      </w:r>
      <w:hyperlink w:anchor="_Toc58237624" w:history="1">
        <w:r w:rsidR="00835623" w:rsidRPr="00053F25">
          <w:rPr>
            <w:rStyle w:val="Hyperlink"/>
            <w:noProof/>
            <w:lang w:val="en-GB"/>
          </w:rPr>
          <w:t>Table 1 Number of reported Covid-19 cases and deaths in EU/EEA and the UK (6th December 2020)</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_Toc58237624 \h </w:instrText>
        </w:r>
        <w:r w:rsidR="00835623" w:rsidRPr="00053F25">
          <w:rPr>
            <w:noProof/>
            <w:webHidden/>
            <w:lang w:val="en-GB"/>
          </w:rPr>
        </w:r>
        <w:r w:rsidR="00835623" w:rsidRPr="00053F25">
          <w:rPr>
            <w:noProof/>
            <w:webHidden/>
            <w:lang w:val="en-GB"/>
          </w:rPr>
          <w:fldChar w:fldCharType="separate"/>
        </w:r>
        <w:r w:rsidR="00FB3E93">
          <w:rPr>
            <w:noProof/>
            <w:webHidden/>
            <w:lang w:val="en-GB"/>
          </w:rPr>
          <w:t>35</w:t>
        </w:r>
        <w:r w:rsidR="00835623" w:rsidRPr="00053F25">
          <w:rPr>
            <w:noProof/>
            <w:webHidden/>
            <w:lang w:val="en-GB"/>
          </w:rPr>
          <w:fldChar w:fldCharType="end"/>
        </w:r>
      </w:hyperlink>
    </w:p>
    <w:p w14:paraId="575D1663" w14:textId="4EE1BB85"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25" w:history="1">
        <w:r w:rsidR="00835623" w:rsidRPr="00053F25">
          <w:rPr>
            <w:rStyle w:val="Hyperlink"/>
            <w:noProof/>
            <w:lang w:val="en-GB"/>
          </w:rPr>
          <w:t>Table 2 - Population in PA, trends between 2009-2018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_Toc58237625 \h </w:instrText>
        </w:r>
        <w:r w:rsidR="00835623" w:rsidRPr="00053F25">
          <w:rPr>
            <w:noProof/>
            <w:webHidden/>
            <w:lang w:val="en-GB"/>
          </w:rPr>
        </w:r>
        <w:r w:rsidR="00835623" w:rsidRPr="00053F25">
          <w:rPr>
            <w:noProof/>
            <w:webHidden/>
            <w:lang w:val="en-GB"/>
          </w:rPr>
          <w:fldChar w:fldCharType="separate"/>
        </w:r>
        <w:r w:rsidR="00FB3E93">
          <w:rPr>
            <w:noProof/>
            <w:webHidden/>
            <w:lang w:val="en-GB"/>
          </w:rPr>
          <w:t>45</w:t>
        </w:r>
        <w:r w:rsidR="00835623" w:rsidRPr="00053F25">
          <w:rPr>
            <w:noProof/>
            <w:webHidden/>
            <w:lang w:val="en-GB"/>
          </w:rPr>
          <w:fldChar w:fldCharType="end"/>
        </w:r>
      </w:hyperlink>
    </w:p>
    <w:p w14:paraId="2930C376" w14:textId="6F8EA459"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26" w:history="1">
        <w:r w:rsidR="00835623" w:rsidRPr="00053F25">
          <w:rPr>
            <w:rStyle w:val="Hyperlink"/>
            <w:noProof/>
            <w:lang w:val="en-GB"/>
          </w:rPr>
          <w:t>Table 3 - Population by degree of urbanisation and urban and rural administrative units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_Toc58237626 \h </w:instrText>
        </w:r>
        <w:r w:rsidR="00835623" w:rsidRPr="00053F25">
          <w:rPr>
            <w:noProof/>
            <w:webHidden/>
            <w:lang w:val="en-GB"/>
          </w:rPr>
        </w:r>
        <w:r w:rsidR="00835623" w:rsidRPr="00053F25">
          <w:rPr>
            <w:noProof/>
            <w:webHidden/>
            <w:lang w:val="en-GB"/>
          </w:rPr>
          <w:fldChar w:fldCharType="separate"/>
        </w:r>
        <w:r w:rsidR="00FB3E93">
          <w:rPr>
            <w:noProof/>
            <w:webHidden/>
            <w:lang w:val="en-GB"/>
          </w:rPr>
          <w:t>47</w:t>
        </w:r>
        <w:r w:rsidR="00835623" w:rsidRPr="00053F25">
          <w:rPr>
            <w:noProof/>
            <w:webHidden/>
            <w:lang w:val="en-GB"/>
          </w:rPr>
          <w:fldChar w:fldCharType="end"/>
        </w:r>
      </w:hyperlink>
    </w:p>
    <w:p w14:paraId="4EC74422" w14:textId="1A7BAA48"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27" w:history="1">
        <w:r w:rsidR="00835623" w:rsidRPr="00053F25">
          <w:rPr>
            <w:rStyle w:val="Hyperlink"/>
            <w:noProof/>
            <w:lang w:val="en-GB"/>
          </w:rPr>
          <w:t>Table 4 - Natural change of population - live births, deaths (values and rates) in 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_Toc58237627 \h </w:instrText>
        </w:r>
        <w:r w:rsidR="00835623" w:rsidRPr="00053F25">
          <w:rPr>
            <w:noProof/>
            <w:webHidden/>
            <w:lang w:val="en-GB"/>
          </w:rPr>
        </w:r>
        <w:r w:rsidR="00835623" w:rsidRPr="00053F25">
          <w:rPr>
            <w:noProof/>
            <w:webHidden/>
            <w:lang w:val="en-GB"/>
          </w:rPr>
          <w:fldChar w:fldCharType="separate"/>
        </w:r>
        <w:r w:rsidR="00FB3E93">
          <w:rPr>
            <w:noProof/>
            <w:webHidden/>
            <w:lang w:val="en-GB"/>
          </w:rPr>
          <w:t>50</w:t>
        </w:r>
        <w:r w:rsidR="00835623" w:rsidRPr="00053F25">
          <w:rPr>
            <w:noProof/>
            <w:webHidden/>
            <w:lang w:val="en-GB"/>
          </w:rPr>
          <w:fldChar w:fldCharType="end"/>
        </w:r>
      </w:hyperlink>
    </w:p>
    <w:p w14:paraId="4D8DA404" w14:textId="5D9692D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28" w:history="1">
        <w:r w:rsidR="00835623" w:rsidRPr="00053F25">
          <w:rPr>
            <w:rStyle w:val="Hyperlink"/>
            <w:noProof/>
            <w:lang w:val="en-GB"/>
          </w:rPr>
          <w:t>Table 5 - Trends in age groups distribution between 2009-2018 (% increase or decrease)</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_Toc58237628 \h </w:instrText>
        </w:r>
        <w:r w:rsidR="00835623" w:rsidRPr="00053F25">
          <w:rPr>
            <w:noProof/>
            <w:webHidden/>
            <w:lang w:val="en-GB"/>
          </w:rPr>
        </w:r>
        <w:r w:rsidR="00835623" w:rsidRPr="00053F25">
          <w:rPr>
            <w:noProof/>
            <w:webHidden/>
            <w:lang w:val="en-GB"/>
          </w:rPr>
          <w:fldChar w:fldCharType="separate"/>
        </w:r>
        <w:r w:rsidR="00FB3E93">
          <w:rPr>
            <w:noProof/>
            <w:webHidden/>
            <w:lang w:val="en-GB"/>
          </w:rPr>
          <w:t>56</w:t>
        </w:r>
        <w:r w:rsidR="00835623" w:rsidRPr="00053F25">
          <w:rPr>
            <w:noProof/>
            <w:webHidden/>
            <w:lang w:val="en-GB"/>
          </w:rPr>
          <w:fldChar w:fldCharType="end"/>
        </w:r>
      </w:hyperlink>
    </w:p>
    <w:p w14:paraId="4DDA1B39" w14:textId="59A40759"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29" w:history="1">
        <w:r w:rsidR="00835623" w:rsidRPr="00053F25">
          <w:rPr>
            <w:rStyle w:val="Hyperlink"/>
            <w:noProof/>
            <w:lang w:val="en-GB"/>
          </w:rPr>
          <w:t>Table 6 - Distribution of heritage monuments by class and importance within the programme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_Toc58237629 \h </w:instrText>
        </w:r>
        <w:r w:rsidR="00835623" w:rsidRPr="00053F25">
          <w:rPr>
            <w:noProof/>
            <w:webHidden/>
            <w:lang w:val="en-GB"/>
          </w:rPr>
        </w:r>
        <w:r w:rsidR="00835623" w:rsidRPr="00053F25">
          <w:rPr>
            <w:noProof/>
            <w:webHidden/>
            <w:lang w:val="en-GB"/>
          </w:rPr>
          <w:fldChar w:fldCharType="separate"/>
        </w:r>
        <w:r w:rsidR="00FB3E93">
          <w:rPr>
            <w:noProof/>
            <w:webHidden/>
            <w:lang w:val="en-GB"/>
          </w:rPr>
          <w:t>65</w:t>
        </w:r>
        <w:r w:rsidR="00835623" w:rsidRPr="00053F25">
          <w:rPr>
            <w:noProof/>
            <w:webHidden/>
            <w:lang w:val="en-GB"/>
          </w:rPr>
          <w:fldChar w:fldCharType="end"/>
        </w:r>
      </w:hyperlink>
    </w:p>
    <w:p w14:paraId="43533784" w14:textId="0D743896"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0" w:history="1">
        <w:r w:rsidR="00835623" w:rsidRPr="00053F25">
          <w:rPr>
            <w:rStyle w:val="Hyperlink"/>
            <w:noProof/>
            <w:lang w:val="en-GB"/>
          </w:rPr>
          <w:t>Table 7 - Public universities in the PA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_Toc58237630 \h </w:instrText>
        </w:r>
        <w:r w:rsidR="00835623" w:rsidRPr="00053F25">
          <w:rPr>
            <w:noProof/>
            <w:webHidden/>
            <w:lang w:val="en-GB"/>
          </w:rPr>
        </w:r>
        <w:r w:rsidR="00835623" w:rsidRPr="00053F25">
          <w:rPr>
            <w:noProof/>
            <w:webHidden/>
            <w:lang w:val="en-GB"/>
          </w:rPr>
          <w:fldChar w:fldCharType="separate"/>
        </w:r>
        <w:r w:rsidR="00FB3E93">
          <w:rPr>
            <w:noProof/>
            <w:webHidden/>
            <w:lang w:val="en-GB"/>
          </w:rPr>
          <w:t>71</w:t>
        </w:r>
        <w:r w:rsidR="00835623" w:rsidRPr="00053F25">
          <w:rPr>
            <w:noProof/>
            <w:webHidden/>
            <w:lang w:val="en-GB"/>
          </w:rPr>
          <w:fldChar w:fldCharType="end"/>
        </w:r>
      </w:hyperlink>
    </w:p>
    <w:p w14:paraId="6A85ACAD" w14:textId="573EF5BF"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1" w:history="1">
        <w:r w:rsidR="00835623" w:rsidRPr="00053F25">
          <w:rPr>
            <w:rStyle w:val="Hyperlink"/>
            <w:noProof/>
            <w:lang w:val="en-GB"/>
          </w:rPr>
          <w:t>Table 8 - Participation in education -number of enrolled population by ISCED category, trends between 2014 - 2018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_Toc58237631 \h </w:instrText>
        </w:r>
        <w:r w:rsidR="00835623" w:rsidRPr="00053F25">
          <w:rPr>
            <w:noProof/>
            <w:webHidden/>
            <w:lang w:val="en-GB"/>
          </w:rPr>
        </w:r>
        <w:r w:rsidR="00835623" w:rsidRPr="00053F25">
          <w:rPr>
            <w:noProof/>
            <w:webHidden/>
            <w:lang w:val="en-GB"/>
          </w:rPr>
          <w:fldChar w:fldCharType="separate"/>
        </w:r>
        <w:r w:rsidR="00FB3E93">
          <w:rPr>
            <w:noProof/>
            <w:webHidden/>
            <w:lang w:val="en-GB"/>
          </w:rPr>
          <w:t>73</w:t>
        </w:r>
        <w:r w:rsidR="00835623" w:rsidRPr="00053F25">
          <w:rPr>
            <w:noProof/>
            <w:webHidden/>
            <w:lang w:val="en-GB"/>
          </w:rPr>
          <w:fldChar w:fldCharType="end"/>
        </w:r>
      </w:hyperlink>
    </w:p>
    <w:p w14:paraId="253E4E01" w14:textId="66A85D89"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2" w:history="1">
        <w:r w:rsidR="00835623" w:rsidRPr="00053F25">
          <w:rPr>
            <w:rStyle w:val="Hyperlink"/>
            <w:noProof/>
            <w:lang w:val="en-GB"/>
          </w:rPr>
          <w:t>Table 9 - Number of graduates by level of education, trends between 2014 - 2017</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_Toc58237632 \h </w:instrText>
        </w:r>
        <w:r w:rsidR="00835623" w:rsidRPr="00053F25">
          <w:rPr>
            <w:noProof/>
            <w:webHidden/>
            <w:lang w:val="en-GB"/>
          </w:rPr>
        </w:r>
        <w:r w:rsidR="00835623" w:rsidRPr="00053F25">
          <w:rPr>
            <w:noProof/>
            <w:webHidden/>
            <w:lang w:val="en-GB"/>
          </w:rPr>
          <w:fldChar w:fldCharType="separate"/>
        </w:r>
        <w:r w:rsidR="00FB3E93">
          <w:rPr>
            <w:noProof/>
            <w:webHidden/>
            <w:lang w:val="en-GB"/>
          </w:rPr>
          <w:t>74</w:t>
        </w:r>
        <w:r w:rsidR="00835623" w:rsidRPr="00053F25">
          <w:rPr>
            <w:noProof/>
            <w:webHidden/>
            <w:lang w:val="en-GB"/>
          </w:rPr>
          <w:fldChar w:fldCharType="end"/>
        </w:r>
      </w:hyperlink>
    </w:p>
    <w:p w14:paraId="62433814" w14:textId="3633A0F2"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3" w:history="1">
        <w:r w:rsidR="00835623" w:rsidRPr="00053F25">
          <w:rPr>
            <w:rStyle w:val="Hyperlink"/>
            <w:noProof/>
            <w:lang w:val="en-GB"/>
          </w:rPr>
          <w:t>Table 10 - Number of pupils to a classroom, 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_Toc58237633 \h </w:instrText>
        </w:r>
        <w:r w:rsidR="00835623" w:rsidRPr="00053F25">
          <w:rPr>
            <w:noProof/>
            <w:webHidden/>
            <w:lang w:val="en-GB"/>
          </w:rPr>
        </w:r>
        <w:r w:rsidR="00835623" w:rsidRPr="00053F25">
          <w:rPr>
            <w:noProof/>
            <w:webHidden/>
            <w:lang w:val="en-GB"/>
          </w:rPr>
          <w:fldChar w:fldCharType="separate"/>
        </w:r>
        <w:r w:rsidR="00FB3E93">
          <w:rPr>
            <w:noProof/>
            <w:webHidden/>
            <w:lang w:val="en-GB"/>
          </w:rPr>
          <w:t>75</w:t>
        </w:r>
        <w:r w:rsidR="00835623" w:rsidRPr="00053F25">
          <w:rPr>
            <w:noProof/>
            <w:webHidden/>
            <w:lang w:val="en-GB"/>
          </w:rPr>
          <w:fldChar w:fldCharType="end"/>
        </w:r>
      </w:hyperlink>
    </w:p>
    <w:p w14:paraId="47CB4E8D" w14:textId="513FEF10"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4" w:history="1">
        <w:r w:rsidR="00835623" w:rsidRPr="00053F25">
          <w:rPr>
            <w:rStyle w:val="Hyperlink"/>
            <w:noProof/>
            <w:lang w:val="en-GB"/>
          </w:rPr>
          <w:t>Table 11 - Average number of pupils per a school teacher by ISCED categories in 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_Toc58237634 \h </w:instrText>
        </w:r>
        <w:r w:rsidR="00835623" w:rsidRPr="00053F25">
          <w:rPr>
            <w:noProof/>
            <w:webHidden/>
            <w:lang w:val="en-GB"/>
          </w:rPr>
        </w:r>
        <w:r w:rsidR="00835623" w:rsidRPr="00053F25">
          <w:rPr>
            <w:noProof/>
            <w:webHidden/>
            <w:lang w:val="en-GB"/>
          </w:rPr>
          <w:fldChar w:fldCharType="separate"/>
        </w:r>
        <w:r w:rsidR="00FB3E93">
          <w:rPr>
            <w:noProof/>
            <w:webHidden/>
            <w:lang w:val="en-GB"/>
          </w:rPr>
          <w:t>76</w:t>
        </w:r>
        <w:r w:rsidR="00835623" w:rsidRPr="00053F25">
          <w:rPr>
            <w:noProof/>
            <w:webHidden/>
            <w:lang w:val="en-GB"/>
          </w:rPr>
          <w:fldChar w:fldCharType="end"/>
        </w:r>
      </w:hyperlink>
    </w:p>
    <w:p w14:paraId="5D9157A7" w14:textId="01EBEB23"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5" w:history="1">
        <w:r w:rsidR="00835623" w:rsidRPr="00053F25">
          <w:rPr>
            <w:rStyle w:val="Hyperlink"/>
            <w:noProof/>
            <w:lang w:val="en-GB"/>
          </w:rPr>
          <w:t>Table 12 - Life expectancy at birth, 2012 and 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_Toc58237635 \h </w:instrText>
        </w:r>
        <w:r w:rsidR="00835623" w:rsidRPr="00053F25">
          <w:rPr>
            <w:noProof/>
            <w:webHidden/>
            <w:lang w:val="en-GB"/>
          </w:rPr>
        </w:r>
        <w:r w:rsidR="00835623" w:rsidRPr="00053F25">
          <w:rPr>
            <w:noProof/>
            <w:webHidden/>
            <w:lang w:val="en-GB"/>
          </w:rPr>
          <w:fldChar w:fldCharType="separate"/>
        </w:r>
        <w:r w:rsidR="00FB3E93">
          <w:rPr>
            <w:noProof/>
            <w:webHidden/>
            <w:lang w:val="en-GB"/>
          </w:rPr>
          <w:t>76</w:t>
        </w:r>
        <w:r w:rsidR="00835623" w:rsidRPr="00053F25">
          <w:rPr>
            <w:noProof/>
            <w:webHidden/>
            <w:lang w:val="en-GB"/>
          </w:rPr>
          <w:fldChar w:fldCharType="end"/>
        </w:r>
      </w:hyperlink>
    </w:p>
    <w:p w14:paraId="2BDC991B" w14:textId="1FEEC314"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6" w:history="1">
        <w:r w:rsidR="00835623" w:rsidRPr="00053F25">
          <w:rPr>
            <w:rStyle w:val="Hyperlink"/>
            <w:noProof/>
            <w:lang w:val="en-GB"/>
          </w:rPr>
          <w:t>Table 13 - Health infrastructure in the programme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_Toc58237636 \h </w:instrText>
        </w:r>
        <w:r w:rsidR="00835623" w:rsidRPr="00053F25">
          <w:rPr>
            <w:noProof/>
            <w:webHidden/>
            <w:lang w:val="en-GB"/>
          </w:rPr>
        </w:r>
        <w:r w:rsidR="00835623" w:rsidRPr="00053F25">
          <w:rPr>
            <w:noProof/>
            <w:webHidden/>
            <w:lang w:val="en-GB"/>
          </w:rPr>
          <w:fldChar w:fldCharType="separate"/>
        </w:r>
        <w:r w:rsidR="00FB3E93">
          <w:rPr>
            <w:noProof/>
            <w:webHidden/>
            <w:lang w:val="en-GB"/>
          </w:rPr>
          <w:t>78</w:t>
        </w:r>
        <w:r w:rsidR="00835623" w:rsidRPr="00053F25">
          <w:rPr>
            <w:noProof/>
            <w:webHidden/>
            <w:lang w:val="en-GB"/>
          </w:rPr>
          <w:fldChar w:fldCharType="end"/>
        </w:r>
      </w:hyperlink>
    </w:p>
    <w:p w14:paraId="48EA68D1" w14:textId="1C719046"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7" w:history="1">
        <w:r w:rsidR="00835623" w:rsidRPr="00053F25">
          <w:rPr>
            <w:rStyle w:val="Hyperlink"/>
            <w:noProof/>
            <w:lang w:val="en-GB"/>
          </w:rPr>
          <w:t>Table 14 - Beneficiary districts and settlements in Hungarian counties from programme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_Toc58237637 \h </w:instrText>
        </w:r>
        <w:r w:rsidR="00835623" w:rsidRPr="00053F25">
          <w:rPr>
            <w:noProof/>
            <w:webHidden/>
            <w:lang w:val="en-GB"/>
          </w:rPr>
        </w:r>
        <w:r w:rsidR="00835623" w:rsidRPr="00053F25">
          <w:rPr>
            <w:noProof/>
            <w:webHidden/>
            <w:lang w:val="en-GB"/>
          </w:rPr>
          <w:fldChar w:fldCharType="separate"/>
        </w:r>
        <w:r w:rsidR="00FB3E93">
          <w:rPr>
            <w:noProof/>
            <w:webHidden/>
            <w:lang w:val="en-GB"/>
          </w:rPr>
          <w:t>83</w:t>
        </w:r>
        <w:r w:rsidR="00835623" w:rsidRPr="00053F25">
          <w:rPr>
            <w:noProof/>
            <w:webHidden/>
            <w:lang w:val="en-GB"/>
          </w:rPr>
          <w:fldChar w:fldCharType="end"/>
        </w:r>
      </w:hyperlink>
    </w:p>
    <w:p w14:paraId="63C3E2C1" w14:textId="7F8C7D94"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8" w:history="1">
        <w:r w:rsidR="00835623" w:rsidRPr="00053F25">
          <w:rPr>
            <w:rStyle w:val="Hyperlink"/>
            <w:noProof/>
            <w:lang w:val="en-GB"/>
          </w:rPr>
          <w:t>Table 15 - Rural communities with population living in marginalized areas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_Toc58237638 \h </w:instrText>
        </w:r>
        <w:r w:rsidR="00835623" w:rsidRPr="00053F25">
          <w:rPr>
            <w:noProof/>
            <w:webHidden/>
            <w:lang w:val="en-GB"/>
          </w:rPr>
        </w:r>
        <w:r w:rsidR="00835623" w:rsidRPr="00053F25">
          <w:rPr>
            <w:noProof/>
            <w:webHidden/>
            <w:lang w:val="en-GB"/>
          </w:rPr>
          <w:fldChar w:fldCharType="separate"/>
        </w:r>
        <w:r w:rsidR="00FB3E93">
          <w:rPr>
            <w:noProof/>
            <w:webHidden/>
            <w:lang w:val="en-GB"/>
          </w:rPr>
          <w:t>83</w:t>
        </w:r>
        <w:r w:rsidR="00835623" w:rsidRPr="00053F25">
          <w:rPr>
            <w:noProof/>
            <w:webHidden/>
            <w:lang w:val="en-GB"/>
          </w:rPr>
          <w:fldChar w:fldCharType="end"/>
        </w:r>
      </w:hyperlink>
    </w:p>
    <w:p w14:paraId="6CDEF53B" w14:textId="521E8451"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39" w:history="1">
        <w:r w:rsidR="00835623" w:rsidRPr="00053F25">
          <w:rPr>
            <w:rStyle w:val="Hyperlink"/>
            <w:noProof/>
            <w:lang w:val="en-GB"/>
          </w:rPr>
          <w:t>Table 16 - Percent of population living in urban disadvantaged areas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_Toc58237639 \h </w:instrText>
        </w:r>
        <w:r w:rsidR="00835623" w:rsidRPr="00053F25">
          <w:rPr>
            <w:noProof/>
            <w:webHidden/>
            <w:lang w:val="en-GB"/>
          </w:rPr>
        </w:r>
        <w:r w:rsidR="00835623" w:rsidRPr="00053F25">
          <w:rPr>
            <w:noProof/>
            <w:webHidden/>
            <w:lang w:val="en-GB"/>
          </w:rPr>
          <w:fldChar w:fldCharType="separate"/>
        </w:r>
        <w:r w:rsidR="00FB3E93">
          <w:rPr>
            <w:noProof/>
            <w:webHidden/>
            <w:lang w:val="en-GB"/>
          </w:rPr>
          <w:t>84</w:t>
        </w:r>
        <w:r w:rsidR="00835623" w:rsidRPr="00053F25">
          <w:rPr>
            <w:noProof/>
            <w:webHidden/>
            <w:lang w:val="en-GB"/>
          </w:rPr>
          <w:fldChar w:fldCharType="end"/>
        </w:r>
      </w:hyperlink>
    </w:p>
    <w:p w14:paraId="4072C096" w14:textId="28811417"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0" w:history="1">
        <w:r w:rsidR="00835623" w:rsidRPr="00053F25">
          <w:rPr>
            <w:rStyle w:val="Hyperlink"/>
            <w:noProof/>
            <w:lang w:val="en-GB"/>
          </w:rPr>
          <w:t>Table 17 - Change in productivity along sectors (2009, 2017)*</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_Toc58237640 \h </w:instrText>
        </w:r>
        <w:r w:rsidR="00835623" w:rsidRPr="00053F25">
          <w:rPr>
            <w:noProof/>
            <w:webHidden/>
            <w:lang w:val="en-GB"/>
          </w:rPr>
        </w:r>
        <w:r w:rsidR="00835623" w:rsidRPr="00053F25">
          <w:rPr>
            <w:noProof/>
            <w:webHidden/>
            <w:lang w:val="en-GB"/>
          </w:rPr>
          <w:fldChar w:fldCharType="separate"/>
        </w:r>
        <w:r w:rsidR="00FB3E93">
          <w:rPr>
            <w:noProof/>
            <w:webHidden/>
            <w:lang w:val="en-GB"/>
          </w:rPr>
          <w:t>101</w:t>
        </w:r>
        <w:r w:rsidR="00835623" w:rsidRPr="00053F25">
          <w:rPr>
            <w:noProof/>
            <w:webHidden/>
            <w:lang w:val="en-GB"/>
          </w:rPr>
          <w:fldChar w:fldCharType="end"/>
        </w:r>
      </w:hyperlink>
    </w:p>
    <w:p w14:paraId="0D53008E" w14:textId="5C820C95"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1" w:history="1">
        <w:r w:rsidR="00835623" w:rsidRPr="00053F25">
          <w:rPr>
            <w:rStyle w:val="Hyperlink"/>
            <w:noProof/>
            <w:lang w:val="en-GB"/>
          </w:rPr>
          <w:t>Table 18 - FDI/capita in Romania, Hungary and RO-HU area. Trends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_Toc58237641 \h </w:instrText>
        </w:r>
        <w:r w:rsidR="00835623" w:rsidRPr="00053F25">
          <w:rPr>
            <w:noProof/>
            <w:webHidden/>
            <w:lang w:val="en-GB"/>
          </w:rPr>
        </w:r>
        <w:r w:rsidR="00835623" w:rsidRPr="00053F25">
          <w:rPr>
            <w:noProof/>
            <w:webHidden/>
            <w:lang w:val="en-GB"/>
          </w:rPr>
          <w:fldChar w:fldCharType="separate"/>
        </w:r>
        <w:r w:rsidR="00FB3E93">
          <w:rPr>
            <w:noProof/>
            <w:webHidden/>
            <w:lang w:val="en-GB"/>
          </w:rPr>
          <w:t>103</w:t>
        </w:r>
        <w:r w:rsidR="00835623" w:rsidRPr="00053F25">
          <w:rPr>
            <w:noProof/>
            <w:webHidden/>
            <w:lang w:val="en-GB"/>
          </w:rPr>
          <w:fldChar w:fldCharType="end"/>
        </w:r>
      </w:hyperlink>
    </w:p>
    <w:p w14:paraId="4448F4B1" w14:textId="4984B66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2" w:history="1">
        <w:r w:rsidR="00835623" w:rsidRPr="00053F25">
          <w:rPr>
            <w:rStyle w:val="Hyperlink"/>
            <w:noProof/>
            <w:lang w:val="en-GB"/>
          </w:rPr>
          <w:t>Table 19 - No. of enterprises* in Romania, Hungary and RO-HU area Eurostat</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_Toc58237642 \h </w:instrText>
        </w:r>
        <w:r w:rsidR="00835623" w:rsidRPr="00053F25">
          <w:rPr>
            <w:noProof/>
            <w:webHidden/>
            <w:lang w:val="en-GB"/>
          </w:rPr>
        </w:r>
        <w:r w:rsidR="00835623" w:rsidRPr="00053F25">
          <w:rPr>
            <w:noProof/>
            <w:webHidden/>
            <w:lang w:val="en-GB"/>
          </w:rPr>
          <w:fldChar w:fldCharType="separate"/>
        </w:r>
        <w:r w:rsidR="00FB3E93">
          <w:rPr>
            <w:noProof/>
            <w:webHidden/>
            <w:lang w:val="en-GB"/>
          </w:rPr>
          <w:t>105</w:t>
        </w:r>
        <w:r w:rsidR="00835623" w:rsidRPr="00053F25">
          <w:rPr>
            <w:noProof/>
            <w:webHidden/>
            <w:lang w:val="en-GB"/>
          </w:rPr>
          <w:fldChar w:fldCharType="end"/>
        </w:r>
      </w:hyperlink>
    </w:p>
    <w:p w14:paraId="3DE0117A" w14:textId="3E07BDAA"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3" w:history="1">
        <w:r w:rsidR="00835623" w:rsidRPr="00053F25">
          <w:rPr>
            <w:rStyle w:val="Hyperlink"/>
            <w:noProof/>
            <w:lang w:val="en-GB"/>
          </w:rPr>
          <w:t>Table 20 - No of enterprises* per thousand of inhabitants in Romania, Hungary, RO-HU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_Toc58237643 \h </w:instrText>
        </w:r>
        <w:r w:rsidR="00835623" w:rsidRPr="00053F25">
          <w:rPr>
            <w:noProof/>
            <w:webHidden/>
            <w:lang w:val="en-GB"/>
          </w:rPr>
        </w:r>
        <w:r w:rsidR="00835623" w:rsidRPr="00053F25">
          <w:rPr>
            <w:noProof/>
            <w:webHidden/>
            <w:lang w:val="en-GB"/>
          </w:rPr>
          <w:fldChar w:fldCharType="separate"/>
        </w:r>
        <w:r w:rsidR="00FB3E93">
          <w:rPr>
            <w:noProof/>
            <w:webHidden/>
            <w:lang w:val="en-GB"/>
          </w:rPr>
          <w:t>105</w:t>
        </w:r>
        <w:r w:rsidR="00835623" w:rsidRPr="00053F25">
          <w:rPr>
            <w:noProof/>
            <w:webHidden/>
            <w:lang w:val="en-GB"/>
          </w:rPr>
          <w:fldChar w:fldCharType="end"/>
        </w:r>
      </w:hyperlink>
    </w:p>
    <w:p w14:paraId="580B53BB" w14:textId="17A7B81E"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4" w:history="1">
        <w:r w:rsidR="00835623" w:rsidRPr="00053F25">
          <w:rPr>
            <w:rStyle w:val="Hyperlink"/>
            <w:noProof/>
            <w:lang w:val="en-GB"/>
          </w:rPr>
          <w:t>Table 21 - Share enterprises* by size in Romania, Hungary, RO-HU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_Toc58237644 \h </w:instrText>
        </w:r>
        <w:r w:rsidR="00835623" w:rsidRPr="00053F25">
          <w:rPr>
            <w:noProof/>
            <w:webHidden/>
            <w:lang w:val="en-GB"/>
          </w:rPr>
        </w:r>
        <w:r w:rsidR="00835623" w:rsidRPr="00053F25">
          <w:rPr>
            <w:noProof/>
            <w:webHidden/>
            <w:lang w:val="en-GB"/>
          </w:rPr>
          <w:fldChar w:fldCharType="separate"/>
        </w:r>
        <w:r w:rsidR="00FB3E93">
          <w:rPr>
            <w:noProof/>
            <w:webHidden/>
            <w:lang w:val="en-GB"/>
          </w:rPr>
          <w:t>106</w:t>
        </w:r>
        <w:r w:rsidR="00835623" w:rsidRPr="00053F25">
          <w:rPr>
            <w:noProof/>
            <w:webHidden/>
            <w:lang w:val="en-GB"/>
          </w:rPr>
          <w:fldChar w:fldCharType="end"/>
        </w:r>
      </w:hyperlink>
    </w:p>
    <w:p w14:paraId="459801AD" w14:textId="2BD21099"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5" w:history="1">
        <w:r w:rsidR="00835623" w:rsidRPr="00053F25">
          <w:rPr>
            <w:rStyle w:val="Hyperlink"/>
            <w:noProof/>
            <w:lang w:val="en-GB"/>
          </w:rPr>
          <w:t>Table 22 - New jobs created by new companies*in Romania, Hungary, RO-HU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_Toc58237645 \h </w:instrText>
        </w:r>
        <w:r w:rsidR="00835623" w:rsidRPr="00053F25">
          <w:rPr>
            <w:noProof/>
            <w:webHidden/>
            <w:lang w:val="en-GB"/>
          </w:rPr>
        </w:r>
        <w:r w:rsidR="00835623" w:rsidRPr="00053F25">
          <w:rPr>
            <w:noProof/>
            <w:webHidden/>
            <w:lang w:val="en-GB"/>
          </w:rPr>
          <w:fldChar w:fldCharType="separate"/>
        </w:r>
        <w:r w:rsidR="00FB3E93">
          <w:rPr>
            <w:noProof/>
            <w:webHidden/>
            <w:lang w:val="en-GB"/>
          </w:rPr>
          <w:t>107</w:t>
        </w:r>
        <w:r w:rsidR="00835623" w:rsidRPr="00053F25">
          <w:rPr>
            <w:noProof/>
            <w:webHidden/>
            <w:lang w:val="en-GB"/>
          </w:rPr>
          <w:fldChar w:fldCharType="end"/>
        </w:r>
      </w:hyperlink>
    </w:p>
    <w:p w14:paraId="73853465" w14:textId="34A9D8CE"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6" w:history="1">
        <w:r w:rsidR="00835623" w:rsidRPr="00053F25">
          <w:rPr>
            <w:rStyle w:val="Hyperlink"/>
            <w:noProof/>
            <w:lang w:val="en-GB"/>
          </w:rPr>
          <w:t>Table 23 - Average length of stay (nights) in Romania area, Hungary area, RO-HU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_Toc58237646 \h </w:instrText>
        </w:r>
        <w:r w:rsidR="00835623" w:rsidRPr="00053F25">
          <w:rPr>
            <w:noProof/>
            <w:webHidden/>
            <w:lang w:val="en-GB"/>
          </w:rPr>
        </w:r>
        <w:r w:rsidR="00835623" w:rsidRPr="00053F25">
          <w:rPr>
            <w:noProof/>
            <w:webHidden/>
            <w:lang w:val="en-GB"/>
          </w:rPr>
          <w:fldChar w:fldCharType="separate"/>
        </w:r>
        <w:r w:rsidR="00FB3E93">
          <w:rPr>
            <w:noProof/>
            <w:webHidden/>
            <w:lang w:val="en-GB"/>
          </w:rPr>
          <w:t>111</w:t>
        </w:r>
        <w:r w:rsidR="00835623" w:rsidRPr="00053F25">
          <w:rPr>
            <w:noProof/>
            <w:webHidden/>
            <w:lang w:val="en-GB"/>
          </w:rPr>
          <w:fldChar w:fldCharType="end"/>
        </w:r>
      </w:hyperlink>
    </w:p>
    <w:p w14:paraId="5837EBC5" w14:textId="59C71593"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7" w:history="1">
        <w:r w:rsidR="00835623" w:rsidRPr="00053F25">
          <w:rPr>
            <w:rStyle w:val="Hyperlink"/>
            <w:noProof/>
            <w:lang w:val="en-GB"/>
          </w:rPr>
          <w:t>Table 24 - Main geomorphological features of the PA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_Toc58237647 \h </w:instrText>
        </w:r>
        <w:r w:rsidR="00835623" w:rsidRPr="00053F25">
          <w:rPr>
            <w:noProof/>
            <w:webHidden/>
            <w:lang w:val="en-GB"/>
          </w:rPr>
        </w:r>
        <w:r w:rsidR="00835623" w:rsidRPr="00053F25">
          <w:rPr>
            <w:noProof/>
            <w:webHidden/>
            <w:lang w:val="en-GB"/>
          </w:rPr>
          <w:fldChar w:fldCharType="separate"/>
        </w:r>
        <w:r w:rsidR="00FB3E93">
          <w:rPr>
            <w:noProof/>
            <w:webHidden/>
            <w:lang w:val="en-GB"/>
          </w:rPr>
          <w:t>126</w:t>
        </w:r>
        <w:r w:rsidR="00835623" w:rsidRPr="00053F25">
          <w:rPr>
            <w:noProof/>
            <w:webHidden/>
            <w:lang w:val="en-GB"/>
          </w:rPr>
          <w:fldChar w:fldCharType="end"/>
        </w:r>
      </w:hyperlink>
    </w:p>
    <w:p w14:paraId="745CBFC0" w14:textId="4970B9BE"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8" w:history="1">
        <w:r w:rsidR="00835623" w:rsidRPr="00053F25">
          <w:rPr>
            <w:rStyle w:val="Hyperlink"/>
            <w:noProof/>
            <w:lang w:val="en-GB"/>
          </w:rPr>
          <w:t>Table 25 - Number of flood events in the PA (1985 - present) by class and percentage</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_Toc58237648 \h </w:instrText>
        </w:r>
        <w:r w:rsidR="00835623" w:rsidRPr="00053F25">
          <w:rPr>
            <w:noProof/>
            <w:webHidden/>
            <w:lang w:val="en-GB"/>
          </w:rPr>
        </w:r>
        <w:r w:rsidR="00835623" w:rsidRPr="00053F25">
          <w:rPr>
            <w:noProof/>
            <w:webHidden/>
            <w:lang w:val="en-GB"/>
          </w:rPr>
          <w:fldChar w:fldCharType="separate"/>
        </w:r>
        <w:r w:rsidR="00FB3E93">
          <w:rPr>
            <w:noProof/>
            <w:webHidden/>
            <w:lang w:val="en-GB"/>
          </w:rPr>
          <w:t>131</w:t>
        </w:r>
        <w:r w:rsidR="00835623" w:rsidRPr="00053F25">
          <w:rPr>
            <w:noProof/>
            <w:webHidden/>
            <w:lang w:val="en-GB"/>
          </w:rPr>
          <w:fldChar w:fldCharType="end"/>
        </w:r>
      </w:hyperlink>
    </w:p>
    <w:p w14:paraId="25352B21" w14:textId="067E236C"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49" w:history="1">
        <w:r w:rsidR="00835623" w:rsidRPr="00053F25">
          <w:rPr>
            <w:rStyle w:val="Hyperlink"/>
            <w:noProof/>
            <w:lang w:val="en-GB"/>
          </w:rPr>
          <w:t>Table 26 - Greenhouse gases and air pollution - Emissions per capita of PM2.5, VOC, SO2 and NH3</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_Toc58237649 \h </w:instrText>
        </w:r>
        <w:r w:rsidR="00835623" w:rsidRPr="00053F25">
          <w:rPr>
            <w:noProof/>
            <w:webHidden/>
            <w:lang w:val="en-GB"/>
          </w:rPr>
        </w:r>
        <w:r w:rsidR="00835623" w:rsidRPr="00053F25">
          <w:rPr>
            <w:noProof/>
            <w:webHidden/>
            <w:lang w:val="en-GB"/>
          </w:rPr>
          <w:fldChar w:fldCharType="separate"/>
        </w:r>
        <w:r w:rsidR="00FB3E93">
          <w:rPr>
            <w:noProof/>
            <w:webHidden/>
            <w:lang w:val="en-GB"/>
          </w:rPr>
          <w:t>143</w:t>
        </w:r>
        <w:r w:rsidR="00835623" w:rsidRPr="00053F25">
          <w:rPr>
            <w:noProof/>
            <w:webHidden/>
            <w:lang w:val="en-GB"/>
          </w:rPr>
          <w:fldChar w:fldCharType="end"/>
        </w:r>
      </w:hyperlink>
    </w:p>
    <w:p w14:paraId="03C44691" w14:textId="16968FD3"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0" w:history="1">
        <w:r w:rsidR="00835623" w:rsidRPr="00053F25">
          <w:rPr>
            <w:rStyle w:val="Hyperlink"/>
            <w:noProof/>
            <w:lang w:val="en-GB"/>
          </w:rPr>
          <w:t>Table 27 - Greenhouse gases and air pollution - Emissions per capita of CO2, CO, NOx and PM10</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_Toc58237650 \h </w:instrText>
        </w:r>
        <w:r w:rsidR="00835623" w:rsidRPr="00053F25">
          <w:rPr>
            <w:noProof/>
            <w:webHidden/>
            <w:lang w:val="en-GB"/>
          </w:rPr>
        </w:r>
        <w:r w:rsidR="00835623" w:rsidRPr="00053F25">
          <w:rPr>
            <w:noProof/>
            <w:webHidden/>
            <w:lang w:val="en-GB"/>
          </w:rPr>
          <w:fldChar w:fldCharType="separate"/>
        </w:r>
        <w:r w:rsidR="00FB3E93">
          <w:rPr>
            <w:noProof/>
            <w:webHidden/>
            <w:lang w:val="en-GB"/>
          </w:rPr>
          <w:t>144</w:t>
        </w:r>
        <w:r w:rsidR="00835623" w:rsidRPr="00053F25">
          <w:rPr>
            <w:noProof/>
            <w:webHidden/>
            <w:lang w:val="en-GB"/>
          </w:rPr>
          <w:fldChar w:fldCharType="end"/>
        </w:r>
      </w:hyperlink>
    </w:p>
    <w:p w14:paraId="1BD3D749" w14:textId="22B39994"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1" w:history="1">
        <w:r w:rsidR="00835623" w:rsidRPr="00053F25">
          <w:rPr>
            <w:rStyle w:val="Hyperlink"/>
            <w:noProof/>
            <w:lang w:val="en-GB"/>
          </w:rPr>
          <w:t>Table 28 - Number of recovery and disposal facilities by NUTS 2 regions (2016)</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_Toc58237651 \h </w:instrText>
        </w:r>
        <w:r w:rsidR="00835623" w:rsidRPr="00053F25">
          <w:rPr>
            <w:noProof/>
            <w:webHidden/>
            <w:lang w:val="en-GB"/>
          </w:rPr>
        </w:r>
        <w:r w:rsidR="00835623" w:rsidRPr="00053F25">
          <w:rPr>
            <w:noProof/>
            <w:webHidden/>
            <w:lang w:val="en-GB"/>
          </w:rPr>
          <w:fldChar w:fldCharType="separate"/>
        </w:r>
        <w:r w:rsidR="00FB3E93">
          <w:rPr>
            <w:noProof/>
            <w:webHidden/>
            <w:lang w:val="en-GB"/>
          </w:rPr>
          <w:t>145</w:t>
        </w:r>
        <w:r w:rsidR="00835623" w:rsidRPr="00053F25">
          <w:rPr>
            <w:noProof/>
            <w:webHidden/>
            <w:lang w:val="en-GB"/>
          </w:rPr>
          <w:fldChar w:fldCharType="end"/>
        </w:r>
      </w:hyperlink>
    </w:p>
    <w:p w14:paraId="28F6BE3F" w14:textId="2287758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2" w:history="1">
        <w:r w:rsidR="00835623" w:rsidRPr="00053F25">
          <w:rPr>
            <w:rStyle w:val="Hyperlink"/>
            <w:noProof/>
            <w:lang w:val="en-GB"/>
          </w:rPr>
          <w:t>Table 29 - Presence of RES potential in the programme area counties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_Toc58237652 \h </w:instrText>
        </w:r>
        <w:r w:rsidR="00835623" w:rsidRPr="00053F25">
          <w:rPr>
            <w:noProof/>
            <w:webHidden/>
            <w:lang w:val="en-GB"/>
          </w:rPr>
        </w:r>
        <w:r w:rsidR="00835623" w:rsidRPr="00053F25">
          <w:rPr>
            <w:noProof/>
            <w:webHidden/>
            <w:lang w:val="en-GB"/>
          </w:rPr>
          <w:fldChar w:fldCharType="separate"/>
        </w:r>
        <w:r w:rsidR="00FB3E93">
          <w:rPr>
            <w:noProof/>
            <w:webHidden/>
            <w:lang w:val="en-GB"/>
          </w:rPr>
          <w:t>153</w:t>
        </w:r>
        <w:r w:rsidR="00835623" w:rsidRPr="00053F25">
          <w:rPr>
            <w:noProof/>
            <w:webHidden/>
            <w:lang w:val="en-GB"/>
          </w:rPr>
          <w:fldChar w:fldCharType="end"/>
        </w:r>
      </w:hyperlink>
    </w:p>
    <w:p w14:paraId="1CED4F9B" w14:textId="59D8421C"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3" w:history="1">
        <w:r w:rsidR="00835623" w:rsidRPr="00053F25">
          <w:rPr>
            <w:rStyle w:val="Hyperlink"/>
            <w:noProof/>
            <w:lang w:val="en-GB"/>
          </w:rPr>
          <w:t>Table 30 - Natura 2000 areas in the cooperation PA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_Toc58237653 \h </w:instrText>
        </w:r>
        <w:r w:rsidR="00835623" w:rsidRPr="00053F25">
          <w:rPr>
            <w:noProof/>
            <w:webHidden/>
            <w:lang w:val="en-GB"/>
          </w:rPr>
        </w:r>
        <w:r w:rsidR="00835623" w:rsidRPr="00053F25">
          <w:rPr>
            <w:noProof/>
            <w:webHidden/>
            <w:lang w:val="en-GB"/>
          </w:rPr>
          <w:fldChar w:fldCharType="separate"/>
        </w:r>
        <w:r w:rsidR="00FB3E93">
          <w:rPr>
            <w:noProof/>
            <w:webHidden/>
            <w:lang w:val="en-GB"/>
          </w:rPr>
          <w:t>155</w:t>
        </w:r>
        <w:r w:rsidR="00835623" w:rsidRPr="00053F25">
          <w:rPr>
            <w:noProof/>
            <w:webHidden/>
            <w:lang w:val="en-GB"/>
          </w:rPr>
          <w:fldChar w:fldCharType="end"/>
        </w:r>
      </w:hyperlink>
    </w:p>
    <w:p w14:paraId="5713A32E" w14:textId="6B6F5D08"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4" w:history="1">
        <w:r w:rsidR="00835623" w:rsidRPr="00053F25">
          <w:rPr>
            <w:rStyle w:val="Hyperlink"/>
            <w:noProof/>
            <w:lang w:val="en-GB"/>
          </w:rPr>
          <w:t>Table 31 - Road length dynamics (2009-2018) at NUTS 3 level</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_Toc58237654 \h </w:instrText>
        </w:r>
        <w:r w:rsidR="00835623" w:rsidRPr="00053F25">
          <w:rPr>
            <w:noProof/>
            <w:webHidden/>
            <w:lang w:val="en-GB"/>
          </w:rPr>
        </w:r>
        <w:r w:rsidR="00835623" w:rsidRPr="00053F25">
          <w:rPr>
            <w:noProof/>
            <w:webHidden/>
            <w:lang w:val="en-GB"/>
          </w:rPr>
          <w:fldChar w:fldCharType="separate"/>
        </w:r>
        <w:r w:rsidR="00FB3E93">
          <w:rPr>
            <w:noProof/>
            <w:webHidden/>
            <w:lang w:val="en-GB"/>
          </w:rPr>
          <w:t>166</w:t>
        </w:r>
        <w:r w:rsidR="00835623" w:rsidRPr="00053F25">
          <w:rPr>
            <w:noProof/>
            <w:webHidden/>
            <w:lang w:val="en-GB"/>
          </w:rPr>
          <w:fldChar w:fldCharType="end"/>
        </w:r>
      </w:hyperlink>
    </w:p>
    <w:p w14:paraId="27680C8E" w14:textId="7F8E53C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5" w:history="1">
        <w:r w:rsidR="00835623" w:rsidRPr="00053F25">
          <w:rPr>
            <w:rStyle w:val="Hyperlink"/>
            <w:noProof/>
            <w:lang w:val="en-GB"/>
          </w:rPr>
          <w:t>Table 32 - Road improvements in the PA (km of finalized improvements, annually)</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_Toc58237655 \h </w:instrText>
        </w:r>
        <w:r w:rsidR="00835623" w:rsidRPr="00053F25">
          <w:rPr>
            <w:noProof/>
            <w:webHidden/>
            <w:lang w:val="en-GB"/>
          </w:rPr>
        </w:r>
        <w:r w:rsidR="00835623" w:rsidRPr="00053F25">
          <w:rPr>
            <w:noProof/>
            <w:webHidden/>
            <w:lang w:val="en-GB"/>
          </w:rPr>
          <w:fldChar w:fldCharType="separate"/>
        </w:r>
        <w:r w:rsidR="00FB3E93">
          <w:rPr>
            <w:noProof/>
            <w:webHidden/>
            <w:lang w:val="en-GB"/>
          </w:rPr>
          <w:t>167</w:t>
        </w:r>
        <w:r w:rsidR="00835623" w:rsidRPr="00053F25">
          <w:rPr>
            <w:noProof/>
            <w:webHidden/>
            <w:lang w:val="en-GB"/>
          </w:rPr>
          <w:fldChar w:fldCharType="end"/>
        </w:r>
      </w:hyperlink>
    </w:p>
    <w:p w14:paraId="5DB66C31" w14:textId="15210BF5"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6" w:history="1">
        <w:r w:rsidR="00835623" w:rsidRPr="00053F25">
          <w:rPr>
            <w:rStyle w:val="Hyperlink"/>
            <w:noProof/>
            <w:lang w:val="en-GB"/>
          </w:rPr>
          <w:t>Table 33 - New expressways and motorways innaugurated in the PA (2014-2020)</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_Toc58237656 \h </w:instrText>
        </w:r>
        <w:r w:rsidR="00835623" w:rsidRPr="00053F25">
          <w:rPr>
            <w:noProof/>
            <w:webHidden/>
            <w:lang w:val="en-GB"/>
          </w:rPr>
        </w:r>
        <w:r w:rsidR="00835623" w:rsidRPr="00053F25">
          <w:rPr>
            <w:noProof/>
            <w:webHidden/>
            <w:lang w:val="en-GB"/>
          </w:rPr>
          <w:fldChar w:fldCharType="separate"/>
        </w:r>
        <w:r w:rsidR="00FB3E93">
          <w:rPr>
            <w:noProof/>
            <w:webHidden/>
            <w:lang w:val="en-GB"/>
          </w:rPr>
          <w:t>168</w:t>
        </w:r>
        <w:r w:rsidR="00835623" w:rsidRPr="00053F25">
          <w:rPr>
            <w:noProof/>
            <w:webHidden/>
            <w:lang w:val="en-GB"/>
          </w:rPr>
          <w:fldChar w:fldCharType="end"/>
        </w:r>
      </w:hyperlink>
    </w:p>
    <w:p w14:paraId="3A616E04" w14:textId="0526EB1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7" w:history="1">
        <w:r w:rsidR="00835623" w:rsidRPr="00053F25">
          <w:rPr>
            <w:rStyle w:val="Hyperlink"/>
            <w:noProof/>
            <w:lang w:val="en-GB"/>
          </w:rPr>
          <w:t>Table 34 -</w:t>
        </w:r>
        <w:r w:rsidR="00835623" w:rsidRPr="00053F25">
          <w:rPr>
            <w:rStyle w:val="Hyperlink"/>
            <w:rFonts w:cs="Calibri"/>
            <w:noProof/>
            <w:lang w:val="en-GB"/>
          </w:rPr>
          <w:t xml:space="preserve"> Rail connections: accessibility of localities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_Toc58237657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173</w:t>
        </w:r>
        <w:r w:rsidR="00835623" w:rsidRPr="00053F25">
          <w:rPr>
            <w:noProof/>
            <w:webHidden/>
            <w:lang w:val="en-GB"/>
          </w:rPr>
          <w:fldChar w:fldCharType="end"/>
        </w:r>
      </w:hyperlink>
    </w:p>
    <w:p w14:paraId="46C65D9A" w14:textId="099FFC2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8" w:history="1">
        <w:r w:rsidR="00835623" w:rsidRPr="00053F25">
          <w:rPr>
            <w:rStyle w:val="Hyperlink"/>
            <w:noProof/>
            <w:lang w:val="en-GB"/>
          </w:rPr>
          <w:t>Table 35 - Train service cross border and arrival times in main PA cities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_Toc58237658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174</w:t>
        </w:r>
        <w:r w:rsidR="00835623" w:rsidRPr="00053F25">
          <w:rPr>
            <w:noProof/>
            <w:webHidden/>
            <w:lang w:val="en-GB"/>
          </w:rPr>
          <w:fldChar w:fldCharType="end"/>
        </w:r>
      </w:hyperlink>
    </w:p>
    <w:p w14:paraId="4301C818" w14:textId="7828FDE1"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59" w:history="1">
        <w:r w:rsidR="00835623" w:rsidRPr="00053F25">
          <w:rPr>
            <w:rStyle w:val="Hyperlink"/>
            <w:noProof/>
            <w:lang w:val="en-GB"/>
          </w:rPr>
          <w:t>Table 36 - Border traffic at road and rail crossings, and dynamic between 2009-2019</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_Toc58237659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175</w:t>
        </w:r>
        <w:r w:rsidR="00835623" w:rsidRPr="00053F25">
          <w:rPr>
            <w:noProof/>
            <w:webHidden/>
            <w:lang w:val="en-GB"/>
          </w:rPr>
          <w:fldChar w:fldCharType="end"/>
        </w:r>
      </w:hyperlink>
    </w:p>
    <w:p w14:paraId="366610D1" w14:textId="48D7E8E3"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0" w:history="1">
        <w:r w:rsidR="00835623" w:rsidRPr="00053F25">
          <w:rPr>
            <w:rStyle w:val="Hyperlink"/>
            <w:noProof/>
            <w:lang w:val="en-GB"/>
          </w:rPr>
          <w:t>Table 37 – Road border crossing by vehicle type (2019) and evolution of traffic between 2009-2019</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_Toc58237660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177</w:t>
        </w:r>
        <w:r w:rsidR="00835623" w:rsidRPr="00053F25">
          <w:rPr>
            <w:noProof/>
            <w:webHidden/>
            <w:lang w:val="en-GB"/>
          </w:rPr>
          <w:fldChar w:fldCharType="end"/>
        </w:r>
      </w:hyperlink>
    </w:p>
    <w:p w14:paraId="04A00270" w14:textId="1E4B023F"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1" w:history="1">
        <w:r w:rsidR="00835623" w:rsidRPr="00053F25">
          <w:rPr>
            <w:rStyle w:val="Hyperlink"/>
            <w:noProof/>
            <w:lang w:val="en-GB"/>
          </w:rPr>
          <w:t>Table 38 - Public transportation infrastructure at NUTS3 level</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_Toc58237661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178</w:t>
        </w:r>
        <w:r w:rsidR="00835623" w:rsidRPr="00053F25">
          <w:rPr>
            <w:noProof/>
            <w:webHidden/>
            <w:lang w:val="en-GB"/>
          </w:rPr>
          <w:fldChar w:fldCharType="end"/>
        </w:r>
      </w:hyperlink>
    </w:p>
    <w:p w14:paraId="098A345E" w14:textId="63A2BE88"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2" w:history="1">
        <w:r w:rsidR="00835623" w:rsidRPr="00053F25">
          <w:rPr>
            <w:rStyle w:val="Hyperlink"/>
            <w:noProof/>
            <w:lang w:val="en-GB"/>
          </w:rPr>
          <w:t>Table 39 - Transport of passengers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_Toc58237662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178</w:t>
        </w:r>
        <w:r w:rsidR="00835623" w:rsidRPr="00053F25">
          <w:rPr>
            <w:noProof/>
            <w:webHidden/>
            <w:lang w:val="en-GB"/>
          </w:rPr>
          <w:fldChar w:fldCharType="end"/>
        </w:r>
      </w:hyperlink>
    </w:p>
    <w:p w14:paraId="1607BE09" w14:textId="0B47D969"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3" w:history="1">
        <w:r w:rsidR="00835623" w:rsidRPr="00053F25">
          <w:rPr>
            <w:rStyle w:val="Hyperlink"/>
            <w:noProof/>
            <w:lang w:val="en-GB"/>
          </w:rPr>
          <w:t>Table 40 - Airport traffic in the PA, by airport, thousands of passengers (2008-2018)</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_Toc58237663 \h </w:instrText>
        </w:r>
        <w:r w:rsidR="00835623" w:rsidRPr="00053F25">
          <w:rPr>
            <w:noProof/>
            <w:webHidden/>
            <w:lang w:val="en-GB"/>
          </w:rPr>
        </w:r>
        <w:r w:rsidR="00835623" w:rsidRPr="00053F25">
          <w:rPr>
            <w:noProof/>
            <w:webHidden/>
            <w:lang w:val="en-GB"/>
          </w:rPr>
          <w:fldChar w:fldCharType="separate"/>
        </w:r>
        <w:r w:rsidR="00FB3E93">
          <w:rPr>
            <w:noProof/>
            <w:webHidden/>
            <w:lang w:val="en-GB"/>
          </w:rPr>
          <w:t>179</w:t>
        </w:r>
        <w:r w:rsidR="00835623" w:rsidRPr="00053F25">
          <w:rPr>
            <w:noProof/>
            <w:webHidden/>
            <w:lang w:val="en-GB"/>
          </w:rPr>
          <w:fldChar w:fldCharType="end"/>
        </w:r>
      </w:hyperlink>
    </w:p>
    <w:p w14:paraId="4212287A" w14:textId="7C4C0584"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4" w:history="1">
        <w:r w:rsidR="00835623" w:rsidRPr="00053F25">
          <w:rPr>
            <w:rStyle w:val="Hyperlink"/>
            <w:noProof/>
            <w:lang w:val="en-GB"/>
          </w:rPr>
          <w:t>Table 41 - Road freight transport loading and unloading in 1000s tons per year</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_Toc58237664 \h </w:instrText>
        </w:r>
        <w:r w:rsidR="00835623" w:rsidRPr="00053F25">
          <w:rPr>
            <w:noProof/>
            <w:webHidden/>
            <w:lang w:val="en-GB"/>
          </w:rPr>
        </w:r>
        <w:r w:rsidR="00835623" w:rsidRPr="00053F25">
          <w:rPr>
            <w:noProof/>
            <w:webHidden/>
            <w:lang w:val="en-GB"/>
          </w:rPr>
          <w:fldChar w:fldCharType="separate"/>
        </w:r>
        <w:r w:rsidR="00FB3E93">
          <w:rPr>
            <w:noProof/>
            <w:webHidden/>
            <w:lang w:val="en-GB"/>
          </w:rPr>
          <w:t>180</w:t>
        </w:r>
        <w:r w:rsidR="00835623" w:rsidRPr="00053F25">
          <w:rPr>
            <w:noProof/>
            <w:webHidden/>
            <w:lang w:val="en-GB"/>
          </w:rPr>
          <w:fldChar w:fldCharType="end"/>
        </w:r>
      </w:hyperlink>
    </w:p>
    <w:p w14:paraId="4DA7958E" w14:textId="42DC0A02"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5" w:history="1">
        <w:r w:rsidR="00835623" w:rsidRPr="00053F25">
          <w:rPr>
            <w:rStyle w:val="Hyperlink"/>
            <w:noProof/>
            <w:lang w:val="en-GB"/>
          </w:rPr>
          <w:t>Table 42 - Water consumption per capita in the PA counties (2014 and 2009-2014 trend)</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_Toc58237665 \h </w:instrText>
        </w:r>
        <w:r w:rsidR="00835623" w:rsidRPr="00053F25">
          <w:rPr>
            <w:noProof/>
            <w:webHidden/>
            <w:lang w:val="en-GB"/>
          </w:rPr>
        </w:r>
        <w:r w:rsidR="00835623" w:rsidRPr="00053F25">
          <w:rPr>
            <w:noProof/>
            <w:webHidden/>
            <w:lang w:val="en-GB"/>
          </w:rPr>
          <w:fldChar w:fldCharType="separate"/>
        </w:r>
        <w:r w:rsidR="00FB3E93">
          <w:rPr>
            <w:noProof/>
            <w:webHidden/>
            <w:lang w:val="en-GB"/>
          </w:rPr>
          <w:t>182</w:t>
        </w:r>
        <w:r w:rsidR="00835623" w:rsidRPr="00053F25">
          <w:rPr>
            <w:noProof/>
            <w:webHidden/>
            <w:lang w:val="en-GB"/>
          </w:rPr>
          <w:fldChar w:fldCharType="end"/>
        </w:r>
      </w:hyperlink>
    </w:p>
    <w:p w14:paraId="31213C22" w14:textId="48D8E9B0"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6" w:history="1">
        <w:r w:rsidR="00835623" w:rsidRPr="00053F25">
          <w:rPr>
            <w:rStyle w:val="Hyperlink"/>
            <w:noProof/>
            <w:lang w:val="en-GB"/>
          </w:rPr>
          <w:t>Table 43 - Dynamics in heating distribution at county level, 2009-2019</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_Toc58237666 \h </w:instrText>
        </w:r>
        <w:r w:rsidR="00835623" w:rsidRPr="00053F25">
          <w:rPr>
            <w:noProof/>
            <w:webHidden/>
            <w:lang w:val="en-GB"/>
          </w:rPr>
        </w:r>
        <w:r w:rsidR="00835623" w:rsidRPr="00053F25">
          <w:rPr>
            <w:noProof/>
            <w:webHidden/>
            <w:lang w:val="en-GB"/>
          </w:rPr>
          <w:fldChar w:fldCharType="separate"/>
        </w:r>
        <w:r w:rsidR="00FB3E93">
          <w:rPr>
            <w:noProof/>
            <w:webHidden/>
            <w:lang w:val="en-GB"/>
          </w:rPr>
          <w:t>183</w:t>
        </w:r>
        <w:r w:rsidR="00835623" w:rsidRPr="00053F25">
          <w:rPr>
            <w:noProof/>
            <w:webHidden/>
            <w:lang w:val="en-GB"/>
          </w:rPr>
          <w:fldChar w:fldCharType="end"/>
        </w:r>
      </w:hyperlink>
    </w:p>
    <w:p w14:paraId="630CAC22" w14:textId="768DBCF9"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7" w:history="1">
        <w:r w:rsidR="00835623" w:rsidRPr="00053F25">
          <w:rPr>
            <w:rStyle w:val="Hyperlink"/>
            <w:noProof/>
            <w:lang w:val="en-GB"/>
          </w:rPr>
          <w:t>Table 44 - State of ICT infrastructure development in the PA counties (2019)</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_Toc58237667 \h </w:instrText>
        </w:r>
        <w:r w:rsidR="00835623" w:rsidRPr="00053F25">
          <w:rPr>
            <w:noProof/>
            <w:webHidden/>
            <w:lang w:val="en-GB"/>
          </w:rPr>
        </w:r>
        <w:r w:rsidR="00835623" w:rsidRPr="00053F25">
          <w:rPr>
            <w:noProof/>
            <w:webHidden/>
            <w:lang w:val="en-GB"/>
          </w:rPr>
          <w:fldChar w:fldCharType="separate"/>
        </w:r>
        <w:r w:rsidR="00FB3E93">
          <w:rPr>
            <w:noProof/>
            <w:webHidden/>
            <w:lang w:val="en-GB"/>
          </w:rPr>
          <w:t>185</w:t>
        </w:r>
        <w:r w:rsidR="00835623" w:rsidRPr="00053F25">
          <w:rPr>
            <w:noProof/>
            <w:webHidden/>
            <w:lang w:val="en-GB"/>
          </w:rPr>
          <w:fldChar w:fldCharType="end"/>
        </w:r>
      </w:hyperlink>
    </w:p>
    <w:p w14:paraId="78346EA3" w14:textId="701CFFD4"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8" w:history="1">
        <w:r w:rsidR="00835623" w:rsidRPr="00053F25">
          <w:rPr>
            <w:rStyle w:val="Hyperlink"/>
            <w:noProof/>
            <w:lang w:val="en-GB"/>
          </w:rPr>
          <w:t>Table 45 - Comparative table of subnational government competencies in Romania and Hungary</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_Toc58237668 \h </w:instrText>
        </w:r>
        <w:r w:rsidR="00835623" w:rsidRPr="00053F25">
          <w:rPr>
            <w:noProof/>
            <w:webHidden/>
            <w:lang w:val="en-GB"/>
          </w:rPr>
        </w:r>
        <w:r w:rsidR="00835623" w:rsidRPr="00053F25">
          <w:rPr>
            <w:noProof/>
            <w:webHidden/>
            <w:lang w:val="en-GB"/>
          </w:rPr>
          <w:fldChar w:fldCharType="separate"/>
        </w:r>
        <w:r w:rsidR="00FB3E93">
          <w:rPr>
            <w:noProof/>
            <w:webHidden/>
            <w:lang w:val="en-GB"/>
          </w:rPr>
          <w:t>192</w:t>
        </w:r>
        <w:r w:rsidR="00835623" w:rsidRPr="00053F25">
          <w:rPr>
            <w:noProof/>
            <w:webHidden/>
            <w:lang w:val="en-GB"/>
          </w:rPr>
          <w:fldChar w:fldCharType="end"/>
        </w:r>
      </w:hyperlink>
    </w:p>
    <w:p w14:paraId="0E855EB3" w14:textId="4CAFBFEB"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69" w:history="1">
        <w:r w:rsidR="00835623" w:rsidRPr="00053F25">
          <w:rPr>
            <w:rStyle w:val="Hyperlink"/>
            <w:noProof/>
            <w:lang w:val="en-GB"/>
          </w:rPr>
          <w:t>Table 46 - EQI and GDP per capita correlation for the NUTS 2 included in the program area.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_Toc58237669 \h </w:instrText>
        </w:r>
        <w:r w:rsidR="00835623" w:rsidRPr="00053F25">
          <w:rPr>
            <w:noProof/>
            <w:webHidden/>
            <w:lang w:val="en-GB"/>
          </w:rPr>
        </w:r>
        <w:r w:rsidR="00835623" w:rsidRPr="00053F25">
          <w:rPr>
            <w:noProof/>
            <w:webHidden/>
            <w:lang w:val="en-GB"/>
          </w:rPr>
          <w:fldChar w:fldCharType="separate"/>
        </w:r>
        <w:r w:rsidR="00FB3E93">
          <w:rPr>
            <w:noProof/>
            <w:webHidden/>
            <w:lang w:val="en-GB"/>
          </w:rPr>
          <w:t>199</w:t>
        </w:r>
        <w:r w:rsidR="00835623" w:rsidRPr="00053F25">
          <w:rPr>
            <w:noProof/>
            <w:webHidden/>
            <w:lang w:val="en-GB"/>
          </w:rPr>
          <w:fldChar w:fldCharType="end"/>
        </w:r>
      </w:hyperlink>
    </w:p>
    <w:p w14:paraId="2D8EB9B1" w14:textId="174D138E"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0" w:history="1">
        <w:r w:rsidR="00835623" w:rsidRPr="00053F25">
          <w:rPr>
            <w:rStyle w:val="Hyperlink"/>
            <w:noProof/>
            <w:lang w:val="en-GB"/>
          </w:rPr>
          <w:t>Table 47 - Types of IDAs Romania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_Toc58237670 \h </w:instrText>
        </w:r>
        <w:r w:rsidR="00835623" w:rsidRPr="00053F25">
          <w:rPr>
            <w:noProof/>
            <w:webHidden/>
            <w:lang w:val="en-GB"/>
          </w:rPr>
        </w:r>
        <w:r w:rsidR="00835623" w:rsidRPr="00053F25">
          <w:rPr>
            <w:noProof/>
            <w:webHidden/>
            <w:lang w:val="en-GB"/>
          </w:rPr>
          <w:fldChar w:fldCharType="separate"/>
        </w:r>
        <w:r w:rsidR="00FB3E93">
          <w:rPr>
            <w:noProof/>
            <w:webHidden/>
            <w:lang w:val="en-GB"/>
          </w:rPr>
          <w:t>203</w:t>
        </w:r>
        <w:r w:rsidR="00835623" w:rsidRPr="00053F25">
          <w:rPr>
            <w:noProof/>
            <w:webHidden/>
            <w:lang w:val="en-GB"/>
          </w:rPr>
          <w:fldChar w:fldCharType="end"/>
        </w:r>
      </w:hyperlink>
    </w:p>
    <w:p w14:paraId="57768BC6" w14:textId="64B80901"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1" w:history="1">
        <w:r w:rsidR="00835623" w:rsidRPr="00053F25">
          <w:rPr>
            <w:rStyle w:val="Hyperlink"/>
            <w:noProof/>
            <w:lang w:val="en-GB"/>
          </w:rPr>
          <w:t>Table 48 - Euroregions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_Toc58237671 \h </w:instrText>
        </w:r>
        <w:r w:rsidR="00835623" w:rsidRPr="00053F25">
          <w:rPr>
            <w:noProof/>
            <w:webHidden/>
            <w:lang w:val="en-GB"/>
          </w:rPr>
        </w:r>
        <w:r w:rsidR="00835623" w:rsidRPr="00053F25">
          <w:rPr>
            <w:noProof/>
            <w:webHidden/>
            <w:lang w:val="en-GB"/>
          </w:rPr>
          <w:fldChar w:fldCharType="separate"/>
        </w:r>
        <w:r w:rsidR="00FB3E93">
          <w:rPr>
            <w:noProof/>
            <w:webHidden/>
            <w:lang w:val="en-GB"/>
          </w:rPr>
          <w:t>206</w:t>
        </w:r>
        <w:r w:rsidR="00835623" w:rsidRPr="00053F25">
          <w:rPr>
            <w:noProof/>
            <w:webHidden/>
            <w:lang w:val="en-GB"/>
          </w:rPr>
          <w:fldChar w:fldCharType="end"/>
        </w:r>
      </w:hyperlink>
    </w:p>
    <w:p w14:paraId="79DD07EA" w14:textId="090B4C63"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2" w:history="1">
        <w:r w:rsidR="00835623" w:rsidRPr="00053F25">
          <w:rPr>
            <w:rStyle w:val="Hyperlink"/>
            <w:noProof/>
            <w:lang w:val="en-GB"/>
          </w:rPr>
          <w:t>Table 49 - EGTCs and number of partners.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_Toc58237672 \h </w:instrText>
        </w:r>
        <w:r w:rsidR="00835623" w:rsidRPr="00053F25">
          <w:rPr>
            <w:noProof/>
            <w:webHidden/>
            <w:lang w:val="en-GB"/>
          </w:rPr>
        </w:r>
        <w:r w:rsidR="00835623" w:rsidRPr="00053F25">
          <w:rPr>
            <w:noProof/>
            <w:webHidden/>
            <w:lang w:val="en-GB"/>
          </w:rPr>
          <w:fldChar w:fldCharType="separate"/>
        </w:r>
        <w:r w:rsidR="00FB3E93">
          <w:rPr>
            <w:noProof/>
            <w:webHidden/>
            <w:lang w:val="en-GB"/>
          </w:rPr>
          <w:t>208</w:t>
        </w:r>
        <w:r w:rsidR="00835623" w:rsidRPr="00053F25">
          <w:rPr>
            <w:noProof/>
            <w:webHidden/>
            <w:lang w:val="en-GB"/>
          </w:rPr>
          <w:fldChar w:fldCharType="end"/>
        </w:r>
      </w:hyperlink>
    </w:p>
    <w:p w14:paraId="2F8585CF" w14:textId="2D80DEF6"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3" w:history="1">
        <w:r w:rsidR="00835623" w:rsidRPr="00053F25">
          <w:rPr>
            <w:rStyle w:val="Hyperlink"/>
            <w:noProof/>
            <w:lang w:val="en-GB"/>
          </w:rPr>
          <w:t>Table 50 - Synthetic matrix of enabling border realities and barriers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_Toc58237673 \h </w:instrText>
        </w:r>
        <w:r w:rsidR="00835623" w:rsidRPr="00053F25">
          <w:rPr>
            <w:noProof/>
            <w:webHidden/>
            <w:lang w:val="en-GB"/>
          </w:rPr>
        </w:r>
        <w:r w:rsidR="00835623" w:rsidRPr="00053F25">
          <w:rPr>
            <w:noProof/>
            <w:webHidden/>
            <w:lang w:val="en-GB"/>
          </w:rPr>
          <w:fldChar w:fldCharType="separate"/>
        </w:r>
        <w:r w:rsidR="00FB3E93">
          <w:rPr>
            <w:noProof/>
            <w:webHidden/>
            <w:lang w:val="en-GB"/>
          </w:rPr>
          <w:t>215</w:t>
        </w:r>
        <w:r w:rsidR="00835623" w:rsidRPr="00053F25">
          <w:rPr>
            <w:noProof/>
            <w:webHidden/>
            <w:lang w:val="en-GB"/>
          </w:rPr>
          <w:fldChar w:fldCharType="end"/>
        </w:r>
      </w:hyperlink>
    </w:p>
    <w:p w14:paraId="306B1BF5" w14:textId="5C69E71C"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4" w:history="1">
        <w:r w:rsidR="00835623" w:rsidRPr="00053F25">
          <w:rPr>
            <w:rStyle w:val="Hyperlink"/>
            <w:noProof/>
            <w:lang w:val="en-GB"/>
          </w:rPr>
          <w:t>Table 51 - Overview of institutionalized cooperation forms in the PA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_Toc58237674 \h </w:instrText>
        </w:r>
        <w:r w:rsidR="00835623" w:rsidRPr="00053F25">
          <w:rPr>
            <w:noProof/>
            <w:webHidden/>
            <w:lang w:val="en-GB"/>
          </w:rPr>
        </w:r>
        <w:r w:rsidR="00835623" w:rsidRPr="00053F25">
          <w:rPr>
            <w:noProof/>
            <w:webHidden/>
            <w:lang w:val="en-GB"/>
          </w:rPr>
          <w:fldChar w:fldCharType="separate"/>
        </w:r>
        <w:r w:rsidR="00FB3E93">
          <w:rPr>
            <w:noProof/>
            <w:webHidden/>
            <w:lang w:val="en-GB"/>
          </w:rPr>
          <w:t>225</w:t>
        </w:r>
        <w:r w:rsidR="00835623" w:rsidRPr="00053F25">
          <w:rPr>
            <w:noProof/>
            <w:webHidden/>
            <w:lang w:val="en-GB"/>
          </w:rPr>
          <w:fldChar w:fldCharType="end"/>
        </w:r>
      </w:hyperlink>
    </w:p>
    <w:p w14:paraId="181C63F7" w14:textId="1432EC2A"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5" w:history="1">
        <w:r w:rsidR="00835623" w:rsidRPr="00053F25">
          <w:rPr>
            <w:rStyle w:val="Hyperlink"/>
            <w:noProof/>
            <w:lang w:val="en-GB"/>
          </w:rPr>
          <w:t>Table 52 - Public functions analysed in the PA</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_Toc58237675 \h </w:instrText>
        </w:r>
        <w:r w:rsidR="00835623" w:rsidRPr="00053F25">
          <w:rPr>
            <w:noProof/>
            <w:webHidden/>
            <w:lang w:val="en-GB"/>
          </w:rPr>
        </w:r>
        <w:r w:rsidR="00835623" w:rsidRPr="00053F25">
          <w:rPr>
            <w:noProof/>
            <w:webHidden/>
            <w:lang w:val="en-GB"/>
          </w:rPr>
          <w:fldChar w:fldCharType="separate"/>
        </w:r>
        <w:r w:rsidR="00FB3E93">
          <w:rPr>
            <w:noProof/>
            <w:webHidden/>
            <w:lang w:val="en-GB"/>
          </w:rPr>
          <w:t>229</w:t>
        </w:r>
        <w:r w:rsidR="00835623" w:rsidRPr="00053F25">
          <w:rPr>
            <w:noProof/>
            <w:webHidden/>
            <w:lang w:val="en-GB"/>
          </w:rPr>
          <w:fldChar w:fldCharType="end"/>
        </w:r>
      </w:hyperlink>
    </w:p>
    <w:p w14:paraId="1433CC08" w14:textId="4BB56790"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6" w:history="1">
        <w:r w:rsidR="00835623" w:rsidRPr="00053F25">
          <w:rPr>
            <w:rStyle w:val="Hyperlink"/>
            <w:noProof/>
            <w:lang w:val="en-GB"/>
          </w:rPr>
          <w:t>Table 53 - Summary of online stakeholder surveys conducted</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_Toc58237676 \h </w:instrText>
        </w:r>
        <w:r w:rsidR="00835623" w:rsidRPr="00053F25">
          <w:rPr>
            <w:noProof/>
            <w:webHidden/>
            <w:lang w:val="en-GB"/>
          </w:rPr>
        </w:r>
        <w:r w:rsidR="00835623" w:rsidRPr="00053F25">
          <w:rPr>
            <w:noProof/>
            <w:webHidden/>
            <w:lang w:val="en-GB"/>
          </w:rPr>
          <w:fldChar w:fldCharType="separate"/>
        </w:r>
        <w:r w:rsidR="00FB3E93">
          <w:rPr>
            <w:noProof/>
            <w:webHidden/>
            <w:lang w:val="en-GB"/>
          </w:rPr>
          <w:t>238</w:t>
        </w:r>
        <w:r w:rsidR="00835623" w:rsidRPr="00053F25">
          <w:rPr>
            <w:noProof/>
            <w:webHidden/>
            <w:lang w:val="en-GB"/>
          </w:rPr>
          <w:fldChar w:fldCharType="end"/>
        </w:r>
      </w:hyperlink>
    </w:p>
    <w:p w14:paraId="22270575" w14:textId="4A6A29EA"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7" w:history="1">
        <w:r w:rsidR="00835623" w:rsidRPr="00053F25">
          <w:rPr>
            <w:rStyle w:val="Hyperlink"/>
            <w:noProof/>
            <w:lang w:val="en-GB"/>
          </w:rPr>
          <w:t>Table 54 - Overview of stakeholder consultation workshops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_Toc58237677 \h </w:instrText>
        </w:r>
        <w:r w:rsidR="00835623" w:rsidRPr="00053F25">
          <w:rPr>
            <w:noProof/>
            <w:webHidden/>
            <w:lang w:val="en-GB"/>
          </w:rPr>
        </w:r>
        <w:r w:rsidR="00835623" w:rsidRPr="00053F25">
          <w:rPr>
            <w:noProof/>
            <w:webHidden/>
            <w:lang w:val="en-GB"/>
          </w:rPr>
          <w:fldChar w:fldCharType="separate"/>
        </w:r>
        <w:r w:rsidR="00FB3E93">
          <w:rPr>
            <w:noProof/>
            <w:webHidden/>
            <w:lang w:val="en-GB"/>
          </w:rPr>
          <w:t>240</w:t>
        </w:r>
        <w:r w:rsidR="00835623" w:rsidRPr="00053F25">
          <w:rPr>
            <w:noProof/>
            <w:webHidden/>
            <w:lang w:val="en-GB"/>
          </w:rPr>
          <w:fldChar w:fldCharType="end"/>
        </w:r>
      </w:hyperlink>
    </w:p>
    <w:p w14:paraId="4E0915F8" w14:textId="7F912B3D" w:rsidR="00835623" w:rsidRPr="00053F25" w:rsidRDefault="0049362F">
      <w:pPr>
        <w:pStyle w:val="TableofFigures"/>
        <w:tabs>
          <w:tab w:val="right" w:leader="dot" w:pos="9016"/>
        </w:tabs>
        <w:rPr>
          <w:rFonts w:asciiTheme="minorHAnsi" w:eastAsiaTheme="minorEastAsia" w:hAnsiTheme="minorHAnsi"/>
          <w:noProof/>
          <w:lang w:val="en-GB" w:eastAsia="ro-RO"/>
        </w:rPr>
      </w:pPr>
      <w:hyperlink w:anchor="_Toc58237678" w:history="1">
        <w:r w:rsidR="00835623" w:rsidRPr="00053F25">
          <w:rPr>
            <w:rStyle w:val="Hyperlink"/>
            <w:noProof/>
            <w:lang w:val="en-GB"/>
          </w:rPr>
          <w:t>Table 55 - Cross-cutting priority identification within the stakeholder consultation workshops</w:t>
        </w:r>
        <w:r w:rsidR="00835623" w:rsidRPr="00053F25">
          <w:rPr>
            <w:noProof/>
            <w:webHidden/>
            <w:lang w:val="en-GB"/>
          </w:rPr>
          <w:tab/>
        </w:r>
        <w:r w:rsidR="00835623" w:rsidRPr="00053F25">
          <w:rPr>
            <w:noProof/>
            <w:webHidden/>
            <w:lang w:val="en-GB"/>
          </w:rPr>
          <w:fldChar w:fldCharType="begin"/>
        </w:r>
        <w:r w:rsidR="00835623" w:rsidRPr="00053F25">
          <w:rPr>
            <w:noProof/>
            <w:webHidden/>
            <w:lang w:val="en-GB"/>
          </w:rPr>
          <w:instrText xml:space="preserve"> PAGEREF _Toc58237678 \h </w:instrText>
        </w:r>
        <w:r w:rsidR="00835623" w:rsidRPr="00053F25">
          <w:rPr>
            <w:noProof/>
            <w:webHidden/>
            <w:lang w:val="en-GB"/>
          </w:rPr>
        </w:r>
        <w:r w:rsidR="00835623" w:rsidRPr="00053F25">
          <w:rPr>
            <w:noProof/>
            <w:webHidden/>
            <w:lang w:val="en-GB"/>
          </w:rPr>
          <w:fldChar w:fldCharType="separate"/>
        </w:r>
        <w:r w:rsidR="00FB3E93">
          <w:rPr>
            <w:noProof/>
            <w:webHidden/>
            <w:lang w:val="en-GB"/>
          </w:rPr>
          <w:t>240</w:t>
        </w:r>
        <w:r w:rsidR="00835623" w:rsidRPr="00053F25">
          <w:rPr>
            <w:noProof/>
            <w:webHidden/>
            <w:lang w:val="en-GB"/>
          </w:rPr>
          <w:fldChar w:fldCharType="end"/>
        </w:r>
      </w:hyperlink>
    </w:p>
    <w:p w14:paraId="19161FDC" w14:textId="3C5D0500" w:rsidR="007273BC" w:rsidRPr="00037C61" w:rsidRDefault="00E136EC" w:rsidP="007273BC">
      <w:pPr>
        <w:pStyle w:val="nova-e-listitem"/>
        <w:rPr>
          <w:sz w:val="22"/>
          <w:szCs w:val="22"/>
          <w:highlight w:val="yellow"/>
        </w:rPr>
      </w:pPr>
      <w:r w:rsidRPr="00053F25">
        <w:rPr>
          <w:sz w:val="22"/>
          <w:szCs w:val="22"/>
        </w:rPr>
        <w:fldChar w:fldCharType="end"/>
      </w:r>
    </w:p>
    <w:p w14:paraId="7D9AA178" w14:textId="106F8740" w:rsidR="007273BC" w:rsidRPr="00037C61" w:rsidRDefault="003D1F8F" w:rsidP="00EA5E72">
      <w:pPr>
        <w:pStyle w:val="Heading1"/>
        <w:spacing w:before="600"/>
        <w:ind w:left="357" w:hanging="357"/>
      </w:pPr>
      <w:bookmarkStart w:id="2" w:name="_Toc64619513"/>
      <w:r w:rsidRPr="00037C61">
        <w:lastRenderedPageBreak/>
        <w:t>INTRODUCTION</w:t>
      </w:r>
      <w:bookmarkEnd w:id="2"/>
      <w:r w:rsidRPr="00037C61">
        <w:t xml:space="preserve"> </w:t>
      </w:r>
    </w:p>
    <w:p w14:paraId="2F86B542" w14:textId="3EB761F8" w:rsidR="5B5B86ED" w:rsidRPr="00037C61" w:rsidRDefault="30EED610" w:rsidP="00CA0CEF">
      <w:pPr>
        <w:rPr>
          <w:lang w:val="en-GB"/>
        </w:rPr>
      </w:pPr>
      <w:r w:rsidRPr="00037C61">
        <w:rPr>
          <w:lang w:val="en-GB"/>
        </w:rPr>
        <w:t xml:space="preserve">This </w:t>
      </w:r>
      <w:r w:rsidR="00C17866" w:rsidRPr="00037C61">
        <w:rPr>
          <w:lang w:val="en-GB"/>
        </w:rPr>
        <w:t>T</w:t>
      </w:r>
      <w:r w:rsidRPr="00037C61">
        <w:rPr>
          <w:lang w:val="en-GB"/>
        </w:rPr>
        <w:t xml:space="preserve">erritorial </w:t>
      </w:r>
      <w:r w:rsidR="00C17866" w:rsidRPr="00037C61">
        <w:rPr>
          <w:lang w:val="en-GB"/>
        </w:rPr>
        <w:t>A</w:t>
      </w:r>
      <w:r w:rsidRPr="00037C61">
        <w:rPr>
          <w:lang w:val="en-GB"/>
        </w:rPr>
        <w:t>nalysis</w:t>
      </w:r>
      <w:r w:rsidR="00C17866" w:rsidRPr="00037C61">
        <w:rPr>
          <w:lang w:val="en-GB"/>
        </w:rPr>
        <w:t xml:space="preserve"> (TA)</w:t>
      </w:r>
      <w:r w:rsidRPr="00037C61">
        <w:rPr>
          <w:lang w:val="en-GB"/>
        </w:rPr>
        <w:t xml:space="preserve"> looks into the geographical coverage for cross-border cooperation between Romania and Hungary eligible for the 2021-2027 programming period</w:t>
      </w:r>
      <w:r w:rsidR="00CA0CEF" w:rsidRPr="00037C61">
        <w:rPr>
          <w:lang w:val="en-GB"/>
        </w:rPr>
        <w:t xml:space="preserve">, with the scope of </w:t>
      </w:r>
      <w:r w:rsidR="00CA0CEF" w:rsidRPr="00037C61">
        <w:rPr>
          <w:b/>
          <w:bCs/>
          <w:lang w:val="en-GB"/>
        </w:rPr>
        <w:t>providing evidence to define the future cooperation programme strategy</w:t>
      </w:r>
      <w:r w:rsidR="00CA0CEF" w:rsidRPr="00037C61">
        <w:rPr>
          <w:lang w:val="en-GB"/>
        </w:rPr>
        <w:t>.</w:t>
      </w:r>
      <w:r w:rsidR="006E131C" w:rsidRPr="00037C61">
        <w:rPr>
          <w:lang w:val="en-GB"/>
        </w:rPr>
        <w:t xml:space="preserve"> </w:t>
      </w:r>
      <w:r w:rsidR="00CA0CEF" w:rsidRPr="00037C61">
        <w:rPr>
          <w:lang w:val="en-GB"/>
        </w:rPr>
        <w:t>S</w:t>
      </w:r>
      <w:r w:rsidR="00C17866" w:rsidRPr="00037C61">
        <w:rPr>
          <w:lang w:val="en-GB"/>
        </w:rPr>
        <w:t>pecifically</w:t>
      </w:r>
      <w:r w:rsidR="00CA0CEF" w:rsidRPr="00037C61">
        <w:rPr>
          <w:lang w:val="en-GB"/>
        </w:rPr>
        <w:t>, it</w:t>
      </w:r>
      <w:r w:rsidR="00C17866" w:rsidRPr="00037C61">
        <w:rPr>
          <w:lang w:val="en-GB"/>
        </w:rPr>
        <w:t xml:space="preserve"> provides an assessment of the </w:t>
      </w:r>
      <w:r w:rsidR="00CA0CEF" w:rsidRPr="00037C61">
        <w:rPr>
          <w:b/>
          <w:bCs/>
          <w:lang w:val="en-GB"/>
        </w:rPr>
        <w:t xml:space="preserve">current </w:t>
      </w:r>
      <w:r w:rsidR="00C17866" w:rsidRPr="00037C61">
        <w:rPr>
          <w:b/>
          <w:bCs/>
          <w:lang w:val="en-GB"/>
        </w:rPr>
        <w:t>state of territorial development</w:t>
      </w:r>
      <w:r w:rsidR="00CA0CEF" w:rsidRPr="00037C61">
        <w:rPr>
          <w:b/>
          <w:bCs/>
          <w:lang w:val="en-GB"/>
        </w:rPr>
        <w:t xml:space="preserve"> and main development trends</w:t>
      </w:r>
      <w:r w:rsidR="00C17866" w:rsidRPr="00037C61">
        <w:rPr>
          <w:lang w:val="en-GB"/>
        </w:rPr>
        <w:t xml:space="preserve"> </w:t>
      </w:r>
      <w:r w:rsidRPr="00037C61">
        <w:rPr>
          <w:lang w:val="en-GB"/>
        </w:rPr>
        <w:t>in the eight counties that constitute the programme area (PA):</w:t>
      </w:r>
    </w:p>
    <w:p w14:paraId="04F6706C" w14:textId="673AD8D9" w:rsidR="00612AD6" w:rsidRPr="00037C61" w:rsidRDefault="00612AD6" w:rsidP="6446A0E8">
      <w:pPr>
        <w:pStyle w:val="NormalWeb"/>
        <w:spacing w:before="0" w:beforeAutospacing="0" w:after="0" w:afterAutospacing="0"/>
        <w:rPr>
          <w:rFonts w:ascii="Calibri" w:hAnsi="Calibri"/>
          <w:color w:val="000000"/>
          <w:sz w:val="22"/>
          <w:szCs w:val="22"/>
          <w:lang w:val="en-GB"/>
        </w:rPr>
      </w:pPr>
    </w:p>
    <w:p w14:paraId="7D438764" w14:textId="7F7053E5" w:rsidR="00612AD6" w:rsidRPr="00037C61" w:rsidRDefault="00C17866" w:rsidP="006B32F7">
      <w:pPr>
        <w:pStyle w:val="InterregROHUBullet1"/>
        <w:ind w:left="709"/>
      </w:pPr>
      <w:r w:rsidRPr="00037C61">
        <w:t xml:space="preserve">On the </w:t>
      </w:r>
      <w:r w:rsidR="45504615" w:rsidRPr="00037C61">
        <w:t>Romania</w:t>
      </w:r>
      <w:r w:rsidRPr="00037C61">
        <w:t>n side</w:t>
      </w:r>
      <w:r w:rsidR="45504615" w:rsidRPr="00037C61">
        <w:t xml:space="preserve">: Satu Mare, Bihor, Arad and Timiș; </w:t>
      </w:r>
    </w:p>
    <w:p w14:paraId="22AE1552" w14:textId="1C364B46" w:rsidR="00612AD6" w:rsidRPr="00037C61" w:rsidRDefault="00C17866" w:rsidP="006B32F7">
      <w:pPr>
        <w:pStyle w:val="InterregROHUBullet1"/>
        <w:ind w:left="709"/>
      </w:pPr>
      <w:r w:rsidRPr="00037C61">
        <w:rPr>
          <w:color w:val="000000" w:themeColor="text1"/>
        </w:rPr>
        <w:t xml:space="preserve">On the </w:t>
      </w:r>
      <w:r w:rsidR="6446A0E8" w:rsidRPr="00037C61">
        <w:rPr>
          <w:color w:val="000000" w:themeColor="text1"/>
        </w:rPr>
        <w:t>Hungar</w:t>
      </w:r>
      <w:r w:rsidRPr="00037C61">
        <w:rPr>
          <w:color w:val="000000" w:themeColor="text1"/>
        </w:rPr>
        <w:t>ian side</w:t>
      </w:r>
      <w:r w:rsidR="6446A0E8" w:rsidRPr="00037C61">
        <w:rPr>
          <w:color w:val="000000" w:themeColor="text1"/>
        </w:rPr>
        <w:t>: Szabolcs-Szatmár-Bereg,</w:t>
      </w:r>
      <w:r w:rsidR="6446A0E8" w:rsidRPr="00037C61">
        <w:rPr>
          <w:rFonts w:cs="Calibri"/>
          <w:color w:val="000000" w:themeColor="text1"/>
        </w:rPr>
        <w:t xml:space="preserve"> </w:t>
      </w:r>
      <w:r w:rsidR="6446A0E8" w:rsidRPr="00037C61">
        <w:rPr>
          <w:color w:val="000000" w:themeColor="text1"/>
        </w:rPr>
        <w:t xml:space="preserve">Hajdú-Bihar, Békés and </w:t>
      </w:r>
      <w:r w:rsidR="00F60720" w:rsidRPr="00037C61">
        <w:rPr>
          <w:color w:val="000000" w:themeColor="text1"/>
        </w:rPr>
        <w:t>Csongrád-Csanád</w:t>
      </w:r>
      <w:r w:rsidR="6446A0E8" w:rsidRPr="00037C61">
        <w:rPr>
          <w:color w:val="000000" w:themeColor="text1"/>
        </w:rPr>
        <w:t>.</w:t>
      </w:r>
    </w:p>
    <w:p w14:paraId="5CE3023F" w14:textId="19A41071" w:rsidR="005818DD" w:rsidRPr="00037C61" w:rsidRDefault="005818DD" w:rsidP="005818DD">
      <w:pPr>
        <w:rPr>
          <w:color w:val="000000"/>
          <w:lang w:val="en-GB"/>
        </w:rPr>
      </w:pPr>
      <w:r w:rsidRPr="00037C61">
        <w:rPr>
          <w:lang w:val="en-GB"/>
        </w:rPr>
        <w:t xml:space="preserve">This document offers an overview of the PA and the framework for the strategic planning process, as derived from primary and secondary information sources. More specifically, it </w:t>
      </w:r>
      <w:r w:rsidR="004A0614" w:rsidRPr="00037C61">
        <w:rPr>
          <w:lang w:val="en-GB"/>
        </w:rPr>
        <w:t xml:space="preserve">builds </w:t>
      </w:r>
      <w:r w:rsidRPr="00037C61">
        <w:rPr>
          <w:lang w:val="en-GB"/>
        </w:rPr>
        <w:t>a presentation of</w:t>
      </w:r>
      <w:r w:rsidR="004A0614" w:rsidRPr="00037C61">
        <w:rPr>
          <w:lang w:val="en-GB"/>
        </w:rPr>
        <w:t xml:space="preserve"> level of development in the programme area, leveraging on information from</w:t>
      </w:r>
      <w:r w:rsidRPr="00037C61">
        <w:rPr>
          <w:lang w:val="en-GB"/>
        </w:rPr>
        <w:t>: </w:t>
      </w:r>
    </w:p>
    <w:p w14:paraId="0BDA22C7" w14:textId="77777777" w:rsidR="005818DD" w:rsidRPr="00037C61" w:rsidRDefault="005818DD" w:rsidP="005818DD">
      <w:pPr>
        <w:pStyle w:val="InterregROHUBullet1"/>
        <w:ind w:left="709"/>
      </w:pPr>
      <w:r w:rsidRPr="00037C61">
        <w:t>The EU framework of the planning process; </w:t>
      </w:r>
    </w:p>
    <w:p w14:paraId="4A74D162" w14:textId="77777777" w:rsidR="005818DD" w:rsidRPr="00037C61" w:rsidRDefault="005818DD" w:rsidP="005818DD">
      <w:pPr>
        <w:pStyle w:val="InterregROHUBullet1"/>
        <w:ind w:left="709"/>
      </w:pPr>
      <w:r w:rsidRPr="00037C61">
        <w:t>The national framework both in Romania and in Hungary;</w:t>
      </w:r>
    </w:p>
    <w:p w14:paraId="7E917311" w14:textId="1F664104" w:rsidR="005818DD" w:rsidRPr="00037C61" w:rsidRDefault="005818DD" w:rsidP="005818DD">
      <w:pPr>
        <w:pStyle w:val="InterregROHUBullet1"/>
        <w:ind w:left="709"/>
      </w:pPr>
      <w:r w:rsidRPr="00037C61">
        <w:rPr>
          <w:color w:val="000000" w:themeColor="text1"/>
        </w:rPr>
        <w:t>Existing scientific literature on the PA</w:t>
      </w:r>
      <w:r w:rsidR="006E131C" w:rsidRPr="00037C61">
        <w:rPr>
          <w:color w:val="000000" w:themeColor="text1"/>
        </w:rPr>
        <w:t>, or relevant for the characterisation of it (including ESPON studies, JRC publications and other European Commission thematic reports)</w:t>
      </w:r>
      <w:r w:rsidRPr="00037C61">
        <w:rPr>
          <w:color w:val="000000" w:themeColor="text1"/>
        </w:rPr>
        <w:t>; </w:t>
      </w:r>
      <w:r w:rsidR="006E131C" w:rsidRPr="00037C61">
        <w:rPr>
          <w:color w:val="000000" w:themeColor="text1"/>
        </w:rPr>
        <w:t xml:space="preserve"> </w:t>
      </w:r>
    </w:p>
    <w:p w14:paraId="3AB162DE" w14:textId="46177440" w:rsidR="004A0614" w:rsidRPr="00037C61" w:rsidRDefault="004A0614" w:rsidP="00981D6C">
      <w:pPr>
        <w:pStyle w:val="InterregROHUBullet1"/>
        <w:ind w:left="709"/>
      </w:pPr>
      <w:r w:rsidRPr="00037C61">
        <w:rPr>
          <w:color w:val="000000" w:themeColor="text1"/>
        </w:rPr>
        <w:t>Q</w:t>
      </w:r>
      <w:r w:rsidR="005818DD" w:rsidRPr="00037C61">
        <w:rPr>
          <w:color w:val="000000" w:themeColor="text1"/>
        </w:rPr>
        <w:t>uantitative information – statistical data</w:t>
      </w:r>
      <w:r w:rsidRPr="00037C61">
        <w:rPr>
          <w:color w:val="000000" w:themeColor="text1"/>
        </w:rPr>
        <w:t xml:space="preserve">; </w:t>
      </w:r>
    </w:p>
    <w:p w14:paraId="2BCC6F9F" w14:textId="0CD393BE" w:rsidR="005818DD" w:rsidRPr="00037C61" w:rsidRDefault="004A0614" w:rsidP="00981D6C">
      <w:pPr>
        <w:pStyle w:val="InterregROHUBullet1"/>
        <w:ind w:left="709"/>
      </w:pPr>
      <w:r w:rsidRPr="00037C61">
        <w:rPr>
          <w:color w:val="000000" w:themeColor="text1"/>
        </w:rPr>
        <w:t>Qualitative information: discussions and workshops with national, regional and county stakeholders in the eight counties included in the programme area.</w:t>
      </w:r>
    </w:p>
    <w:p w14:paraId="0B74A65C" w14:textId="05925886" w:rsidR="00612AD6" w:rsidRPr="00037C61" w:rsidRDefault="00CA0CEF" w:rsidP="00612AD6">
      <w:pPr>
        <w:pStyle w:val="NormalWeb"/>
        <w:spacing w:before="0" w:beforeAutospacing="0" w:after="0" w:afterAutospacing="0"/>
        <w:rPr>
          <w:rFonts w:ascii="Calibri" w:hAnsi="Calibri"/>
          <w:color w:val="000000"/>
          <w:sz w:val="22"/>
          <w:lang w:val="en-GB"/>
        </w:rPr>
      </w:pPr>
      <w:r w:rsidRPr="00037C61">
        <w:rPr>
          <w:rFonts w:ascii="Calibri" w:hAnsi="Calibri"/>
          <w:color w:val="000000"/>
          <w:sz w:val="22"/>
          <w:lang w:val="en-GB"/>
        </w:rPr>
        <w:t xml:space="preserve">In order to achieve its goal, the TA is designed to address and highlight the main characteristics of all relevant </w:t>
      </w:r>
      <w:r w:rsidRPr="00037C61">
        <w:rPr>
          <w:rFonts w:ascii="Calibri" w:hAnsi="Calibri"/>
          <w:b/>
          <w:bCs/>
          <w:color w:val="000000"/>
          <w:sz w:val="22"/>
          <w:lang w:val="en-GB"/>
        </w:rPr>
        <w:t>horizontal themes of development</w:t>
      </w:r>
      <w:r w:rsidRPr="00037C61">
        <w:rPr>
          <w:rFonts w:ascii="Calibri" w:hAnsi="Calibri"/>
          <w:color w:val="000000"/>
          <w:sz w:val="22"/>
          <w:lang w:val="en-GB"/>
        </w:rPr>
        <w:t xml:space="preserve"> (</w:t>
      </w:r>
      <w:r w:rsidR="006E131C" w:rsidRPr="00037C61">
        <w:rPr>
          <w:rFonts w:ascii="Calibri" w:hAnsi="Calibri"/>
          <w:color w:val="000000"/>
          <w:sz w:val="22"/>
          <w:lang w:val="en-GB"/>
        </w:rPr>
        <w:t>e.g.</w:t>
      </w:r>
      <w:r w:rsidRPr="00037C61">
        <w:rPr>
          <w:rFonts w:ascii="Calibri" w:hAnsi="Calibri"/>
          <w:color w:val="000000"/>
          <w:sz w:val="22"/>
          <w:lang w:val="en-GB"/>
        </w:rPr>
        <w:t xml:space="preserve"> human capital, economic structure, environmental </w:t>
      </w:r>
      <w:r w:rsidR="008B195A">
        <w:rPr>
          <w:rFonts w:ascii="Calibri" w:hAnsi="Calibri"/>
          <w:color w:val="000000"/>
          <w:sz w:val="22"/>
          <w:lang w:val="en-GB"/>
        </w:rPr>
        <w:t>assets</w:t>
      </w:r>
      <w:r w:rsidRPr="00037C61">
        <w:rPr>
          <w:rFonts w:ascii="Calibri" w:hAnsi="Calibri"/>
          <w:color w:val="000000"/>
          <w:sz w:val="22"/>
          <w:lang w:val="en-GB"/>
        </w:rPr>
        <w:t xml:space="preserve">), corroborated with an in-depth analysis of more specific topics, notably in relation with the policy objectives as proposed by the EU Regulation for the 2021-2027 programming period. </w:t>
      </w:r>
    </w:p>
    <w:p w14:paraId="5A52FDC9" w14:textId="0173BFC2" w:rsidR="00CA0CEF" w:rsidRPr="00037C61" w:rsidRDefault="00CA0CEF" w:rsidP="00612AD6">
      <w:pPr>
        <w:pStyle w:val="NormalWeb"/>
        <w:spacing w:before="0" w:beforeAutospacing="0" w:after="0" w:afterAutospacing="0"/>
        <w:rPr>
          <w:rFonts w:ascii="Calibri" w:hAnsi="Calibri"/>
          <w:color w:val="000000"/>
          <w:sz w:val="22"/>
          <w:lang w:val="en-GB"/>
        </w:rPr>
      </w:pPr>
    </w:p>
    <w:p w14:paraId="0D37E8D0" w14:textId="5A5AD309" w:rsidR="007C456D" w:rsidRPr="00037C61" w:rsidRDefault="005818DD" w:rsidP="00612AD6">
      <w:pPr>
        <w:pStyle w:val="NormalWeb"/>
        <w:spacing w:before="0" w:beforeAutospacing="0" w:after="0" w:afterAutospacing="0"/>
        <w:rPr>
          <w:rFonts w:ascii="Calibri" w:hAnsi="Calibri"/>
          <w:color w:val="000000"/>
          <w:sz w:val="22"/>
          <w:lang w:val="en-GB"/>
        </w:rPr>
      </w:pPr>
      <w:r w:rsidRPr="00037C61">
        <w:rPr>
          <w:rFonts w:ascii="Calibri" w:hAnsi="Calibri"/>
          <w:color w:val="000000"/>
          <w:sz w:val="22"/>
          <w:lang w:val="en-GB"/>
        </w:rPr>
        <w:t xml:space="preserve">The Territorial Analysis is a data-driven, fact-based assessment </w:t>
      </w:r>
      <w:r w:rsidR="007C456D" w:rsidRPr="00037C61">
        <w:rPr>
          <w:rFonts w:ascii="Calibri" w:hAnsi="Calibri"/>
          <w:color w:val="000000"/>
          <w:sz w:val="22"/>
          <w:lang w:val="en-GB"/>
        </w:rPr>
        <w:t>building on the experience from the implementation of the</w:t>
      </w:r>
      <w:r w:rsidR="008B195A">
        <w:rPr>
          <w:rFonts w:ascii="Calibri" w:hAnsi="Calibri"/>
          <w:color w:val="000000"/>
          <w:sz w:val="22"/>
          <w:lang w:val="en-GB"/>
        </w:rPr>
        <w:t xml:space="preserve"> 2007-2013 </w:t>
      </w:r>
      <w:r w:rsidR="008B195A" w:rsidRPr="006508E7">
        <w:rPr>
          <w:rFonts w:ascii="Calibri" w:hAnsi="Calibri"/>
          <w:color w:val="000000"/>
          <w:sz w:val="22"/>
          <w:lang w:val="en-GB"/>
        </w:rPr>
        <w:t>and</w:t>
      </w:r>
      <w:r w:rsidR="007C456D" w:rsidRPr="006508E7">
        <w:rPr>
          <w:rFonts w:ascii="Calibri" w:hAnsi="Calibri"/>
          <w:color w:val="000000"/>
          <w:sz w:val="22"/>
          <w:lang w:val="en-GB"/>
        </w:rPr>
        <w:t xml:space="preserve"> 2014-2020 programmes</w:t>
      </w:r>
      <w:r w:rsidR="007C456D" w:rsidRPr="00037C61">
        <w:rPr>
          <w:rFonts w:ascii="Calibri" w:hAnsi="Calibri"/>
          <w:color w:val="000000"/>
          <w:sz w:val="22"/>
          <w:lang w:val="en-GB"/>
        </w:rPr>
        <w:t xml:space="preserve"> and starting from the existing strategic European, national and regional documents, as key reference points. It further leverages </w:t>
      </w:r>
      <w:r w:rsidRPr="00037C61">
        <w:rPr>
          <w:rFonts w:ascii="Calibri" w:hAnsi="Calibri"/>
          <w:color w:val="000000"/>
          <w:sz w:val="22"/>
          <w:lang w:val="en-GB"/>
        </w:rPr>
        <w:t>on existing quantitative and qualitative data provided through official databases. The</w:t>
      </w:r>
      <w:r w:rsidR="00CA0CEF" w:rsidRPr="00037C61">
        <w:rPr>
          <w:rFonts w:ascii="Calibri" w:hAnsi="Calibri"/>
          <w:color w:val="000000"/>
          <w:sz w:val="22"/>
          <w:lang w:val="en-GB"/>
        </w:rPr>
        <w:t xml:space="preserve"> first step for the development of the Territorial Analysis has</w:t>
      </w:r>
      <w:r w:rsidRPr="00037C61">
        <w:rPr>
          <w:rFonts w:ascii="Calibri" w:hAnsi="Calibri"/>
          <w:color w:val="000000"/>
          <w:sz w:val="22"/>
          <w:lang w:val="en-GB"/>
        </w:rPr>
        <w:t xml:space="preserve"> thus</w:t>
      </w:r>
      <w:r w:rsidR="00CA0CEF" w:rsidRPr="00037C61">
        <w:rPr>
          <w:rFonts w:ascii="Calibri" w:hAnsi="Calibri"/>
          <w:color w:val="000000"/>
          <w:sz w:val="22"/>
          <w:lang w:val="en-GB"/>
        </w:rPr>
        <w:t xml:space="preserve"> been the definition of </w:t>
      </w:r>
      <w:r w:rsidR="00CA0CEF" w:rsidRPr="00037C61">
        <w:rPr>
          <w:rFonts w:ascii="Calibri" w:hAnsi="Calibri"/>
          <w:b/>
          <w:bCs/>
          <w:color w:val="000000"/>
          <w:sz w:val="22"/>
          <w:lang w:val="en-GB"/>
        </w:rPr>
        <w:t xml:space="preserve">a common database </w:t>
      </w:r>
      <w:r w:rsidRPr="00037C61">
        <w:rPr>
          <w:rFonts w:ascii="Calibri" w:hAnsi="Calibri"/>
          <w:b/>
          <w:bCs/>
          <w:color w:val="000000"/>
          <w:sz w:val="22"/>
          <w:lang w:val="en-GB"/>
        </w:rPr>
        <w:t>for</w:t>
      </w:r>
      <w:r w:rsidR="00CA0CEF" w:rsidRPr="00037C61">
        <w:rPr>
          <w:rFonts w:ascii="Calibri" w:hAnsi="Calibri"/>
          <w:b/>
          <w:bCs/>
          <w:color w:val="000000"/>
          <w:sz w:val="22"/>
          <w:lang w:val="en-GB"/>
        </w:rPr>
        <w:t xml:space="preserve"> the cooperation area</w:t>
      </w:r>
      <w:r w:rsidRPr="00037C61">
        <w:rPr>
          <w:rFonts w:ascii="Calibri" w:hAnsi="Calibri"/>
          <w:color w:val="000000"/>
          <w:sz w:val="22"/>
          <w:lang w:val="en-GB"/>
        </w:rPr>
        <w:t xml:space="preserve">, structured on the themes of development and consisting of </w:t>
      </w:r>
      <w:r w:rsidRPr="00037C61">
        <w:rPr>
          <w:rFonts w:ascii="Calibri" w:hAnsi="Calibri"/>
          <w:b/>
          <w:bCs/>
          <w:color w:val="000000"/>
          <w:sz w:val="22"/>
          <w:lang w:val="en-GB"/>
        </w:rPr>
        <w:t>120 primary indicators</w:t>
      </w:r>
      <w:r w:rsidRPr="00037C61">
        <w:rPr>
          <w:rFonts w:ascii="Calibri" w:hAnsi="Calibri"/>
          <w:color w:val="000000"/>
          <w:sz w:val="22"/>
          <w:lang w:val="en-GB"/>
        </w:rPr>
        <w:t xml:space="preserve"> and datasets </w:t>
      </w:r>
      <w:r w:rsidR="007C456D" w:rsidRPr="00037C61">
        <w:rPr>
          <w:rFonts w:ascii="Calibri" w:hAnsi="Calibri"/>
          <w:color w:val="000000"/>
          <w:sz w:val="22"/>
          <w:lang w:val="en-GB"/>
        </w:rPr>
        <w:t xml:space="preserve">at NUTS 3 and LAU 2 levels </w:t>
      </w:r>
      <w:r w:rsidRPr="00037C61">
        <w:rPr>
          <w:rFonts w:ascii="Calibri" w:hAnsi="Calibri"/>
          <w:color w:val="000000"/>
          <w:sz w:val="22"/>
          <w:lang w:val="en-GB"/>
        </w:rPr>
        <w:t xml:space="preserve">sourced from European (Eurostat, Copernicus, EEA, etc.) and national official sources (primarily TEIR and KSH for Hungary and INS for Romania). This database has been complemented by additional qualitative and quantitative information </w:t>
      </w:r>
      <w:r w:rsidR="007C456D" w:rsidRPr="00037C61">
        <w:rPr>
          <w:rFonts w:ascii="Calibri" w:hAnsi="Calibri"/>
          <w:color w:val="000000"/>
          <w:sz w:val="22"/>
          <w:lang w:val="en-GB"/>
        </w:rPr>
        <w:t>at higher territorial scales, for critical themes where local information was unavailable, and at main city level, for the purpose of uncovering urban specificities</w:t>
      </w:r>
      <w:r w:rsidR="007C456D" w:rsidRPr="00037C61">
        <w:rPr>
          <w:rStyle w:val="FootnoteReference"/>
          <w:rFonts w:ascii="Calibri" w:hAnsi="Calibri"/>
          <w:color w:val="000000"/>
          <w:sz w:val="22"/>
          <w:lang w:val="en-GB"/>
        </w:rPr>
        <w:footnoteReference w:id="2"/>
      </w:r>
      <w:r w:rsidR="007C456D" w:rsidRPr="00037C61">
        <w:rPr>
          <w:rFonts w:ascii="Calibri" w:hAnsi="Calibri"/>
          <w:color w:val="000000"/>
          <w:sz w:val="22"/>
          <w:lang w:val="en-GB"/>
        </w:rPr>
        <w:t xml:space="preserve">. </w:t>
      </w:r>
    </w:p>
    <w:p w14:paraId="2201047C" w14:textId="77777777" w:rsidR="00CA0CEF" w:rsidRPr="00037C61" w:rsidRDefault="00CA0CEF" w:rsidP="00612AD6">
      <w:pPr>
        <w:pStyle w:val="NormalWeb"/>
        <w:spacing w:before="0" w:beforeAutospacing="0" w:after="0" w:afterAutospacing="0"/>
        <w:rPr>
          <w:rFonts w:ascii="Calibri" w:hAnsi="Calibri"/>
          <w:color w:val="000000"/>
          <w:sz w:val="22"/>
          <w:lang w:val="en-GB"/>
        </w:rPr>
      </w:pPr>
    </w:p>
    <w:p w14:paraId="62D31E15" w14:textId="695EEF9C" w:rsidR="00484574" w:rsidRPr="00037C61" w:rsidRDefault="007C456D" w:rsidP="00CA0CEF">
      <w:pPr>
        <w:rPr>
          <w:lang w:val="en-GB"/>
        </w:rPr>
      </w:pPr>
      <w:r w:rsidRPr="00037C61">
        <w:rPr>
          <w:lang w:val="en-GB"/>
        </w:rPr>
        <w:t xml:space="preserve">One of the </w:t>
      </w:r>
      <w:r w:rsidRPr="00037C61">
        <w:rPr>
          <w:b/>
          <w:bCs/>
          <w:lang w:val="en-GB"/>
        </w:rPr>
        <w:t>main barriers for evidence-based planning and cooperation</w:t>
      </w:r>
      <w:r w:rsidRPr="00037C61">
        <w:rPr>
          <w:lang w:val="en-GB"/>
        </w:rPr>
        <w:t xml:space="preserve"> highlighted in the Territorial Analysis is the lack of statistical data at NUTS 3 and LAU 2 levels. Significant data gaps have been uncovered in what concerns cross-border mobility and commuting data,</w:t>
      </w:r>
      <w:r w:rsidR="00484574" w:rsidRPr="00037C61">
        <w:rPr>
          <w:lang w:val="en-GB"/>
        </w:rPr>
        <w:t xml:space="preserve"> healthcare spending, cultural </w:t>
      </w:r>
      <w:r w:rsidR="00484574" w:rsidRPr="00037C61">
        <w:rPr>
          <w:lang w:val="en-GB"/>
        </w:rPr>
        <w:lastRenderedPageBreak/>
        <w:t>consumption, governance participation and other relevant topics to the CBC programme. Furthermore, there are disparities or differences between readily available indicators, due to the different practices of data collection and indicator development leading to difficulties in comparing the data between Romania and Hungary, in domains such as delineation of marginalized areas. The programme development process overc</w:t>
      </w:r>
      <w:r w:rsidR="542EE56D" w:rsidRPr="00037C61">
        <w:rPr>
          <w:lang w:val="en-GB"/>
        </w:rPr>
        <w:t>a</w:t>
      </w:r>
      <w:r w:rsidR="00484574" w:rsidRPr="00037C61">
        <w:rPr>
          <w:lang w:val="en-GB"/>
        </w:rPr>
        <w:t xml:space="preserve">me this lack of statistics by collecting and aggregating qualitative information about the perceptions of stakeholders in the area: enriching the findings of the TA by </w:t>
      </w:r>
      <w:r w:rsidR="00484574" w:rsidRPr="00037C61">
        <w:rPr>
          <w:b/>
          <w:bCs/>
          <w:lang w:val="en-GB"/>
        </w:rPr>
        <w:t>exchanges and consultations with the key stakeholders in the region</w:t>
      </w:r>
      <w:r w:rsidR="00484574" w:rsidRPr="00037C61">
        <w:rPr>
          <w:lang w:val="en-GB"/>
        </w:rPr>
        <w:t xml:space="preserve">. </w:t>
      </w:r>
    </w:p>
    <w:p w14:paraId="6CAC6717" w14:textId="547853D1" w:rsidR="00D235CE" w:rsidRPr="00037C61" w:rsidRDefault="00D235CE" w:rsidP="00D235CE">
      <w:pPr>
        <w:rPr>
          <w:lang w:val="en-GB"/>
        </w:rPr>
      </w:pPr>
      <w:r w:rsidRPr="00037C61">
        <w:rPr>
          <w:lang w:val="en-GB"/>
        </w:rPr>
        <w:t>This territorial analysis report is based on a methodology aimed at managing complex regional areas such as those that are separated by a border line. In this case it is an internal European border, but certainly strongly characterized, by the fact that Hungary belongs to the Schengen area while Romania is still not part of it.</w:t>
      </w:r>
    </w:p>
    <w:p w14:paraId="0B9F2A04" w14:textId="0624148D" w:rsidR="00D235CE" w:rsidRPr="00037C61" w:rsidRDefault="00D235CE" w:rsidP="00D235CE">
      <w:pPr>
        <w:rPr>
          <w:lang w:val="en-GB"/>
        </w:rPr>
      </w:pPr>
      <w:r w:rsidRPr="00037C61">
        <w:rPr>
          <w:lang w:val="en-GB"/>
        </w:rPr>
        <w:t xml:space="preserve">The common thread, which holds together the diversity of this CB Region, is called </w:t>
      </w:r>
      <w:r w:rsidRPr="00037C61">
        <w:rPr>
          <w:b/>
          <w:bCs/>
          <w:lang w:val="en-GB"/>
        </w:rPr>
        <w:t>territorial capital.</w:t>
      </w:r>
      <w:r w:rsidRPr="00037C61">
        <w:rPr>
          <w:lang w:val="en-GB"/>
        </w:rPr>
        <w:t xml:space="preserve"> </w:t>
      </w:r>
      <w:r w:rsidR="006E131C" w:rsidRPr="00037C61">
        <w:rPr>
          <w:lang w:val="en-GB"/>
        </w:rPr>
        <w:t xml:space="preserve">The </w:t>
      </w:r>
      <w:r w:rsidRPr="00037C61">
        <w:rPr>
          <w:lang w:val="en-GB"/>
        </w:rPr>
        <w:t xml:space="preserve">TA takes into consideration, one by one, the components that structure it and uses them to bring out a snapshot of this area, highlighting the specific problems, shared issues and potential that could increase its competitiveness and attractiveness. Its final purpose is to show where the Interreg programme could or should intervene in order to trigger strategic, integrated, participatory development processes and to improve sustainable economic growth that would improve the quality of life of local communities rooted in this region. </w:t>
      </w:r>
    </w:p>
    <w:p w14:paraId="04CF2D70" w14:textId="77777777" w:rsidR="00484574" w:rsidRPr="00037C61" w:rsidRDefault="00484574" w:rsidP="00484574">
      <w:pPr>
        <w:rPr>
          <w:lang w:val="en-GB"/>
        </w:rPr>
      </w:pPr>
      <w:r w:rsidRPr="00037C61">
        <w:rPr>
          <w:lang w:val="en-GB"/>
        </w:rPr>
        <w:t xml:space="preserve">From a structure point of view, the Territorial Analysis is organized in two main sections, offering two different perspectives: </w:t>
      </w:r>
    </w:p>
    <w:p w14:paraId="65BD4DF6" w14:textId="0C95F835" w:rsidR="00484574" w:rsidRPr="00037C61" w:rsidRDefault="00484574" w:rsidP="005E0849">
      <w:pPr>
        <w:pStyle w:val="InterregROHUBullet1"/>
        <w:ind w:left="709"/>
      </w:pPr>
      <w:r w:rsidRPr="00037C61">
        <w:t xml:space="preserve">A thematic analysis of the horizontal development themes, offering the </w:t>
      </w:r>
      <w:r w:rsidRPr="00037C61">
        <w:rPr>
          <w:b/>
          <w:bCs w:val="0"/>
        </w:rPr>
        <w:t>sectoral perspective of the state of the PA development</w:t>
      </w:r>
      <w:r w:rsidR="00D235CE" w:rsidRPr="00037C61">
        <w:rPr>
          <w:b/>
          <w:bCs w:val="0"/>
        </w:rPr>
        <w:t xml:space="preserve">, </w:t>
      </w:r>
      <w:r w:rsidR="00D235CE" w:rsidRPr="00037C61">
        <w:t>correlated with the policy objectives of the 2021-2027 multiannual financial framework</w:t>
      </w:r>
      <w:r w:rsidRPr="00037C61">
        <w:t xml:space="preserve">; </w:t>
      </w:r>
    </w:p>
    <w:p w14:paraId="596B6476" w14:textId="6530C228" w:rsidR="00BB1B56" w:rsidRPr="00037C61" w:rsidRDefault="00484574" w:rsidP="005E0849">
      <w:pPr>
        <w:pStyle w:val="InterregROHUBullet1"/>
        <w:ind w:left="709"/>
      </w:pPr>
      <w:r w:rsidRPr="00037C61">
        <w:t>A cross-analysis of territorial specificities</w:t>
      </w:r>
      <w:r w:rsidR="00D235CE" w:rsidRPr="00037C61">
        <w:t xml:space="preserve"> and functional areas</w:t>
      </w:r>
      <w:r w:rsidRPr="00037C61">
        <w:t xml:space="preserve">, offering </w:t>
      </w:r>
      <w:r w:rsidRPr="00037C61">
        <w:rPr>
          <w:b/>
        </w:rPr>
        <w:t xml:space="preserve">the territorial </w:t>
      </w:r>
      <w:r w:rsidR="00D235CE" w:rsidRPr="00037C61">
        <w:rPr>
          <w:b/>
          <w:bCs w:val="0"/>
        </w:rPr>
        <w:t xml:space="preserve">and functional </w:t>
      </w:r>
      <w:r w:rsidRPr="00037C61">
        <w:rPr>
          <w:b/>
        </w:rPr>
        <w:t>perspective</w:t>
      </w:r>
      <w:r w:rsidR="00D235CE" w:rsidRPr="00037C61">
        <w:rPr>
          <w:b/>
        </w:rPr>
        <w:t xml:space="preserve"> to the state of play of local development</w:t>
      </w:r>
      <w:r w:rsidR="00D235CE" w:rsidRPr="00037C61">
        <w:t xml:space="preserve">. </w:t>
      </w:r>
    </w:p>
    <w:p w14:paraId="44929BDB" w14:textId="58E2DFFA" w:rsidR="00521662" w:rsidRPr="00037C61" w:rsidRDefault="52230E0C" w:rsidP="00BB1B56">
      <w:pPr>
        <w:rPr>
          <w:lang w:val="en-GB"/>
        </w:rPr>
      </w:pPr>
      <w:r w:rsidRPr="00037C61">
        <w:rPr>
          <w:lang w:val="en-GB"/>
        </w:rPr>
        <w:t>The first section is looking into demographics, human capital, economic potential, settlement network, governance, environment and infrastructure</w:t>
      </w:r>
      <w:r w:rsidR="00D235CE" w:rsidRPr="00037C61">
        <w:rPr>
          <w:lang w:val="en-GB"/>
        </w:rPr>
        <w:t>, and synthetises findings in thematic SWOT analyses.</w:t>
      </w:r>
      <w:r w:rsidRPr="00037C61">
        <w:rPr>
          <w:lang w:val="en-GB"/>
        </w:rPr>
        <w:t xml:space="preserve"> The second section is looking into the cross-border linkages, the cooperation hotspots, the functional areas, the complementary factors.</w:t>
      </w:r>
    </w:p>
    <w:p w14:paraId="70500C25" w14:textId="4B76E0BB" w:rsidR="00612AD6" w:rsidRPr="00037C61" w:rsidRDefault="52230E0C" w:rsidP="00BB1B56">
      <w:pPr>
        <w:rPr>
          <w:lang w:val="en-GB"/>
        </w:rPr>
      </w:pPr>
      <w:r w:rsidRPr="00037C61">
        <w:rPr>
          <w:lang w:val="en-GB"/>
        </w:rPr>
        <w:t>The overall conclusions provide a</w:t>
      </w:r>
      <w:r w:rsidR="00D235CE" w:rsidRPr="00037C61">
        <w:rPr>
          <w:lang w:val="en-GB"/>
        </w:rPr>
        <w:t xml:space="preserve">n assessment of commonalities, disparities and potentials which can be addressed jointly under the </w:t>
      </w:r>
      <w:r w:rsidRPr="00037C61">
        <w:rPr>
          <w:lang w:val="en-GB"/>
        </w:rPr>
        <w:t>Programme.</w:t>
      </w:r>
      <w:r w:rsidR="00F62C76" w:rsidRPr="00037C61">
        <w:rPr>
          <w:lang w:val="en-GB"/>
        </w:rPr>
        <w:t xml:space="preserve"> </w:t>
      </w:r>
      <w:r w:rsidRPr="00037C61">
        <w:rPr>
          <w:color w:val="000000" w:themeColor="text1"/>
          <w:lang w:val="en-GB"/>
        </w:rPr>
        <w:t xml:space="preserve">Furthermore, the analysis of the reference </w:t>
      </w:r>
      <w:r w:rsidRPr="00037C61">
        <w:rPr>
          <w:rFonts w:cs="Calibri"/>
          <w:color w:val="000000" w:themeColor="text1"/>
          <w:lang w:val="en-GB"/>
        </w:rPr>
        <w:t>territory</w:t>
      </w:r>
      <w:r w:rsidRPr="00037C61">
        <w:rPr>
          <w:color w:val="000000" w:themeColor="text1"/>
          <w:lang w:val="en-GB"/>
        </w:rPr>
        <w:t xml:space="preserve"> is supported by maps and data visualisations according to different key characteristics and their territorial distribution in the PA. </w:t>
      </w:r>
    </w:p>
    <w:p w14:paraId="2F690015" w14:textId="23F5AB04" w:rsidR="30EED610" w:rsidRPr="00037C61" w:rsidRDefault="006E131C" w:rsidP="30EED610">
      <w:pPr>
        <w:rPr>
          <w:lang w:val="en-GB"/>
        </w:rPr>
      </w:pPr>
      <w:r w:rsidRPr="00037C61">
        <w:rPr>
          <w:lang w:val="en-GB"/>
        </w:rPr>
        <w:t xml:space="preserve">The </w:t>
      </w:r>
      <w:r w:rsidR="37901746" w:rsidRPr="00037C61">
        <w:rPr>
          <w:lang w:val="en-GB"/>
        </w:rPr>
        <w:t>used</w:t>
      </w:r>
      <w:r w:rsidR="30EED610" w:rsidRPr="00037C61">
        <w:rPr>
          <w:lang w:val="en-GB"/>
        </w:rPr>
        <w:t xml:space="preserve"> methodology proposes an operational analysis, or an analysis aimed at giving the right evidence to the choices that must be made to</w:t>
      </w:r>
      <w:r w:rsidR="00D235CE" w:rsidRPr="00037C61">
        <w:rPr>
          <w:lang w:val="en-GB"/>
        </w:rPr>
        <w:t>:</w:t>
      </w:r>
    </w:p>
    <w:p w14:paraId="73F0E01B" w14:textId="78ABC0AC" w:rsidR="30EED610" w:rsidRPr="00037C61" w:rsidRDefault="006E131C" w:rsidP="005E0849">
      <w:pPr>
        <w:pStyle w:val="InterregROHUBullet1"/>
        <w:ind w:left="567" w:hanging="283"/>
      </w:pPr>
      <w:r w:rsidRPr="00037C61">
        <w:t xml:space="preserve">The </w:t>
      </w:r>
      <w:r w:rsidR="30EED610" w:rsidRPr="00037C61">
        <w:t>2021-2027 policy objectives,</w:t>
      </w:r>
    </w:p>
    <w:p w14:paraId="60F01A59" w14:textId="3CC1654B" w:rsidR="30EED610" w:rsidRPr="00037C61" w:rsidRDefault="006E131C" w:rsidP="005E0849">
      <w:pPr>
        <w:pStyle w:val="InterregROHUBullet1"/>
        <w:ind w:left="567" w:hanging="283"/>
      </w:pPr>
      <w:r w:rsidRPr="00037C61">
        <w:t xml:space="preserve">The </w:t>
      </w:r>
      <w:r w:rsidR="30EED610" w:rsidRPr="00037C61">
        <w:t>specific objectives of the Interreg program</w:t>
      </w:r>
      <w:r w:rsidR="016EE2A4" w:rsidRPr="00037C61">
        <w:t>me</w:t>
      </w:r>
      <w:r w:rsidR="1819D567" w:rsidRPr="00037C61">
        <w:t>,</w:t>
      </w:r>
    </w:p>
    <w:p w14:paraId="5895D2AF" w14:textId="26C6A6BB" w:rsidR="30EED610" w:rsidRPr="00037C61" w:rsidRDefault="00D235CE" w:rsidP="005E0849">
      <w:pPr>
        <w:pStyle w:val="InterregROHUBullet1"/>
        <w:ind w:left="567" w:hanging="283"/>
      </w:pPr>
      <w:r w:rsidRPr="00037C61">
        <w:t>U</w:t>
      </w:r>
      <w:r w:rsidR="30EED610" w:rsidRPr="00037C61">
        <w:t xml:space="preserve">nderstanding of the territorial </w:t>
      </w:r>
      <w:r w:rsidR="035B803F" w:rsidRPr="00037C61">
        <w:t>needs/</w:t>
      </w:r>
      <w:r w:rsidR="30EED610" w:rsidRPr="00037C61">
        <w:t>emergencies and of the actual potential of this cross-border region (</w:t>
      </w:r>
      <w:r w:rsidR="46B8E5C9" w:rsidRPr="00037C61">
        <w:t>also</w:t>
      </w:r>
      <w:r w:rsidR="30EED610" w:rsidRPr="00037C61">
        <w:t xml:space="preserve"> in view of the strategic investments to be launched).</w:t>
      </w:r>
    </w:p>
    <w:p w14:paraId="0CE7402E" w14:textId="40810E15" w:rsidR="009F6717" w:rsidRPr="00037C61" w:rsidRDefault="2A9CDEBA" w:rsidP="2A9CDEBA">
      <w:pPr>
        <w:rPr>
          <w:rFonts w:eastAsia="Calibri" w:cs="Calibri"/>
          <w:lang w:val="en-GB"/>
        </w:rPr>
      </w:pPr>
      <w:bookmarkStart w:id="3" w:name="_Hlk53499013"/>
      <w:r w:rsidRPr="00037C61">
        <w:rPr>
          <w:rFonts w:eastAsia="Calibri" w:cs="Calibri"/>
          <w:lang w:val="en-GB"/>
        </w:rPr>
        <w:lastRenderedPageBreak/>
        <w:t xml:space="preserve">As introduction to the analysis of the territorial capital, the following pages present the preliminary conclusions from </w:t>
      </w:r>
      <w:r w:rsidRPr="00037C61">
        <w:rPr>
          <w:rFonts w:eastAsia="Calibri" w:cs="Calibri"/>
          <w:b/>
          <w:bCs/>
          <w:lang w:val="en-GB"/>
        </w:rPr>
        <w:t>policy analysis</w:t>
      </w:r>
      <w:r w:rsidRPr="00037C61">
        <w:rPr>
          <w:rFonts w:eastAsia="Calibri" w:cs="Calibri"/>
          <w:lang w:val="en-GB"/>
        </w:rPr>
        <w:t xml:space="preserve">, which has been realised for all governance levels of the cross-border area, as well as the main </w:t>
      </w:r>
      <w:r w:rsidRPr="00037C61">
        <w:rPr>
          <w:rFonts w:eastAsia="Calibri" w:cs="Calibri"/>
          <w:b/>
          <w:bCs/>
          <w:lang w:val="en-GB"/>
        </w:rPr>
        <w:t>lessons learnt up to date</w:t>
      </w:r>
      <w:r w:rsidRPr="00037C61">
        <w:rPr>
          <w:rFonts w:eastAsia="Calibri" w:cs="Calibri"/>
          <w:lang w:val="en-GB"/>
        </w:rPr>
        <w:t xml:space="preserve"> during the implementation of the</w:t>
      </w:r>
      <w:r w:rsidR="00240F56">
        <w:rPr>
          <w:rFonts w:eastAsia="Calibri" w:cs="Calibri"/>
          <w:lang w:val="en-GB"/>
        </w:rPr>
        <w:t xml:space="preserve"> previous (2007-2013) and the</w:t>
      </w:r>
      <w:r w:rsidRPr="00037C61">
        <w:rPr>
          <w:rFonts w:eastAsia="Calibri" w:cs="Calibri"/>
          <w:lang w:val="en-GB"/>
        </w:rPr>
        <w:t xml:space="preserve"> current Interreg Programme Romania-Hungary 2014-2020, which has revealed so far the need to extend and reinforce the initial analysis substantiating the future Programme intervention logics, in support of more effective results and impacts of future intervention in the PA. </w:t>
      </w:r>
    </w:p>
    <w:p w14:paraId="3DD11268" w14:textId="33A136C9" w:rsidR="00981D6C" w:rsidRPr="00037C61" w:rsidRDefault="00F7699F" w:rsidP="2A9CDEBA">
      <w:pPr>
        <w:rPr>
          <w:rFonts w:eastAsia="Calibri" w:cs="Calibri"/>
          <w:lang w:val="en-GB"/>
        </w:rPr>
      </w:pPr>
      <w:r w:rsidRPr="00037C61">
        <w:rPr>
          <w:rFonts w:eastAsia="Calibri" w:cs="Calibri"/>
          <w:lang w:val="en-GB"/>
        </w:rPr>
        <w:t xml:space="preserve">An additional introductory word is needed with regard to the interpretation of the “functional area” concept for the purpose of this paper. </w:t>
      </w:r>
    </w:p>
    <w:p w14:paraId="73867FAF" w14:textId="77777777" w:rsidR="00DE0412" w:rsidRPr="00037C61" w:rsidRDefault="00F7699F" w:rsidP="00F7699F">
      <w:pPr>
        <w:spacing w:line="256" w:lineRule="auto"/>
        <w:rPr>
          <w:lang w:val="en-GB"/>
        </w:rPr>
      </w:pPr>
      <w:r w:rsidRPr="00037C61">
        <w:rPr>
          <w:rFonts w:eastAsia="Calibri" w:cs="Calibri"/>
          <w:lang w:val="en-GB"/>
        </w:rPr>
        <w:t xml:space="preserve">As recalled under Chapter 3, </w:t>
      </w:r>
      <w:r w:rsidRPr="00037C61">
        <w:rPr>
          <w:lang w:val="en-GB"/>
        </w:rPr>
        <w:t xml:space="preserve">due to the complexities of each territory, there is no universally-accepted definition of a </w:t>
      </w:r>
      <w:r w:rsidRPr="00037C61">
        <w:rPr>
          <w:b/>
          <w:bCs/>
          <w:lang w:val="en-GB"/>
        </w:rPr>
        <w:t>functional cross-border (CB) area</w:t>
      </w:r>
      <w:r w:rsidRPr="00037C61">
        <w:rPr>
          <w:lang w:val="en-GB"/>
        </w:rPr>
        <w:t xml:space="preserve">. </w:t>
      </w:r>
      <w:r w:rsidR="00DE0412" w:rsidRPr="00037C61">
        <w:rPr>
          <w:lang w:val="en-GB"/>
        </w:rPr>
        <w:t xml:space="preserve">In this respect, </w:t>
      </w:r>
      <w:r w:rsidRPr="00037C61">
        <w:rPr>
          <w:lang w:val="en-GB"/>
        </w:rPr>
        <w:t xml:space="preserve">ESPON Targeted Analyses such as METROBORDER (2010) and GEOSPECS (2012) highlighted the potential for cross-border polycentricity and polycentric functional spatial organisation in Europe, as well as possible methodologies for analysing functional integration in border areas, </w:t>
      </w:r>
      <w:r w:rsidRPr="00037C61">
        <w:rPr>
          <w:b/>
          <w:bCs/>
          <w:lang w:val="en-GB"/>
        </w:rPr>
        <w:t>based on interactions</w:t>
      </w:r>
      <w:r w:rsidRPr="00037C61">
        <w:rPr>
          <w:lang w:val="en-GB"/>
        </w:rPr>
        <w:t xml:space="preserve"> as well as social, economic and spatial convergence. </w:t>
      </w:r>
    </w:p>
    <w:p w14:paraId="533B2FD2" w14:textId="29AEA78B" w:rsidR="00B317AA" w:rsidRPr="00037C61" w:rsidRDefault="00DE0412" w:rsidP="00F7699F">
      <w:pPr>
        <w:spacing w:line="256" w:lineRule="auto"/>
        <w:rPr>
          <w:lang w:val="en-GB"/>
        </w:rPr>
      </w:pPr>
      <w:r w:rsidRPr="00037C61">
        <w:rPr>
          <w:lang w:val="en-GB"/>
        </w:rPr>
        <w:t xml:space="preserve">However, what is generally accepted is that </w:t>
      </w:r>
      <w:r w:rsidR="00B317AA" w:rsidRPr="00037C61">
        <w:rPr>
          <w:lang w:val="en-GB"/>
        </w:rPr>
        <w:t xml:space="preserve">Cross-Border Functional Areas are linked both to common capital, as well as to common challenges and opportunities for development. They are not an abstract concept, or tributary to administrative delineations, but </w:t>
      </w:r>
      <w:r w:rsidR="00B317AA" w:rsidRPr="00037C61">
        <w:rPr>
          <w:b/>
          <w:bCs/>
          <w:lang w:val="en-GB"/>
        </w:rPr>
        <w:t xml:space="preserve">rather should exist </w:t>
      </w:r>
      <w:r w:rsidR="00B317AA" w:rsidRPr="00037C61">
        <w:rPr>
          <w:b/>
          <w:bCs/>
          <w:i/>
          <w:iCs/>
          <w:lang w:val="en-GB"/>
        </w:rPr>
        <w:t>de facto</w:t>
      </w:r>
      <w:r w:rsidR="00B317AA" w:rsidRPr="00037C61">
        <w:rPr>
          <w:i/>
          <w:iCs/>
          <w:lang w:val="en-GB"/>
        </w:rPr>
        <w:t xml:space="preserve">. </w:t>
      </w:r>
    </w:p>
    <w:p w14:paraId="765C58C0" w14:textId="6EC22E8E" w:rsidR="00F7699F" w:rsidRPr="00037C61" w:rsidRDefault="00DE0412" w:rsidP="00F7699F">
      <w:pPr>
        <w:spacing w:line="256" w:lineRule="auto"/>
        <w:rPr>
          <w:lang w:val="en-GB"/>
        </w:rPr>
      </w:pPr>
      <w:r w:rsidRPr="00037C61">
        <w:rPr>
          <w:lang w:val="en-GB"/>
        </w:rPr>
        <w:t xml:space="preserve">From this perspective, </w:t>
      </w:r>
      <w:r w:rsidR="00F7699F" w:rsidRPr="00037C61">
        <w:rPr>
          <w:lang w:val="en-GB"/>
        </w:rPr>
        <w:t xml:space="preserve">Chapter 3 provides an overview of </w:t>
      </w:r>
      <w:r w:rsidR="00F7699F" w:rsidRPr="00037C61">
        <w:rPr>
          <w:b/>
          <w:bCs/>
          <w:lang w:val="en-GB"/>
        </w:rPr>
        <w:t>potential</w:t>
      </w:r>
      <w:r w:rsidR="00F7699F" w:rsidRPr="00037C61">
        <w:rPr>
          <w:lang w:val="en-GB"/>
        </w:rPr>
        <w:t xml:space="preserve"> </w:t>
      </w:r>
      <w:r w:rsidR="0064527C" w:rsidRPr="00037C61">
        <w:rPr>
          <w:lang w:val="en-GB"/>
        </w:rPr>
        <w:t>Cross-border functional areas (CBFA), based on a set of parametres in line with existing literature, which include:</w:t>
      </w:r>
    </w:p>
    <w:p w14:paraId="62357C52" w14:textId="3FDB8720" w:rsidR="00157F08" w:rsidRPr="00037C61" w:rsidRDefault="00157F08" w:rsidP="00157F08">
      <w:pPr>
        <w:pStyle w:val="InterregROHUBullet1"/>
        <w:ind w:left="426"/>
      </w:pPr>
      <w:r w:rsidRPr="00037C61">
        <w:rPr>
          <w:b/>
          <w:bCs w:val="0"/>
        </w:rPr>
        <w:t>Cooperation hotspots</w:t>
      </w:r>
      <w:r w:rsidRPr="00037C61">
        <w:t>, where cross-border links are stronger and which present evidence of CBC taking place either ad-hoc or institutionalized (e.g. twinnings)</w:t>
      </w:r>
    </w:p>
    <w:p w14:paraId="38EF4BA7" w14:textId="343A54D8" w:rsidR="00157F08" w:rsidRPr="00037C61" w:rsidRDefault="00157F08" w:rsidP="00157F08">
      <w:pPr>
        <w:pStyle w:val="InterregROHUBullet1"/>
        <w:ind w:left="426"/>
      </w:pPr>
      <w:r w:rsidRPr="00037C61">
        <w:t xml:space="preserve">The </w:t>
      </w:r>
      <w:r w:rsidRPr="00037C61">
        <w:rPr>
          <w:b/>
          <w:bCs w:val="0"/>
        </w:rPr>
        <w:t>cross-border catchment area</w:t>
      </w:r>
      <w:r w:rsidRPr="00037C61">
        <w:t xml:space="preserve">, in which commuting, the border accessibility and, in general, the level of services (public transport, rail and other public functions) are more intense and connect local communities to larger urban centers.  </w:t>
      </w:r>
    </w:p>
    <w:p w14:paraId="4F3614CB" w14:textId="77777777" w:rsidR="00157F08" w:rsidRPr="00037C61" w:rsidRDefault="00157F08" w:rsidP="00157F08">
      <w:pPr>
        <w:pStyle w:val="InterregROHUBullet1"/>
        <w:ind w:left="426"/>
      </w:pPr>
      <w:r w:rsidRPr="00037C61">
        <w:rPr>
          <w:b/>
          <w:bCs w:val="0"/>
        </w:rPr>
        <w:t xml:space="preserve">Functional Urban Areas (FUAs) </w:t>
      </w:r>
      <w:r w:rsidRPr="00037C61">
        <w:t xml:space="preserve">on either side of the border; </w:t>
      </w:r>
    </w:p>
    <w:p w14:paraId="68C88264" w14:textId="7F241EBF" w:rsidR="00157F08" w:rsidRPr="00037C61" w:rsidRDefault="00157F08" w:rsidP="00157F08">
      <w:pPr>
        <w:pStyle w:val="InterregROHUBullet1"/>
        <w:ind w:left="426"/>
      </w:pPr>
      <w:r w:rsidRPr="00037C61">
        <w:rPr>
          <w:b/>
          <w:bCs w:val="0"/>
        </w:rPr>
        <w:t>CB natural resources and protected areas</w:t>
      </w:r>
      <w:r w:rsidRPr="00037C61">
        <w:t xml:space="preserve">, which can allow effective management of natural heritage, </w:t>
      </w:r>
      <w:r w:rsidR="00027EE5" w:rsidRPr="00037C61">
        <w:t>joint land management</w:t>
      </w:r>
      <w:r w:rsidRPr="00037C61">
        <w:t xml:space="preserve"> and common valorisation of natural resources;  </w:t>
      </w:r>
    </w:p>
    <w:p w14:paraId="6F3F1D94" w14:textId="27BC8F8E" w:rsidR="00157F08" w:rsidRPr="00037C61" w:rsidRDefault="00157F08" w:rsidP="00157F08">
      <w:pPr>
        <w:pStyle w:val="InterregROHUBullet1"/>
        <w:ind w:left="426"/>
      </w:pPr>
      <w:r w:rsidRPr="00037C61">
        <w:rPr>
          <w:b/>
          <w:bCs w:val="0"/>
        </w:rPr>
        <w:t>Complementary factors</w:t>
      </w:r>
      <w:r w:rsidRPr="00037C61">
        <w:t xml:space="preserve">, such as: areas with the same social, economic and physical challenges (depopulating areas, marginalised areas, etc). </w:t>
      </w:r>
    </w:p>
    <w:p w14:paraId="6D6DD34F" w14:textId="28A6D560" w:rsidR="00A1600C" w:rsidRPr="00037C61" w:rsidRDefault="0064527C" w:rsidP="00F7699F">
      <w:pPr>
        <w:spacing w:line="256" w:lineRule="auto"/>
        <w:rPr>
          <w:lang w:val="en-GB"/>
        </w:rPr>
      </w:pPr>
      <w:r w:rsidRPr="00037C61">
        <w:rPr>
          <w:lang w:val="en-GB"/>
        </w:rPr>
        <w:t xml:space="preserve">The analysis </w:t>
      </w:r>
      <w:r w:rsidR="008E59DD" w:rsidRPr="00037C61">
        <w:rPr>
          <w:lang w:val="en-GB"/>
        </w:rPr>
        <w:t xml:space="preserve">(both Chapter 2 and Chapter 3) </w:t>
      </w:r>
      <w:r w:rsidRPr="00037C61">
        <w:rPr>
          <w:lang w:val="en-GB"/>
        </w:rPr>
        <w:t xml:space="preserve">shows that </w:t>
      </w:r>
      <w:r w:rsidR="003B0A63" w:rsidRPr="00037C61">
        <w:rPr>
          <w:lang w:val="en-GB"/>
        </w:rPr>
        <w:t>CBFAs in the cross-border area between Romania and Hungary can be certainly identified only in relation to common natural resources (the “green border”), underlyi</w:t>
      </w:r>
      <w:r w:rsidR="00A1600C" w:rsidRPr="00037C61">
        <w:rPr>
          <w:lang w:val="en-GB"/>
        </w:rPr>
        <w:t>ng the continuity of landscapes, protected areas, water basins and undergound resources</w:t>
      </w:r>
      <w:r w:rsidR="003D27B7" w:rsidRPr="00037C61">
        <w:rPr>
          <w:lang w:val="en-GB"/>
        </w:rPr>
        <w:t xml:space="preserve">, which create both common opportunities and common challenges </w:t>
      </w:r>
      <w:r w:rsidR="00BC642E" w:rsidRPr="00037C61">
        <w:rPr>
          <w:lang w:val="en-GB"/>
        </w:rPr>
        <w:t>in the cross-border area</w:t>
      </w:r>
      <w:r w:rsidR="00A1600C" w:rsidRPr="00037C61">
        <w:rPr>
          <w:lang w:val="en-GB"/>
        </w:rPr>
        <w:t>.</w:t>
      </w:r>
    </w:p>
    <w:p w14:paraId="2DDB0375" w14:textId="45120CEB" w:rsidR="0064527C" w:rsidRPr="00037C61" w:rsidRDefault="00A1600C" w:rsidP="00F7699F">
      <w:pPr>
        <w:spacing w:line="256" w:lineRule="auto"/>
        <w:rPr>
          <w:lang w:val="en-GB"/>
        </w:rPr>
      </w:pPr>
      <w:r w:rsidRPr="00037C61">
        <w:rPr>
          <w:lang w:val="en-GB"/>
        </w:rPr>
        <w:t xml:space="preserve">All the other potential CBFAs, defined by cooperation hotspots, catchment areas of the urban areas, FUAs and other </w:t>
      </w:r>
      <w:r w:rsidR="008E59DD" w:rsidRPr="00037C61">
        <w:rPr>
          <w:lang w:val="en-GB"/>
        </w:rPr>
        <w:t xml:space="preserve">areas with special socio-economic needs (such as marginalised </w:t>
      </w:r>
      <w:r w:rsidR="00455F30" w:rsidRPr="00037C61">
        <w:rPr>
          <w:lang w:val="en-GB"/>
        </w:rPr>
        <w:t xml:space="preserve">and depopulated </w:t>
      </w:r>
      <w:r w:rsidR="008E59DD" w:rsidRPr="00037C61">
        <w:rPr>
          <w:lang w:val="en-GB"/>
        </w:rPr>
        <w:t>areas) are defined as “potential</w:t>
      </w:r>
      <w:r w:rsidR="00B44C10" w:rsidRPr="00037C61">
        <w:rPr>
          <w:lang w:val="en-GB"/>
        </w:rPr>
        <w:t>” or “theoretical” because the</w:t>
      </w:r>
      <w:r w:rsidR="00455F30" w:rsidRPr="00037C61">
        <w:rPr>
          <w:lang w:val="en-GB"/>
        </w:rPr>
        <w:t xml:space="preserve"> empirical </w:t>
      </w:r>
      <w:r w:rsidR="00B44C10" w:rsidRPr="00037C61">
        <w:rPr>
          <w:lang w:val="en-GB"/>
        </w:rPr>
        <w:t>evidence on the real interaction of these areas</w:t>
      </w:r>
      <w:r w:rsidR="00455F30" w:rsidRPr="00037C61">
        <w:rPr>
          <w:lang w:val="en-GB"/>
        </w:rPr>
        <w:t xml:space="preserve"> is still weak</w:t>
      </w:r>
      <w:r w:rsidR="00B44C10" w:rsidRPr="00037C61">
        <w:rPr>
          <w:lang w:val="en-GB"/>
        </w:rPr>
        <w:t xml:space="preserve">. </w:t>
      </w:r>
    </w:p>
    <w:p w14:paraId="3B11931B" w14:textId="713812AC" w:rsidR="00845DC0" w:rsidRPr="00037C61" w:rsidRDefault="00F83697" w:rsidP="00F7699F">
      <w:pPr>
        <w:spacing w:line="256" w:lineRule="auto"/>
        <w:rPr>
          <w:lang w:val="en-GB"/>
        </w:rPr>
      </w:pPr>
      <w:r w:rsidRPr="00037C61">
        <w:rPr>
          <w:lang w:val="en-GB"/>
        </w:rPr>
        <w:t>Additionaly</w:t>
      </w:r>
      <w:r w:rsidR="00B75739" w:rsidRPr="00037C61">
        <w:rPr>
          <w:lang w:val="en-GB"/>
        </w:rPr>
        <w:t xml:space="preserve">, functional areas at sector level could not be identified </w:t>
      </w:r>
      <w:r w:rsidR="00A74115" w:rsidRPr="00037C61">
        <w:rPr>
          <w:lang w:val="en-GB"/>
        </w:rPr>
        <w:t>empirically</w:t>
      </w:r>
      <w:r w:rsidR="00B317AA" w:rsidRPr="00037C61">
        <w:rPr>
          <w:lang w:val="en-GB"/>
        </w:rPr>
        <w:t xml:space="preserve"> </w:t>
      </w:r>
      <w:r w:rsidR="00B75739" w:rsidRPr="00037C61">
        <w:rPr>
          <w:lang w:val="en-GB"/>
        </w:rPr>
        <w:t>with available data at NUTS 3 level</w:t>
      </w:r>
      <w:r w:rsidR="00B317AA" w:rsidRPr="00037C61">
        <w:rPr>
          <w:lang w:val="en-GB"/>
        </w:rPr>
        <w:t>, so they do not exist “de facto”</w:t>
      </w:r>
      <w:r w:rsidR="00B75739" w:rsidRPr="00037C61">
        <w:rPr>
          <w:lang w:val="en-GB"/>
        </w:rPr>
        <w:t>. However, the overall conclusions relevant for each PO identify some “potential functional areas of cooperation”, for each policy objectiv</w:t>
      </w:r>
      <w:r w:rsidR="00845DC0" w:rsidRPr="00037C61">
        <w:rPr>
          <w:lang w:val="en-GB"/>
        </w:rPr>
        <w:t xml:space="preserve">e: these allow to </w:t>
      </w:r>
      <w:r w:rsidR="00845DC0" w:rsidRPr="00037C61">
        <w:rPr>
          <w:lang w:val="en-GB"/>
        </w:rPr>
        <w:lastRenderedPageBreak/>
        <w:t xml:space="preserve">identify those “common capital, as well as to common challenges and opportunities for development”, mentioned above. </w:t>
      </w:r>
    </w:p>
    <w:p w14:paraId="22856AFE" w14:textId="72DA1722" w:rsidR="00B44C10" w:rsidRPr="00037C61" w:rsidRDefault="00845DC0" w:rsidP="00F7699F">
      <w:pPr>
        <w:spacing w:line="256" w:lineRule="auto"/>
        <w:rPr>
          <w:lang w:val="en-GB"/>
        </w:rPr>
      </w:pPr>
      <w:r w:rsidRPr="00037C61">
        <w:rPr>
          <w:lang w:val="en-GB"/>
        </w:rPr>
        <w:t>H</w:t>
      </w:r>
      <w:r w:rsidR="00A74115" w:rsidRPr="00037C61">
        <w:rPr>
          <w:lang w:val="en-GB"/>
        </w:rPr>
        <w:t xml:space="preserve">owever, </w:t>
      </w:r>
      <w:r w:rsidR="00F83697" w:rsidRPr="00037C61">
        <w:rPr>
          <w:lang w:val="en-GB"/>
        </w:rPr>
        <w:t>without</w:t>
      </w:r>
      <w:r w:rsidR="00A74115" w:rsidRPr="00037C61">
        <w:rPr>
          <w:lang w:val="en-GB"/>
        </w:rPr>
        <w:t xml:space="preserve"> the ambition to be considered </w:t>
      </w:r>
      <w:r w:rsidR="003D27B7" w:rsidRPr="00037C61">
        <w:rPr>
          <w:lang w:val="en-GB"/>
        </w:rPr>
        <w:t>“de facto”</w:t>
      </w:r>
      <w:r w:rsidR="00A74115" w:rsidRPr="00037C61">
        <w:rPr>
          <w:lang w:val="en-GB"/>
        </w:rPr>
        <w:t xml:space="preserve"> CBFAs</w:t>
      </w:r>
      <w:r w:rsidR="003D27B7" w:rsidRPr="00037C61">
        <w:rPr>
          <w:lang w:val="en-GB"/>
        </w:rPr>
        <w:t>, they</w:t>
      </w:r>
      <w:r w:rsidR="00A74115" w:rsidRPr="00037C61">
        <w:rPr>
          <w:lang w:val="en-GB"/>
        </w:rPr>
        <w:t xml:space="preserve"> </w:t>
      </w:r>
      <w:r w:rsidR="003D27B7" w:rsidRPr="00037C61">
        <w:rPr>
          <w:lang w:val="en-GB"/>
        </w:rPr>
        <w:t xml:space="preserve">actually </w:t>
      </w:r>
      <w:r w:rsidR="00A74115" w:rsidRPr="00037C61">
        <w:rPr>
          <w:lang w:val="en-GB"/>
        </w:rPr>
        <w:t xml:space="preserve">represent </w:t>
      </w:r>
      <w:r w:rsidR="003D27B7" w:rsidRPr="00037C61">
        <w:rPr>
          <w:lang w:val="en-GB"/>
        </w:rPr>
        <w:t xml:space="preserve">only </w:t>
      </w:r>
      <w:r w:rsidR="00A74115" w:rsidRPr="00037C61">
        <w:rPr>
          <w:lang w:val="en-GB"/>
        </w:rPr>
        <w:t>the very “dawn” of potential CBFA</w:t>
      </w:r>
      <w:r w:rsidR="003D27B7" w:rsidRPr="00037C61">
        <w:rPr>
          <w:lang w:val="en-GB"/>
        </w:rPr>
        <w:t>s</w:t>
      </w:r>
      <w:r w:rsidR="00A74115" w:rsidRPr="00037C61">
        <w:rPr>
          <w:lang w:val="en-GB"/>
        </w:rPr>
        <w:t xml:space="preserve">. </w:t>
      </w:r>
    </w:p>
    <w:p w14:paraId="4ABF8A92" w14:textId="4FC5B077" w:rsidR="00F7699F" w:rsidRPr="00037C61" w:rsidRDefault="00F7699F" w:rsidP="2A9CDEBA">
      <w:pPr>
        <w:rPr>
          <w:rFonts w:eastAsia="Calibri" w:cs="Calibri"/>
          <w:lang w:val="en-GB"/>
        </w:rPr>
      </w:pPr>
    </w:p>
    <w:p w14:paraId="7908D346" w14:textId="5F090CC9" w:rsidR="009F6717" w:rsidRPr="00037C61" w:rsidRDefault="053AF5B7" w:rsidP="00286861">
      <w:pPr>
        <w:pStyle w:val="Heading2"/>
        <w:rPr>
          <w:rFonts w:asciiTheme="minorHAnsi" w:hAnsiTheme="minorHAnsi" w:cstheme="minorBidi"/>
          <w:sz w:val="22"/>
          <w:szCs w:val="22"/>
        </w:rPr>
      </w:pPr>
      <w:bookmarkStart w:id="4" w:name="_Toc64619514"/>
      <w:r w:rsidRPr="00037C61">
        <w:t>P</w:t>
      </w:r>
      <w:r w:rsidR="2A9CDEBA" w:rsidRPr="00037C61">
        <w:t>olicy analysis</w:t>
      </w:r>
      <w:r w:rsidR="007307F8" w:rsidRPr="00037C61">
        <w:rPr>
          <w:rStyle w:val="FootnoteReference"/>
        </w:rPr>
        <w:footnoteReference w:id="3"/>
      </w:r>
      <w:r w:rsidR="2A9CDEBA" w:rsidRPr="00037C61">
        <w:t xml:space="preserve">: </w:t>
      </w:r>
      <w:r w:rsidR="0A940B30" w:rsidRPr="00037C61">
        <w:t xml:space="preserve">conclusions </w:t>
      </w:r>
      <w:r w:rsidR="2A9CDEBA" w:rsidRPr="00037C61">
        <w:t>from the new EU strategic framework to the local needs</w:t>
      </w:r>
      <w:bookmarkEnd w:id="4"/>
      <w:r w:rsidR="2A9CDEBA" w:rsidRPr="00037C61">
        <w:t xml:space="preserve"> </w:t>
      </w:r>
    </w:p>
    <w:p w14:paraId="4D482115" w14:textId="77777777" w:rsidR="00866764" w:rsidRPr="00037C61" w:rsidRDefault="00866764" w:rsidP="00866764">
      <w:pPr>
        <w:rPr>
          <w:rFonts w:eastAsia="Calibri" w:cs="Calibri"/>
          <w:lang w:val="en-GB"/>
        </w:rPr>
      </w:pPr>
      <w:r w:rsidRPr="00037C61">
        <w:rPr>
          <w:rFonts w:eastAsia="Calibri" w:cs="Calibri"/>
          <w:lang w:val="en-GB"/>
        </w:rPr>
        <w:t xml:space="preserve">The policy analysis aimed at identifying and shortly introducing the main policies and strategic framework which is to be taken into account in defining cross-border programme area strategy for the next programming period 2021-2027. It shall be underlined that many strategies and policy papers at different governance levels are still being drafted by competent institutions, in order to define new priorities for the next programming period. The more advanced strategies are those adopted at national and regional levels, probably due to the natural incentive deriving from their role in providing guidance for multiannual budgeting at lower governance levels, including in view of preparing future operational programmes to be funded under the cohesion policy funds. On the other hand, local and county strategies seem less advanced, with some exceptions, especially related to main urban centres, that have already prepared integrated urban development strategies with the 2025-2030 horizon (but of course these also need to be updated, as they were usually written in the period around 2014-2015). </w:t>
      </w:r>
    </w:p>
    <w:p w14:paraId="632A0CCD" w14:textId="33B65835" w:rsidR="00866764" w:rsidRPr="00037C61" w:rsidRDefault="00866764" w:rsidP="00866764">
      <w:pPr>
        <w:rPr>
          <w:rFonts w:eastAsia="Calibri" w:cs="Calibri"/>
          <w:lang w:val="en-GB"/>
        </w:rPr>
      </w:pPr>
      <w:r w:rsidRPr="00037C61">
        <w:rPr>
          <w:rFonts w:eastAsia="Calibri" w:cs="Calibri"/>
          <w:lang w:val="en-GB"/>
        </w:rPr>
        <w:t xml:space="preserve">Based on the </w:t>
      </w:r>
      <w:r w:rsidRPr="00037C61">
        <w:rPr>
          <w:rFonts w:eastAsia="Calibri" w:cs="Calibri"/>
          <w:b/>
          <w:bCs/>
          <w:lang w:val="en-GB"/>
        </w:rPr>
        <w:t>horizontal and vertical subsidiarity principle</w:t>
      </w:r>
      <w:r w:rsidRPr="00037C61">
        <w:rPr>
          <w:rFonts w:eastAsia="Calibri" w:cs="Calibri"/>
          <w:lang w:val="en-GB"/>
        </w:rPr>
        <w:t xml:space="preserve"> (applied at both EU and national level), the analysis approach starts from the assumption that EU policy, reglementary regulatory and strategic framework has an impact on all levels (national, regional, local</w:t>
      </w:r>
      <w:r w:rsidRPr="00037C61">
        <w:rPr>
          <w:rStyle w:val="FootnoteReference"/>
          <w:rFonts w:eastAsia="Calibri" w:cs="Calibri"/>
          <w:lang w:val="en-GB"/>
        </w:rPr>
        <w:footnoteReference w:id="4"/>
      </w:r>
      <w:r w:rsidRPr="00037C61">
        <w:rPr>
          <w:rFonts w:eastAsia="Calibri" w:cs="Calibri"/>
          <w:lang w:val="en-GB"/>
        </w:rPr>
        <w:t>) of country policies, whilst country policies in main sectors are coordinated at national level and are declined into regional and local policies, depending on delegated / decentralised policy making powers. A special place is reserved to integrated territorial development strategies, which are not managed by a single public authority, being created through a bottom-up mobilisation of public and private actors, also at different territorial levels (macro-regions, cross-border, micro-regions, larger urban areas) across administrative borders. Strategies at county level or beyond administrative borders that are not updated</w:t>
      </w:r>
      <w:r w:rsidR="00E10D81" w:rsidRPr="00037C61">
        <w:rPr>
          <w:rFonts w:eastAsia="Calibri" w:cs="Calibri"/>
          <w:lang w:val="en-GB"/>
        </w:rPr>
        <w:t>/finalized</w:t>
      </w:r>
      <w:r w:rsidRPr="00037C61">
        <w:rPr>
          <w:rFonts w:eastAsia="Calibri" w:cs="Calibri"/>
          <w:lang w:val="en-GB"/>
        </w:rPr>
        <w:t xml:space="preserve"> to the 2021-2027 period</w:t>
      </w:r>
      <w:r w:rsidR="00E10D81" w:rsidRPr="00037C61">
        <w:rPr>
          <w:rFonts w:eastAsia="Calibri" w:cs="Calibri"/>
          <w:lang w:val="en-GB"/>
        </w:rPr>
        <w:t xml:space="preserve"> yet </w:t>
      </w:r>
      <w:r w:rsidRPr="00037C61">
        <w:rPr>
          <w:rFonts w:eastAsia="Calibri" w:cs="Calibri"/>
          <w:lang w:val="en-GB"/>
        </w:rPr>
        <w:t>are still considered relevant as they already provide an overview of the strategic vision in particular as concerns the perceived importance of the territorial cooperation objective. Additionally, these strategies generally include the list of projects or priority interventions,</w:t>
      </w:r>
      <w:r w:rsidR="00E10D81" w:rsidRPr="00037C61">
        <w:rPr>
          <w:rFonts w:eastAsia="Calibri" w:cs="Calibri"/>
          <w:lang w:val="en-GB"/>
        </w:rPr>
        <w:t xml:space="preserve"> or thematic scope of future developments</w:t>
      </w:r>
      <w:r w:rsidRPr="00037C61">
        <w:rPr>
          <w:rFonts w:eastAsia="Calibri" w:cs="Calibri"/>
          <w:lang w:val="en-GB"/>
        </w:rPr>
        <w:t xml:space="preserve"> that shall be taken into account for future follow up, to ensure continuity, sustainability and lessons learnt.</w:t>
      </w:r>
    </w:p>
    <w:p w14:paraId="5AF4902F" w14:textId="3CA38734" w:rsidR="007512A1" w:rsidRPr="00037C61" w:rsidRDefault="007512A1" w:rsidP="00866764">
      <w:pPr>
        <w:rPr>
          <w:rFonts w:eastAsia="Calibri" w:cs="Calibri"/>
          <w:lang w:val="en-GB"/>
        </w:rPr>
      </w:pPr>
      <w:r w:rsidRPr="00037C61">
        <w:rPr>
          <w:rFonts w:eastAsia="Calibri" w:cs="Calibri"/>
          <w:lang w:val="en-GB"/>
        </w:rPr>
        <w:t>The following graph shows the multilevel policy approach we pursued in the analysis:</w:t>
      </w:r>
    </w:p>
    <w:p w14:paraId="5210FACA" w14:textId="09AB4BB6" w:rsidR="007512A1" w:rsidRPr="00037C61" w:rsidRDefault="00944B4A" w:rsidP="00944B4A">
      <w:pPr>
        <w:jc w:val="center"/>
        <w:rPr>
          <w:rFonts w:eastAsia="Calibri" w:cs="Calibri"/>
          <w:lang w:val="en-GB"/>
        </w:rPr>
      </w:pPr>
      <w:r w:rsidRPr="00944B4A">
        <w:rPr>
          <w:noProof/>
          <w:lang w:val="ro-RO" w:eastAsia="ro-RO"/>
        </w:rPr>
        <w:lastRenderedPageBreak/>
        <w:drawing>
          <wp:inline distT="0" distB="0" distL="0" distR="0" wp14:anchorId="09F770C8" wp14:editId="76BB8CA7">
            <wp:extent cx="5731510" cy="5654675"/>
            <wp:effectExtent l="0" t="0" r="2540" b="3175"/>
            <wp:docPr id="799357033" name="Immagine 799357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5654675"/>
                    </a:xfrm>
                    <a:prstGeom prst="rect">
                      <a:avLst/>
                    </a:prstGeom>
                    <a:noFill/>
                    <a:ln>
                      <a:noFill/>
                    </a:ln>
                  </pic:spPr>
                </pic:pic>
              </a:graphicData>
            </a:graphic>
          </wp:inline>
        </w:drawing>
      </w:r>
    </w:p>
    <w:p w14:paraId="5F39FD12" w14:textId="65F7E303" w:rsidR="00866764" w:rsidRPr="00037C61" w:rsidRDefault="00866764" w:rsidP="00866764">
      <w:pPr>
        <w:pStyle w:val="Heading4"/>
        <w:rPr>
          <w:rFonts w:eastAsia="Calibri" w:cs="Calibri"/>
          <w:b w:val="0"/>
          <w:i/>
          <w:lang w:val="en-GB"/>
        </w:rPr>
      </w:pPr>
      <w:r w:rsidRPr="00037C61">
        <w:rPr>
          <w:rFonts w:eastAsia="Calibri" w:cs="Calibri"/>
          <w:lang w:val="en-GB"/>
        </w:rPr>
        <w:t xml:space="preserve">The EU strategic framework for 2021-2027 </w:t>
      </w:r>
    </w:p>
    <w:p w14:paraId="4EAE8B42" w14:textId="77777777" w:rsidR="00866764" w:rsidRPr="00037C61" w:rsidRDefault="00866764" w:rsidP="00866764">
      <w:pPr>
        <w:rPr>
          <w:rFonts w:eastAsia="Calibri" w:cs="Calibri"/>
          <w:lang w:val="en-GB"/>
        </w:rPr>
      </w:pPr>
      <w:r w:rsidRPr="00037C61">
        <w:rPr>
          <w:rFonts w:eastAsia="Calibri" w:cs="Calibri"/>
          <w:lang w:val="en-GB"/>
        </w:rPr>
        <w:t>On 2 May 2018, the EC adopted a proposal for the next Multi-annual Financial Framework (MFF) for the period 2021-2027</w:t>
      </w:r>
      <w:r w:rsidRPr="00037C61">
        <w:rPr>
          <w:rStyle w:val="FootnoteReference"/>
          <w:rFonts w:eastAsia="Calibri" w:cs="Calibri"/>
          <w:lang w:val="en-GB"/>
        </w:rPr>
        <w:footnoteReference w:id="5"/>
      </w:r>
      <w:r w:rsidRPr="00037C61">
        <w:rPr>
          <w:rFonts w:eastAsia="Calibri" w:cs="Calibri"/>
          <w:lang w:val="en-GB"/>
        </w:rPr>
        <w:t>. Based on the recommendations from ex post evaluations, stakeholders’ consultations and impact studies, the new Common Provisions Regulation (CPR) proposals are oriented, among the others, towards: simplification and reduction of the administrative burden; ensuring flexibility, in view to respond to emerging needs.</w:t>
      </w:r>
    </w:p>
    <w:p w14:paraId="19213626" w14:textId="77777777" w:rsidR="00866764" w:rsidRPr="00037C61" w:rsidRDefault="00866764" w:rsidP="00866764">
      <w:pPr>
        <w:autoSpaceDE w:val="0"/>
        <w:autoSpaceDN w:val="0"/>
        <w:adjustRightInd w:val="0"/>
        <w:spacing w:after="0" w:line="240" w:lineRule="auto"/>
        <w:rPr>
          <w:rFonts w:eastAsia="Calibri" w:cs="Calibri"/>
          <w:color w:val="000000"/>
          <w:lang w:val="en-GB"/>
        </w:rPr>
      </w:pPr>
      <w:r w:rsidRPr="00037C61">
        <w:rPr>
          <w:rFonts w:eastAsia="Calibri" w:cs="Calibri"/>
          <w:color w:val="000000" w:themeColor="text1"/>
          <w:lang w:val="en-GB"/>
        </w:rPr>
        <w:t>From the perspective of simplifying and concentrating resources, the EC proposed the reduction of policy thematic objectives from 11 to 5, as follows:</w:t>
      </w:r>
    </w:p>
    <w:p w14:paraId="2A271B1C" w14:textId="77777777" w:rsidR="00866764" w:rsidRPr="00037C61" w:rsidRDefault="00866764" w:rsidP="00014AA0">
      <w:pPr>
        <w:pStyle w:val="ListParagraph"/>
        <w:numPr>
          <w:ilvl w:val="0"/>
          <w:numId w:val="15"/>
        </w:numPr>
        <w:autoSpaceDE w:val="0"/>
        <w:autoSpaceDN w:val="0"/>
        <w:adjustRightInd w:val="0"/>
        <w:spacing w:after="0" w:line="240" w:lineRule="auto"/>
        <w:jc w:val="left"/>
        <w:rPr>
          <w:rFonts w:cs="Calibri"/>
          <w:b/>
          <w:bCs/>
          <w:lang w:val="en-GB"/>
        </w:rPr>
      </w:pPr>
      <w:r w:rsidRPr="00037C61">
        <w:rPr>
          <w:rFonts w:cs="Calibri"/>
          <w:b/>
          <w:bCs/>
          <w:lang w:val="en-GB"/>
        </w:rPr>
        <w:t xml:space="preserve">A smarter Europe - innovative and smart economic transformation. </w:t>
      </w:r>
    </w:p>
    <w:p w14:paraId="3947C9B4" w14:textId="77777777" w:rsidR="00866764" w:rsidRPr="00037C61" w:rsidRDefault="00866764" w:rsidP="00014AA0">
      <w:pPr>
        <w:pStyle w:val="ListParagraph"/>
        <w:numPr>
          <w:ilvl w:val="0"/>
          <w:numId w:val="15"/>
        </w:numPr>
        <w:autoSpaceDE w:val="0"/>
        <w:autoSpaceDN w:val="0"/>
        <w:adjustRightInd w:val="0"/>
        <w:spacing w:after="0" w:line="240" w:lineRule="auto"/>
        <w:jc w:val="left"/>
        <w:rPr>
          <w:rFonts w:cs="Calibri"/>
          <w:b/>
          <w:bCs/>
          <w:lang w:val="en-GB"/>
        </w:rPr>
      </w:pPr>
      <w:r w:rsidRPr="00037C61">
        <w:rPr>
          <w:rFonts w:cs="Calibri"/>
          <w:b/>
          <w:bCs/>
          <w:lang w:val="en-GB"/>
        </w:rPr>
        <w:t xml:space="preserve">A greener, low-carbon Europe. </w:t>
      </w:r>
    </w:p>
    <w:p w14:paraId="1211D1A4" w14:textId="77777777" w:rsidR="00866764" w:rsidRPr="00037C61" w:rsidRDefault="00866764" w:rsidP="00014AA0">
      <w:pPr>
        <w:pStyle w:val="ListParagraph"/>
        <w:numPr>
          <w:ilvl w:val="0"/>
          <w:numId w:val="15"/>
        </w:numPr>
        <w:autoSpaceDE w:val="0"/>
        <w:autoSpaceDN w:val="0"/>
        <w:adjustRightInd w:val="0"/>
        <w:spacing w:after="0" w:line="240" w:lineRule="auto"/>
        <w:jc w:val="left"/>
        <w:rPr>
          <w:rFonts w:cs="Calibri"/>
          <w:b/>
          <w:bCs/>
          <w:lang w:val="en-GB"/>
        </w:rPr>
      </w:pPr>
      <w:r w:rsidRPr="00037C61">
        <w:rPr>
          <w:rFonts w:cs="Calibri"/>
          <w:b/>
          <w:bCs/>
          <w:lang w:val="en-GB"/>
        </w:rPr>
        <w:t xml:space="preserve">A more connected Europe - mobility and regional ICT connectivity. </w:t>
      </w:r>
    </w:p>
    <w:p w14:paraId="50A42C7C" w14:textId="77777777" w:rsidR="00866764" w:rsidRPr="00037C61" w:rsidRDefault="00866764" w:rsidP="00014AA0">
      <w:pPr>
        <w:pStyle w:val="ListParagraph"/>
        <w:numPr>
          <w:ilvl w:val="0"/>
          <w:numId w:val="15"/>
        </w:numPr>
        <w:autoSpaceDE w:val="0"/>
        <w:autoSpaceDN w:val="0"/>
        <w:adjustRightInd w:val="0"/>
        <w:spacing w:after="0" w:line="240" w:lineRule="auto"/>
        <w:jc w:val="left"/>
        <w:rPr>
          <w:rFonts w:cs="Calibri"/>
          <w:b/>
          <w:bCs/>
          <w:lang w:val="en-GB"/>
        </w:rPr>
      </w:pPr>
      <w:r w:rsidRPr="00037C61">
        <w:rPr>
          <w:rFonts w:cs="Calibri"/>
          <w:b/>
          <w:bCs/>
          <w:lang w:val="en-GB"/>
        </w:rPr>
        <w:t xml:space="preserve">A more social Europe - implementing the European Pillar of Social Rights. </w:t>
      </w:r>
    </w:p>
    <w:p w14:paraId="454B7BD2" w14:textId="77777777" w:rsidR="00866764" w:rsidRPr="00037C61" w:rsidRDefault="00866764" w:rsidP="00014AA0">
      <w:pPr>
        <w:pStyle w:val="ListParagraph"/>
        <w:numPr>
          <w:ilvl w:val="0"/>
          <w:numId w:val="15"/>
        </w:numPr>
        <w:autoSpaceDE w:val="0"/>
        <w:autoSpaceDN w:val="0"/>
        <w:adjustRightInd w:val="0"/>
        <w:spacing w:after="0" w:line="240" w:lineRule="auto"/>
        <w:jc w:val="left"/>
        <w:rPr>
          <w:rFonts w:cs="Calibri"/>
          <w:b/>
          <w:bCs/>
          <w:lang w:val="en-GB"/>
        </w:rPr>
      </w:pPr>
      <w:r w:rsidRPr="00037C61">
        <w:rPr>
          <w:rFonts w:cs="Calibri"/>
          <w:b/>
          <w:bCs/>
          <w:lang w:val="en-GB"/>
        </w:rPr>
        <w:lastRenderedPageBreak/>
        <w:t xml:space="preserve">Europe closer to citizens – sustainable and integrated development of urban, rural and coastal areas through local initiatives. </w:t>
      </w:r>
    </w:p>
    <w:p w14:paraId="7BD9FAE8" w14:textId="77777777" w:rsidR="00866764" w:rsidRPr="00037C61" w:rsidRDefault="00866764" w:rsidP="00866764">
      <w:pPr>
        <w:autoSpaceDE w:val="0"/>
        <w:autoSpaceDN w:val="0"/>
        <w:adjustRightInd w:val="0"/>
        <w:spacing w:after="0" w:line="240" w:lineRule="auto"/>
        <w:rPr>
          <w:rFonts w:eastAsia="Calibri" w:cs="Calibri"/>
          <w:lang w:val="en-GB"/>
        </w:rPr>
      </w:pPr>
      <w:r w:rsidRPr="00037C61">
        <w:rPr>
          <w:rFonts w:eastAsia="Calibri" w:cs="Calibri"/>
          <w:lang w:val="en-GB"/>
        </w:rPr>
        <w:t>In addition, ETC Regulation foresees two specific Interreg Specific Objectives (ISO), as follows:</w:t>
      </w:r>
    </w:p>
    <w:p w14:paraId="747B8B64" w14:textId="77777777" w:rsidR="00866764" w:rsidRPr="00037C61" w:rsidRDefault="00866764" w:rsidP="00014AA0">
      <w:pPr>
        <w:pStyle w:val="ListParagraph"/>
        <w:numPr>
          <w:ilvl w:val="0"/>
          <w:numId w:val="14"/>
        </w:numPr>
        <w:autoSpaceDE w:val="0"/>
        <w:autoSpaceDN w:val="0"/>
        <w:adjustRightInd w:val="0"/>
        <w:spacing w:after="0" w:line="240" w:lineRule="auto"/>
        <w:jc w:val="left"/>
        <w:rPr>
          <w:rFonts w:cs="Calibri"/>
          <w:lang w:val="en-GB"/>
        </w:rPr>
      </w:pPr>
      <w:r w:rsidRPr="00037C61">
        <w:rPr>
          <w:rFonts w:cs="Calibri"/>
          <w:b/>
          <w:bCs/>
          <w:lang w:val="en-GB"/>
        </w:rPr>
        <w:t>ISO 1. “a better cooperation governance”</w:t>
      </w:r>
      <w:r w:rsidRPr="00037C61">
        <w:rPr>
          <w:rFonts w:cs="Calibri"/>
          <w:lang w:val="en-GB"/>
        </w:rPr>
        <w:t>, and</w:t>
      </w:r>
    </w:p>
    <w:p w14:paraId="429F77EF" w14:textId="77777777" w:rsidR="00866764" w:rsidRPr="00037C61" w:rsidRDefault="00866764" w:rsidP="00014AA0">
      <w:pPr>
        <w:pStyle w:val="ListParagraph"/>
        <w:numPr>
          <w:ilvl w:val="0"/>
          <w:numId w:val="14"/>
        </w:numPr>
        <w:autoSpaceDE w:val="0"/>
        <w:autoSpaceDN w:val="0"/>
        <w:adjustRightInd w:val="0"/>
        <w:spacing w:after="0" w:line="240" w:lineRule="auto"/>
        <w:jc w:val="left"/>
        <w:rPr>
          <w:rFonts w:cs="Calibri"/>
          <w:b/>
          <w:bCs/>
          <w:lang w:val="en-GB"/>
        </w:rPr>
      </w:pPr>
      <w:r w:rsidRPr="00037C61">
        <w:rPr>
          <w:rFonts w:cs="Calibri"/>
          <w:b/>
          <w:bCs/>
          <w:lang w:val="en-GB"/>
        </w:rPr>
        <w:t>ISO 2. “a safer Europe”.</w:t>
      </w:r>
    </w:p>
    <w:p w14:paraId="7AC8E85B" w14:textId="77777777" w:rsidR="00866764" w:rsidRPr="00037C61" w:rsidRDefault="00866764" w:rsidP="00866764">
      <w:pPr>
        <w:autoSpaceDE w:val="0"/>
        <w:autoSpaceDN w:val="0"/>
        <w:adjustRightInd w:val="0"/>
        <w:spacing w:after="0" w:line="240" w:lineRule="auto"/>
        <w:rPr>
          <w:rFonts w:eastAsia="Calibri" w:cs="Calibri"/>
          <w:lang w:val="en-GB"/>
        </w:rPr>
      </w:pPr>
    </w:p>
    <w:p w14:paraId="7BD869B8" w14:textId="3D5CAC54" w:rsidR="00F73DAC" w:rsidRPr="00037C61" w:rsidRDefault="00866764" w:rsidP="00F73DAC">
      <w:pPr>
        <w:autoSpaceDE w:val="0"/>
        <w:autoSpaceDN w:val="0"/>
        <w:adjustRightInd w:val="0"/>
        <w:spacing w:after="0" w:line="240" w:lineRule="auto"/>
        <w:rPr>
          <w:rFonts w:eastAsia="Calibri" w:cs="Calibri"/>
          <w:lang w:val="en-GB"/>
        </w:rPr>
      </w:pPr>
      <w:r w:rsidRPr="00037C61">
        <w:rPr>
          <w:rFonts w:eastAsia="Calibri" w:cs="Calibri"/>
          <w:lang w:val="en-GB"/>
        </w:rPr>
        <w:t>As regards thematic concentration,</w:t>
      </w:r>
      <w:r w:rsidR="00F73DAC" w:rsidRPr="00037C61">
        <w:rPr>
          <w:rFonts w:eastAsia="Calibri" w:cs="Calibri"/>
          <w:lang w:val="en-GB"/>
        </w:rPr>
        <w:t xml:space="preserve"> the final agreement under the Trialogue foresees that</w:t>
      </w:r>
      <w:r w:rsidR="3A3FC749" w:rsidRPr="00037C61">
        <w:rPr>
          <w:rFonts w:eastAsia="Calibri" w:cs="Calibri"/>
          <w:lang w:val="en-GB"/>
        </w:rPr>
        <w:t>:</w:t>
      </w:r>
    </w:p>
    <w:p w14:paraId="37B02556" w14:textId="7CEB6555" w:rsidR="00F73DAC" w:rsidRPr="00037C61" w:rsidRDefault="00F73DAC" w:rsidP="74CEAA85">
      <w:pPr>
        <w:spacing w:after="0" w:line="240" w:lineRule="auto"/>
        <w:rPr>
          <w:rFonts w:eastAsia="Calibri" w:cs="Calibri"/>
          <w:i/>
          <w:iCs/>
          <w:lang w:val="en-GB"/>
        </w:rPr>
      </w:pPr>
      <w:bookmarkStart w:id="5" w:name="_Hlk58309406"/>
      <w:r w:rsidRPr="00037C61">
        <w:rPr>
          <w:rFonts w:eastAsia="Calibri" w:cs="Calibri"/>
          <w:lang w:val="en-GB"/>
        </w:rPr>
        <w:t>“</w:t>
      </w:r>
      <w:r w:rsidR="6CCADCF2" w:rsidRPr="00413DEB">
        <w:rPr>
          <w:rFonts w:eastAsia="Calibri" w:cs="Calibri"/>
          <w:i/>
          <w:iCs/>
          <w:lang w:val="en-GB"/>
        </w:rPr>
        <w:t xml:space="preserve">At least 60% of the ERDF and, where applicable, of the external financing instruments of the Union allocated under priorities to each Interreg A programme, shall be allocated </w:t>
      </w:r>
      <w:r w:rsidR="3A6DE2FA" w:rsidRPr="00413DEB">
        <w:rPr>
          <w:rFonts w:eastAsia="Calibri" w:cs="Calibri"/>
          <w:i/>
          <w:iCs/>
          <w:lang w:val="en-GB"/>
        </w:rPr>
        <w:t>on policy objective 2 and a maximum of two other policy objectives and as regards internal land borders policy objective 4 and for all other Interreg programmes on policy objective 2 and a maximum of two others of the policy objectives set out in Article [4(1)] of Regulation (EU) [new CPR]</w:t>
      </w:r>
      <w:r w:rsidR="2E47A31B" w:rsidRPr="00413DEB">
        <w:rPr>
          <w:rFonts w:eastAsia="Calibri" w:cs="Calibri"/>
          <w:i/>
          <w:iCs/>
          <w:lang w:val="en-GB"/>
        </w:rPr>
        <w:t>”</w:t>
      </w:r>
      <w:r w:rsidR="4B44CFBB" w:rsidRPr="00413DEB">
        <w:rPr>
          <w:rFonts w:eastAsia="Calibri" w:cs="Calibri"/>
          <w:i/>
          <w:iCs/>
          <w:lang w:val="en-GB"/>
        </w:rPr>
        <w:t>.</w:t>
      </w:r>
    </w:p>
    <w:p w14:paraId="0A87746E" w14:textId="5EA68EB0" w:rsidR="00866764" w:rsidRPr="00037C61" w:rsidRDefault="35788035" w:rsidP="74CEAA85">
      <w:pPr>
        <w:autoSpaceDE w:val="0"/>
        <w:autoSpaceDN w:val="0"/>
        <w:adjustRightInd w:val="0"/>
        <w:spacing w:after="0" w:line="240" w:lineRule="auto"/>
        <w:rPr>
          <w:rFonts w:eastAsia="Calibri" w:cs="Calibri"/>
          <w:lang w:val="en-GB"/>
        </w:rPr>
      </w:pPr>
      <w:r w:rsidRPr="00037C61">
        <w:rPr>
          <w:rFonts w:eastAsia="Calibri" w:cs="Calibri"/>
          <w:lang w:val="en-GB"/>
        </w:rPr>
        <w:t>a</w:t>
      </w:r>
      <w:r w:rsidR="00B935DA" w:rsidRPr="00037C61">
        <w:rPr>
          <w:rFonts w:eastAsia="Calibri" w:cs="Calibri"/>
          <w:lang w:val="en-GB"/>
        </w:rPr>
        <w:t xml:space="preserve">nd </w:t>
      </w:r>
    </w:p>
    <w:p w14:paraId="036983A6" w14:textId="5D5EF672" w:rsidR="00866764" w:rsidRPr="00037C61" w:rsidRDefault="32A2DE59" w:rsidP="00866764">
      <w:pPr>
        <w:spacing w:after="0" w:line="240" w:lineRule="auto"/>
        <w:rPr>
          <w:rFonts w:eastAsia="Calibri" w:cs="Calibri"/>
          <w:lang w:val="en-GB"/>
        </w:rPr>
      </w:pPr>
      <w:r w:rsidRPr="00037C61">
        <w:rPr>
          <w:rFonts w:eastAsia="Calibri" w:cs="Calibri"/>
          <w:lang w:val="en-GB"/>
        </w:rPr>
        <w:t>“</w:t>
      </w:r>
      <w:r w:rsidRPr="00413DEB">
        <w:rPr>
          <w:rFonts w:eastAsia="Calibri" w:cs="Calibri"/>
          <w:i/>
          <w:iCs/>
          <w:lang w:val="en-GB"/>
        </w:rPr>
        <w:t>Of the ERDF and, where applicable, of the external financing instruments of the Union allocations under priorities to each Interreg A, B and D programme, up to 20 % may be allocated on the Interreg-specific objective of 'a better cooperation governance' and up to 5 % may be allocated on the Interreg-specific objective of 'a safer and more secure Europe</w:t>
      </w:r>
      <w:r w:rsidRPr="00413DEB">
        <w:rPr>
          <w:rFonts w:eastAsia="Calibri" w:cs="Calibri"/>
          <w:lang w:val="en-GB"/>
        </w:rPr>
        <w:t>'”.</w:t>
      </w:r>
    </w:p>
    <w:bookmarkEnd w:id="5"/>
    <w:p w14:paraId="7EB000C0" w14:textId="7196315B" w:rsidR="74CEAA85" w:rsidRPr="00037C61" w:rsidRDefault="74CEAA85" w:rsidP="74CEAA85">
      <w:pPr>
        <w:spacing w:after="0" w:line="240" w:lineRule="auto"/>
        <w:rPr>
          <w:rFonts w:eastAsia="Calibri" w:cs="Calibri"/>
          <w:lang w:val="en-GB"/>
        </w:rPr>
      </w:pPr>
    </w:p>
    <w:p w14:paraId="01EC2B62" w14:textId="77777777" w:rsidR="00866764" w:rsidRPr="00037C61" w:rsidRDefault="00866764" w:rsidP="43A5E8BA">
      <w:pPr>
        <w:autoSpaceDE w:val="0"/>
        <w:autoSpaceDN w:val="0"/>
        <w:adjustRightInd w:val="0"/>
        <w:spacing w:after="0" w:line="240" w:lineRule="auto"/>
        <w:rPr>
          <w:rFonts w:eastAsia="Calibri" w:cs="Calibri"/>
          <w:i/>
          <w:iCs/>
          <w:lang w:val="en-GB"/>
        </w:rPr>
      </w:pPr>
      <w:r w:rsidRPr="00037C61">
        <w:rPr>
          <w:rFonts w:eastAsia="Calibri" w:cs="Calibri"/>
          <w:lang w:val="en-GB"/>
        </w:rPr>
        <w:t>In addition, acknowledging the specific challenges related to legal and administrative obstacles (especially in relation to health services, labour regulation, local public transport and business development) specifically affecting the smooth implementation of Interreg Programmes (see Interreg Programmes evaluations, stakeholders’ consultations and the Commission Communication on “Boosting growth and cohesion in EU border regions”)</w:t>
      </w:r>
      <w:r w:rsidRPr="00037C61">
        <w:rPr>
          <w:rStyle w:val="FootnoteReference"/>
          <w:rFonts w:eastAsia="Calibri" w:cs="Calibri"/>
          <w:lang w:val="en-GB"/>
        </w:rPr>
        <w:footnoteReference w:id="6"/>
      </w:r>
      <w:r w:rsidRPr="00037C61">
        <w:rPr>
          <w:rFonts w:eastAsia="Calibri" w:cs="Calibri"/>
          <w:lang w:val="en-GB"/>
        </w:rPr>
        <w:t>, for the next programming period, the EC proposed a dedicated Regulation on a mechanism to resolve legal and administrative obstacles in a cross-border context (ISO 1).</w:t>
      </w:r>
    </w:p>
    <w:p w14:paraId="5C490B4B" w14:textId="77777777" w:rsidR="00866764" w:rsidRPr="00037C61" w:rsidRDefault="00866764" w:rsidP="00866764">
      <w:pPr>
        <w:autoSpaceDE w:val="0"/>
        <w:autoSpaceDN w:val="0"/>
        <w:adjustRightInd w:val="0"/>
        <w:spacing w:after="0" w:line="240" w:lineRule="auto"/>
        <w:rPr>
          <w:rFonts w:eastAsia="Calibri" w:cs="Calibri"/>
          <w:lang w:val="en-GB"/>
        </w:rPr>
      </w:pPr>
    </w:p>
    <w:p w14:paraId="79431B08" w14:textId="77777777" w:rsidR="00866764" w:rsidRPr="00037C61" w:rsidRDefault="00866764" w:rsidP="00866764">
      <w:pPr>
        <w:rPr>
          <w:rFonts w:eastAsia="Calibri" w:cs="Calibri"/>
          <w:lang w:val="en-GB"/>
        </w:rPr>
      </w:pPr>
      <w:r w:rsidRPr="00037C61">
        <w:rPr>
          <w:rFonts w:eastAsia="Calibri" w:cs="Calibri"/>
          <w:lang w:val="en-GB"/>
        </w:rPr>
        <w:t>The European context thus defines some key orientations on priorities for next generation of Interreg Programmes in the period 2021-2027, as well as key priorities for each involved Member State.</w:t>
      </w:r>
    </w:p>
    <w:p w14:paraId="1E70EA22" w14:textId="77777777" w:rsidR="00866764" w:rsidRPr="00037C61" w:rsidRDefault="00866764" w:rsidP="00866764">
      <w:pPr>
        <w:rPr>
          <w:rFonts w:eastAsia="Calibri" w:cs="Calibri"/>
          <w:lang w:val="en-GB"/>
        </w:rPr>
      </w:pPr>
      <w:r w:rsidRPr="00037C61">
        <w:rPr>
          <w:rFonts w:eastAsia="Calibri" w:cs="Calibri"/>
          <w:lang w:val="en-GB"/>
        </w:rPr>
        <w:t>In particular, it should be retained:</w:t>
      </w:r>
    </w:p>
    <w:p w14:paraId="6CD2E74D" w14:textId="77777777" w:rsidR="00866764" w:rsidRPr="00037C61" w:rsidRDefault="00866764" w:rsidP="00866764">
      <w:pPr>
        <w:pStyle w:val="InterregROHUBullet1"/>
        <w:ind w:left="709"/>
      </w:pPr>
      <w:r w:rsidRPr="00037C61">
        <w:t xml:space="preserve">The increased importance of </w:t>
      </w:r>
      <w:r w:rsidRPr="00037C61">
        <w:rPr>
          <w:b/>
        </w:rPr>
        <w:t>complementarities and synergy</w:t>
      </w:r>
      <w:r w:rsidRPr="00037C61">
        <w:t xml:space="preserve"> between different EU programmes and funds, as well as a growing accent on the contribution of the ETC to macro-region strategies;</w:t>
      </w:r>
    </w:p>
    <w:p w14:paraId="720063B7" w14:textId="02A6554A" w:rsidR="00866764" w:rsidRPr="00037C61" w:rsidRDefault="00866764" w:rsidP="00866764">
      <w:pPr>
        <w:pStyle w:val="InterregROHUBullet1"/>
        <w:ind w:left="709"/>
      </w:pPr>
      <w:r w:rsidRPr="00037C61">
        <w:t>The possibility to allocate funds to the specific ETC objective “</w:t>
      </w:r>
      <w:r w:rsidRPr="00037C61">
        <w:rPr>
          <w:b/>
        </w:rPr>
        <w:t>to increase Interreg governance</w:t>
      </w:r>
      <w:r w:rsidRPr="00037C61">
        <w:t>”, as a precondition for future projects’ sustainability, and to strengthen cross-border cooperation;</w:t>
      </w:r>
    </w:p>
    <w:p w14:paraId="13FE4F4E" w14:textId="447103A5" w:rsidR="00866764" w:rsidRPr="00037C61" w:rsidRDefault="00866764" w:rsidP="00866764">
      <w:pPr>
        <w:pStyle w:val="InterregROHUBullet1"/>
        <w:ind w:left="709"/>
      </w:pPr>
      <w:r w:rsidRPr="00037C61">
        <w:t xml:space="preserve">The possibility </w:t>
      </w:r>
      <w:r w:rsidRPr="00037C61">
        <w:rPr>
          <w:b/>
        </w:rPr>
        <w:t>to innovate integrated territorial interventions</w:t>
      </w:r>
      <w:r w:rsidRPr="00037C61">
        <w:t xml:space="preserve"> </w:t>
      </w:r>
      <w:r w:rsidR="00C166D7" w:rsidRPr="00037C61">
        <w:t xml:space="preserve">and </w:t>
      </w:r>
      <w:r w:rsidRPr="00037C61">
        <w:t>to explore new cooperation solutions;</w:t>
      </w:r>
    </w:p>
    <w:p w14:paraId="1E352580" w14:textId="77777777" w:rsidR="00866764" w:rsidRPr="00037C61" w:rsidRDefault="00866764" w:rsidP="00866764">
      <w:pPr>
        <w:pStyle w:val="InterregROHUBullet1"/>
        <w:ind w:left="709"/>
      </w:pPr>
      <w:r w:rsidRPr="00037C61">
        <w:t xml:space="preserve">The accent put on the need to analyse and find mutually agreed ways to solve </w:t>
      </w:r>
      <w:r w:rsidRPr="00037C61">
        <w:rPr>
          <w:b/>
        </w:rPr>
        <w:t>legislative barriers to cross-border cooperation</w:t>
      </w:r>
      <w:r w:rsidRPr="00037C61">
        <w:t xml:space="preserve">, as well as other transversal issues, such as language barriers and the availability of statistical data for the cross-border area (also making full use of existing studies and tools created under ESPON and other research activities dealing with territorial analysis). </w:t>
      </w:r>
    </w:p>
    <w:p w14:paraId="77EC61E2" w14:textId="77777777" w:rsidR="00866764" w:rsidRPr="00037C61" w:rsidRDefault="00866764" w:rsidP="00866764">
      <w:pPr>
        <w:rPr>
          <w:rFonts w:eastAsia="Calibri" w:cs="Calibri"/>
          <w:lang w:val="en-GB"/>
        </w:rPr>
      </w:pPr>
      <w:r w:rsidRPr="006508E7">
        <w:rPr>
          <w:rFonts w:eastAsia="Calibri" w:cs="Calibri"/>
          <w:lang w:val="en-GB"/>
        </w:rPr>
        <w:lastRenderedPageBreak/>
        <w:t>The EC recommends to both Member States, as individual states</w:t>
      </w:r>
      <w:r w:rsidRPr="006508E7">
        <w:rPr>
          <w:rStyle w:val="FootnoteReference"/>
          <w:rFonts w:eastAsia="Calibri" w:cs="Calibri"/>
          <w:lang w:val="en-GB"/>
        </w:rPr>
        <w:footnoteReference w:id="7"/>
      </w:r>
      <w:r w:rsidRPr="006508E7">
        <w:rPr>
          <w:rFonts w:eastAsia="Calibri" w:cs="Calibri"/>
          <w:lang w:val="en-GB"/>
        </w:rPr>
        <w:t xml:space="preserve"> and as a cross-border area</w:t>
      </w:r>
      <w:r w:rsidRPr="006508E7">
        <w:rPr>
          <w:rStyle w:val="FootnoteReference"/>
          <w:rFonts w:eastAsia="Calibri" w:cs="Calibri"/>
          <w:lang w:val="en-GB"/>
        </w:rPr>
        <w:footnoteReference w:id="8"/>
      </w:r>
      <w:r w:rsidRPr="006508E7">
        <w:rPr>
          <w:rFonts w:eastAsia="Calibri" w:cs="Calibri"/>
          <w:lang w:val="en-GB"/>
        </w:rPr>
        <w:t>, to focus on:</w:t>
      </w:r>
    </w:p>
    <w:p w14:paraId="427418C2" w14:textId="77777777" w:rsidR="00866764" w:rsidRPr="00037C61" w:rsidRDefault="00866764" w:rsidP="00866764">
      <w:pPr>
        <w:pStyle w:val="InterregROHUBullet1"/>
        <w:ind w:left="709"/>
      </w:pPr>
      <w:r w:rsidRPr="00037C61">
        <w:rPr>
          <w:b/>
        </w:rPr>
        <w:t>The resilience of the health sector</w:t>
      </w:r>
      <w:r w:rsidRPr="00037C61">
        <w:t xml:space="preserve"> (including mapping needs and developing a joint strategy, as well as strengthening the health emergency response capacity, reducing territorial disparities in the accession to health services and promoting patients’ mobility and exchange of information);</w:t>
      </w:r>
    </w:p>
    <w:p w14:paraId="7AE6957A" w14:textId="77777777" w:rsidR="00866764" w:rsidRPr="00037C61" w:rsidRDefault="00866764" w:rsidP="00866764">
      <w:pPr>
        <w:pStyle w:val="InterregROHUBullet1"/>
        <w:ind w:left="709"/>
      </w:pPr>
      <w:r w:rsidRPr="00037C61">
        <w:t xml:space="preserve">The </w:t>
      </w:r>
      <w:r w:rsidRPr="00037C61">
        <w:rPr>
          <w:b/>
        </w:rPr>
        <w:t>recovery of economy and labour market</w:t>
      </w:r>
      <w:r w:rsidRPr="00037C61">
        <w:t xml:space="preserve"> following Covid-19 crisis (including by mapping labour market exchanges, reinforcing labour active measures, PES reform, labour activation measures and a closer relevance of education and training to skills required in the cross-border labour market, promoting high value-added clusters and cross-border value chains);</w:t>
      </w:r>
    </w:p>
    <w:p w14:paraId="7B0162B3" w14:textId="77777777" w:rsidR="00866764" w:rsidRPr="00037C61" w:rsidRDefault="00866764" w:rsidP="00866764">
      <w:pPr>
        <w:pStyle w:val="InterregROHUBullet1"/>
        <w:ind w:left="709"/>
      </w:pPr>
      <w:r w:rsidRPr="00037C61">
        <w:t xml:space="preserve">The concentration of resources on </w:t>
      </w:r>
      <w:r w:rsidRPr="00037C61">
        <w:rPr>
          <w:b/>
        </w:rPr>
        <w:t>digital and green transition</w:t>
      </w:r>
      <w:r w:rsidRPr="00037C61">
        <w:t xml:space="preserve"> (i.e. including promoting ITC, e-government services, as well as developing joint strategies for the sustainable valorisation of natural resources, assessing vulnerabilities and increasing joint emergency response capacity);</w:t>
      </w:r>
    </w:p>
    <w:p w14:paraId="7F34771E" w14:textId="3D0A3298" w:rsidR="00866764" w:rsidRPr="006508E7" w:rsidRDefault="00866764" w:rsidP="00866764">
      <w:pPr>
        <w:pStyle w:val="InterregROHUBullet1"/>
        <w:ind w:left="709"/>
      </w:pPr>
      <w:r w:rsidRPr="00037C61">
        <w:t xml:space="preserve">The improvement of </w:t>
      </w:r>
      <w:r w:rsidRPr="00037C61">
        <w:rPr>
          <w:b/>
        </w:rPr>
        <w:t>governance and decision-making processes</w:t>
      </w:r>
      <w:r w:rsidRPr="00037C61">
        <w:t xml:space="preserve"> (including assessing legislative barriers to cooperation, reduce language barriers, improving the exchange of data and information, improving coordination with mainstream </w:t>
      </w:r>
      <w:r w:rsidRPr="006508E7">
        <w:t>programmes and the involvement of stakeholders</w:t>
      </w:r>
      <w:r w:rsidR="00014E37" w:rsidRPr="006508E7">
        <w:t xml:space="preserve"> and social partners</w:t>
      </w:r>
      <w:r w:rsidRPr="006508E7">
        <w:t>).</w:t>
      </w:r>
    </w:p>
    <w:p w14:paraId="1ACAB11D" w14:textId="1990D6C6" w:rsidR="00866764" w:rsidRPr="00037C61" w:rsidRDefault="00866764" w:rsidP="00866764">
      <w:pPr>
        <w:pStyle w:val="Heading4"/>
        <w:rPr>
          <w:rFonts w:eastAsia="Calibri" w:cs="Calibri"/>
          <w:b w:val="0"/>
          <w:i/>
          <w:lang w:val="en-GB"/>
        </w:rPr>
      </w:pPr>
      <w:r w:rsidRPr="00037C61">
        <w:rPr>
          <w:rFonts w:eastAsia="Calibri" w:cs="Calibri"/>
          <w:lang w:val="en-GB"/>
        </w:rPr>
        <w:t>The national strategic and policy framework for 2021-2027</w:t>
      </w:r>
    </w:p>
    <w:p w14:paraId="6CF958B5" w14:textId="77777777" w:rsidR="00866764" w:rsidRPr="00037C61" w:rsidRDefault="00866764" w:rsidP="00866764">
      <w:pPr>
        <w:rPr>
          <w:rFonts w:eastAsia="Calibri" w:cs="Calibri"/>
          <w:lang w:val="en-GB"/>
        </w:rPr>
      </w:pPr>
      <w:r w:rsidRPr="00037C61">
        <w:rPr>
          <w:rFonts w:eastAsia="Calibri" w:cs="Calibri"/>
          <w:lang w:val="en-GB"/>
        </w:rPr>
        <w:t xml:space="preserve">The proposed </w:t>
      </w:r>
      <w:r w:rsidRPr="00037C61">
        <w:rPr>
          <w:rFonts w:eastAsia="Calibri" w:cs="Calibri"/>
          <w:b/>
          <w:bCs/>
          <w:lang w:val="en-GB"/>
        </w:rPr>
        <w:t>Partnership Agreements</w:t>
      </w:r>
      <w:r w:rsidRPr="00037C61">
        <w:rPr>
          <w:rFonts w:eastAsia="Calibri" w:cs="Calibri"/>
          <w:lang w:val="en-GB"/>
        </w:rPr>
        <w:t xml:space="preserve"> with each Programme area country, as well as </w:t>
      </w:r>
      <w:r w:rsidRPr="00037C61">
        <w:rPr>
          <w:rFonts w:eastAsia="Calibri" w:cs="Calibri"/>
          <w:b/>
          <w:bCs/>
          <w:lang w:val="en-GB"/>
        </w:rPr>
        <w:t>relevant national policies in selected sectors</w:t>
      </w:r>
      <w:r w:rsidRPr="00037C61">
        <w:rPr>
          <w:rStyle w:val="FootnoteReference"/>
          <w:rFonts w:eastAsia="Calibri" w:cs="Calibri"/>
          <w:lang w:val="en-GB"/>
        </w:rPr>
        <w:footnoteReference w:id="9"/>
      </w:r>
      <w:r w:rsidRPr="00037C61">
        <w:rPr>
          <w:rFonts w:eastAsia="Calibri" w:cs="Calibri"/>
          <w:lang w:val="en-GB"/>
        </w:rPr>
        <w:t xml:space="preserve"> have analysed in detail in order to conclude for this Policy Analysis section. These sectors include: research, development and innovation; transports; health; territorial and regional development; energy, climate change and disaster management. The Partnership Agreements, providing national guidelines for the future investment priorities at national level, in line with EC recommendations, being more advanced, have also been taken into account for an overview of planned priorities, which shall be correlated with the future cross-border Programme, in order to assess its contribution and complementarities with the higher governance level and the attainment of EC targets.</w:t>
      </w:r>
    </w:p>
    <w:p w14:paraId="34CD1A48" w14:textId="77777777" w:rsidR="00866764" w:rsidRPr="00037C61" w:rsidRDefault="00866764" w:rsidP="00866764">
      <w:pPr>
        <w:rPr>
          <w:rFonts w:eastAsia="Calibri" w:cs="Calibri"/>
          <w:lang w:val="en-GB"/>
        </w:rPr>
      </w:pPr>
      <w:r w:rsidRPr="00037C61">
        <w:rPr>
          <w:rFonts w:eastAsia="Calibri" w:cs="Calibri"/>
          <w:lang w:val="en-GB"/>
        </w:rPr>
        <w:t>The main findings from the analysis of national policies in both programme countries can be synthetized as follows:</w:t>
      </w:r>
    </w:p>
    <w:p w14:paraId="3B75FFD1" w14:textId="77777777" w:rsidR="00866764" w:rsidRPr="00037C61" w:rsidRDefault="00866764" w:rsidP="00866764">
      <w:pPr>
        <w:pStyle w:val="InterregROHUBullet1"/>
        <w:ind w:left="567" w:hanging="425"/>
      </w:pPr>
      <w:r w:rsidRPr="00037C61">
        <w:t xml:space="preserve">Both countries have a vision on their </w:t>
      </w:r>
      <w:r w:rsidRPr="00037C61">
        <w:rPr>
          <w:b/>
        </w:rPr>
        <w:t>territorial and spatial development strategy</w:t>
      </w:r>
      <w:r w:rsidRPr="00037C61">
        <w:t>, which puts great accent on the need to reduce regional disparities and to ensure the sustainable use of natural and land resources. In addition, the Romanian territorial development strategy with the horizon 2035 has a comprehensive vision on the territorial functional areas, including the valorisation of urban settlements as drivers for economic growth.</w:t>
      </w:r>
    </w:p>
    <w:p w14:paraId="38E3CF97" w14:textId="77777777" w:rsidR="00866764" w:rsidRPr="00037C61" w:rsidRDefault="00866764" w:rsidP="00866764">
      <w:pPr>
        <w:pStyle w:val="InterregROHUBullet1"/>
        <w:ind w:left="567" w:hanging="425"/>
      </w:pPr>
      <w:r w:rsidRPr="00037C61">
        <w:t xml:space="preserve">Both countries are negotiating the Partnership Agreement with the EU for the next programming period. The available drafts show that, in line with EU development targets for 2030, great accent is put on </w:t>
      </w:r>
      <w:r w:rsidRPr="00037C61">
        <w:rPr>
          <w:b/>
        </w:rPr>
        <w:t>digital and green economy and societies</w:t>
      </w:r>
      <w:r w:rsidRPr="00037C61">
        <w:t xml:space="preserve">. In this respect, both </w:t>
      </w:r>
      <w:r w:rsidRPr="00037C61">
        <w:lastRenderedPageBreak/>
        <w:t>countries have advanced integrated plans for energy and climate change with accent on extending the use of renewable energies and improving the capacity of emergency services to tackle climate changes, unpredictable and extreme conditions.</w:t>
      </w:r>
    </w:p>
    <w:p w14:paraId="169FA575" w14:textId="77777777" w:rsidR="00866764" w:rsidRPr="00037C61" w:rsidRDefault="00866764" w:rsidP="00866764">
      <w:pPr>
        <w:pStyle w:val="InterregROHUBullet1"/>
        <w:ind w:left="567" w:hanging="425"/>
      </w:pPr>
      <w:r w:rsidRPr="00037C61">
        <w:t xml:space="preserve">National strategies in the field of </w:t>
      </w:r>
      <w:r w:rsidRPr="00037C61">
        <w:rPr>
          <w:b/>
        </w:rPr>
        <w:t>transports</w:t>
      </w:r>
      <w:r w:rsidRPr="00037C61">
        <w:t xml:space="preserve"> are also advanced, with great emphasis on TEN-T prioritisation, green transport infrastructure (i.e. electric vehicles and cycle pathways), the improvement of public transports quality, multimodal infrastructure and the connection of remote and peripheral areas to the main European transport routes.</w:t>
      </w:r>
    </w:p>
    <w:p w14:paraId="059B2591" w14:textId="64560E02" w:rsidR="00866764" w:rsidRPr="00037C61" w:rsidRDefault="32A2DE59" w:rsidP="00866764">
      <w:pPr>
        <w:pStyle w:val="InterregROHUBullet1"/>
        <w:ind w:left="567" w:hanging="425"/>
      </w:pPr>
      <w:r w:rsidRPr="00037C61">
        <w:t xml:space="preserve">Hungary has (at national level) an advanced, structured and mature vision on </w:t>
      </w:r>
      <w:r w:rsidRPr="00037C61">
        <w:rPr>
          <w:b/>
        </w:rPr>
        <w:t>digital shift</w:t>
      </w:r>
      <w:r w:rsidRPr="00037C61">
        <w:t xml:space="preserve">, on the importance of linking research and innovation to the business sector, especially in strategic and driving economic sectors, as well as on the promotion of SMEs, whilst Romania’s priorities in the </w:t>
      </w:r>
      <w:r w:rsidRPr="00037C61">
        <w:rPr>
          <w:b/>
        </w:rPr>
        <w:t>health sector</w:t>
      </w:r>
      <w:r w:rsidRPr="00037C61">
        <w:t xml:space="preserve"> (from primary health care services and infrastructure, to research and telemedical services) emerge under the draft Operational Programme on Health. </w:t>
      </w:r>
    </w:p>
    <w:p w14:paraId="2BFCD7A9" w14:textId="77777777" w:rsidR="00866764" w:rsidRPr="00037C61" w:rsidRDefault="00866764" w:rsidP="00866764">
      <w:pPr>
        <w:pStyle w:val="InterregROHUBullet1"/>
        <w:ind w:left="567"/>
      </w:pPr>
      <w:r w:rsidRPr="00037C61">
        <w:t xml:space="preserve">Both countries have a mature vision on the future of </w:t>
      </w:r>
      <w:r w:rsidRPr="00037C61">
        <w:rPr>
          <w:b/>
        </w:rPr>
        <w:t>education</w:t>
      </w:r>
      <w:r w:rsidRPr="00037C61">
        <w:t xml:space="preserve"> and the need to ensure a closer connection between the education offer and the demand of skills coming from the </w:t>
      </w:r>
      <w:r w:rsidRPr="00037C61">
        <w:rPr>
          <w:b/>
        </w:rPr>
        <w:t>labour market</w:t>
      </w:r>
      <w:r w:rsidRPr="00037C61">
        <w:t xml:space="preserve">, thus increasing employability and labour mobility. Both countries put great accent on the need to reinforce active labour measures and (especially Romania) the public employment services. </w:t>
      </w:r>
    </w:p>
    <w:p w14:paraId="1DEA39C6" w14:textId="77777777" w:rsidR="00866764" w:rsidRPr="00037C61" w:rsidRDefault="00866764" w:rsidP="00866764">
      <w:pPr>
        <w:pStyle w:val="InterregROHUBullet1"/>
        <w:ind w:left="567"/>
      </w:pPr>
      <w:r w:rsidRPr="00037C61">
        <w:t xml:space="preserve">Equally, both countries have a </w:t>
      </w:r>
      <w:r w:rsidRPr="00037C61">
        <w:rPr>
          <w:b/>
        </w:rPr>
        <w:t>long-term vision on tourism development</w:t>
      </w:r>
      <w:r w:rsidRPr="00037C61">
        <w:t>, with a tourist destination management approach, the extensive use of digital and marketing tools, as well as an increasing capacity to collect and manage data and statistics related to tourism.</w:t>
      </w:r>
    </w:p>
    <w:p w14:paraId="3DB7306E" w14:textId="77777777" w:rsidR="00866764" w:rsidRPr="00037C61" w:rsidRDefault="00866764" w:rsidP="00866764">
      <w:pPr>
        <w:rPr>
          <w:rFonts w:eastAsia="Calibri" w:cs="Calibri"/>
          <w:lang w:val="en-GB"/>
        </w:rPr>
      </w:pPr>
      <w:r w:rsidRPr="00037C61">
        <w:rPr>
          <w:rFonts w:eastAsia="Calibri" w:cs="Calibri"/>
          <w:lang w:val="en-GB"/>
        </w:rPr>
        <w:t xml:space="preserve">These findings allow to define a wide range of policies where there is large space for fruitful cooperation under the future Interreg Programme between Romania and Hungary 2021-2027, in line with national strategic orientations. </w:t>
      </w:r>
    </w:p>
    <w:p w14:paraId="37C9BB16" w14:textId="648C35AE" w:rsidR="00866764" w:rsidRPr="00037C61" w:rsidRDefault="00866764" w:rsidP="00866764">
      <w:pPr>
        <w:pStyle w:val="Heading4"/>
        <w:rPr>
          <w:rFonts w:eastAsia="Calibri" w:cs="Calibri"/>
          <w:b w:val="0"/>
          <w:i/>
          <w:lang w:val="en-GB"/>
        </w:rPr>
      </w:pPr>
      <w:r w:rsidRPr="00037C61">
        <w:rPr>
          <w:rFonts w:eastAsia="Calibri" w:cs="Calibri"/>
          <w:lang w:val="en-GB"/>
        </w:rPr>
        <w:t>The regional strategic framework</w:t>
      </w:r>
    </w:p>
    <w:p w14:paraId="511B0DA3" w14:textId="77777777" w:rsidR="00866764" w:rsidRPr="00037C61" w:rsidRDefault="00866764" w:rsidP="00866764">
      <w:pPr>
        <w:rPr>
          <w:rFonts w:eastAsia="Calibri" w:cs="Calibri"/>
          <w:lang w:val="en-GB"/>
        </w:rPr>
      </w:pPr>
      <w:r w:rsidRPr="00037C61">
        <w:rPr>
          <w:rFonts w:eastAsia="Calibri" w:cs="Calibri"/>
          <w:lang w:val="en-GB"/>
        </w:rPr>
        <w:t xml:space="preserve">On the next governance level, </w:t>
      </w:r>
      <w:r w:rsidRPr="00037C61">
        <w:rPr>
          <w:rFonts w:eastAsia="Calibri" w:cs="Calibri"/>
          <w:b/>
          <w:bCs/>
          <w:lang w:val="en-GB"/>
        </w:rPr>
        <w:t>strategies at regional level (NUTS 2) have been considered for the Romanian side</w:t>
      </w:r>
      <w:r w:rsidRPr="00037C61">
        <w:rPr>
          <w:rStyle w:val="FootnoteReference"/>
          <w:rFonts w:eastAsia="Calibri" w:cs="Calibri"/>
          <w:lang w:val="en-GB"/>
        </w:rPr>
        <w:footnoteReference w:id="10"/>
      </w:r>
      <w:r w:rsidRPr="00037C61">
        <w:rPr>
          <w:rFonts w:eastAsia="Calibri" w:cs="Calibri"/>
          <w:lang w:val="en-GB"/>
        </w:rPr>
        <w:t xml:space="preserve">, in particular, with focus on: regional development (draft) programmes / strategies and regional innovation strategies. </w:t>
      </w:r>
    </w:p>
    <w:p w14:paraId="15E70D78" w14:textId="77777777" w:rsidR="00866764" w:rsidRPr="00037C61" w:rsidRDefault="00866764" w:rsidP="00866764">
      <w:pPr>
        <w:rPr>
          <w:rFonts w:eastAsia="Calibri" w:cs="Calibri"/>
          <w:lang w:val="en-GB"/>
        </w:rPr>
      </w:pPr>
      <w:r w:rsidRPr="00037C61">
        <w:rPr>
          <w:rFonts w:eastAsia="Calibri" w:cs="Calibri"/>
          <w:lang w:val="en-GB"/>
        </w:rPr>
        <w:t xml:space="preserve">The analysis showed that both countries in the cross-border area do not have a decentralisation at regional level, but only statistical NUTS2 development regions. However, under the impulse of regional development policies at EU level and the reform of regional development policies at national level, the RDAs in Romania are gaining growing importance as strategic planning actors at regional level, whilst decentralisation processes in Hungary are mainly involving the county and main cities’ level. </w:t>
      </w:r>
    </w:p>
    <w:p w14:paraId="5BFC739B" w14:textId="77777777" w:rsidR="00866764" w:rsidRPr="00037C61" w:rsidRDefault="00866764" w:rsidP="00866764">
      <w:pPr>
        <w:rPr>
          <w:rFonts w:eastAsia="Calibri" w:cs="Calibri"/>
          <w:lang w:val="en-GB"/>
        </w:rPr>
      </w:pPr>
      <w:r w:rsidRPr="00037C61">
        <w:rPr>
          <w:rFonts w:eastAsia="Calibri" w:cs="Calibri"/>
          <w:lang w:val="en-GB"/>
        </w:rPr>
        <w:t xml:space="preserve">Regional development plans provide an overall strategic framework for sector and integrated interventions in all Romanian counties within the cross-border area. In this respect, the future decentralisation of ERDF management through Regional Operational Programmes managed by RDAs as managing authorities can provide the opportunity for an </w:t>
      </w:r>
      <w:r w:rsidRPr="00037C61">
        <w:rPr>
          <w:rFonts w:eastAsia="Calibri" w:cs="Calibri"/>
          <w:b/>
          <w:bCs/>
          <w:lang w:val="en-GB"/>
        </w:rPr>
        <w:t>increased coordination of sector policies at regional level</w:t>
      </w:r>
      <w:r w:rsidRPr="00037C61">
        <w:rPr>
          <w:rFonts w:eastAsia="Calibri" w:cs="Calibri"/>
          <w:lang w:val="en-GB"/>
        </w:rPr>
        <w:t xml:space="preserve">, with potential positive impact on more results-oriented approach in relation to regional cohesion impacts, which is of great importance of the future Interreg Programme too. On the other hand, the </w:t>
      </w:r>
      <w:r w:rsidRPr="00037C61">
        <w:rPr>
          <w:rFonts w:eastAsia="Calibri" w:cs="Calibri"/>
          <w:b/>
          <w:bCs/>
          <w:lang w:val="en-GB"/>
        </w:rPr>
        <w:t>coordination of sector and territorial policies</w:t>
      </w:r>
      <w:r w:rsidRPr="00037C61">
        <w:rPr>
          <w:rFonts w:eastAsia="Calibri" w:cs="Calibri"/>
          <w:lang w:val="en-GB"/>
        </w:rPr>
        <w:t xml:space="preserve"> in Hungary is a governance competence </w:t>
      </w:r>
      <w:r w:rsidRPr="00037C61">
        <w:rPr>
          <w:rFonts w:eastAsia="Calibri" w:cs="Calibri"/>
          <w:lang w:val="en-GB"/>
        </w:rPr>
        <w:lastRenderedPageBreak/>
        <w:t>attributed to county and main cities’ level, which are thus key actors for the delivery of the National spatial and regional development strategy in Hungary.</w:t>
      </w:r>
    </w:p>
    <w:p w14:paraId="7EEBF84B" w14:textId="77777777" w:rsidR="00866764" w:rsidRPr="00037C61" w:rsidRDefault="00866764" w:rsidP="00866764">
      <w:pPr>
        <w:rPr>
          <w:rFonts w:eastAsia="Calibri" w:cs="Calibri"/>
          <w:lang w:val="en-GB"/>
        </w:rPr>
      </w:pPr>
      <w:r w:rsidRPr="00037C61">
        <w:rPr>
          <w:rFonts w:eastAsia="Calibri" w:cs="Calibri"/>
          <w:lang w:val="en-GB"/>
        </w:rPr>
        <w:t xml:space="preserve">Besides, in both cases, regional innovation is approached through dedicated strategies, with the overall strategic objective of improving an integrated RDI regional system and supporting strategic sectors with value added and competitive advantage reflecting the vocation of regional economies. However, whilst RDAs function, in Romania, as catalysers of regional innovation investments, in Hungary, the operationalisation of RIS from a policy point of view stand at county governance level.  </w:t>
      </w:r>
    </w:p>
    <w:p w14:paraId="3DA1402B" w14:textId="77777777" w:rsidR="00866764" w:rsidRPr="00037C61" w:rsidRDefault="00866764" w:rsidP="00866764">
      <w:pPr>
        <w:rPr>
          <w:rFonts w:eastAsia="Calibri" w:cs="Calibri"/>
          <w:lang w:val="en-GB"/>
        </w:rPr>
      </w:pPr>
      <w:r w:rsidRPr="00037C61">
        <w:rPr>
          <w:rFonts w:eastAsia="Calibri" w:cs="Calibri"/>
          <w:lang w:val="en-GB"/>
        </w:rPr>
        <w:t xml:space="preserve">Regional Innovation Strategies and their different operationalisation at territorial level, are mainly relevant for substantiating the choice of concentrating resources on strategic economic sectors under PO 1, </w:t>
      </w:r>
      <w:r w:rsidRPr="00037C61">
        <w:rPr>
          <w:rFonts w:eastAsia="Calibri" w:cs="Calibri"/>
          <w:b/>
          <w:bCs/>
          <w:lang w:val="en-GB"/>
        </w:rPr>
        <w:t>building on regional innovation systems</w:t>
      </w:r>
      <w:r w:rsidRPr="00037C61">
        <w:rPr>
          <w:rFonts w:eastAsia="Calibri" w:cs="Calibri"/>
          <w:lang w:val="en-GB"/>
        </w:rPr>
        <w:t xml:space="preserve"> and related business structure. </w:t>
      </w:r>
    </w:p>
    <w:p w14:paraId="6E279340" w14:textId="71F4468C" w:rsidR="00866764" w:rsidRPr="00037C61" w:rsidRDefault="00866764" w:rsidP="00866764">
      <w:pPr>
        <w:pStyle w:val="Heading4"/>
        <w:rPr>
          <w:rFonts w:eastAsia="Calibri" w:cs="Calibri"/>
          <w:b w:val="0"/>
          <w:i/>
          <w:lang w:val="en-GB"/>
        </w:rPr>
      </w:pPr>
      <w:r w:rsidRPr="00037C61">
        <w:rPr>
          <w:rFonts w:eastAsia="Calibri" w:cs="Calibri"/>
          <w:lang w:val="en-GB"/>
        </w:rPr>
        <w:t xml:space="preserve">The local (county and cities) strategic framework </w:t>
      </w:r>
    </w:p>
    <w:p w14:paraId="7F48F216" w14:textId="521A1C3C" w:rsidR="00866764" w:rsidRPr="00067E4D" w:rsidRDefault="00866764" w:rsidP="00866764">
      <w:pPr>
        <w:rPr>
          <w:rFonts w:eastAsia="Calibri" w:cs="Calibri"/>
          <w:lang w:val="en-GB"/>
        </w:rPr>
      </w:pPr>
      <w:r w:rsidRPr="00037C61">
        <w:rPr>
          <w:rFonts w:eastAsia="Calibri" w:cs="Calibri"/>
          <w:lang w:val="en-GB"/>
        </w:rPr>
        <w:t xml:space="preserve">In the next </w:t>
      </w:r>
      <w:r w:rsidRPr="00037C61">
        <w:rPr>
          <w:rFonts w:eastAsia="Calibri" w:cs="Calibri"/>
          <w:b/>
          <w:bCs/>
          <w:lang w:val="en-GB"/>
        </w:rPr>
        <w:t xml:space="preserve">governance level (NUTS3), </w:t>
      </w:r>
      <w:r w:rsidRPr="00037C61">
        <w:rPr>
          <w:rFonts w:eastAsia="Calibri" w:cs="Calibri"/>
          <w:lang w:val="en-GB"/>
        </w:rPr>
        <w:t xml:space="preserve">the </w:t>
      </w:r>
      <w:r w:rsidRPr="00037C61">
        <w:rPr>
          <w:rFonts w:eastAsia="Calibri" w:cs="Calibri"/>
          <w:b/>
          <w:bCs/>
          <w:lang w:val="en-GB"/>
        </w:rPr>
        <w:t>county administrative level</w:t>
      </w:r>
      <w:r w:rsidRPr="00037C61">
        <w:rPr>
          <w:rFonts w:eastAsia="Calibri" w:cs="Calibri"/>
          <w:lang w:val="en-GB"/>
        </w:rPr>
        <w:t xml:space="preserve">, strategies and plans, which provides the framework for the delivery of county sector policies, are generally referred to the current programming period 2014-2020. However, they </w:t>
      </w:r>
      <w:r w:rsidR="00B33D9E" w:rsidRPr="00037C61">
        <w:rPr>
          <w:rFonts w:eastAsia="Calibri" w:cs="Calibri"/>
          <w:lang w:val="en-GB"/>
        </w:rPr>
        <w:t>have been</w:t>
      </w:r>
      <w:r w:rsidRPr="00037C61">
        <w:rPr>
          <w:rFonts w:eastAsia="Calibri" w:cs="Calibri"/>
          <w:lang w:val="en-GB"/>
        </w:rPr>
        <w:t xml:space="preserve"> analysed in order to highlight the importance attributed to cross-border territorial cooperation, the medium and long-term vision on the territorial role of the county</w:t>
      </w:r>
      <w:r w:rsidR="00197D19" w:rsidRPr="00037C61">
        <w:rPr>
          <w:rFonts w:eastAsia="Calibri" w:cs="Calibri"/>
          <w:lang w:val="en-GB"/>
        </w:rPr>
        <w:t xml:space="preserve"> and</w:t>
      </w:r>
      <w:r w:rsidRPr="00037C61">
        <w:rPr>
          <w:rFonts w:eastAsia="Calibri" w:cs="Calibri"/>
          <w:lang w:val="en-GB"/>
        </w:rPr>
        <w:t xml:space="preserve"> the relevance for future Policy Objectives (POs). County strategies provide </w:t>
      </w:r>
      <w:r w:rsidRPr="00037C61">
        <w:rPr>
          <w:rFonts w:eastAsia="Calibri" w:cs="Calibri"/>
          <w:b/>
          <w:bCs/>
          <w:lang w:val="en-GB"/>
        </w:rPr>
        <w:t>the framework for the coordination of sector policies at county level</w:t>
      </w:r>
      <w:r w:rsidRPr="00037C61">
        <w:rPr>
          <w:rFonts w:eastAsia="Calibri" w:cs="Calibri"/>
          <w:lang w:val="en-GB"/>
        </w:rPr>
        <w:t xml:space="preserve">, with accent on </w:t>
      </w:r>
      <w:r w:rsidRPr="00037C61">
        <w:rPr>
          <w:rFonts w:eastAsia="Calibri" w:cs="Calibri"/>
          <w:b/>
          <w:bCs/>
          <w:lang w:val="en-GB"/>
        </w:rPr>
        <w:t xml:space="preserve">decentralised </w:t>
      </w:r>
      <w:r w:rsidRPr="00067E4D">
        <w:rPr>
          <w:rFonts w:eastAsia="Calibri" w:cs="Calibri"/>
          <w:b/>
          <w:bCs/>
          <w:lang w:val="en-GB"/>
        </w:rPr>
        <w:t>competences for the delivery of public services,</w:t>
      </w:r>
      <w:r w:rsidRPr="00067E4D">
        <w:rPr>
          <w:rFonts w:eastAsia="Calibri" w:cs="Calibri"/>
          <w:lang w:val="en-GB"/>
        </w:rPr>
        <w:t xml:space="preserve"> especially in the fields of transport, environment, </w:t>
      </w:r>
      <w:r w:rsidR="00245B34" w:rsidRPr="00067E4D">
        <w:rPr>
          <w:rFonts w:eastAsia="Calibri" w:cs="Calibri"/>
          <w:lang w:val="en-GB"/>
        </w:rPr>
        <w:t xml:space="preserve">energy and climate change, </w:t>
      </w:r>
      <w:r w:rsidRPr="00067E4D">
        <w:rPr>
          <w:rFonts w:eastAsia="Calibri" w:cs="Calibri"/>
          <w:lang w:val="en-GB"/>
        </w:rPr>
        <w:t>employment and social inclusion, both in rural areas and smaller urban settlements.</w:t>
      </w:r>
      <w:r w:rsidR="00245B34" w:rsidRPr="00067E4D">
        <w:rPr>
          <w:rFonts w:eastAsia="Calibri" w:cs="Calibri"/>
          <w:lang w:val="en-GB"/>
        </w:rPr>
        <w:t xml:space="preserve"> County strategies are in line with the national and EU strategic frameworks</w:t>
      </w:r>
      <w:r w:rsidR="007D48B3" w:rsidRPr="00067E4D">
        <w:rPr>
          <w:rFonts w:eastAsia="Calibri" w:cs="Calibri"/>
          <w:lang w:val="en-GB"/>
        </w:rPr>
        <w:t>, reflecting how their strategic objectives are translated at local level, depending on specific local conditions and priorities. In this respect, it shall be noted that several counties have already drafted or are going to draft specific sector plans dedicated to Energy and Climate Change, in line with EU Climate and Energy policy framework 2030.</w:t>
      </w:r>
    </w:p>
    <w:p w14:paraId="08A72338" w14:textId="615C0BB5" w:rsidR="00C177F5" w:rsidRPr="00067E4D" w:rsidRDefault="00C177F5" w:rsidP="00866764">
      <w:pPr>
        <w:rPr>
          <w:rFonts w:eastAsia="Calibri" w:cs="Calibri"/>
          <w:lang w:val="en-GB"/>
        </w:rPr>
      </w:pPr>
      <w:r w:rsidRPr="00067E4D">
        <w:rPr>
          <w:rFonts w:eastAsia="Calibri" w:cs="Calibri"/>
          <w:lang w:val="en-GB"/>
        </w:rPr>
        <w:t xml:space="preserve">Additionally, although the county and cities' priorities may also change in the next programming period, considering the impact of the Covid-19 crisis on both the economy and society, their strategic objectives have been taken into account when defining the programme priorities. In particular, the strategies endorse the need to concentrate resources on common assets and challenges, with focus on natural resources, green transition, improvement of the health sector, skills' development and tourism. </w:t>
      </w:r>
      <w:r w:rsidR="00916512" w:rsidRPr="00067E4D">
        <w:rPr>
          <w:rFonts w:eastAsia="Calibri" w:cs="Calibri"/>
          <w:lang w:val="en-GB"/>
        </w:rPr>
        <w:t>Similarily, d</w:t>
      </w:r>
      <w:r w:rsidRPr="00067E4D">
        <w:rPr>
          <w:rFonts w:eastAsia="Calibri" w:cs="Calibri"/>
          <w:lang w:val="en-GB"/>
        </w:rPr>
        <w:t>igital transition and internal cohesion (which are common objectives</w:t>
      </w:r>
      <w:r w:rsidR="00916512" w:rsidRPr="00067E4D">
        <w:rPr>
          <w:rFonts w:eastAsia="Calibri" w:cs="Calibri"/>
          <w:lang w:val="en-GB"/>
        </w:rPr>
        <w:t xml:space="preserve"> of county authorities</w:t>
      </w:r>
      <w:r w:rsidRPr="00067E4D">
        <w:rPr>
          <w:rFonts w:eastAsia="Calibri" w:cs="Calibri"/>
          <w:lang w:val="en-GB"/>
        </w:rPr>
        <w:t xml:space="preserve">) </w:t>
      </w:r>
      <w:r w:rsidR="00916512" w:rsidRPr="00067E4D">
        <w:rPr>
          <w:rFonts w:eastAsia="Calibri" w:cs="Calibri"/>
          <w:lang w:val="en-GB"/>
        </w:rPr>
        <w:t>have been</w:t>
      </w:r>
      <w:r w:rsidRPr="00067E4D">
        <w:rPr>
          <w:rFonts w:eastAsia="Calibri" w:cs="Calibri"/>
          <w:lang w:val="en-GB"/>
        </w:rPr>
        <w:t xml:space="preserve"> mainstreamed </w:t>
      </w:r>
      <w:r w:rsidR="00916512" w:rsidRPr="00067E4D">
        <w:rPr>
          <w:rFonts w:eastAsia="Calibri" w:cs="Calibri"/>
          <w:lang w:val="en-GB"/>
        </w:rPr>
        <w:t xml:space="preserve">in the Programme intervention logics </w:t>
      </w:r>
      <w:r w:rsidRPr="00067E4D">
        <w:rPr>
          <w:rFonts w:eastAsia="Calibri" w:cs="Calibri"/>
          <w:lang w:val="en-GB"/>
        </w:rPr>
        <w:t xml:space="preserve">and </w:t>
      </w:r>
      <w:r w:rsidR="00916512" w:rsidRPr="00067E4D">
        <w:rPr>
          <w:rFonts w:eastAsia="Calibri" w:cs="Calibri"/>
          <w:lang w:val="en-GB"/>
        </w:rPr>
        <w:t xml:space="preserve">are </w:t>
      </w:r>
      <w:r w:rsidRPr="00067E4D">
        <w:rPr>
          <w:rFonts w:eastAsia="Calibri" w:cs="Calibri"/>
          <w:lang w:val="en-GB"/>
        </w:rPr>
        <w:t>specifically proposed for ISO 1 measures to be dedicated to further analysis and joint strategic planning related to smart specialisation (with focus on the driving role of cities) and an in-depth analysis of barriers and solutions to cross-border public services, which may support minor and rural administrations and marginalised areas to catch up with main urban centres.</w:t>
      </w:r>
    </w:p>
    <w:p w14:paraId="2C7C2F4D" w14:textId="4A78FE19" w:rsidR="00866764" w:rsidRPr="00037C61" w:rsidRDefault="00866764" w:rsidP="00866764">
      <w:pPr>
        <w:rPr>
          <w:rFonts w:eastAsia="Calibri" w:cs="Calibri"/>
          <w:lang w:val="en-GB"/>
        </w:rPr>
      </w:pPr>
      <w:r w:rsidRPr="00067E4D">
        <w:rPr>
          <w:rFonts w:eastAsia="Calibri" w:cs="Calibri"/>
          <w:lang w:val="en-GB"/>
        </w:rPr>
        <w:t xml:space="preserve">The majority of counties within the cross-border area have identified </w:t>
      </w:r>
      <w:r w:rsidRPr="00067E4D">
        <w:rPr>
          <w:rFonts w:eastAsia="Calibri" w:cs="Calibri"/>
          <w:b/>
          <w:bCs/>
          <w:lang w:val="en-GB"/>
        </w:rPr>
        <w:t>cross-border development strategic objectives and priorities</w:t>
      </w:r>
      <w:r w:rsidRPr="00067E4D">
        <w:rPr>
          <w:rFonts w:eastAsia="Calibri" w:cs="Calibri"/>
          <w:lang w:val="en-GB"/>
        </w:rPr>
        <w:t xml:space="preserve">, thus reflecting the </w:t>
      </w:r>
      <w:r w:rsidRPr="00067E4D">
        <w:rPr>
          <w:rFonts w:eastAsia="Calibri" w:cs="Calibri"/>
          <w:b/>
          <w:bCs/>
          <w:lang w:val="en-GB"/>
        </w:rPr>
        <w:t>strong vocation</w:t>
      </w:r>
      <w:r w:rsidRPr="00067E4D">
        <w:rPr>
          <w:rFonts w:eastAsia="Calibri" w:cs="Calibri"/>
          <w:lang w:val="en-GB"/>
        </w:rPr>
        <w:t xml:space="preserve"> of the territories towards interregional cooperation on a wide range of sectors</w:t>
      </w:r>
      <w:r w:rsidR="008B195A">
        <w:rPr>
          <w:rFonts w:eastAsia="Calibri" w:cs="Calibri"/>
          <w:lang w:val="en-GB"/>
        </w:rPr>
        <w:t>, including climate change mitigation measures, water basin management, health, culture and tourism</w:t>
      </w:r>
      <w:r w:rsidRPr="00067E4D">
        <w:rPr>
          <w:rFonts w:eastAsia="Calibri" w:cs="Calibri"/>
          <w:lang w:val="en-GB"/>
        </w:rPr>
        <w:t>. This is further confirmed by the analysis of some city strategies, where great accent is on cross</w:t>
      </w:r>
      <w:r w:rsidRPr="00037C61">
        <w:rPr>
          <w:rFonts w:eastAsia="Calibri" w:cs="Calibri"/>
          <w:lang w:val="en-GB"/>
        </w:rPr>
        <w:t xml:space="preserve">-border cooperation in the cultural field and the increasing role of cities as economic development engines beyond their administrative border, with the support of an increased transport connectivity. </w:t>
      </w:r>
    </w:p>
    <w:p w14:paraId="332F79CF" w14:textId="3022E77E" w:rsidR="00866764" w:rsidRPr="00113302" w:rsidRDefault="00866764" w:rsidP="00866764">
      <w:pPr>
        <w:rPr>
          <w:rFonts w:eastAsia="Calibri" w:cs="Calibri"/>
          <w:lang w:val="en-GB"/>
        </w:rPr>
      </w:pPr>
      <w:r w:rsidRPr="00037C61">
        <w:rPr>
          <w:rFonts w:eastAsia="Calibri" w:cs="Calibri"/>
          <w:lang w:val="en-GB"/>
        </w:rPr>
        <w:t xml:space="preserve">In this respect, it shall be also stressed that </w:t>
      </w:r>
      <w:r w:rsidR="00197FCF" w:rsidRPr="00037C61">
        <w:rPr>
          <w:rFonts w:eastAsia="Calibri" w:cs="Calibri"/>
          <w:lang w:val="en-GB"/>
        </w:rPr>
        <w:t xml:space="preserve">besides counties also </w:t>
      </w:r>
      <w:r w:rsidRPr="00037C61">
        <w:rPr>
          <w:rFonts w:eastAsia="Calibri" w:cs="Calibri"/>
          <w:lang w:val="en-GB"/>
        </w:rPr>
        <w:t xml:space="preserve">several cities have already prepared their strategies from a wider multiannual budgeting perspective (horizon 2025 or 2030), which makes </w:t>
      </w:r>
      <w:r w:rsidRPr="00037C61">
        <w:rPr>
          <w:rFonts w:eastAsia="Calibri" w:cs="Calibri"/>
          <w:lang w:val="en-GB"/>
        </w:rPr>
        <w:lastRenderedPageBreak/>
        <w:t xml:space="preserve">them fully relevant to the future programming period, although  an update of the context analysis and related strategy is expected , in order to reflect the new priorities at national level and the new provisions for the cohesion policy, and thus ensure the highest possible absorption rate of EU funds at municipal level. The desk analysis and external expert experience in working with cities and ERDF-funded Programmes suggest that the integrated urban development approach promoted at EU level through ERDF, included the recent accent on wider urban areas and urban linkages, has boosted the capacity to prepare and implement integrated strategies and projects at city level, which makes them a </w:t>
      </w:r>
      <w:r w:rsidRPr="00113302">
        <w:rPr>
          <w:rFonts w:eastAsia="Calibri" w:cs="Calibri"/>
          <w:lang w:val="en-GB"/>
        </w:rPr>
        <w:t xml:space="preserve">very proactive and strategic partner to build territorial cooperation interventions. </w:t>
      </w:r>
      <w:r w:rsidR="00BB7DCB" w:rsidRPr="00113302">
        <w:rPr>
          <w:rFonts w:ascii="Arial" w:hAnsi="Arial" w:cs="Arial"/>
          <w:color w:val="38761D"/>
          <w:sz w:val="20"/>
          <w:szCs w:val="20"/>
          <w:shd w:val="clear" w:color="auto" w:fill="FFFFFF"/>
          <w:lang w:val="en-GB"/>
        </w:rPr>
        <w:t xml:space="preserve"> </w:t>
      </w:r>
    </w:p>
    <w:p w14:paraId="3F60D610" w14:textId="77777777" w:rsidR="00866764" w:rsidRPr="00037C61" w:rsidRDefault="00866764" w:rsidP="00866764">
      <w:pPr>
        <w:rPr>
          <w:rFonts w:eastAsia="Calibri" w:cs="Calibri"/>
          <w:lang w:val="en-GB"/>
        </w:rPr>
      </w:pPr>
      <w:r w:rsidRPr="00DB74BF">
        <w:rPr>
          <w:rFonts w:eastAsia="Calibri" w:cs="Calibri"/>
          <w:lang w:val="en-GB"/>
        </w:rPr>
        <w:t xml:space="preserve">The previous experience in managing complex integrated strategies have boosted the capacity of municipalities to think strategically and to prepare projects’ pipelines with a wider multiannual budgeting perspective, which may have a positive impact on the county territorial level, in order to reinforce the </w:t>
      </w:r>
      <w:r w:rsidRPr="00DB74BF">
        <w:rPr>
          <w:rFonts w:eastAsia="Calibri" w:cs="Calibri"/>
          <w:b/>
          <w:bCs/>
          <w:lang w:val="en-GB"/>
        </w:rPr>
        <w:t>governance coordination of integrated policies</w:t>
      </w:r>
      <w:r w:rsidRPr="00DB74BF">
        <w:rPr>
          <w:rFonts w:eastAsia="Calibri" w:cs="Calibri"/>
          <w:lang w:val="en-GB"/>
        </w:rPr>
        <w:t xml:space="preserve">, whilst valorising the </w:t>
      </w:r>
      <w:r w:rsidRPr="00DB74BF">
        <w:rPr>
          <w:rFonts w:eastAsia="Calibri" w:cs="Calibri"/>
          <w:b/>
          <w:bCs/>
          <w:lang w:val="en-GB"/>
        </w:rPr>
        <w:t>potential role of main urban centres as drivers of the county economy</w:t>
      </w:r>
      <w:r w:rsidRPr="00DB74BF">
        <w:rPr>
          <w:rFonts w:eastAsia="Calibri" w:cs="Calibri"/>
          <w:lang w:val="en-GB"/>
        </w:rPr>
        <w:t>, acting as economic growth engine and centres of competitiveness and innovation for the whole cross-border region</w:t>
      </w:r>
      <w:r w:rsidRPr="00113302">
        <w:rPr>
          <w:rFonts w:eastAsia="Calibri" w:cs="Calibri"/>
          <w:lang w:val="en-GB"/>
        </w:rPr>
        <w:t>.</w:t>
      </w:r>
      <w:r w:rsidRPr="00037C61">
        <w:rPr>
          <w:rFonts w:eastAsia="Calibri" w:cs="Calibri"/>
          <w:lang w:val="en-GB"/>
        </w:rPr>
        <w:t xml:space="preserve"> </w:t>
      </w:r>
    </w:p>
    <w:p w14:paraId="0100F1D1" w14:textId="77777777" w:rsidR="00866764" w:rsidRPr="00BF21A4" w:rsidRDefault="00866764" w:rsidP="00866764">
      <w:pPr>
        <w:rPr>
          <w:rFonts w:eastAsia="Calibri" w:cs="Calibri"/>
          <w:lang w:val="en-GB"/>
        </w:rPr>
      </w:pPr>
      <w:r w:rsidRPr="00037C61">
        <w:rPr>
          <w:rFonts w:eastAsia="Calibri" w:cs="Calibri"/>
          <w:lang w:val="en-GB"/>
        </w:rPr>
        <w:t>The future Programme shall build on existing cooperation relations, in order to consolidate them and further facilitate their institutionalisation and the continuity of long-</w:t>
      </w:r>
      <w:r w:rsidRPr="006508E7">
        <w:rPr>
          <w:rFonts w:eastAsia="Calibri" w:cs="Calibri"/>
          <w:lang w:val="en-GB"/>
        </w:rPr>
        <w:t>term joint projects that many administrations are already promoting.</w:t>
      </w:r>
      <w:r w:rsidRPr="00BF21A4">
        <w:rPr>
          <w:rFonts w:eastAsia="Calibri" w:cs="Calibri"/>
          <w:lang w:val="en-GB"/>
        </w:rPr>
        <w:t xml:space="preserve">  </w:t>
      </w:r>
    </w:p>
    <w:p w14:paraId="1C4995C7" w14:textId="4617AA22" w:rsidR="00866764" w:rsidRPr="00037C61" w:rsidRDefault="00866764" w:rsidP="00866764">
      <w:pPr>
        <w:pStyle w:val="Heading4"/>
        <w:rPr>
          <w:rFonts w:eastAsia="Calibri" w:cs="Calibri"/>
          <w:b w:val="0"/>
          <w:i/>
          <w:lang w:val="en-GB"/>
        </w:rPr>
      </w:pPr>
      <w:r w:rsidRPr="00037C61">
        <w:rPr>
          <w:rFonts w:eastAsia="Calibri" w:cs="Calibri"/>
          <w:lang w:val="en-GB"/>
        </w:rPr>
        <w:t xml:space="preserve">The existing strategies beyond the administrative borders </w:t>
      </w:r>
    </w:p>
    <w:p w14:paraId="4E03A545" w14:textId="2247765F" w:rsidR="00866764" w:rsidRPr="00037C61" w:rsidRDefault="00866764" w:rsidP="00866764">
      <w:pPr>
        <w:rPr>
          <w:rFonts w:eastAsia="Calibri" w:cs="Calibri"/>
          <w:lang w:val="en-GB"/>
        </w:rPr>
      </w:pPr>
      <w:r w:rsidRPr="00037C61">
        <w:rPr>
          <w:rFonts w:eastAsia="Calibri" w:cs="Calibri"/>
          <w:lang w:val="en-GB"/>
        </w:rPr>
        <w:t xml:space="preserve">Finally, </w:t>
      </w:r>
      <w:r w:rsidRPr="00037C61">
        <w:rPr>
          <w:rFonts w:eastAsia="Calibri" w:cs="Calibri"/>
          <w:b/>
          <w:bCs/>
          <w:lang w:val="en-GB"/>
        </w:rPr>
        <w:t>beyond the administrative border</w:t>
      </w:r>
      <w:r w:rsidRPr="00037C61">
        <w:rPr>
          <w:rFonts w:eastAsia="Calibri" w:cs="Calibri"/>
          <w:lang w:val="en-GB"/>
        </w:rPr>
        <w:t xml:space="preserve">, the </w:t>
      </w:r>
      <w:r w:rsidRPr="00037C61">
        <w:rPr>
          <w:rFonts w:eastAsia="Calibri" w:cs="Calibri"/>
          <w:b/>
          <w:bCs/>
          <w:lang w:val="en-GB"/>
        </w:rPr>
        <w:t>integrated territorial initiatives</w:t>
      </w:r>
      <w:r w:rsidRPr="00037C61">
        <w:rPr>
          <w:rFonts w:eastAsia="Calibri" w:cs="Calibri"/>
          <w:lang w:val="en-GB"/>
        </w:rPr>
        <w:t xml:space="preserve"> are increasingly emerging as tools for promoting bottom-up strategies encompassing a wide range of policy sectors, in view to provide personalised public services and development opportunities to the benefit of local communities and territories. Integrated territorial initiatives assume different forms, depending on the scale of integration (i.e. micro, macro, cross-border, rurban, and so on), and include the experience of</w:t>
      </w:r>
      <w:r w:rsidR="00DD39CB">
        <w:rPr>
          <w:rFonts w:eastAsia="Calibri" w:cs="Calibri"/>
          <w:lang w:val="en-GB"/>
        </w:rPr>
        <w:t xml:space="preserve"> </w:t>
      </w:r>
      <w:r w:rsidR="00603D08">
        <w:rPr>
          <w:rFonts w:eastAsia="Calibri" w:cs="Calibri"/>
          <w:lang w:val="en-GB"/>
        </w:rPr>
        <w:t xml:space="preserve">the </w:t>
      </w:r>
      <w:r w:rsidR="00603D08" w:rsidRPr="00603D08">
        <w:rPr>
          <w:rFonts w:eastAsia="Calibri" w:cs="Calibri"/>
          <w:lang w:val="en-GB"/>
        </w:rPr>
        <w:t>EU Strategy for the Danube Region (EUSDR),</w:t>
      </w:r>
      <w:r w:rsidRPr="00037C61">
        <w:rPr>
          <w:rFonts w:eastAsia="Calibri" w:cs="Calibri"/>
          <w:lang w:val="en-GB"/>
        </w:rPr>
        <w:t xml:space="preserve">, Euroregions, </w:t>
      </w:r>
      <w:r w:rsidR="00197FCF" w:rsidRPr="00037C61">
        <w:rPr>
          <w:rFonts w:eastAsia="Calibri" w:cs="Calibri"/>
          <w:lang w:val="en-GB"/>
        </w:rPr>
        <w:t>European Groupings for Territorial Cooperation</w:t>
      </w:r>
      <w:r w:rsidRPr="00037C61">
        <w:rPr>
          <w:rFonts w:eastAsia="Calibri" w:cs="Calibri"/>
          <w:lang w:val="en-GB"/>
        </w:rPr>
        <w:t xml:space="preserve">, Local Action Groups, Inter-community Development Associations created by several local public authorities in the context on micro-region strategies). </w:t>
      </w:r>
      <w:r w:rsidR="41E923CF" w:rsidRPr="00037C61">
        <w:rPr>
          <w:rFonts w:eastAsia="Calibri" w:cs="Calibri"/>
          <w:lang w:val="en-GB"/>
        </w:rPr>
        <w:t>T</w:t>
      </w:r>
      <w:r w:rsidRPr="00037C61">
        <w:rPr>
          <w:rFonts w:eastAsia="Calibri" w:cs="Calibri"/>
          <w:lang w:val="en-GB"/>
        </w:rPr>
        <w:t xml:space="preserve">hey are considered for the analysis because they may provide </w:t>
      </w:r>
      <w:r w:rsidRPr="00037C61">
        <w:rPr>
          <w:rFonts w:eastAsia="Calibri" w:cs="Calibri"/>
          <w:b/>
          <w:bCs/>
          <w:lang w:val="en-GB"/>
        </w:rPr>
        <w:t>success stories and lessons learnt for territorial cooperation beyond administrative borders</w:t>
      </w:r>
      <w:r w:rsidRPr="00037C61">
        <w:rPr>
          <w:rFonts w:eastAsia="Calibri" w:cs="Calibri"/>
          <w:lang w:val="en-GB"/>
        </w:rPr>
        <w:t xml:space="preserve"> and may thus </w:t>
      </w:r>
      <w:r w:rsidRPr="00037C61">
        <w:rPr>
          <w:rFonts w:eastAsia="Calibri" w:cs="Calibri"/>
          <w:b/>
          <w:bCs/>
          <w:lang w:val="en-GB"/>
        </w:rPr>
        <w:t>help building scenarios for the future application of bottom</w:t>
      </w:r>
      <w:r w:rsidR="53292A02" w:rsidRPr="00037C61">
        <w:rPr>
          <w:rFonts w:eastAsia="Calibri" w:cs="Calibri"/>
          <w:b/>
          <w:bCs/>
          <w:lang w:val="en-GB"/>
        </w:rPr>
        <w:t>-</w:t>
      </w:r>
      <w:r w:rsidRPr="00037C61">
        <w:rPr>
          <w:rFonts w:eastAsia="Calibri" w:cs="Calibri"/>
          <w:b/>
          <w:bCs/>
          <w:lang w:val="en-GB"/>
        </w:rPr>
        <w:t>up approaches and integrated territorial development mechanisms under cross-border programmes</w:t>
      </w:r>
      <w:r w:rsidRPr="00037C61">
        <w:rPr>
          <w:rFonts w:eastAsia="Calibri" w:cs="Calibri"/>
          <w:lang w:val="en-GB"/>
        </w:rPr>
        <w:t>, to the benefit of cross-border “proximity communities”.</w:t>
      </w:r>
    </w:p>
    <w:p w14:paraId="7CE83353" w14:textId="77777777" w:rsidR="00866764" w:rsidRPr="00037C61" w:rsidRDefault="00866764" w:rsidP="00866764">
      <w:pPr>
        <w:pStyle w:val="Heading4"/>
        <w:rPr>
          <w:rFonts w:eastAsia="Calibri" w:cs="Calibri"/>
          <w:b w:val="0"/>
          <w:i/>
          <w:lang w:val="en-GB"/>
        </w:rPr>
      </w:pPr>
      <w:r w:rsidRPr="00037C61">
        <w:rPr>
          <w:rFonts w:eastAsia="Calibri" w:cs="Calibri"/>
          <w:lang w:val="en-GB"/>
        </w:rPr>
        <w:t xml:space="preserve">Multi-level policy relevance and complementarities matrix </w:t>
      </w:r>
    </w:p>
    <w:p w14:paraId="7305E4D8" w14:textId="2B169597" w:rsidR="00866764" w:rsidRPr="00037C61" w:rsidRDefault="00866764" w:rsidP="00866764">
      <w:pPr>
        <w:rPr>
          <w:rFonts w:eastAsia="Calibri" w:cs="Calibri"/>
          <w:lang w:val="en-GB"/>
        </w:rPr>
        <w:sectPr w:rsidR="00866764" w:rsidRPr="00037C61">
          <w:pgSz w:w="11906" w:h="16838"/>
          <w:pgMar w:top="1440" w:right="1440" w:bottom="1440" w:left="1440" w:header="708" w:footer="708" w:gutter="0"/>
          <w:cols w:space="708"/>
          <w:docGrid w:linePitch="360"/>
        </w:sectPr>
      </w:pPr>
      <w:r w:rsidRPr="00037C61">
        <w:rPr>
          <w:rFonts w:eastAsia="Calibri" w:cs="Calibri"/>
          <w:lang w:val="en-GB"/>
        </w:rPr>
        <w:t>In synthesis, the following table shows the potential relevance, complementarity and synergy with policies and strategies at different governance levels analysed in this paper. The matrix (eventually corroborated with the results of the territorial analysis and other consultations) can be further used to create a multi-criteria grid to select policy objectives and / or their financial allocation, as well as to select strategic projects to be included in the future Interreg Programme between Romania and Hungary 2021-2027. Further validation and qualitative information needed to define future scenarios for the selection of future priorities and for the opportunity to further promote existing territorial cooperation mechanisms under the existing institutional framework will be subject of consultations and stakeholder input.</w:t>
      </w:r>
    </w:p>
    <w:p w14:paraId="44292FAD" w14:textId="77777777" w:rsidR="00866764" w:rsidRPr="00037C61" w:rsidRDefault="00866764" w:rsidP="00866764">
      <w:pPr>
        <w:rPr>
          <w:rFonts w:eastAsia="Calibri" w:cs="Calibri"/>
          <w:lang w:val="en-GB"/>
        </w:rPr>
      </w:pPr>
    </w:p>
    <w:tbl>
      <w:tblPr>
        <w:tblStyle w:val="TableGrid"/>
        <w:tblW w:w="13948" w:type="dxa"/>
        <w:tblLook w:val="04A0" w:firstRow="1" w:lastRow="0" w:firstColumn="1" w:lastColumn="0" w:noHBand="0" w:noVBand="1"/>
      </w:tblPr>
      <w:tblGrid>
        <w:gridCol w:w="1861"/>
        <w:gridCol w:w="2904"/>
        <w:gridCol w:w="1170"/>
        <w:gridCol w:w="1350"/>
        <w:gridCol w:w="1258"/>
        <w:gridCol w:w="1260"/>
        <w:gridCol w:w="1440"/>
        <w:gridCol w:w="1352"/>
        <w:gridCol w:w="1353"/>
      </w:tblGrid>
      <w:tr w:rsidR="00C238E8" w:rsidRPr="00037C61" w14:paraId="2C8B4170" w14:textId="77777777" w:rsidTr="00C238E8">
        <w:trPr>
          <w:tblHeader/>
        </w:trPr>
        <w:tc>
          <w:tcPr>
            <w:tcW w:w="1861" w:type="dxa"/>
            <w:shd w:val="clear" w:color="auto" w:fill="034FA3" w:themeFill="accent1"/>
          </w:tcPr>
          <w:p w14:paraId="7B16C767"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Multi-level policies / POs </w:t>
            </w:r>
          </w:p>
        </w:tc>
        <w:tc>
          <w:tcPr>
            <w:tcW w:w="2904" w:type="dxa"/>
            <w:shd w:val="clear" w:color="auto" w:fill="034FA3" w:themeFill="accent1"/>
          </w:tcPr>
          <w:p w14:paraId="33ECA62A"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Notes </w:t>
            </w:r>
          </w:p>
        </w:tc>
        <w:tc>
          <w:tcPr>
            <w:tcW w:w="1170" w:type="dxa"/>
            <w:shd w:val="clear" w:color="auto" w:fill="034FA3" w:themeFill="accent1"/>
          </w:tcPr>
          <w:p w14:paraId="18AF7AE4"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PO 1 </w:t>
            </w:r>
          </w:p>
          <w:p w14:paraId="1F0A4A4E"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A Smarter Europe</w:t>
            </w:r>
          </w:p>
        </w:tc>
        <w:tc>
          <w:tcPr>
            <w:tcW w:w="1350" w:type="dxa"/>
            <w:shd w:val="clear" w:color="auto" w:fill="034FA3" w:themeFill="accent1"/>
          </w:tcPr>
          <w:p w14:paraId="68D16521"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PO 2 </w:t>
            </w:r>
          </w:p>
          <w:p w14:paraId="4421982D"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A Greener Europe</w:t>
            </w:r>
          </w:p>
        </w:tc>
        <w:tc>
          <w:tcPr>
            <w:tcW w:w="1258" w:type="dxa"/>
            <w:shd w:val="clear" w:color="auto" w:fill="034FA3" w:themeFill="accent1"/>
          </w:tcPr>
          <w:p w14:paraId="57D7D37B"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PO 3 </w:t>
            </w:r>
          </w:p>
          <w:p w14:paraId="0DD90D6C"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A More connected Europe</w:t>
            </w:r>
          </w:p>
        </w:tc>
        <w:tc>
          <w:tcPr>
            <w:tcW w:w="1260" w:type="dxa"/>
            <w:shd w:val="clear" w:color="auto" w:fill="034FA3" w:themeFill="accent1"/>
          </w:tcPr>
          <w:p w14:paraId="5AE4A5C0" w14:textId="77777777" w:rsidR="00866764" w:rsidRPr="00DB74BF" w:rsidRDefault="00866764" w:rsidP="00866764">
            <w:pPr>
              <w:rPr>
                <w:rFonts w:eastAsia="Calibri" w:cs="Calibri"/>
                <w:b/>
                <w:bCs/>
                <w:color w:val="FFFFFF" w:themeColor="background1"/>
                <w:sz w:val="18"/>
                <w:szCs w:val="18"/>
              </w:rPr>
            </w:pPr>
            <w:r w:rsidRPr="00DB74BF">
              <w:rPr>
                <w:rFonts w:eastAsia="Calibri" w:cs="Calibri"/>
                <w:b/>
                <w:bCs/>
                <w:color w:val="FFFFFF" w:themeColor="background1"/>
                <w:sz w:val="18"/>
                <w:szCs w:val="18"/>
              </w:rPr>
              <w:t xml:space="preserve">PO 4 </w:t>
            </w:r>
          </w:p>
          <w:p w14:paraId="10B79576" w14:textId="77777777" w:rsidR="00866764" w:rsidRPr="00DB74BF" w:rsidRDefault="00866764" w:rsidP="00866764">
            <w:pPr>
              <w:rPr>
                <w:rFonts w:eastAsia="Calibri" w:cs="Calibri"/>
                <w:b/>
                <w:bCs/>
                <w:color w:val="FFFFFF" w:themeColor="background1"/>
                <w:sz w:val="18"/>
                <w:szCs w:val="18"/>
              </w:rPr>
            </w:pPr>
            <w:r w:rsidRPr="00DB74BF">
              <w:rPr>
                <w:rFonts w:eastAsia="Calibri" w:cs="Calibri"/>
                <w:b/>
                <w:bCs/>
                <w:color w:val="FFFFFF" w:themeColor="background1"/>
                <w:sz w:val="18"/>
                <w:szCs w:val="18"/>
              </w:rPr>
              <w:t>A More social Europe</w:t>
            </w:r>
          </w:p>
        </w:tc>
        <w:tc>
          <w:tcPr>
            <w:tcW w:w="1440" w:type="dxa"/>
            <w:shd w:val="clear" w:color="auto" w:fill="034FA3" w:themeFill="accent1"/>
          </w:tcPr>
          <w:p w14:paraId="6DED9A1E"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PO 5 </w:t>
            </w:r>
          </w:p>
          <w:p w14:paraId="4F3E7153"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A Europe closer to citizens </w:t>
            </w:r>
          </w:p>
        </w:tc>
        <w:tc>
          <w:tcPr>
            <w:tcW w:w="1352" w:type="dxa"/>
            <w:shd w:val="clear" w:color="auto" w:fill="034FA3" w:themeFill="accent1"/>
          </w:tcPr>
          <w:p w14:paraId="298E63E1"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 xml:space="preserve">ISO 1. Cross-border governance </w:t>
            </w:r>
          </w:p>
        </w:tc>
        <w:tc>
          <w:tcPr>
            <w:tcW w:w="1353" w:type="dxa"/>
            <w:shd w:val="clear" w:color="auto" w:fill="034FA3" w:themeFill="accent1"/>
          </w:tcPr>
          <w:p w14:paraId="569A89B3"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ISO 2.</w:t>
            </w:r>
          </w:p>
          <w:p w14:paraId="01A18580" w14:textId="77777777" w:rsidR="00866764" w:rsidRPr="00037C61" w:rsidRDefault="00866764" w:rsidP="00866764">
            <w:pPr>
              <w:rPr>
                <w:rFonts w:eastAsia="Calibri" w:cs="Calibri"/>
                <w:b/>
                <w:bCs/>
                <w:color w:val="FFFFFF" w:themeColor="background1"/>
                <w:sz w:val="18"/>
                <w:szCs w:val="18"/>
                <w:lang w:val="en-GB"/>
              </w:rPr>
            </w:pPr>
            <w:r w:rsidRPr="00037C61">
              <w:rPr>
                <w:rFonts w:eastAsia="Calibri" w:cs="Calibri"/>
                <w:b/>
                <w:bCs/>
                <w:color w:val="FFFFFF" w:themeColor="background1"/>
                <w:sz w:val="18"/>
                <w:szCs w:val="18"/>
                <w:lang w:val="en-GB"/>
              </w:rPr>
              <w:t>A safer Europe</w:t>
            </w:r>
          </w:p>
        </w:tc>
      </w:tr>
      <w:tr w:rsidR="00866764" w:rsidRPr="00283B08" w14:paraId="2F083DCE" w14:textId="77777777" w:rsidTr="00C238E8">
        <w:tc>
          <w:tcPr>
            <w:tcW w:w="1861" w:type="dxa"/>
          </w:tcPr>
          <w:p w14:paraId="755A3988"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EU policy level:</w:t>
            </w:r>
          </w:p>
        </w:tc>
        <w:tc>
          <w:tcPr>
            <w:tcW w:w="12087" w:type="dxa"/>
            <w:gridSpan w:val="8"/>
          </w:tcPr>
          <w:p w14:paraId="215E0591"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The EU policy level provides more or less prescriptive dispositions related to the majority of policy fields. For the next programming period, following the Covid-19 crisis, great importance is attributed to investments for the health sector and emergency response. The Covid-19 crisis has also generated the deepest and widest socio-economic crisis after the Great Depression</w:t>
            </w:r>
            <w:r w:rsidRPr="00037C61">
              <w:rPr>
                <w:rStyle w:val="FootnoteReference"/>
                <w:rFonts w:eastAsia="Calibri" w:cs="Calibri"/>
                <w:b/>
                <w:bCs/>
                <w:lang w:val="en-GB"/>
              </w:rPr>
              <w:footnoteReference w:id="11"/>
            </w:r>
            <w:r w:rsidRPr="00037C61">
              <w:rPr>
                <w:rFonts w:eastAsia="Calibri" w:cs="Calibri"/>
                <w:b/>
                <w:bCs/>
                <w:sz w:val="18"/>
                <w:szCs w:val="18"/>
                <w:lang w:val="en-GB"/>
              </w:rPr>
              <w:t xml:space="preserve">, which requires new social policies, as well as integrated plans to </w:t>
            </w:r>
            <w:r w:rsidRPr="00113302">
              <w:rPr>
                <w:rFonts w:eastAsia="Calibri" w:cs="Calibri"/>
                <w:b/>
                <w:bCs/>
                <w:sz w:val="18"/>
                <w:szCs w:val="18"/>
                <w:lang w:val="en-GB"/>
              </w:rPr>
              <w:t xml:space="preserve">support the economic recovery, </w:t>
            </w:r>
            <w:r w:rsidRPr="00DB74BF">
              <w:rPr>
                <w:rFonts w:eastAsia="Calibri" w:cs="Calibri"/>
                <w:b/>
                <w:bCs/>
                <w:sz w:val="18"/>
                <w:szCs w:val="18"/>
                <w:lang w:val="en-GB"/>
              </w:rPr>
              <w:t>to promote employment flexibility and to promote labour mobility and resilience</w:t>
            </w:r>
            <w:r w:rsidRPr="00113302">
              <w:rPr>
                <w:rFonts w:eastAsia="Calibri" w:cs="Calibri"/>
                <w:b/>
                <w:bCs/>
                <w:sz w:val="18"/>
                <w:szCs w:val="18"/>
                <w:lang w:val="en-GB"/>
              </w:rPr>
              <w:t xml:space="preserve">. Equally, </w:t>
            </w:r>
            <w:r w:rsidRPr="00DB74BF">
              <w:rPr>
                <w:rFonts w:eastAsia="Calibri" w:cs="Calibri"/>
                <w:b/>
                <w:bCs/>
                <w:sz w:val="18"/>
                <w:szCs w:val="18"/>
                <w:lang w:val="en-GB"/>
              </w:rPr>
              <w:t>climate change generates the need to invest in green transition, energy efficiency and renewable energies, towards a more sustainable management of natural resources</w:t>
            </w:r>
            <w:r w:rsidRPr="00113302">
              <w:rPr>
                <w:rFonts w:eastAsia="Calibri" w:cs="Calibri"/>
                <w:b/>
                <w:bCs/>
                <w:sz w:val="18"/>
                <w:szCs w:val="18"/>
                <w:lang w:val="en-GB"/>
              </w:rPr>
              <w:t xml:space="preserve">. </w:t>
            </w:r>
            <w:r w:rsidRPr="00DB74BF">
              <w:rPr>
                <w:rFonts w:eastAsia="Calibri" w:cs="Calibri"/>
                <w:b/>
                <w:bCs/>
                <w:sz w:val="18"/>
                <w:szCs w:val="18"/>
                <w:lang w:val="en-GB"/>
              </w:rPr>
              <w:t>An efficient public administration, with simpler and transparent procedures to access public services, including through digital infrastructure, participative strategic planning and evidence-based policies</w:t>
            </w:r>
            <w:r w:rsidRPr="00113302">
              <w:rPr>
                <w:rFonts w:eastAsia="Calibri" w:cs="Calibri"/>
                <w:b/>
                <w:bCs/>
                <w:sz w:val="18"/>
                <w:szCs w:val="18"/>
                <w:lang w:val="en-GB"/>
              </w:rPr>
              <w:t xml:space="preserve"> also represent priorities in the framework of the better regulation principles and guidelines.</w:t>
            </w:r>
          </w:p>
        </w:tc>
      </w:tr>
      <w:tr w:rsidR="00C238E8" w:rsidRPr="00283B08" w14:paraId="49EFFC17" w14:textId="77777777" w:rsidTr="00C238E8">
        <w:tc>
          <w:tcPr>
            <w:tcW w:w="1861" w:type="dxa"/>
          </w:tcPr>
          <w:p w14:paraId="6A37CF2A"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Energy and Climate package</w:t>
            </w:r>
          </w:p>
        </w:tc>
        <w:tc>
          <w:tcPr>
            <w:tcW w:w="2904" w:type="dxa"/>
          </w:tcPr>
          <w:p w14:paraId="7A137B76"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The Energy and Climate package 2030 provides a framework to establish national and local targets in fields related to the reduction of CO2 emissions and energy consumption. All ERDF-funded programmes shall take into account this framework, when establishing programme priorities and indicators.  </w:t>
            </w:r>
          </w:p>
        </w:tc>
        <w:tc>
          <w:tcPr>
            <w:tcW w:w="1170" w:type="dxa"/>
            <w:shd w:val="clear" w:color="auto" w:fill="FFC000"/>
          </w:tcPr>
          <w:p w14:paraId="58744BB6" w14:textId="77777777" w:rsidR="00866764" w:rsidRPr="00037C61" w:rsidRDefault="00866764" w:rsidP="00866764">
            <w:pPr>
              <w:rPr>
                <w:rFonts w:eastAsia="Calibri" w:cs="Calibri"/>
                <w:sz w:val="18"/>
                <w:szCs w:val="18"/>
                <w:lang w:val="en-GB"/>
              </w:rPr>
            </w:pPr>
          </w:p>
        </w:tc>
        <w:tc>
          <w:tcPr>
            <w:tcW w:w="1350" w:type="dxa"/>
            <w:shd w:val="clear" w:color="auto" w:fill="00B050"/>
          </w:tcPr>
          <w:p w14:paraId="00896A0D" w14:textId="77777777" w:rsidR="00866764" w:rsidRPr="00037C61" w:rsidRDefault="00866764" w:rsidP="00866764">
            <w:pPr>
              <w:rPr>
                <w:rFonts w:eastAsia="Calibri" w:cs="Calibri"/>
                <w:color w:val="00B050"/>
                <w:sz w:val="18"/>
                <w:szCs w:val="18"/>
                <w:highlight w:val="red"/>
                <w:lang w:val="en-GB"/>
              </w:rPr>
            </w:pPr>
          </w:p>
        </w:tc>
        <w:tc>
          <w:tcPr>
            <w:tcW w:w="1258" w:type="dxa"/>
            <w:shd w:val="clear" w:color="auto" w:fill="FFC000"/>
          </w:tcPr>
          <w:p w14:paraId="32B61B89" w14:textId="77777777" w:rsidR="00866764" w:rsidRPr="00037C61" w:rsidRDefault="00866764" w:rsidP="00866764">
            <w:pPr>
              <w:rPr>
                <w:rFonts w:eastAsia="Calibri" w:cs="Calibri"/>
                <w:sz w:val="18"/>
                <w:szCs w:val="18"/>
                <w:lang w:val="en-GB"/>
              </w:rPr>
            </w:pPr>
          </w:p>
        </w:tc>
        <w:tc>
          <w:tcPr>
            <w:tcW w:w="1260" w:type="dxa"/>
            <w:shd w:val="clear" w:color="auto" w:fill="FFFF00"/>
          </w:tcPr>
          <w:p w14:paraId="0F4B340F" w14:textId="77777777" w:rsidR="00866764" w:rsidRPr="00037C61" w:rsidRDefault="00866764" w:rsidP="00866764">
            <w:pPr>
              <w:rPr>
                <w:rFonts w:eastAsia="Calibri" w:cs="Calibri"/>
                <w:sz w:val="18"/>
                <w:szCs w:val="18"/>
                <w:lang w:val="en-GB"/>
              </w:rPr>
            </w:pPr>
          </w:p>
        </w:tc>
        <w:tc>
          <w:tcPr>
            <w:tcW w:w="1440" w:type="dxa"/>
            <w:shd w:val="clear" w:color="auto" w:fill="FFFF00"/>
          </w:tcPr>
          <w:p w14:paraId="5318E7E5" w14:textId="77777777" w:rsidR="00866764" w:rsidRPr="00037C61" w:rsidRDefault="00866764" w:rsidP="00866764">
            <w:pPr>
              <w:rPr>
                <w:rFonts w:eastAsia="Calibri" w:cs="Calibri"/>
                <w:sz w:val="18"/>
                <w:szCs w:val="18"/>
                <w:lang w:val="en-GB"/>
              </w:rPr>
            </w:pPr>
          </w:p>
        </w:tc>
        <w:tc>
          <w:tcPr>
            <w:tcW w:w="1352" w:type="dxa"/>
            <w:shd w:val="clear" w:color="auto" w:fill="FFC000"/>
          </w:tcPr>
          <w:p w14:paraId="7D852679" w14:textId="77777777" w:rsidR="00866764" w:rsidRPr="00037C61" w:rsidRDefault="00866764" w:rsidP="00866764">
            <w:pPr>
              <w:rPr>
                <w:rFonts w:eastAsia="Calibri" w:cs="Calibri"/>
                <w:sz w:val="18"/>
                <w:szCs w:val="18"/>
                <w:lang w:val="en-GB"/>
              </w:rPr>
            </w:pPr>
          </w:p>
        </w:tc>
        <w:tc>
          <w:tcPr>
            <w:tcW w:w="1353" w:type="dxa"/>
            <w:shd w:val="clear" w:color="auto" w:fill="FFFF00"/>
          </w:tcPr>
          <w:p w14:paraId="7821F63A" w14:textId="77777777" w:rsidR="00866764" w:rsidRPr="00037C61" w:rsidRDefault="00866764" w:rsidP="00866764">
            <w:pPr>
              <w:rPr>
                <w:rFonts w:eastAsia="Calibri" w:cs="Calibri"/>
                <w:sz w:val="18"/>
                <w:szCs w:val="18"/>
                <w:highlight w:val="yellow"/>
                <w:lang w:val="en-GB"/>
              </w:rPr>
            </w:pPr>
          </w:p>
        </w:tc>
      </w:tr>
      <w:tr w:rsidR="00C238E8" w:rsidRPr="00283B08" w14:paraId="1AABCB74" w14:textId="77777777" w:rsidTr="00C238E8">
        <w:tc>
          <w:tcPr>
            <w:tcW w:w="1861" w:type="dxa"/>
          </w:tcPr>
          <w:p w14:paraId="16A6E349"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Country recommendations</w:t>
            </w:r>
          </w:p>
        </w:tc>
        <w:tc>
          <w:tcPr>
            <w:tcW w:w="2904" w:type="dxa"/>
          </w:tcPr>
          <w:p w14:paraId="1B6A34B3"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EU country recommendations for 2020-2021, for both countries highlight the need to ensure the resilience of the health sector, to support employment and economic growth, to boost green and digital transitions, including through digital and improved services to citizens. </w:t>
            </w:r>
          </w:p>
        </w:tc>
        <w:tc>
          <w:tcPr>
            <w:tcW w:w="1170" w:type="dxa"/>
            <w:shd w:val="clear" w:color="auto" w:fill="FFC000"/>
          </w:tcPr>
          <w:p w14:paraId="54746DF3" w14:textId="77777777" w:rsidR="00866764" w:rsidRPr="00037C61" w:rsidRDefault="00866764" w:rsidP="00866764">
            <w:pPr>
              <w:rPr>
                <w:rFonts w:eastAsia="Calibri" w:cs="Calibri"/>
                <w:sz w:val="18"/>
                <w:szCs w:val="18"/>
                <w:lang w:val="en-GB"/>
              </w:rPr>
            </w:pPr>
          </w:p>
        </w:tc>
        <w:tc>
          <w:tcPr>
            <w:tcW w:w="1350" w:type="dxa"/>
            <w:shd w:val="clear" w:color="auto" w:fill="00B050"/>
          </w:tcPr>
          <w:p w14:paraId="11AAE297" w14:textId="77777777" w:rsidR="00866764" w:rsidRPr="00037C61" w:rsidRDefault="00866764" w:rsidP="00866764">
            <w:pPr>
              <w:rPr>
                <w:rFonts w:eastAsia="Calibri" w:cs="Calibri"/>
                <w:color w:val="00B050"/>
                <w:sz w:val="18"/>
                <w:szCs w:val="18"/>
                <w:lang w:val="en-GB"/>
              </w:rPr>
            </w:pPr>
          </w:p>
        </w:tc>
        <w:tc>
          <w:tcPr>
            <w:tcW w:w="1258" w:type="dxa"/>
            <w:shd w:val="clear" w:color="auto" w:fill="FFFF00"/>
          </w:tcPr>
          <w:p w14:paraId="63C37021" w14:textId="77777777" w:rsidR="00866764" w:rsidRPr="00037C61" w:rsidRDefault="00866764" w:rsidP="00866764">
            <w:pPr>
              <w:rPr>
                <w:rFonts w:eastAsia="Calibri" w:cs="Calibri"/>
                <w:sz w:val="18"/>
                <w:szCs w:val="18"/>
                <w:lang w:val="en-GB"/>
              </w:rPr>
            </w:pPr>
          </w:p>
        </w:tc>
        <w:tc>
          <w:tcPr>
            <w:tcW w:w="1260" w:type="dxa"/>
            <w:shd w:val="clear" w:color="auto" w:fill="00B050"/>
          </w:tcPr>
          <w:p w14:paraId="5BB18172" w14:textId="77777777" w:rsidR="00866764" w:rsidRPr="00037C61" w:rsidRDefault="00866764" w:rsidP="00866764">
            <w:pPr>
              <w:rPr>
                <w:rFonts w:eastAsia="Calibri" w:cs="Calibri"/>
                <w:sz w:val="18"/>
                <w:szCs w:val="18"/>
                <w:lang w:val="en-GB"/>
              </w:rPr>
            </w:pPr>
          </w:p>
        </w:tc>
        <w:tc>
          <w:tcPr>
            <w:tcW w:w="1440" w:type="dxa"/>
            <w:shd w:val="clear" w:color="auto" w:fill="00B050"/>
          </w:tcPr>
          <w:p w14:paraId="43BFDBFD" w14:textId="77777777" w:rsidR="00866764" w:rsidRPr="00037C61" w:rsidRDefault="00866764" w:rsidP="00866764">
            <w:pPr>
              <w:rPr>
                <w:rFonts w:eastAsia="Calibri" w:cs="Calibri"/>
                <w:sz w:val="18"/>
                <w:szCs w:val="18"/>
                <w:lang w:val="en-GB"/>
              </w:rPr>
            </w:pPr>
          </w:p>
        </w:tc>
        <w:tc>
          <w:tcPr>
            <w:tcW w:w="1352" w:type="dxa"/>
            <w:shd w:val="clear" w:color="auto" w:fill="00A651" w:themeFill="accent6"/>
          </w:tcPr>
          <w:p w14:paraId="32675021" w14:textId="77777777" w:rsidR="00866764" w:rsidRPr="00037C61" w:rsidRDefault="00866764" w:rsidP="00866764">
            <w:pPr>
              <w:rPr>
                <w:rFonts w:eastAsia="Calibri" w:cs="Calibri"/>
                <w:sz w:val="18"/>
                <w:szCs w:val="18"/>
                <w:lang w:val="en-GB"/>
              </w:rPr>
            </w:pPr>
          </w:p>
        </w:tc>
        <w:tc>
          <w:tcPr>
            <w:tcW w:w="1353" w:type="dxa"/>
            <w:shd w:val="clear" w:color="auto" w:fill="FFFF00"/>
          </w:tcPr>
          <w:p w14:paraId="4079C5F3" w14:textId="77777777" w:rsidR="00866764" w:rsidRPr="00037C61" w:rsidRDefault="00866764" w:rsidP="00866764">
            <w:pPr>
              <w:rPr>
                <w:rFonts w:eastAsia="Calibri" w:cs="Calibri"/>
                <w:sz w:val="18"/>
                <w:szCs w:val="18"/>
                <w:lang w:val="en-GB"/>
              </w:rPr>
            </w:pPr>
          </w:p>
        </w:tc>
      </w:tr>
      <w:tr w:rsidR="00866764" w:rsidRPr="00283B08" w14:paraId="350FD797" w14:textId="77777777" w:rsidTr="00C238E8">
        <w:tc>
          <w:tcPr>
            <w:tcW w:w="1861" w:type="dxa"/>
          </w:tcPr>
          <w:p w14:paraId="4BA8E241"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National policy level (both RO and HU)</w:t>
            </w:r>
          </w:p>
        </w:tc>
        <w:tc>
          <w:tcPr>
            <w:tcW w:w="12087" w:type="dxa"/>
            <w:gridSpan w:val="8"/>
          </w:tcPr>
          <w:p w14:paraId="28FCAB89"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The national policy level provides the higher strategic framework for any intervention planned at lower governance level.</w:t>
            </w:r>
          </w:p>
          <w:p w14:paraId="004D6B09"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 xml:space="preserve">Coherence, synergy and complementarity, without overlapping, with the national strategic framework is thus an essential point and a specific obligation deriving from the subsidiarity principle for potential beneficiaries, in case of public institutions. National strategies, in line with EU priorities, also shape future EU funded programmes in different sectors and the EU calls for a stronger correlation between mainstream programmes and Interreg Programmes. This can only be achieved if the future Interreg Programme between Romania and Hungary will underline, whenever applicable, the contribution of selected priorities and envisaged intervention to national sector policies / strategies, as well as correlated national and EU-funded programmes.  </w:t>
            </w:r>
          </w:p>
        </w:tc>
      </w:tr>
      <w:tr w:rsidR="00C238E8" w:rsidRPr="00283B08" w14:paraId="4F25DBDC" w14:textId="77777777" w:rsidTr="00C238E8">
        <w:tc>
          <w:tcPr>
            <w:tcW w:w="1861" w:type="dxa"/>
          </w:tcPr>
          <w:p w14:paraId="3BCE92D9"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lastRenderedPageBreak/>
              <w:t xml:space="preserve">Spatial / territorial / landscape strategies </w:t>
            </w:r>
          </w:p>
        </w:tc>
        <w:tc>
          <w:tcPr>
            <w:tcW w:w="2904" w:type="dxa"/>
          </w:tcPr>
          <w:p w14:paraId="7EE472A2" w14:textId="7378B800" w:rsidR="00866764" w:rsidRPr="00037C61" w:rsidRDefault="00866764" w:rsidP="00866764">
            <w:pPr>
              <w:rPr>
                <w:rFonts w:eastAsia="Calibri" w:cs="Calibri"/>
                <w:sz w:val="18"/>
                <w:szCs w:val="18"/>
                <w:lang w:val="en-GB"/>
              </w:rPr>
            </w:pPr>
            <w:r w:rsidRPr="00037C61">
              <w:rPr>
                <w:rFonts w:eastAsia="Calibri" w:cs="Calibri"/>
                <w:sz w:val="18"/>
                <w:szCs w:val="18"/>
                <w:lang w:val="en-GB"/>
              </w:rPr>
              <w:t>Both countries’ spatial and landscape strategies put great accent on the sustainable management of natural and cultural resources</w:t>
            </w:r>
            <w:r w:rsidR="00143DA8" w:rsidRPr="00037C61">
              <w:rPr>
                <w:rFonts w:eastAsia="Calibri" w:cs="Calibri"/>
                <w:sz w:val="18"/>
                <w:szCs w:val="18"/>
                <w:lang w:val="en-GB"/>
              </w:rPr>
              <w:t>, as well as on the polycentric development of the urban centres</w:t>
            </w:r>
            <w:r w:rsidRPr="00037C61">
              <w:rPr>
                <w:rFonts w:eastAsia="Calibri" w:cs="Calibri"/>
                <w:sz w:val="18"/>
                <w:szCs w:val="18"/>
                <w:lang w:val="en-GB"/>
              </w:rPr>
              <w:t>. Cross-border health and emergency services are also considered a priority under Romanian territorial strategy.</w:t>
            </w:r>
          </w:p>
        </w:tc>
        <w:tc>
          <w:tcPr>
            <w:tcW w:w="1170" w:type="dxa"/>
            <w:shd w:val="clear" w:color="auto" w:fill="FFFF00"/>
          </w:tcPr>
          <w:p w14:paraId="1D0EAEF5" w14:textId="00292F7C" w:rsidR="00866764" w:rsidRPr="00037C61" w:rsidRDefault="00866764" w:rsidP="00866764">
            <w:pPr>
              <w:rPr>
                <w:rFonts w:eastAsia="Calibri" w:cs="Calibri"/>
                <w:sz w:val="18"/>
                <w:szCs w:val="18"/>
                <w:lang w:val="en-GB"/>
              </w:rPr>
            </w:pPr>
          </w:p>
        </w:tc>
        <w:tc>
          <w:tcPr>
            <w:tcW w:w="1350" w:type="dxa"/>
            <w:shd w:val="clear" w:color="auto" w:fill="00B050"/>
          </w:tcPr>
          <w:p w14:paraId="575ABB74" w14:textId="77777777" w:rsidR="00866764" w:rsidRPr="00037C61" w:rsidRDefault="00866764" w:rsidP="00866764">
            <w:pPr>
              <w:rPr>
                <w:rFonts w:eastAsia="Calibri" w:cs="Calibri"/>
                <w:sz w:val="18"/>
                <w:szCs w:val="18"/>
                <w:lang w:val="en-GB"/>
              </w:rPr>
            </w:pPr>
          </w:p>
        </w:tc>
        <w:tc>
          <w:tcPr>
            <w:tcW w:w="1258" w:type="dxa"/>
            <w:shd w:val="clear" w:color="auto" w:fill="FFC000"/>
          </w:tcPr>
          <w:p w14:paraId="4ED631CC" w14:textId="30571676" w:rsidR="00866764" w:rsidRPr="00037C61" w:rsidRDefault="00866764" w:rsidP="00866764">
            <w:pPr>
              <w:rPr>
                <w:rFonts w:eastAsia="Calibri" w:cs="Calibri"/>
                <w:sz w:val="18"/>
                <w:szCs w:val="18"/>
                <w:lang w:val="en-GB"/>
              </w:rPr>
            </w:pPr>
          </w:p>
        </w:tc>
        <w:tc>
          <w:tcPr>
            <w:tcW w:w="1260" w:type="dxa"/>
            <w:shd w:val="clear" w:color="auto" w:fill="00B050"/>
          </w:tcPr>
          <w:p w14:paraId="0A414517" w14:textId="77777777" w:rsidR="00866764" w:rsidRPr="00037C61" w:rsidRDefault="00866764" w:rsidP="00866764">
            <w:pPr>
              <w:rPr>
                <w:rFonts w:eastAsia="Calibri" w:cs="Calibri"/>
                <w:sz w:val="18"/>
                <w:szCs w:val="18"/>
                <w:lang w:val="en-GB"/>
              </w:rPr>
            </w:pPr>
          </w:p>
        </w:tc>
        <w:tc>
          <w:tcPr>
            <w:tcW w:w="1440" w:type="dxa"/>
            <w:shd w:val="clear" w:color="auto" w:fill="00B050"/>
          </w:tcPr>
          <w:p w14:paraId="05043F01" w14:textId="77777777" w:rsidR="00866764" w:rsidRPr="00037C61" w:rsidRDefault="00866764" w:rsidP="00866764">
            <w:pPr>
              <w:rPr>
                <w:rFonts w:eastAsia="Calibri" w:cs="Calibri"/>
                <w:sz w:val="18"/>
                <w:szCs w:val="18"/>
                <w:lang w:val="en-GB"/>
              </w:rPr>
            </w:pPr>
          </w:p>
        </w:tc>
        <w:tc>
          <w:tcPr>
            <w:tcW w:w="1352" w:type="dxa"/>
            <w:shd w:val="clear" w:color="auto" w:fill="FFC000"/>
          </w:tcPr>
          <w:p w14:paraId="0EF1ACF5" w14:textId="77777777" w:rsidR="00866764" w:rsidRPr="00037C61" w:rsidRDefault="00866764" w:rsidP="00866764">
            <w:pPr>
              <w:rPr>
                <w:rFonts w:eastAsia="Calibri" w:cs="Calibri"/>
                <w:sz w:val="18"/>
                <w:szCs w:val="18"/>
                <w:lang w:val="en-GB"/>
              </w:rPr>
            </w:pPr>
          </w:p>
        </w:tc>
        <w:tc>
          <w:tcPr>
            <w:tcW w:w="1353" w:type="dxa"/>
            <w:shd w:val="clear" w:color="auto" w:fill="FFC000"/>
          </w:tcPr>
          <w:p w14:paraId="6884F131" w14:textId="77777777" w:rsidR="00866764" w:rsidRPr="00037C61" w:rsidRDefault="00866764" w:rsidP="00866764">
            <w:pPr>
              <w:rPr>
                <w:rFonts w:eastAsia="Calibri" w:cs="Calibri"/>
                <w:sz w:val="18"/>
                <w:szCs w:val="18"/>
                <w:lang w:val="en-GB"/>
              </w:rPr>
            </w:pPr>
          </w:p>
        </w:tc>
      </w:tr>
      <w:tr w:rsidR="00C238E8" w:rsidRPr="00283B08" w14:paraId="17C32D2A" w14:textId="77777777" w:rsidTr="00C238E8">
        <w:tc>
          <w:tcPr>
            <w:tcW w:w="1861" w:type="dxa"/>
          </w:tcPr>
          <w:p w14:paraId="7A7078CF"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Strategies in support of SMEs, innovation, research </w:t>
            </w:r>
          </w:p>
        </w:tc>
        <w:tc>
          <w:tcPr>
            <w:tcW w:w="2904" w:type="dxa"/>
          </w:tcPr>
          <w:p w14:paraId="47D7A0FF"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Supporting technological transfer and knowledge sharing, cooperation in the field of RDI and clusters in strategic economic sectors are common features of national strategies related to SMEs, innovation and research. </w:t>
            </w:r>
          </w:p>
        </w:tc>
        <w:tc>
          <w:tcPr>
            <w:tcW w:w="1170" w:type="dxa"/>
            <w:shd w:val="clear" w:color="auto" w:fill="00B050"/>
          </w:tcPr>
          <w:p w14:paraId="364843F5" w14:textId="77777777" w:rsidR="00866764" w:rsidRPr="00037C61" w:rsidRDefault="00866764" w:rsidP="00866764">
            <w:pPr>
              <w:rPr>
                <w:rFonts w:eastAsia="Calibri" w:cs="Calibri"/>
                <w:sz w:val="18"/>
                <w:szCs w:val="18"/>
                <w:lang w:val="en-GB"/>
              </w:rPr>
            </w:pPr>
          </w:p>
        </w:tc>
        <w:tc>
          <w:tcPr>
            <w:tcW w:w="1350" w:type="dxa"/>
            <w:shd w:val="clear" w:color="auto" w:fill="FFC000"/>
          </w:tcPr>
          <w:p w14:paraId="0D63E85F" w14:textId="2644687B" w:rsidR="00866764" w:rsidRPr="00037C61" w:rsidRDefault="00866764" w:rsidP="00866764">
            <w:pPr>
              <w:rPr>
                <w:rFonts w:eastAsia="Calibri" w:cs="Calibri"/>
                <w:sz w:val="18"/>
                <w:szCs w:val="18"/>
                <w:lang w:val="en-GB"/>
              </w:rPr>
            </w:pPr>
          </w:p>
        </w:tc>
        <w:tc>
          <w:tcPr>
            <w:tcW w:w="1258" w:type="dxa"/>
            <w:shd w:val="clear" w:color="auto" w:fill="FFFF00"/>
          </w:tcPr>
          <w:p w14:paraId="4CD63A3C" w14:textId="77777777" w:rsidR="00866764" w:rsidRPr="00037C61" w:rsidRDefault="00866764" w:rsidP="00866764">
            <w:pPr>
              <w:rPr>
                <w:rFonts w:eastAsia="Calibri" w:cs="Calibri"/>
                <w:sz w:val="18"/>
                <w:szCs w:val="18"/>
                <w:lang w:val="en-GB"/>
              </w:rPr>
            </w:pPr>
          </w:p>
        </w:tc>
        <w:tc>
          <w:tcPr>
            <w:tcW w:w="1260" w:type="dxa"/>
            <w:shd w:val="clear" w:color="auto" w:fill="FFFF00"/>
          </w:tcPr>
          <w:p w14:paraId="5184F2B4" w14:textId="77777777" w:rsidR="00866764" w:rsidRPr="00037C61" w:rsidRDefault="00866764" w:rsidP="00866764">
            <w:pPr>
              <w:rPr>
                <w:rFonts w:eastAsia="Calibri" w:cs="Calibri"/>
                <w:sz w:val="18"/>
                <w:szCs w:val="18"/>
                <w:lang w:val="en-GB"/>
              </w:rPr>
            </w:pPr>
          </w:p>
        </w:tc>
        <w:tc>
          <w:tcPr>
            <w:tcW w:w="1440" w:type="dxa"/>
            <w:shd w:val="clear" w:color="auto" w:fill="FFFF00"/>
          </w:tcPr>
          <w:p w14:paraId="745FB43C" w14:textId="77777777" w:rsidR="00866764" w:rsidRPr="00037C61" w:rsidRDefault="00866764" w:rsidP="00866764">
            <w:pPr>
              <w:rPr>
                <w:rFonts w:eastAsia="Calibri" w:cs="Calibri"/>
                <w:sz w:val="18"/>
                <w:szCs w:val="18"/>
                <w:lang w:val="en-GB"/>
              </w:rPr>
            </w:pPr>
          </w:p>
        </w:tc>
        <w:tc>
          <w:tcPr>
            <w:tcW w:w="1352" w:type="dxa"/>
            <w:shd w:val="clear" w:color="auto" w:fill="FFFF00"/>
          </w:tcPr>
          <w:p w14:paraId="169261A1" w14:textId="77777777" w:rsidR="00866764" w:rsidRPr="00037C61" w:rsidRDefault="00866764" w:rsidP="00866764">
            <w:pPr>
              <w:rPr>
                <w:rFonts w:eastAsia="Calibri" w:cs="Calibri"/>
                <w:sz w:val="18"/>
                <w:szCs w:val="18"/>
                <w:lang w:val="en-GB"/>
              </w:rPr>
            </w:pPr>
          </w:p>
        </w:tc>
        <w:tc>
          <w:tcPr>
            <w:tcW w:w="1353" w:type="dxa"/>
            <w:shd w:val="clear" w:color="auto" w:fill="FFFF00"/>
          </w:tcPr>
          <w:p w14:paraId="08B80C79" w14:textId="77777777" w:rsidR="00866764" w:rsidRPr="00037C61" w:rsidRDefault="00866764" w:rsidP="00866764">
            <w:pPr>
              <w:rPr>
                <w:rFonts w:eastAsia="Calibri" w:cs="Calibri"/>
                <w:sz w:val="18"/>
                <w:szCs w:val="18"/>
                <w:lang w:val="en-GB"/>
              </w:rPr>
            </w:pPr>
          </w:p>
        </w:tc>
      </w:tr>
      <w:tr w:rsidR="00C238E8" w:rsidRPr="00283B08" w14:paraId="4EFA634B" w14:textId="77777777" w:rsidTr="00C238E8">
        <w:tc>
          <w:tcPr>
            <w:tcW w:w="1861" w:type="dxa"/>
          </w:tcPr>
          <w:p w14:paraId="35A8685E"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Strategies in the field of energy and climate change</w:t>
            </w:r>
          </w:p>
        </w:tc>
        <w:tc>
          <w:tcPr>
            <w:tcW w:w="2904" w:type="dxa"/>
          </w:tcPr>
          <w:p w14:paraId="18B8BC43"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Both countries have drafted Integrated energy and climate change plans in line with EU2030 targets. These plans represent a strategic guideline, with possible national performance framework, for all other governance levels, when planning interventions in related fields.  </w:t>
            </w:r>
          </w:p>
        </w:tc>
        <w:tc>
          <w:tcPr>
            <w:tcW w:w="1170" w:type="dxa"/>
            <w:shd w:val="clear" w:color="auto" w:fill="FFC000"/>
          </w:tcPr>
          <w:p w14:paraId="021B0F37" w14:textId="77777777" w:rsidR="00866764" w:rsidRPr="00037C61" w:rsidRDefault="00866764" w:rsidP="00866764">
            <w:pPr>
              <w:rPr>
                <w:rFonts w:eastAsia="Calibri" w:cs="Calibri"/>
                <w:sz w:val="18"/>
                <w:szCs w:val="18"/>
                <w:lang w:val="en-GB"/>
              </w:rPr>
            </w:pPr>
          </w:p>
        </w:tc>
        <w:tc>
          <w:tcPr>
            <w:tcW w:w="1350" w:type="dxa"/>
            <w:shd w:val="clear" w:color="auto" w:fill="00B050"/>
          </w:tcPr>
          <w:p w14:paraId="63235F49" w14:textId="77777777" w:rsidR="00866764" w:rsidRPr="00037C61" w:rsidRDefault="00866764" w:rsidP="00866764">
            <w:pPr>
              <w:rPr>
                <w:rFonts w:eastAsia="Calibri" w:cs="Calibri"/>
                <w:sz w:val="18"/>
                <w:szCs w:val="18"/>
                <w:lang w:val="en-GB"/>
              </w:rPr>
            </w:pPr>
          </w:p>
        </w:tc>
        <w:tc>
          <w:tcPr>
            <w:tcW w:w="1258" w:type="dxa"/>
            <w:shd w:val="clear" w:color="auto" w:fill="FFFF00"/>
          </w:tcPr>
          <w:p w14:paraId="5F0B571A" w14:textId="77777777" w:rsidR="00866764" w:rsidRPr="00037C61" w:rsidRDefault="00866764" w:rsidP="00866764">
            <w:pPr>
              <w:rPr>
                <w:rFonts w:eastAsia="Calibri" w:cs="Calibri"/>
                <w:sz w:val="18"/>
                <w:szCs w:val="18"/>
                <w:lang w:val="en-GB"/>
              </w:rPr>
            </w:pPr>
          </w:p>
        </w:tc>
        <w:tc>
          <w:tcPr>
            <w:tcW w:w="1260" w:type="dxa"/>
            <w:shd w:val="clear" w:color="auto" w:fill="00B050"/>
          </w:tcPr>
          <w:p w14:paraId="51195A49" w14:textId="77777777" w:rsidR="00866764" w:rsidRPr="00037C61" w:rsidRDefault="00866764" w:rsidP="00866764">
            <w:pPr>
              <w:rPr>
                <w:rFonts w:eastAsia="Calibri" w:cs="Calibri"/>
                <w:sz w:val="18"/>
                <w:szCs w:val="18"/>
                <w:lang w:val="en-GB"/>
              </w:rPr>
            </w:pPr>
          </w:p>
        </w:tc>
        <w:tc>
          <w:tcPr>
            <w:tcW w:w="1440" w:type="dxa"/>
            <w:shd w:val="clear" w:color="auto" w:fill="FFC000"/>
          </w:tcPr>
          <w:p w14:paraId="54A97431" w14:textId="77777777" w:rsidR="00866764" w:rsidRPr="00037C61" w:rsidRDefault="00866764" w:rsidP="00866764">
            <w:pPr>
              <w:rPr>
                <w:rFonts w:eastAsia="Calibri" w:cs="Calibri"/>
                <w:sz w:val="18"/>
                <w:szCs w:val="18"/>
                <w:lang w:val="en-GB"/>
              </w:rPr>
            </w:pPr>
          </w:p>
        </w:tc>
        <w:tc>
          <w:tcPr>
            <w:tcW w:w="1352" w:type="dxa"/>
            <w:shd w:val="clear" w:color="auto" w:fill="FFC000"/>
          </w:tcPr>
          <w:p w14:paraId="03DB5532" w14:textId="77777777" w:rsidR="00866764" w:rsidRPr="00037C61" w:rsidRDefault="00866764" w:rsidP="00866764">
            <w:pPr>
              <w:rPr>
                <w:rFonts w:eastAsia="Calibri" w:cs="Calibri"/>
                <w:sz w:val="18"/>
                <w:szCs w:val="18"/>
                <w:lang w:val="en-GB"/>
              </w:rPr>
            </w:pPr>
          </w:p>
        </w:tc>
        <w:tc>
          <w:tcPr>
            <w:tcW w:w="1353" w:type="dxa"/>
            <w:shd w:val="clear" w:color="auto" w:fill="FFFF00"/>
          </w:tcPr>
          <w:p w14:paraId="10600707" w14:textId="77777777" w:rsidR="00866764" w:rsidRPr="00037C61" w:rsidRDefault="00866764" w:rsidP="00866764">
            <w:pPr>
              <w:rPr>
                <w:rFonts w:eastAsia="Calibri" w:cs="Calibri"/>
                <w:sz w:val="18"/>
                <w:szCs w:val="18"/>
                <w:lang w:val="en-GB"/>
              </w:rPr>
            </w:pPr>
          </w:p>
        </w:tc>
      </w:tr>
      <w:tr w:rsidR="00C238E8" w:rsidRPr="00283B08" w14:paraId="4ACC8BB1" w14:textId="77777777" w:rsidTr="00C238E8">
        <w:tc>
          <w:tcPr>
            <w:tcW w:w="1861" w:type="dxa"/>
          </w:tcPr>
          <w:p w14:paraId="76C02695"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Strategies in the field of transports </w:t>
            </w:r>
          </w:p>
        </w:tc>
        <w:tc>
          <w:tcPr>
            <w:tcW w:w="2904" w:type="dxa"/>
          </w:tcPr>
          <w:p w14:paraId="44952960"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Both countries have advanced and long-term strategies in the field of transports, which is closely linked to green transition (reduction of CO2 emissions), whilst directly contributing to labour mobility and the creation of business development opportunities and growing cross-border exchanges. In this respect, public transport and </w:t>
            </w:r>
            <w:r w:rsidRPr="00037C61">
              <w:rPr>
                <w:rFonts w:eastAsia="Calibri" w:cs="Calibri"/>
                <w:sz w:val="18"/>
                <w:szCs w:val="18"/>
                <w:lang w:val="en-GB"/>
              </w:rPr>
              <w:lastRenderedPageBreak/>
              <w:t xml:space="preserve">multimodality are often addressed as priority interventions. </w:t>
            </w:r>
          </w:p>
        </w:tc>
        <w:tc>
          <w:tcPr>
            <w:tcW w:w="1170" w:type="dxa"/>
            <w:shd w:val="clear" w:color="auto" w:fill="FFC000"/>
          </w:tcPr>
          <w:p w14:paraId="29611C79" w14:textId="77777777" w:rsidR="00866764" w:rsidRPr="00037C61" w:rsidRDefault="00866764" w:rsidP="00866764">
            <w:pPr>
              <w:rPr>
                <w:rFonts w:eastAsia="Calibri" w:cs="Calibri"/>
                <w:sz w:val="18"/>
                <w:szCs w:val="18"/>
                <w:lang w:val="en-GB"/>
              </w:rPr>
            </w:pPr>
          </w:p>
        </w:tc>
        <w:tc>
          <w:tcPr>
            <w:tcW w:w="1350" w:type="dxa"/>
            <w:shd w:val="clear" w:color="auto" w:fill="FFC000"/>
          </w:tcPr>
          <w:p w14:paraId="0D8E0435" w14:textId="77777777" w:rsidR="00866764" w:rsidRPr="00037C61" w:rsidRDefault="00866764" w:rsidP="00866764">
            <w:pPr>
              <w:rPr>
                <w:rFonts w:eastAsia="Calibri" w:cs="Calibri"/>
                <w:sz w:val="18"/>
                <w:szCs w:val="18"/>
                <w:lang w:val="en-GB"/>
              </w:rPr>
            </w:pPr>
          </w:p>
        </w:tc>
        <w:tc>
          <w:tcPr>
            <w:tcW w:w="1258" w:type="dxa"/>
            <w:shd w:val="clear" w:color="auto" w:fill="00B050"/>
          </w:tcPr>
          <w:p w14:paraId="1C442C37" w14:textId="77777777" w:rsidR="00866764" w:rsidRPr="00037C61" w:rsidRDefault="00866764" w:rsidP="00866764">
            <w:pPr>
              <w:rPr>
                <w:rFonts w:eastAsia="Calibri" w:cs="Calibri"/>
                <w:sz w:val="18"/>
                <w:szCs w:val="18"/>
                <w:lang w:val="en-GB"/>
              </w:rPr>
            </w:pPr>
          </w:p>
        </w:tc>
        <w:tc>
          <w:tcPr>
            <w:tcW w:w="1260" w:type="dxa"/>
            <w:shd w:val="clear" w:color="auto" w:fill="FFC000"/>
          </w:tcPr>
          <w:p w14:paraId="7E60EDFA" w14:textId="77777777" w:rsidR="00866764" w:rsidRPr="00037C61" w:rsidRDefault="00866764" w:rsidP="00866764">
            <w:pPr>
              <w:rPr>
                <w:rFonts w:eastAsia="Calibri" w:cs="Calibri"/>
                <w:sz w:val="18"/>
                <w:szCs w:val="18"/>
                <w:lang w:val="en-GB"/>
              </w:rPr>
            </w:pPr>
          </w:p>
        </w:tc>
        <w:tc>
          <w:tcPr>
            <w:tcW w:w="1440" w:type="dxa"/>
            <w:shd w:val="clear" w:color="auto" w:fill="FFFF00"/>
          </w:tcPr>
          <w:p w14:paraId="67969245" w14:textId="77777777" w:rsidR="00866764" w:rsidRPr="00037C61" w:rsidRDefault="00866764" w:rsidP="00866764">
            <w:pPr>
              <w:rPr>
                <w:rFonts w:eastAsia="Calibri" w:cs="Calibri"/>
                <w:sz w:val="18"/>
                <w:szCs w:val="18"/>
                <w:lang w:val="en-GB"/>
              </w:rPr>
            </w:pPr>
          </w:p>
        </w:tc>
        <w:tc>
          <w:tcPr>
            <w:tcW w:w="1352" w:type="dxa"/>
            <w:shd w:val="clear" w:color="auto" w:fill="FFC000"/>
          </w:tcPr>
          <w:p w14:paraId="1676440D" w14:textId="77777777" w:rsidR="00866764" w:rsidRPr="00037C61" w:rsidRDefault="00866764" w:rsidP="00866764">
            <w:pPr>
              <w:rPr>
                <w:rFonts w:eastAsia="Calibri" w:cs="Calibri"/>
                <w:sz w:val="18"/>
                <w:szCs w:val="18"/>
                <w:lang w:val="en-GB"/>
              </w:rPr>
            </w:pPr>
          </w:p>
        </w:tc>
        <w:tc>
          <w:tcPr>
            <w:tcW w:w="1353" w:type="dxa"/>
            <w:shd w:val="clear" w:color="auto" w:fill="FFC000"/>
          </w:tcPr>
          <w:p w14:paraId="521D582D" w14:textId="77777777" w:rsidR="00866764" w:rsidRPr="00037C61" w:rsidRDefault="00866764" w:rsidP="00866764">
            <w:pPr>
              <w:rPr>
                <w:rFonts w:eastAsia="Calibri" w:cs="Calibri"/>
                <w:sz w:val="18"/>
                <w:szCs w:val="18"/>
                <w:lang w:val="en-GB"/>
              </w:rPr>
            </w:pPr>
          </w:p>
        </w:tc>
      </w:tr>
      <w:tr w:rsidR="00C238E8" w:rsidRPr="00283B08" w14:paraId="2A8BCEF4" w14:textId="77777777" w:rsidTr="00C238E8">
        <w:tc>
          <w:tcPr>
            <w:tcW w:w="1861" w:type="dxa"/>
          </w:tcPr>
          <w:p w14:paraId="2417DADF"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Education and employment strategies</w:t>
            </w:r>
          </w:p>
        </w:tc>
        <w:tc>
          <w:tcPr>
            <w:tcW w:w="2904" w:type="dxa"/>
          </w:tcPr>
          <w:p w14:paraId="4234611F"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Promoting a closer correlation between education, training and the labour market for increased employment is a common priority of the two cross-border countries. The mutual recognition of professional qualifications, exchanges at higher education level and modern employment services are preconditions for stronger cross-border cooperation in these fields.    </w:t>
            </w:r>
          </w:p>
        </w:tc>
        <w:tc>
          <w:tcPr>
            <w:tcW w:w="1170" w:type="dxa"/>
            <w:shd w:val="clear" w:color="auto" w:fill="FFC000"/>
          </w:tcPr>
          <w:p w14:paraId="6E7EC05F" w14:textId="3BD756F1" w:rsidR="00866764" w:rsidRPr="00037C61" w:rsidRDefault="00866764" w:rsidP="00866764">
            <w:pPr>
              <w:rPr>
                <w:rFonts w:eastAsia="Calibri" w:cs="Calibri"/>
                <w:sz w:val="18"/>
                <w:szCs w:val="18"/>
                <w:lang w:val="en-GB"/>
              </w:rPr>
            </w:pPr>
          </w:p>
        </w:tc>
        <w:tc>
          <w:tcPr>
            <w:tcW w:w="1350" w:type="dxa"/>
            <w:shd w:val="clear" w:color="auto" w:fill="FFFF00"/>
          </w:tcPr>
          <w:p w14:paraId="0FA6DBC0" w14:textId="61764B1E" w:rsidR="00866764" w:rsidRPr="00037C61" w:rsidRDefault="00866764" w:rsidP="00866764">
            <w:pPr>
              <w:rPr>
                <w:rFonts w:eastAsia="Calibri" w:cs="Calibri"/>
                <w:sz w:val="18"/>
                <w:szCs w:val="18"/>
                <w:lang w:val="en-GB"/>
              </w:rPr>
            </w:pPr>
          </w:p>
        </w:tc>
        <w:tc>
          <w:tcPr>
            <w:tcW w:w="1258" w:type="dxa"/>
            <w:shd w:val="clear" w:color="auto" w:fill="FFFF00"/>
          </w:tcPr>
          <w:p w14:paraId="0F490322" w14:textId="77777777" w:rsidR="00866764" w:rsidRPr="00037C61" w:rsidRDefault="00866764" w:rsidP="00866764">
            <w:pPr>
              <w:rPr>
                <w:rFonts w:eastAsia="Calibri" w:cs="Calibri"/>
                <w:sz w:val="18"/>
                <w:szCs w:val="18"/>
                <w:lang w:val="en-GB"/>
              </w:rPr>
            </w:pPr>
          </w:p>
        </w:tc>
        <w:tc>
          <w:tcPr>
            <w:tcW w:w="1260" w:type="dxa"/>
            <w:shd w:val="clear" w:color="auto" w:fill="00B050"/>
          </w:tcPr>
          <w:p w14:paraId="7F09F388" w14:textId="77777777" w:rsidR="00866764" w:rsidRPr="00037C61" w:rsidRDefault="00866764" w:rsidP="00866764">
            <w:pPr>
              <w:rPr>
                <w:rFonts w:eastAsia="Calibri" w:cs="Calibri"/>
                <w:sz w:val="18"/>
                <w:szCs w:val="18"/>
                <w:lang w:val="en-GB"/>
              </w:rPr>
            </w:pPr>
          </w:p>
        </w:tc>
        <w:tc>
          <w:tcPr>
            <w:tcW w:w="1440" w:type="dxa"/>
            <w:shd w:val="clear" w:color="auto" w:fill="FFC000"/>
          </w:tcPr>
          <w:p w14:paraId="3BD0B3D9" w14:textId="77777777" w:rsidR="00866764" w:rsidRPr="00037C61" w:rsidRDefault="00866764" w:rsidP="00866764">
            <w:pPr>
              <w:rPr>
                <w:rFonts w:eastAsia="Calibri" w:cs="Calibri"/>
                <w:sz w:val="18"/>
                <w:szCs w:val="18"/>
                <w:lang w:val="en-GB"/>
              </w:rPr>
            </w:pPr>
          </w:p>
        </w:tc>
        <w:tc>
          <w:tcPr>
            <w:tcW w:w="1352" w:type="dxa"/>
            <w:shd w:val="clear" w:color="auto" w:fill="FFC000"/>
          </w:tcPr>
          <w:p w14:paraId="50906705" w14:textId="77777777" w:rsidR="00866764" w:rsidRPr="00037C61" w:rsidRDefault="00866764" w:rsidP="00866764">
            <w:pPr>
              <w:rPr>
                <w:rFonts w:eastAsia="Calibri" w:cs="Calibri"/>
                <w:sz w:val="18"/>
                <w:szCs w:val="18"/>
                <w:lang w:val="en-GB"/>
              </w:rPr>
            </w:pPr>
          </w:p>
        </w:tc>
        <w:tc>
          <w:tcPr>
            <w:tcW w:w="1353" w:type="dxa"/>
            <w:shd w:val="clear" w:color="auto" w:fill="FFFF00"/>
          </w:tcPr>
          <w:p w14:paraId="4ECD06D4" w14:textId="77777777" w:rsidR="00866764" w:rsidRPr="00037C61" w:rsidRDefault="00866764" w:rsidP="00866764">
            <w:pPr>
              <w:rPr>
                <w:rFonts w:eastAsia="Calibri" w:cs="Calibri"/>
                <w:sz w:val="18"/>
                <w:szCs w:val="18"/>
                <w:lang w:val="en-GB"/>
              </w:rPr>
            </w:pPr>
          </w:p>
        </w:tc>
      </w:tr>
      <w:tr w:rsidR="00C238E8" w:rsidRPr="00283B08" w14:paraId="7C13EDD4" w14:textId="77777777" w:rsidTr="00C238E8">
        <w:tc>
          <w:tcPr>
            <w:tcW w:w="1861" w:type="dxa"/>
          </w:tcPr>
          <w:p w14:paraId="508F3B9C"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Tourism strategies </w:t>
            </w:r>
          </w:p>
        </w:tc>
        <w:tc>
          <w:tcPr>
            <w:tcW w:w="2904" w:type="dxa"/>
          </w:tcPr>
          <w:p w14:paraId="21EEA8C4" w14:textId="5916B2FB" w:rsidR="00866764" w:rsidRPr="00037C61" w:rsidRDefault="00866764" w:rsidP="00866764">
            <w:pPr>
              <w:rPr>
                <w:rFonts w:eastAsia="Calibri" w:cs="Calibri"/>
                <w:sz w:val="18"/>
                <w:szCs w:val="18"/>
                <w:lang w:val="en-GB"/>
              </w:rPr>
            </w:pPr>
            <w:r w:rsidRPr="00037C61">
              <w:rPr>
                <w:rFonts w:eastAsia="Calibri" w:cs="Calibri"/>
                <w:sz w:val="18"/>
                <w:szCs w:val="18"/>
                <w:lang w:val="en-GB"/>
              </w:rPr>
              <w:t>Both countries have advanced and long-term strategies in the field of tourism, which are especially relevant for PO 5</w:t>
            </w:r>
            <w:r w:rsidR="02BFFA8B" w:rsidRPr="00037C61">
              <w:rPr>
                <w:rFonts w:eastAsia="Calibri" w:cs="Calibri"/>
                <w:sz w:val="18"/>
                <w:szCs w:val="18"/>
                <w:lang w:val="en-GB"/>
              </w:rPr>
              <w:t xml:space="preserve">, </w:t>
            </w:r>
            <w:r w:rsidRPr="00037C61">
              <w:rPr>
                <w:rFonts w:eastAsia="Calibri" w:cs="Calibri"/>
                <w:sz w:val="18"/>
                <w:szCs w:val="18"/>
                <w:lang w:val="en-GB"/>
              </w:rPr>
              <w:t>PO</w:t>
            </w:r>
            <w:r w:rsidR="082FD65E" w:rsidRPr="00037C61">
              <w:rPr>
                <w:rFonts w:eastAsia="Calibri" w:cs="Calibri"/>
                <w:sz w:val="18"/>
                <w:szCs w:val="18"/>
                <w:lang w:val="en-GB"/>
              </w:rPr>
              <w:t xml:space="preserve"> </w:t>
            </w:r>
            <w:r w:rsidRPr="00037C61">
              <w:rPr>
                <w:rFonts w:eastAsia="Calibri" w:cs="Calibri"/>
                <w:sz w:val="18"/>
                <w:szCs w:val="18"/>
                <w:lang w:val="en-GB"/>
              </w:rPr>
              <w:t>2</w:t>
            </w:r>
            <w:r w:rsidR="07A16E07" w:rsidRPr="00037C61">
              <w:rPr>
                <w:rFonts w:eastAsia="Calibri" w:cs="Calibri"/>
                <w:sz w:val="18"/>
                <w:szCs w:val="18"/>
                <w:lang w:val="en-GB"/>
              </w:rPr>
              <w:t xml:space="preserve"> and PO 4</w:t>
            </w:r>
            <w:r w:rsidRPr="00037C61">
              <w:rPr>
                <w:rFonts w:eastAsia="Calibri" w:cs="Calibri"/>
                <w:sz w:val="18"/>
                <w:szCs w:val="18"/>
                <w:lang w:val="en-GB"/>
              </w:rPr>
              <w:t xml:space="preserve">. The sustainable valorisation of natural and cultural resources and a renewed image of the countries as touristic destination (including through digital tools and marketing strategies) are priorities of both national strategies.   </w:t>
            </w:r>
          </w:p>
        </w:tc>
        <w:tc>
          <w:tcPr>
            <w:tcW w:w="1170" w:type="dxa"/>
            <w:shd w:val="clear" w:color="auto" w:fill="FFFF00"/>
          </w:tcPr>
          <w:p w14:paraId="5BCD198E" w14:textId="77777777" w:rsidR="00866764" w:rsidRPr="00037C61" w:rsidRDefault="00866764" w:rsidP="00866764">
            <w:pPr>
              <w:rPr>
                <w:rFonts w:eastAsia="Calibri" w:cs="Calibri"/>
                <w:sz w:val="18"/>
                <w:szCs w:val="18"/>
                <w:lang w:val="en-GB"/>
              </w:rPr>
            </w:pPr>
          </w:p>
        </w:tc>
        <w:tc>
          <w:tcPr>
            <w:tcW w:w="1350" w:type="dxa"/>
            <w:shd w:val="clear" w:color="auto" w:fill="00B050"/>
          </w:tcPr>
          <w:p w14:paraId="665A38D2" w14:textId="77777777" w:rsidR="00866764" w:rsidRPr="00037C61" w:rsidRDefault="00866764" w:rsidP="00866764">
            <w:pPr>
              <w:rPr>
                <w:rFonts w:eastAsia="Calibri" w:cs="Calibri"/>
                <w:sz w:val="18"/>
                <w:szCs w:val="18"/>
                <w:lang w:val="en-GB"/>
              </w:rPr>
            </w:pPr>
          </w:p>
        </w:tc>
        <w:tc>
          <w:tcPr>
            <w:tcW w:w="1258" w:type="dxa"/>
            <w:shd w:val="clear" w:color="auto" w:fill="FFFF00"/>
          </w:tcPr>
          <w:p w14:paraId="2E42C122" w14:textId="77777777" w:rsidR="00866764" w:rsidRPr="00037C61" w:rsidRDefault="00866764" w:rsidP="00866764">
            <w:pPr>
              <w:rPr>
                <w:rFonts w:eastAsia="Calibri" w:cs="Calibri"/>
                <w:sz w:val="18"/>
                <w:szCs w:val="18"/>
                <w:lang w:val="en-GB"/>
              </w:rPr>
            </w:pPr>
          </w:p>
        </w:tc>
        <w:tc>
          <w:tcPr>
            <w:tcW w:w="1260" w:type="dxa"/>
            <w:shd w:val="clear" w:color="auto" w:fill="00B050"/>
          </w:tcPr>
          <w:p w14:paraId="51F7FDF5" w14:textId="77777777" w:rsidR="00866764" w:rsidRPr="00037C61" w:rsidRDefault="00866764" w:rsidP="00866764">
            <w:pPr>
              <w:rPr>
                <w:rFonts w:eastAsia="Calibri" w:cs="Calibri"/>
                <w:sz w:val="18"/>
                <w:szCs w:val="18"/>
                <w:lang w:val="en-GB"/>
              </w:rPr>
            </w:pPr>
          </w:p>
        </w:tc>
        <w:tc>
          <w:tcPr>
            <w:tcW w:w="1440" w:type="dxa"/>
            <w:shd w:val="clear" w:color="auto" w:fill="00B050"/>
          </w:tcPr>
          <w:p w14:paraId="31D67A38" w14:textId="77777777" w:rsidR="00866764" w:rsidRPr="00037C61" w:rsidRDefault="00866764" w:rsidP="00866764">
            <w:pPr>
              <w:rPr>
                <w:rFonts w:eastAsia="Calibri" w:cs="Calibri"/>
                <w:sz w:val="18"/>
                <w:szCs w:val="18"/>
                <w:lang w:val="en-GB"/>
              </w:rPr>
            </w:pPr>
          </w:p>
        </w:tc>
        <w:tc>
          <w:tcPr>
            <w:tcW w:w="1352" w:type="dxa"/>
            <w:shd w:val="clear" w:color="auto" w:fill="FFC000"/>
          </w:tcPr>
          <w:p w14:paraId="0C1B847F" w14:textId="77777777" w:rsidR="00866764" w:rsidRPr="00037C61" w:rsidRDefault="00866764" w:rsidP="00866764">
            <w:pPr>
              <w:rPr>
                <w:rFonts w:eastAsia="Calibri" w:cs="Calibri"/>
                <w:sz w:val="18"/>
                <w:szCs w:val="18"/>
                <w:lang w:val="en-GB"/>
              </w:rPr>
            </w:pPr>
          </w:p>
        </w:tc>
        <w:tc>
          <w:tcPr>
            <w:tcW w:w="1353" w:type="dxa"/>
            <w:shd w:val="clear" w:color="auto" w:fill="FFFF00"/>
          </w:tcPr>
          <w:p w14:paraId="16B6C0EC" w14:textId="77777777" w:rsidR="00866764" w:rsidRPr="00037C61" w:rsidRDefault="00866764" w:rsidP="00866764">
            <w:pPr>
              <w:rPr>
                <w:rFonts w:eastAsia="Calibri" w:cs="Calibri"/>
                <w:sz w:val="18"/>
                <w:szCs w:val="18"/>
                <w:lang w:val="en-GB"/>
              </w:rPr>
            </w:pPr>
          </w:p>
        </w:tc>
      </w:tr>
      <w:tr w:rsidR="00866764" w:rsidRPr="00283B08" w14:paraId="21642F1D" w14:textId="77777777" w:rsidTr="00C238E8">
        <w:tc>
          <w:tcPr>
            <w:tcW w:w="1861" w:type="dxa"/>
          </w:tcPr>
          <w:p w14:paraId="2397E4E3"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Regional policy level</w:t>
            </w:r>
          </w:p>
        </w:tc>
        <w:tc>
          <w:tcPr>
            <w:tcW w:w="12087" w:type="dxa"/>
            <w:gridSpan w:val="8"/>
          </w:tcPr>
          <w:p w14:paraId="1534B082" w14:textId="061BA8E8"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 xml:space="preserve">Although both Hungary and Romania do not have the NUTS 2 governance level, in Romania the RDAs have gained growing importance in the strategic territorial planning at regional level </w:t>
            </w:r>
            <w:r w:rsidR="00143DA8" w:rsidRPr="00037C61">
              <w:rPr>
                <w:rFonts w:eastAsia="Calibri" w:cs="Calibri"/>
                <w:b/>
                <w:bCs/>
                <w:sz w:val="18"/>
                <w:szCs w:val="18"/>
                <w:lang w:val="en-GB"/>
              </w:rPr>
              <w:t>(NUTS 2)</w:t>
            </w:r>
            <w:r w:rsidRPr="00037C61">
              <w:rPr>
                <w:rFonts w:eastAsia="Calibri" w:cs="Calibri"/>
                <w:b/>
                <w:bCs/>
                <w:sz w:val="18"/>
                <w:szCs w:val="18"/>
                <w:lang w:val="en-GB"/>
              </w:rPr>
              <w:t xml:space="preserve">, acting </w:t>
            </w:r>
            <w:r w:rsidRPr="00037C61">
              <w:rPr>
                <w:rFonts w:eastAsia="Calibri" w:cs="Calibri"/>
                <w:b/>
                <w:bCs/>
                <w:i/>
                <w:iCs/>
                <w:sz w:val="18"/>
                <w:szCs w:val="18"/>
                <w:lang w:val="en-GB"/>
              </w:rPr>
              <w:t>de facto</w:t>
            </w:r>
            <w:r w:rsidRPr="00037C61">
              <w:rPr>
                <w:rFonts w:eastAsia="Calibri" w:cs="Calibri"/>
                <w:b/>
                <w:bCs/>
                <w:sz w:val="18"/>
                <w:szCs w:val="18"/>
                <w:lang w:val="en-GB"/>
              </w:rPr>
              <w:t xml:space="preserve"> as coordinators of integrated policies with a regional perspective</w:t>
            </w:r>
            <w:r w:rsidR="00143DA8" w:rsidRPr="00037C61">
              <w:rPr>
                <w:rFonts w:eastAsia="Calibri" w:cs="Calibri"/>
                <w:b/>
                <w:bCs/>
                <w:sz w:val="18"/>
                <w:szCs w:val="18"/>
                <w:lang w:val="en-GB"/>
              </w:rPr>
              <w:t>, whilst in Hungary the depositary of regional development are NUTS 3 counties</w:t>
            </w:r>
            <w:r w:rsidRPr="00037C61">
              <w:rPr>
                <w:rFonts w:eastAsia="Calibri" w:cs="Calibri"/>
                <w:b/>
                <w:bCs/>
                <w:sz w:val="18"/>
                <w:szCs w:val="18"/>
                <w:lang w:val="en-GB"/>
              </w:rPr>
              <w:t xml:space="preserve"> Most importantly, both countries have experience with Regional Innovation Strategies, which are usually more suitable than the national strategies for RDI (and related fields) to identify strategic sectors for smart specialisation, closely linked to the “vocation of places”. Existing strategies at regional level shall thus be taken into account when choosing strategic sectors under PO 1, in order to concentrate resources on driving economic fields (both traditional and emerging sectors). </w:t>
            </w:r>
          </w:p>
        </w:tc>
      </w:tr>
      <w:tr w:rsidR="00C238E8" w:rsidRPr="00037C61" w14:paraId="75EC4CE6" w14:textId="77777777" w:rsidTr="00DB74BF">
        <w:tc>
          <w:tcPr>
            <w:tcW w:w="1861" w:type="dxa"/>
          </w:tcPr>
          <w:p w14:paraId="1B7034BE"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Regional development strategies </w:t>
            </w:r>
          </w:p>
        </w:tc>
        <w:tc>
          <w:tcPr>
            <w:tcW w:w="2904" w:type="dxa"/>
          </w:tcPr>
          <w:p w14:paraId="3AA42242"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Regional development strategies are relevant for all POs. The future Interreg Programme between Romania and Hungary shall always detail the extent to which established priorities and </w:t>
            </w:r>
            <w:r w:rsidRPr="00037C61">
              <w:rPr>
                <w:rFonts w:eastAsia="Calibri" w:cs="Calibri"/>
                <w:sz w:val="18"/>
                <w:szCs w:val="18"/>
                <w:lang w:val="en-GB"/>
              </w:rPr>
              <w:lastRenderedPageBreak/>
              <w:t>interventions contribute to the obtainment of regional strategic objectives where applicable.</w:t>
            </w:r>
          </w:p>
        </w:tc>
        <w:tc>
          <w:tcPr>
            <w:tcW w:w="1170" w:type="dxa"/>
            <w:shd w:val="clear" w:color="auto" w:fill="00B050"/>
          </w:tcPr>
          <w:p w14:paraId="45C31186" w14:textId="77777777" w:rsidR="00866764" w:rsidRPr="00037C61" w:rsidRDefault="00866764" w:rsidP="00866764">
            <w:pPr>
              <w:rPr>
                <w:rFonts w:eastAsia="Calibri" w:cs="Calibri"/>
                <w:sz w:val="18"/>
                <w:szCs w:val="18"/>
                <w:lang w:val="en-GB"/>
              </w:rPr>
            </w:pPr>
          </w:p>
        </w:tc>
        <w:tc>
          <w:tcPr>
            <w:tcW w:w="1350" w:type="dxa"/>
            <w:shd w:val="clear" w:color="auto" w:fill="00B050"/>
          </w:tcPr>
          <w:p w14:paraId="67840975" w14:textId="77777777" w:rsidR="00866764" w:rsidRPr="00037C61" w:rsidRDefault="00866764" w:rsidP="00866764">
            <w:pPr>
              <w:rPr>
                <w:rFonts w:eastAsia="Calibri" w:cs="Calibri"/>
                <w:sz w:val="18"/>
                <w:szCs w:val="18"/>
                <w:lang w:val="en-GB"/>
              </w:rPr>
            </w:pPr>
          </w:p>
        </w:tc>
        <w:tc>
          <w:tcPr>
            <w:tcW w:w="1258" w:type="dxa"/>
            <w:shd w:val="clear" w:color="auto" w:fill="00B050"/>
          </w:tcPr>
          <w:p w14:paraId="4F6BCE28" w14:textId="77777777" w:rsidR="00866764" w:rsidRPr="00037C61" w:rsidRDefault="00866764" w:rsidP="00866764">
            <w:pPr>
              <w:rPr>
                <w:rFonts w:eastAsia="Calibri" w:cs="Calibri"/>
                <w:sz w:val="18"/>
                <w:szCs w:val="18"/>
                <w:lang w:val="en-GB"/>
              </w:rPr>
            </w:pPr>
          </w:p>
        </w:tc>
        <w:tc>
          <w:tcPr>
            <w:tcW w:w="1260" w:type="dxa"/>
            <w:shd w:val="clear" w:color="auto" w:fill="00B050"/>
          </w:tcPr>
          <w:p w14:paraId="75D0A9A6" w14:textId="77777777" w:rsidR="00866764" w:rsidRPr="00037C61" w:rsidRDefault="00866764" w:rsidP="00866764">
            <w:pPr>
              <w:rPr>
                <w:rFonts w:eastAsia="Calibri" w:cs="Calibri"/>
                <w:sz w:val="18"/>
                <w:szCs w:val="18"/>
                <w:lang w:val="en-GB"/>
              </w:rPr>
            </w:pPr>
          </w:p>
        </w:tc>
        <w:tc>
          <w:tcPr>
            <w:tcW w:w="1440" w:type="dxa"/>
            <w:shd w:val="clear" w:color="auto" w:fill="00B050"/>
          </w:tcPr>
          <w:p w14:paraId="61092C54" w14:textId="77777777" w:rsidR="00866764" w:rsidRPr="00037C61" w:rsidRDefault="00866764" w:rsidP="00866764">
            <w:pPr>
              <w:rPr>
                <w:rFonts w:eastAsia="Calibri" w:cs="Calibri"/>
                <w:sz w:val="18"/>
                <w:szCs w:val="18"/>
                <w:lang w:val="en-GB"/>
              </w:rPr>
            </w:pPr>
          </w:p>
        </w:tc>
        <w:tc>
          <w:tcPr>
            <w:tcW w:w="1352" w:type="dxa"/>
            <w:shd w:val="clear" w:color="auto" w:fill="FFC000"/>
          </w:tcPr>
          <w:p w14:paraId="37F6896D" w14:textId="751CEBD2" w:rsidR="00866764" w:rsidRPr="00037C61" w:rsidRDefault="00502483" w:rsidP="00866764">
            <w:pPr>
              <w:rPr>
                <w:rFonts w:eastAsia="Calibri" w:cs="Calibri"/>
                <w:sz w:val="18"/>
                <w:szCs w:val="18"/>
                <w:lang w:val="en-GB"/>
              </w:rPr>
            </w:pPr>
            <w:r>
              <w:rPr>
                <w:rFonts w:eastAsia="Calibri" w:cs="Calibri"/>
                <w:sz w:val="18"/>
                <w:szCs w:val="18"/>
                <w:lang w:val="en-GB"/>
              </w:rPr>
              <w:t>X</w:t>
            </w:r>
          </w:p>
        </w:tc>
        <w:tc>
          <w:tcPr>
            <w:tcW w:w="1353" w:type="dxa"/>
            <w:shd w:val="clear" w:color="auto" w:fill="FFFF00"/>
          </w:tcPr>
          <w:p w14:paraId="0802FE8E" w14:textId="77777777" w:rsidR="00866764" w:rsidRPr="00037C61" w:rsidRDefault="00866764" w:rsidP="00866764">
            <w:pPr>
              <w:rPr>
                <w:rFonts w:eastAsia="Calibri" w:cs="Calibri"/>
                <w:sz w:val="18"/>
                <w:szCs w:val="18"/>
                <w:lang w:val="en-GB"/>
              </w:rPr>
            </w:pPr>
          </w:p>
        </w:tc>
      </w:tr>
      <w:tr w:rsidR="00C238E8" w:rsidRPr="00283B08" w14:paraId="5EB70785" w14:textId="77777777" w:rsidTr="00C238E8">
        <w:tc>
          <w:tcPr>
            <w:tcW w:w="1861" w:type="dxa"/>
          </w:tcPr>
          <w:p w14:paraId="054F000E"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Regional Innovation Strategies </w:t>
            </w:r>
          </w:p>
        </w:tc>
        <w:tc>
          <w:tcPr>
            <w:tcW w:w="2904" w:type="dxa"/>
          </w:tcPr>
          <w:p w14:paraId="42C1CD29"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Regional Innovation Strategies are a key strategic document to identify cooperation opportunities across strategic value chains in the cross-border area. This may imply technological transfer, cluster promotion, joint research, knowledge intensive business services. Cooperation under PO 1, based on RIS, can create the basis for increased cross-border labour mobility and employment opportunities in the area (PO 4), as well as strong synergies with PO 2 (i.e. emerging green sectors).   </w:t>
            </w:r>
          </w:p>
        </w:tc>
        <w:tc>
          <w:tcPr>
            <w:tcW w:w="1170" w:type="dxa"/>
            <w:shd w:val="clear" w:color="auto" w:fill="00B050"/>
          </w:tcPr>
          <w:p w14:paraId="1FE880F4" w14:textId="77777777" w:rsidR="00866764" w:rsidRPr="00037C61" w:rsidRDefault="00866764" w:rsidP="00866764">
            <w:pPr>
              <w:rPr>
                <w:rFonts w:eastAsia="Calibri" w:cs="Calibri"/>
                <w:sz w:val="18"/>
                <w:szCs w:val="18"/>
                <w:lang w:val="en-GB"/>
              </w:rPr>
            </w:pPr>
          </w:p>
        </w:tc>
        <w:tc>
          <w:tcPr>
            <w:tcW w:w="1350" w:type="dxa"/>
            <w:shd w:val="clear" w:color="auto" w:fill="00B050"/>
          </w:tcPr>
          <w:p w14:paraId="35A7C910" w14:textId="77777777" w:rsidR="00866764" w:rsidRPr="00037C61" w:rsidRDefault="00866764" w:rsidP="00866764">
            <w:pPr>
              <w:rPr>
                <w:rFonts w:eastAsia="Calibri" w:cs="Calibri"/>
                <w:sz w:val="18"/>
                <w:szCs w:val="18"/>
                <w:lang w:val="en-GB"/>
              </w:rPr>
            </w:pPr>
          </w:p>
        </w:tc>
        <w:tc>
          <w:tcPr>
            <w:tcW w:w="1258" w:type="dxa"/>
            <w:shd w:val="clear" w:color="auto" w:fill="FFC000"/>
          </w:tcPr>
          <w:p w14:paraId="00D93C0A" w14:textId="77777777" w:rsidR="00866764" w:rsidRPr="00037C61" w:rsidRDefault="00866764" w:rsidP="00866764">
            <w:pPr>
              <w:rPr>
                <w:rFonts w:eastAsia="Calibri" w:cs="Calibri"/>
                <w:sz w:val="18"/>
                <w:szCs w:val="18"/>
                <w:lang w:val="en-GB"/>
              </w:rPr>
            </w:pPr>
          </w:p>
        </w:tc>
        <w:tc>
          <w:tcPr>
            <w:tcW w:w="1260" w:type="dxa"/>
            <w:shd w:val="clear" w:color="auto" w:fill="FFC000"/>
          </w:tcPr>
          <w:p w14:paraId="28E0FB37" w14:textId="582CCCA3" w:rsidR="00866764" w:rsidRPr="00037C61" w:rsidRDefault="00866764" w:rsidP="00866764">
            <w:pPr>
              <w:rPr>
                <w:rFonts w:eastAsia="Calibri" w:cs="Calibri"/>
                <w:sz w:val="18"/>
                <w:szCs w:val="18"/>
                <w:lang w:val="en-GB"/>
              </w:rPr>
            </w:pPr>
          </w:p>
        </w:tc>
        <w:tc>
          <w:tcPr>
            <w:tcW w:w="1440" w:type="dxa"/>
            <w:shd w:val="clear" w:color="auto" w:fill="FFFF00"/>
          </w:tcPr>
          <w:p w14:paraId="5A122D92" w14:textId="0139A9C8" w:rsidR="00866764" w:rsidRPr="00037C61" w:rsidRDefault="00866764" w:rsidP="00866764">
            <w:pPr>
              <w:rPr>
                <w:rFonts w:eastAsia="Calibri" w:cs="Calibri"/>
                <w:sz w:val="18"/>
                <w:szCs w:val="18"/>
                <w:lang w:val="en-GB"/>
              </w:rPr>
            </w:pPr>
          </w:p>
        </w:tc>
        <w:tc>
          <w:tcPr>
            <w:tcW w:w="1352" w:type="dxa"/>
            <w:shd w:val="clear" w:color="auto" w:fill="FFC000"/>
          </w:tcPr>
          <w:p w14:paraId="066B0F0D" w14:textId="77777777" w:rsidR="00866764" w:rsidRPr="00037C61" w:rsidRDefault="00866764" w:rsidP="00866764">
            <w:pPr>
              <w:rPr>
                <w:rFonts w:eastAsia="Calibri" w:cs="Calibri"/>
                <w:sz w:val="18"/>
                <w:szCs w:val="18"/>
                <w:lang w:val="en-GB"/>
              </w:rPr>
            </w:pPr>
          </w:p>
        </w:tc>
        <w:tc>
          <w:tcPr>
            <w:tcW w:w="1353" w:type="dxa"/>
            <w:shd w:val="clear" w:color="auto" w:fill="FFFF00"/>
          </w:tcPr>
          <w:p w14:paraId="542D08CA" w14:textId="77777777" w:rsidR="00866764" w:rsidRPr="00037C61" w:rsidRDefault="00866764" w:rsidP="00866764">
            <w:pPr>
              <w:rPr>
                <w:rFonts w:eastAsia="Calibri" w:cs="Calibri"/>
                <w:sz w:val="18"/>
                <w:szCs w:val="18"/>
                <w:lang w:val="en-GB"/>
              </w:rPr>
            </w:pPr>
          </w:p>
        </w:tc>
      </w:tr>
      <w:tr w:rsidR="00866764" w:rsidRPr="00283B08" w14:paraId="0DCC80B6" w14:textId="77777777" w:rsidTr="00C238E8">
        <w:tc>
          <w:tcPr>
            <w:tcW w:w="1861" w:type="dxa"/>
          </w:tcPr>
          <w:p w14:paraId="2EA866DD"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Local policy level</w:t>
            </w:r>
          </w:p>
        </w:tc>
        <w:tc>
          <w:tcPr>
            <w:tcW w:w="12087" w:type="dxa"/>
            <w:gridSpan w:val="8"/>
          </w:tcPr>
          <w:p w14:paraId="0D7EF532"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 xml:space="preserve">The county (NUTS 3) strategies provide an integrated and coordinated framework for policy implementation at the governance level mainly targeted under the Interreg Programme between Romania and Hungary. The great majority of counties have a vision and a strategic objective on cross-border cooperation, which makes them strongly relevant to the future Programme, as they are often correlated with specific project ideas, building on previous experience and existing partnerships. In this respect, additional analysis on the ground shall be made to further assess lessons learnt and opportunities for future collaborations among cross-border actors. </w:t>
            </w:r>
          </w:p>
          <w:p w14:paraId="2E764ED8"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 xml:space="preserve">The main city strategies are also very relevant for the future Interreg as they define the vision of the main urban centres in relation to their role in the wider regional and cross-border context, which underlines a general interest and willingness to cooperate with neighbouring areas in order to extend their area of influence as urban centres, with both cultural and socio-economic purposes. </w:t>
            </w:r>
          </w:p>
          <w:p w14:paraId="5A912886" w14:textId="25F8B6D1" w:rsidR="00B935DA" w:rsidRPr="00037C61" w:rsidRDefault="00FB78E2" w:rsidP="00866764">
            <w:pPr>
              <w:rPr>
                <w:rFonts w:eastAsia="Calibri" w:cs="Calibri"/>
                <w:b/>
                <w:bCs/>
                <w:sz w:val="18"/>
                <w:szCs w:val="18"/>
                <w:lang w:val="en-GB"/>
              </w:rPr>
            </w:pPr>
            <w:r w:rsidRPr="00037C61">
              <w:rPr>
                <w:rFonts w:eastAsia="Calibri" w:cs="Calibri"/>
                <w:b/>
                <w:bCs/>
                <w:sz w:val="18"/>
                <w:szCs w:val="18"/>
                <w:lang w:val="en-GB"/>
              </w:rPr>
              <w:t>Some</w:t>
            </w:r>
            <w:r w:rsidR="00B935DA" w:rsidRPr="00037C61">
              <w:rPr>
                <w:rFonts w:eastAsia="Calibri" w:cs="Calibri"/>
                <w:b/>
                <w:bCs/>
                <w:sz w:val="18"/>
                <w:szCs w:val="18"/>
                <w:lang w:val="en-GB"/>
              </w:rPr>
              <w:t xml:space="preserve"> counties and cities have additional sector strategies mainly in the fields of climate change adaptation</w:t>
            </w:r>
            <w:r w:rsidRPr="00037C61">
              <w:rPr>
                <w:rFonts w:eastAsia="Calibri" w:cs="Calibri"/>
                <w:b/>
                <w:bCs/>
                <w:sz w:val="18"/>
                <w:szCs w:val="18"/>
                <w:lang w:val="en-GB"/>
              </w:rPr>
              <w:t xml:space="preserve">, energy and cultural sectors, which reinforce specific objectives included in the wider local development strategies. </w:t>
            </w:r>
          </w:p>
        </w:tc>
      </w:tr>
      <w:tr w:rsidR="00C238E8" w:rsidRPr="00283B08" w14:paraId="68C01894" w14:textId="77777777" w:rsidTr="00C238E8">
        <w:trPr>
          <w:trHeight w:val="1295"/>
        </w:trPr>
        <w:tc>
          <w:tcPr>
            <w:tcW w:w="1861" w:type="dxa"/>
          </w:tcPr>
          <w:p w14:paraId="79728C66"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County development strategies (both RO and HU)</w:t>
            </w:r>
          </w:p>
        </w:tc>
        <w:tc>
          <w:tcPr>
            <w:tcW w:w="2904" w:type="dxa"/>
            <w:vMerge w:val="restart"/>
          </w:tcPr>
          <w:p w14:paraId="3A810D6E"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County and city development strategies are relevant for all POs. However, strategies at city level have revealed a higher accent on economic cooperation, transport </w:t>
            </w:r>
            <w:r w:rsidRPr="00037C61">
              <w:rPr>
                <w:rFonts w:eastAsia="Calibri" w:cs="Calibri"/>
                <w:sz w:val="18"/>
                <w:szCs w:val="18"/>
                <w:lang w:val="en-GB"/>
              </w:rPr>
              <w:lastRenderedPageBreak/>
              <w:t>connectivity and cultural cooperation. The future Interreg Programme between Romania and Hungary shall always detail the extent to which established priorities and interventions contribute to the obtainment of county / main city strategic objectives where applicable. Additionally, strategic projects may be selected (under the precondition of cross-border character and other established criteria) from the list of interventions planned under county / city development strategies’ cross-border strategic objectives (when existing).</w:t>
            </w:r>
          </w:p>
        </w:tc>
        <w:tc>
          <w:tcPr>
            <w:tcW w:w="1170" w:type="dxa"/>
            <w:shd w:val="clear" w:color="auto" w:fill="00B050"/>
          </w:tcPr>
          <w:p w14:paraId="03ED0FDA" w14:textId="77777777" w:rsidR="00866764" w:rsidRPr="00037C61" w:rsidRDefault="00866764" w:rsidP="00866764">
            <w:pPr>
              <w:rPr>
                <w:rFonts w:eastAsia="Calibri" w:cs="Calibri"/>
                <w:sz w:val="18"/>
                <w:szCs w:val="18"/>
                <w:lang w:val="en-GB"/>
              </w:rPr>
            </w:pPr>
          </w:p>
        </w:tc>
        <w:tc>
          <w:tcPr>
            <w:tcW w:w="1350" w:type="dxa"/>
            <w:shd w:val="clear" w:color="auto" w:fill="00B050"/>
          </w:tcPr>
          <w:p w14:paraId="3885DE56" w14:textId="77777777" w:rsidR="00866764" w:rsidRPr="00037C61" w:rsidRDefault="00866764" w:rsidP="00866764">
            <w:pPr>
              <w:rPr>
                <w:rFonts w:eastAsia="Calibri" w:cs="Calibri"/>
                <w:sz w:val="18"/>
                <w:szCs w:val="18"/>
                <w:lang w:val="en-GB"/>
              </w:rPr>
            </w:pPr>
          </w:p>
        </w:tc>
        <w:tc>
          <w:tcPr>
            <w:tcW w:w="1258" w:type="dxa"/>
            <w:shd w:val="clear" w:color="auto" w:fill="00B050"/>
          </w:tcPr>
          <w:p w14:paraId="02AF4F4E" w14:textId="77777777" w:rsidR="00866764" w:rsidRPr="00037C61" w:rsidRDefault="00866764" w:rsidP="00866764">
            <w:pPr>
              <w:rPr>
                <w:rFonts w:eastAsia="Calibri" w:cs="Calibri"/>
                <w:sz w:val="18"/>
                <w:szCs w:val="18"/>
                <w:lang w:val="en-GB"/>
              </w:rPr>
            </w:pPr>
          </w:p>
        </w:tc>
        <w:tc>
          <w:tcPr>
            <w:tcW w:w="1260" w:type="dxa"/>
            <w:shd w:val="clear" w:color="auto" w:fill="00B050"/>
          </w:tcPr>
          <w:p w14:paraId="1A821072" w14:textId="77777777" w:rsidR="00866764" w:rsidRPr="00037C61" w:rsidRDefault="00866764" w:rsidP="00866764">
            <w:pPr>
              <w:rPr>
                <w:rFonts w:eastAsia="Calibri" w:cs="Calibri"/>
                <w:sz w:val="18"/>
                <w:szCs w:val="18"/>
                <w:lang w:val="en-GB"/>
              </w:rPr>
            </w:pPr>
          </w:p>
        </w:tc>
        <w:tc>
          <w:tcPr>
            <w:tcW w:w="1440" w:type="dxa"/>
            <w:shd w:val="clear" w:color="auto" w:fill="00B050"/>
          </w:tcPr>
          <w:p w14:paraId="0ABDA63C" w14:textId="77777777" w:rsidR="00866764" w:rsidRPr="00037C61" w:rsidRDefault="00866764" w:rsidP="00866764">
            <w:pPr>
              <w:rPr>
                <w:rFonts w:eastAsia="Calibri" w:cs="Calibri"/>
                <w:sz w:val="18"/>
                <w:szCs w:val="18"/>
                <w:lang w:val="en-GB"/>
              </w:rPr>
            </w:pPr>
          </w:p>
        </w:tc>
        <w:tc>
          <w:tcPr>
            <w:tcW w:w="1352" w:type="dxa"/>
            <w:shd w:val="clear" w:color="auto" w:fill="FFC000"/>
          </w:tcPr>
          <w:p w14:paraId="289EF47C" w14:textId="77777777" w:rsidR="00866764" w:rsidRPr="00037C61" w:rsidRDefault="00866764" w:rsidP="00866764">
            <w:pPr>
              <w:rPr>
                <w:rFonts w:eastAsia="Calibri" w:cs="Calibri"/>
                <w:sz w:val="18"/>
                <w:szCs w:val="18"/>
                <w:lang w:val="en-GB"/>
              </w:rPr>
            </w:pPr>
          </w:p>
        </w:tc>
        <w:tc>
          <w:tcPr>
            <w:tcW w:w="1353" w:type="dxa"/>
            <w:shd w:val="clear" w:color="auto" w:fill="FFFF00"/>
          </w:tcPr>
          <w:p w14:paraId="751604B9" w14:textId="77777777" w:rsidR="00866764" w:rsidRPr="00037C61" w:rsidRDefault="00866764" w:rsidP="00866764">
            <w:pPr>
              <w:rPr>
                <w:rFonts w:eastAsia="Calibri" w:cs="Calibri"/>
                <w:sz w:val="18"/>
                <w:szCs w:val="18"/>
                <w:lang w:val="en-GB"/>
              </w:rPr>
            </w:pPr>
          </w:p>
        </w:tc>
      </w:tr>
      <w:tr w:rsidR="00C238E8" w:rsidRPr="00283B08" w14:paraId="2712BCB4" w14:textId="77777777" w:rsidTr="00C238E8">
        <w:tc>
          <w:tcPr>
            <w:tcW w:w="1861" w:type="dxa"/>
          </w:tcPr>
          <w:p w14:paraId="2C7BCAD8"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lastRenderedPageBreak/>
              <w:t>City development strategies (both RO and HU)</w:t>
            </w:r>
          </w:p>
        </w:tc>
        <w:tc>
          <w:tcPr>
            <w:tcW w:w="2904" w:type="dxa"/>
            <w:vMerge/>
          </w:tcPr>
          <w:p w14:paraId="24219B95" w14:textId="77777777" w:rsidR="00866764" w:rsidRPr="00037C61" w:rsidRDefault="00866764" w:rsidP="00866764">
            <w:pPr>
              <w:rPr>
                <w:rFonts w:cs="Calibri"/>
                <w:sz w:val="18"/>
                <w:szCs w:val="18"/>
                <w:lang w:val="en-GB"/>
              </w:rPr>
            </w:pPr>
          </w:p>
        </w:tc>
        <w:tc>
          <w:tcPr>
            <w:tcW w:w="1170" w:type="dxa"/>
            <w:shd w:val="clear" w:color="auto" w:fill="00B050"/>
          </w:tcPr>
          <w:p w14:paraId="385A782C" w14:textId="77777777" w:rsidR="00866764" w:rsidRPr="00037C61" w:rsidRDefault="00866764" w:rsidP="00866764">
            <w:pPr>
              <w:rPr>
                <w:rFonts w:eastAsia="Calibri" w:cs="Calibri"/>
                <w:sz w:val="18"/>
                <w:szCs w:val="18"/>
                <w:lang w:val="en-GB"/>
              </w:rPr>
            </w:pPr>
          </w:p>
        </w:tc>
        <w:tc>
          <w:tcPr>
            <w:tcW w:w="1350" w:type="dxa"/>
            <w:shd w:val="clear" w:color="auto" w:fill="FFC000"/>
          </w:tcPr>
          <w:p w14:paraId="01C1100C" w14:textId="6C1FAE4D" w:rsidR="00866764" w:rsidRPr="00037C61" w:rsidRDefault="00866764" w:rsidP="00866764">
            <w:pPr>
              <w:rPr>
                <w:rFonts w:eastAsia="Calibri" w:cs="Calibri"/>
                <w:sz w:val="18"/>
                <w:szCs w:val="18"/>
                <w:lang w:val="en-GB"/>
              </w:rPr>
            </w:pPr>
          </w:p>
        </w:tc>
        <w:tc>
          <w:tcPr>
            <w:tcW w:w="1258" w:type="dxa"/>
            <w:shd w:val="clear" w:color="auto" w:fill="00B050"/>
          </w:tcPr>
          <w:p w14:paraId="66914A97" w14:textId="77777777" w:rsidR="00866764" w:rsidRPr="00037C61" w:rsidRDefault="00866764" w:rsidP="00866764">
            <w:pPr>
              <w:rPr>
                <w:rFonts w:eastAsia="Calibri" w:cs="Calibri"/>
                <w:sz w:val="18"/>
                <w:szCs w:val="18"/>
                <w:lang w:val="en-GB"/>
              </w:rPr>
            </w:pPr>
          </w:p>
        </w:tc>
        <w:tc>
          <w:tcPr>
            <w:tcW w:w="1260" w:type="dxa"/>
            <w:shd w:val="clear" w:color="auto" w:fill="00B050"/>
          </w:tcPr>
          <w:p w14:paraId="6EE75F77" w14:textId="77777777" w:rsidR="00866764" w:rsidRPr="00037C61" w:rsidRDefault="00866764" w:rsidP="00866764">
            <w:pPr>
              <w:rPr>
                <w:rFonts w:eastAsia="Calibri" w:cs="Calibri"/>
                <w:sz w:val="18"/>
                <w:szCs w:val="18"/>
                <w:lang w:val="en-GB"/>
              </w:rPr>
            </w:pPr>
          </w:p>
        </w:tc>
        <w:tc>
          <w:tcPr>
            <w:tcW w:w="1440" w:type="dxa"/>
            <w:shd w:val="clear" w:color="auto" w:fill="FFC000"/>
          </w:tcPr>
          <w:p w14:paraId="3D465C8E" w14:textId="2FA5F907" w:rsidR="00866764" w:rsidRPr="00037C61" w:rsidRDefault="00866764" w:rsidP="00866764">
            <w:pPr>
              <w:rPr>
                <w:rFonts w:eastAsia="Calibri" w:cs="Calibri"/>
                <w:sz w:val="18"/>
                <w:szCs w:val="18"/>
                <w:lang w:val="en-GB"/>
              </w:rPr>
            </w:pPr>
          </w:p>
        </w:tc>
        <w:tc>
          <w:tcPr>
            <w:tcW w:w="1352" w:type="dxa"/>
            <w:shd w:val="clear" w:color="auto" w:fill="FFC000"/>
          </w:tcPr>
          <w:p w14:paraId="4F598508" w14:textId="77777777" w:rsidR="00866764" w:rsidRPr="00037C61" w:rsidRDefault="00866764" w:rsidP="00866764">
            <w:pPr>
              <w:rPr>
                <w:rFonts w:eastAsia="Calibri" w:cs="Calibri"/>
                <w:sz w:val="18"/>
                <w:szCs w:val="18"/>
                <w:lang w:val="en-GB"/>
              </w:rPr>
            </w:pPr>
          </w:p>
        </w:tc>
        <w:tc>
          <w:tcPr>
            <w:tcW w:w="1353" w:type="dxa"/>
            <w:shd w:val="clear" w:color="auto" w:fill="FFFF00"/>
          </w:tcPr>
          <w:p w14:paraId="38516EC1" w14:textId="77777777" w:rsidR="00866764" w:rsidRPr="00037C61" w:rsidRDefault="00866764" w:rsidP="00866764">
            <w:pPr>
              <w:rPr>
                <w:rFonts w:eastAsia="Calibri" w:cs="Calibri"/>
                <w:sz w:val="18"/>
                <w:szCs w:val="18"/>
                <w:lang w:val="en-GB"/>
              </w:rPr>
            </w:pPr>
          </w:p>
        </w:tc>
      </w:tr>
      <w:tr w:rsidR="00C238E8" w:rsidRPr="00283B08" w14:paraId="6F6A3BAE" w14:textId="77777777" w:rsidTr="0061187F">
        <w:tc>
          <w:tcPr>
            <w:tcW w:w="1861" w:type="dxa"/>
          </w:tcPr>
          <w:p w14:paraId="7D75FCD0" w14:textId="234366C3" w:rsidR="003216AD" w:rsidRPr="00037C61" w:rsidRDefault="003216AD"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County and city strategies in the field of energy and climate change</w:t>
            </w:r>
          </w:p>
        </w:tc>
        <w:tc>
          <w:tcPr>
            <w:tcW w:w="2904" w:type="dxa"/>
          </w:tcPr>
          <w:p w14:paraId="3270AF26" w14:textId="5F287D65" w:rsidR="003216AD" w:rsidRPr="00037C61" w:rsidRDefault="004165EE" w:rsidP="00866764">
            <w:pPr>
              <w:rPr>
                <w:rFonts w:cs="Calibri"/>
                <w:sz w:val="18"/>
                <w:szCs w:val="18"/>
                <w:lang w:val="en-GB"/>
              </w:rPr>
            </w:pPr>
            <w:r w:rsidRPr="00037C61">
              <w:rPr>
                <w:rFonts w:cs="Calibri"/>
                <w:sz w:val="18"/>
                <w:szCs w:val="18"/>
                <w:lang w:val="en-GB"/>
              </w:rPr>
              <w:t>The majority of counties and some cities</w:t>
            </w:r>
            <w:r w:rsidR="00C43D91" w:rsidRPr="00037C61">
              <w:rPr>
                <w:rFonts w:cs="Calibri"/>
                <w:sz w:val="18"/>
                <w:szCs w:val="18"/>
                <w:lang w:val="en-GB"/>
              </w:rPr>
              <w:t xml:space="preserve"> (county capitals)</w:t>
            </w:r>
            <w:r w:rsidRPr="00037C61">
              <w:rPr>
                <w:rFonts w:cs="Calibri"/>
                <w:sz w:val="18"/>
                <w:szCs w:val="18"/>
                <w:lang w:val="en-GB"/>
              </w:rPr>
              <w:t xml:space="preserve"> have </w:t>
            </w:r>
            <w:r w:rsidR="00C43D91" w:rsidRPr="00037C61">
              <w:rPr>
                <w:rFonts w:cs="Calibri"/>
                <w:sz w:val="18"/>
                <w:szCs w:val="18"/>
                <w:lang w:val="en-GB"/>
              </w:rPr>
              <w:t xml:space="preserve">already prepared or are planning to draft Energy and Climate Change plans with details on envisaged targets in relation to the reduction of GHG emissions, renewable energy share increase and other county / city targets contributing to attaining Europe 2030 objectives. </w:t>
            </w:r>
          </w:p>
        </w:tc>
        <w:tc>
          <w:tcPr>
            <w:tcW w:w="1170" w:type="dxa"/>
            <w:shd w:val="clear" w:color="auto" w:fill="FFBB13" w:themeFill="accent5"/>
          </w:tcPr>
          <w:p w14:paraId="27FC1AC0" w14:textId="42C353ED" w:rsidR="003216AD" w:rsidRPr="00037C61" w:rsidRDefault="003216AD" w:rsidP="00866764">
            <w:pPr>
              <w:rPr>
                <w:rFonts w:eastAsia="Calibri" w:cs="Calibri"/>
                <w:sz w:val="18"/>
                <w:szCs w:val="18"/>
                <w:lang w:val="en-GB"/>
              </w:rPr>
            </w:pPr>
          </w:p>
        </w:tc>
        <w:tc>
          <w:tcPr>
            <w:tcW w:w="1350" w:type="dxa"/>
            <w:shd w:val="clear" w:color="auto" w:fill="00A651" w:themeFill="accent6"/>
          </w:tcPr>
          <w:p w14:paraId="0D9AF857" w14:textId="77777777" w:rsidR="003216AD" w:rsidRPr="00037C61" w:rsidRDefault="003216AD" w:rsidP="00866764">
            <w:pPr>
              <w:rPr>
                <w:rFonts w:eastAsia="Calibri" w:cs="Calibri"/>
                <w:sz w:val="18"/>
                <w:szCs w:val="18"/>
                <w:lang w:val="en-GB"/>
              </w:rPr>
            </w:pPr>
          </w:p>
        </w:tc>
        <w:tc>
          <w:tcPr>
            <w:tcW w:w="1258" w:type="dxa"/>
            <w:shd w:val="clear" w:color="auto" w:fill="FFFF00"/>
          </w:tcPr>
          <w:p w14:paraId="0D35EB1D" w14:textId="0D4F5910" w:rsidR="003216AD" w:rsidRPr="00037C61" w:rsidRDefault="003216AD" w:rsidP="00866764">
            <w:pPr>
              <w:rPr>
                <w:rFonts w:eastAsia="Calibri" w:cs="Calibri"/>
                <w:sz w:val="18"/>
                <w:szCs w:val="18"/>
                <w:lang w:val="en-GB"/>
              </w:rPr>
            </w:pPr>
          </w:p>
        </w:tc>
        <w:tc>
          <w:tcPr>
            <w:tcW w:w="1260" w:type="dxa"/>
            <w:shd w:val="clear" w:color="auto" w:fill="FFBB13" w:themeFill="accent5"/>
          </w:tcPr>
          <w:p w14:paraId="68897247" w14:textId="38187449" w:rsidR="003216AD" w:rsidRPr="00037C61" w:rsidRDefault="003216AD" w:rsidP="00866764">
            <w:pPr>
              <w:rPr>
                <w:rFonts w:eastAsia="Calibri" w:cs="Calibri"/>
                <w:sz w:val="18"/>
                <w:szCs w:val="18"/>
                <w:lang w:val="en-GB"/>
              </w:rPr>
            </w:pPr>
          </w:p>
        </w:tc>
        <w:tc>
          <w:tcPr>
            <w:tcW w:w="1440" w:type="dxa"/>
            <w:shd w:val="clear" w:color="auto" w:fill="FFFF00"/>
          </w:tcPr>
          <w:p w14:paraId="7BF1F737" w14:textId="1BA6DE3B" w:rsidR="003216AD" w:rsidRPr="00037C61" w:rsidRDefault="003216AD" w:rsidP="00866764">
            <w:pPr>
              <w:rPr>
                <w:rFonts w:eastAsia="Calibri" w:cs="Calibri"/>
                <w:sz w:val="18"/>
                <w:szCs w:val="18"/>
                <w:lang w:val="en-GB"/>
              </w:rPr>
            </w:pPr>
          </w:p>
        </w:tc>
        <w:tc>
          <w:tcPr>
            <w:tcW w:w="1352" w:type="dxa"/>
            <w:shd w:val="clear" w:color="auto" w:fill="FFC000"/>
          </w:tcPr>
          <w:p w14:paraId="0CA5E8A1" w14:textId="77777777" w:rsidR="003216AD" w:rsidRPr="00037C61" w:rsidRDefault="003216AD" w:rsidP="00866764">
            <w:pPr>
              <w:rPr>
                <w:rFonts w:eastAsia="Calibri" w:cs="Calibri"/>
                <w:sz w:val="18"/>
                <w:szCs w:val="18"/>
                <w:lang w:val="en-GB"/>
              </w:rPr>
            </w:pPr>
          </w:p>
        </w:tc>
        <w:tc>
          <w:tcPr>
            <w:tcW w:w="1353" w:type="dxa"/>
            <w:shd w:val="clear" w:color="auto" w:fill="FFFF00"/>
          </w:tcPr>
          <w:p w14:paraId="53DA0E7A" w14:textId="77777777" w:rsidR="003216AD" w:rsidRPr="00037C61" w:rsidRDefault="003216AD" w:rsidP="00866764">
            <w:pPr>
              <w:rPr>
                <w:rFonts w:eastAsia="Calibri" w:cs="Calibri"/>
                <w:sz w:val="18"/>
                <w:szCs w:val="18"/>
                <w:lang w:val="en-GB"/>
              </w:rPr>
            </w:pPr>
          </w:p>
        </w:tc>
      </w:tr>
      <w:tr w:rsidR="00C238E8" w:rsidRPr="00283B08" w14:paraId="209FB42F" w14:textId="77777777" w:rsidTr="00E114C5">
        <w:tc>
          <w:tcPr>
            <w:tcW w:w="1861" w:type="dxa"/>
          </w:tcPr>
          <w:p w14:paraId="28A88C59" w14:textId="08EF0DBA" w:rsidR="003216AD" w:rsidRPr="00037C61" w:rsidRDefault="003216AD"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County and city strategies in the field of culture </w:t>
            </w:r>
          </w:p>
        </w:tc>
        <w:tc>
          <w:tcPr>
            <w:tcW w:w="2904" w:type="dxa"/>
          </w:tcPr>
          <w:p w14:paraId="651D01AE" w14:textId="1EE91B6D" w:rsidR="00AB22BC" w:rsidRPr="00037C61" w:rsidRDefault="00C43D91" w:rsidP="00866764">
            <w:pPr>
              <w:rPr>
                <w:rFonts w:cs="Calibri"/>
                <w:sz w:val="18"/>
                <w:szCs w:val="18"/>
                <w:lang w:val="en-GB"/>
              </w:rPr>
            </w:pPr>
            <w:r w:rsidRPr="00037C61">
              <w:rPr>
                <w:rFonts w:cs="Calibri"/>
                <w:sz w:val="18"/>
                <w:szCs w:val="18"/>
                <w:lang w:val="en-GB"/>
              </w:rPr>
              <w:t xml:space="preserve">Some counties and cities have a separate, sector, strategy in the field of culture, usually linked to the valorisation of cultural and natural heritage </w:t>
            </w:r>
            <w:r w:rsidR="00AB22BC" w:rsidRPr="00037C61">
              <w:rPr>
                <w:rFonts w:cs="Calibri"/>
                <w:sz w:val="18"/>
                <w:szCs w:val="18"/>
                <w:lang w:val="en-GB"/>
              </w:rPr>
              <w:t xml:space="preserve">for sustainable tourism, as well as for promoting an increased role of the county / city as drivers of cultural dialogue and cross-border </w:t>
            </w:r>
            <w:r w:rsidR="00AB22BC" w:rsidRPr="00037C61">
              <w:rPr>
                <w:rFonts w:cs="Calibri"/>
                <w:sz w:val="18"/>
                <w:szCs w:val="18"/>
                <w:lang w:val="en-GB"/>
              </w:rPr>
              <w:lastRenderedPageBreak/>
              <w:t>cooperation with the other side of the border.</w:t>
            </w:r>
          </w:p>
        </w:tc>
        <w:tc>
          <w:tcPr>
            <w:tcW w:w="1170" w:type="dxa"/>
            <w:shd w:val="clear" w:color="auto" w:fill="FFC000"/>
          </w:tcPr>
          <w:p w14:paraId="24D657C4" w14:textId="6BA84344" w:rsidR="003216AD" w:rsidRPr="00037C61" w:rsidRDefault="003216AD" w:rsidP="00866764">
            <w:pPr>
              <w:rPr>
                <w:rFonts w:eastAsia="Calibri" w:cs="Calibri"/>
                <w:sz w:val="18"/>
                <w:szCs w:val="18"/>
                <w:lang w:val="en-GB"/>
              </w:rPr>
            </w:pPr>
          </w:p>
        </w:tc>
        <w:tc>
          <w:tcPr>
            <w:tcW w:w="1350" w:type="dxa"/>
            <w:shd w:val="clear" w:color="auto" w:fill="FFFF00"/>
          </w:tcPr>
          <w:p w14:paraId="4DF1AEBA" w14:textId="1D39501B" w:rsidR="003216AD" w:rsidRPr="00037C61" w:rsidRDefault="003216AD" w:rsidP="00866764">
            <w:pPr>
              <w:rPr>
                <w:rFonts w:eastAsia="Calibri" w:cs="Calibri"/>
                <w:sz w:val="18"/>
                <w:szCs w:val="18"/>
                <w:lang w:val="en-GB"/>
              </w:rPr>
            </w:pPr>
          </w:p>
        </w:tc>
        <w:tc>
          <w:tcPr>
            <w:tcW w:w="1258" w:type="dxa"/>
            <w:shd w:val="clear" w:color="auto" w:fill="FFFF00"/>
          </w:tcPr>
          <w:p w14:paraId="4BC8FC12" w14:textId="77777777" w:rsidR="003216AD" w:rsidRPr="00037C61" w:rsidRDefault="003216AD" w:rsidP="00866764">
            <w:pPr>
              <w:rPr>
                <w:rFonts w:eastAsia="Calibri" w:cs="Calibri"/>
                <w:sz w:val="18"/>
                <w:szCs w:val="18"/>
                <w:lang w:val="en-GB"/>
              </w:rPr>
            </w:pPr>
          </w:p>
        </w:tc>
        <w:tc>
          <w:tcPr>
            <w:tcW w:w="1260" w:type="dxa"/>
            <w:shd w:val="clear" w:color="auto" w:fill="00A651" w:themeFill="accent6"/>
          </w:tcPr>
          <w:p w14:paraId="787B2AF5" w14:textId="77777777" w:rsidR="003216AD" w:rsidRPr="00037C61" w:rsidRDefault="003216AD" w:rsidP="00866764">
            <w:pPr>
              <w:rPr>
                <w:rFonts w:eastAsia="Calibri" w:cs="Calibri"/>
                <w:sz w:val="18"/>
                <w:szCs w:val="18"/>
                <w:lang w:val="en-GB"/>
              </w:rPr>
            </w:pPr>
          </w:p>
        </w:tc>
        <w:tc>
          <w:tcPr>
            <w:tcW w:w="1440" w:type="dxa"/>
            <w:shd w:val="clear" w:color="auto" w:fill="00A651" w:themeFill="accent6"/>
          </w:tcPr>
          <w:p w14:paraId="282BF2D7" w14:textId="77777777" w:rsidR="003216AD" w:rsidRPr="00037C61" w:rsidRDefault="003216AD" w:rsidP="00866764">
            <w:pPr>
              <w:rPr>
                <w:rFonts w:eastAsia="Calibri" w:cs="Calibri"/>
                <w:sz w:val="18"/>
                <w:szCs w:val="18"/>
                <w:lang w:val="en-GB"/>
              </w:rPr>
            </w:pPr>
          </w:p>
        </w:tc>
        <w:tc>
          <w:tcPr>
            <w:tcW w:w="1352" w:type="dxa"/>
            <w:shd w:val="clear" w:color="auto" w:fill="FFC000"/>
          </w:tcPr>
          <w:p w14:paraId="390FE312" w14:textId="77777777" w:rsidR="003216AD" w:rsidRPr="00037C61" w:rsidRDefault="003216AD" w:rsidP="00866764">
            <w:pPr>
              <w:rPr>
                <w:rFonts w:eastAsia="Calibri" w:cs="Calibri"/>
                <w:sz w:val="18"/>
                <w:szCs w:val="18"/>
                <w:lang w:val="en-GB"/>
              </w:rPr>
            </w:pPr>
          </w:p>
        </w:tc>
        <w:tc>
          <w:tcPr>
            <w:tcW w:w="1353" w:type="dxa"/>
            <w:shd w:val="clear" w:color="auto" w:fill="FFFF00"/>
          </w:tcPr>
          <w:p w14:paraId="3186EF86" w14:textId="77777777" w:rsidR="003216AD" w:rsidRPr="00037C61" w:rsidRDefault="003216AD" w:rsidP="00866764">
            <w:pPr>
              <w:rPr>
                <w:rFonts w:eastAsia="Calibri" w:cs="Calibri"/>
                <w:sz w:val="18"/>
                <w:szCs w:val="18"/>
                <w:lang w:val="en-GB"/>
              </w:rPr>
            </w:pPr>
          </w:p>
        </w:tc>
      </w:tr>
      <w:tr w:rsidR="00866764" w:rsidRPr="00283B08" w14:paraId="3778A965" w14:textId="77777777" w:rsidTr="00C238E8">
        <w:tc>
          <w:tcPr>
            <w:tcW w:w="1861" w:type="dxa"/>
          </w:tcPr>
          <w:p w14:paraId="14DE1006" w14:textId="77777777" w:rsidR="00866764" w:rsidRPr="00037C61" w:rsidRDefault="00866764" w:rsidP="00866764">
            <w:pPr>
              <w:rPr>
                <w:rFonts w:eastAsia="Calibri" w:cs="Calibri"/>
                <w:b/>
                <w:bCs/>
                <w:sz w:val="18"/>
                <w:szCs w:val="18"/>
                <w:lang w:val="en-GB"/>
              </w:rPr>
            </w:pPr>
            <w:r w:rsidRPr="00037C61">
              <w:rPr>
                <w:rFonts w:eastAsia="Calibri" w:cs="Calibri"/>
                <w:b/>
                <w:bCs/>
                <w:sz w:val="18"/>
                <w:szCs w:val="18"/>
                <w:lang w:val="en-GB"/>
              </w:rPr>
              <w:t>Policy levels beyond borders:</w:t>
            </w:r>
          </w:p>
        </w:tc>
        <w:tc>
          <w:tcPr>
            <w:tcW w:w="12087" w:type="dxa"/>
            <w:gridSpan w:val="8"/>
          </w:tcPr>
          <w:p w14:paraId="2619665C" w14:textId="2973D16E" w:rsidR="00866764" w:rsidRPr="00037C61" w:rsidRDefault="00866764" w:rsidP="005A7034">
            <w:pPr>
              <w:rPr>
                <w:rFonts w:eastAsia="Calibri" w:cs="Calibri"/>
                <w:b/>
                <w:bCs/>
                <w:sz w:val="18"/>
                <w:szCs w:val="18"/>
                <w:lang w:val="en-GB"/>
              </w:rPr>
            </w:pPr>
            <w:r w:rsidRPr="00037C61">
              <w:rPr>
                <w:rFonts w:eastAsia="Calibri" w:cs="Calibri"/>
                <w:b/>
                <w:bCs/>
                <w:sz w:val="18"/>
                <w:szCs w:val="18"/>
                <w:lang w:val="en-GB"/>
              </w:rPr>
              <w:t>The policy levels “beyond administrative borders” provide ground for testing new forms of multi-stakeholder governance for cross-border initiatives, in view to increase impact and sustainability. At micro-level, LAGs represent relatively consolidated partnership structures which are providing community services “closer to citizens” and local economic agents, under a common strategic vision. In this respect, LAGs strategies are especially relevant for PO 4 and PO 5, although they also promote rural economies and the valorisation of natural resources and are thus also relevant, to some extent, for PO 1 and PO 2. Although LAGs experience can be very relevant for rural areas, legislative and administrative barriers in the cross-border area can hinder the application of a pure CLLD approach in a cross-border context. In the same time, wider level cooperation groups, such as Euroregions and EGTCs</w:t>
            </w:r>
            <w:r w:rsidR="007D5B14" w:rsidRPr="00037C61">
              <w:rPr>
                <w:rFonts w:eastAsia="Calibri" w:cs="Calibri"/>
                <w:b/>
                <w:bCs/>
                <w:sz w:val="18"/>
                <w:szCs w:val="18"/>
                <w:lang w:val="en-GB"/>
              </w:rPr>
              <w:t xml:space="preserve"> are not clearly underlying functional areas in the Romania-Hungary border area, as the majority of these entities </w:t>
            </w:r>
            <w:r w:rsidR="005F2BD4" w:rsidRPr="00037C61">
              <w:rPr>
                <w:rFonts w:eastAsia="Calibri" w:cs="Calibri"/>
                <w:b/>
                <w:bCs/>
                <w:sz w:val="18"/>
                <w:szCs w:val="18"/>
                <w:lang w:val="en-GB"/>
              </w:rPr>
              <w:t>are associations covering more countries</w:t>
            </w:r>
            <w:r w:rsidR="007D5B14" w:rsidRPr="00037C61">
              <w:rPr>
                <w:rFonts w:eastAsia="Calibri" w:cs="Calibri"/>
                <w:b/>
                <w:bCs/>
                <w:sz w:val="18"/>
                <w:szCs w:val="18"/>
                <w:lang w:val="en-GB"/>
              </w:rPr>
              <w:t xml:space="preserve"> and thus their strategies cannot identify specific cross-border linkages</w:t>
            </w:r>
            <w:r w:rsidR="00060D36" w:rsidRPr="00037C61">
              <w:rPr>
                <w:rFonts w:eastAsia="Calibri" w:cs="Calibri"/>
                <w:b/>
                <w:bCs/>
                <w:sz w:val="18"/>
                <w:szCs w:val="18"/>
                <w:lang w:val="en-GB"/>
              </w:rPr>
              <w:t xml:space="preserve">, needs and target groups </w:t>
            </w:r>
            <w:r w:rsidR="007D5B14" w:rsidRPr="00037C61">
              <w:rPr>
                <w:rFonts w:eastAsia="Calibri" w:cs="Calibri"/>
                <w:b/>
                <w:bCs/>
                <w:sz w:val="18"/>
                <w:szCs w:val="18"/>
                <w:lang w:val="en-GB"/>
              </w:rPr>
              <w:t xml:space="preserve">exclusively </w:t>
            </w:r>
            <w:r w:rsidR="00060D36" w:rsidRPr="00037C61">
              <w:rPr>
                <w:rFonts w:eastAsia="Calibri" w:cs="Calibri"/>
                <w:b/>
                <w:bCs/>
                <w:sz w:val="18"/>
                <w:szCs w:val="18"/>
                <w:lang w:val="en-GB"/>
              </w:rPr>
              <w:t>regarding Romania and Hungary, where cross-border integrated territorial interventions shall bring added value</w:t>
            </w:r>
            <w:r w:rsidRPr="00037C61">
              <w:rPr>
                <w:rFonts w:eastAsia="Calibri" w:cs="Calibri"/>
                <w:b/>
                <w:bCs/>
                <w:sz w:val="18"/>
                <w:szCs w:val="18"/>
                <w:lang w:val="en-GB"/>
              </w:rPr>
              <w:t xml:space="preserve">. In this respect, considering that EU increasingly calls for tailored integrated territorial instruments and possibly for consolidated cross-border governance as a specific policy objective, the extent to which (and how) these cooperation structures (and their strategies) could be valorised and consolidated under the future Interreg Programme between Romania and Hungary shall be further investigated. </w:t>
            </w:r>
            <w:r w:rsidR="005A7034">
              <w:rPr>
                <w:rFonts w:eastAsia="Calibri" w:cs="Calibri"/>
                <w:b/>
                <w:bCs/>
                <w:sz w:val="18"/>
                <w:szCs w:val="18"/>
                <w:lang w:val="en-GB"/>
              </w:rPr>
              <w:t>At macro-region level, t</w:t>
            </w:r>
            <w:r w:rsidR="005A7034" w:rsidRPr="005A7034">
              <w:rPr>
                <w:rFonts w:eastAsia="Calibri" w:cs="Calibri"/>
                <w:b/>
                <w:bCs/>
                <w:sz w:val="18"/>
                <w:szCs w:val="18"/>
                <w:lang w:val="en-GB"/>
              </w:rPr>
              <w:t>he single macroregional strategy overlapping with the Hungarian-Romanian</w:t>
            </w:r>
            <w:r w:rsidR="005A7034">
              <w:rPr>
                <w:rFonts w:eastAsia="Calibri" w:cs="Calibri"/>
                <w:b/>
                <w:bCs/>
                <w:sz w:val="18"/>
                <w:szCs w:val="18"/>
                <w:lang w:val="en-GB"/>
              </w:rPr>
              <w:t xml:space="preserve"> </w:t>
            </w:r>
            <w:r w:rsidR="005A7034" w:rsidRPr="005A7034">
              <w:rPr>
                <w:rFonts w:eastAsia="Calibri" w:cs="Calibri"/>
                <w:b/>
                <w:bCs/>
                <w:sz w:val="18"/>
                <w:szCs w:val="18"/>
                <w:lang w:val="en-GB"/>
              </w:rPr>
              <w:t>border region is the EU Strategy for the Danube Region (EUSDR). The Action Plan of EUSDR was renewed in 2020 and a shortened list of priorities were selected</w:t>
            </w:r>
            <w:r w:rsidR="005A7034">
              <w:rPr>
                <w:rFonts w:eastAsia="Calibri" w:cs="Calibri"/>
                <w:b/>
                <w:bCs/>
                <w:sz w:val="18"/>
                <w:szCs w:val="18"/>
                <w:lang w:val="en-GB"/>
              </w:rPr>
              <w:t xml:space="preserve"> </w:t>
            </w:r>
            <w:r w:rsidR="005A7034" w:rsidRPr="005A7034">
              <w:rPr>
                <w:rFonts w:eastAsia="Calibri" w:cs="Calibri"/>
                <w:b/>
                <w:bCs/>
                <w:sz w:val="18"/>
                <w:szCs w:val="18"/>
                <w:lang w:val="en-GB"/>
              </w:rPr>
              <w:t>to support their embedding into national mainstream, CBC or centrally managed programmes of EU</w:t>
            </w:r>
            <w:r w:rsidR="005A7034">
              <w:rPr>
                <w:rFonts w:eastAsia="Calibri" w:cs="Calibri"/>
                <w:b/>
                <w:bCs/>
                <w:sz w:val="18"/>
                <w:szCs w:val="18"/>
                <w:lang w:val="en-GB"/>
              </w:rPr>
              <w:t>.</w:t>
            </w:r>
          </w:p>
        </w:tc>
      </w:tr>
      <w:tr w:rsidR="00C238E8" w:rsidRPr="00283B08" w14:paraId="49B5A0B9" w14:textId="77777777" w:rsidTr="00C238E8">
        <w:tc>
          <w:tcPr>
            <w:tcW w:w="1861" w:type="dxa"/>
          </w:tcPr>
          <w:p w14:paraId="2B075698"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Macroregion (EUSDR)</w:t>
            </w:r>
          </w:p>
        </w:tc>
        <w:tc>
          <w:tcPr>
            <w:tcW w:w="2904" w:type="dxa"/>
          </w:tcPr>
          <w:p w14:paraId="5391C2F5"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The EU puts great accent on the need to consolidate the correlation between Interreg programmes and the Macro-regions’ level. </w:t>
            </w:r>
          </w:p>
          <w:p w14:paraId="19F1249F"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 xml:space="preserve">In this respect, the future Interreg Programme between Romania and Hungary shall always detail the extent to which established priorities contribute to the obtainment of wider EUSDR objectives and specific actions recently planned for the period after 2020. </w:t>
            </w:r>
          </w:p>
        </w:tc>
        <w:tc>
          <w:tcPr>
            <w:tcW w:w="1170" w:type="dxa"/>
            <w:shd w:val="clear" w:color="auto" w:fill="00A651" w:themeFill="accent6"/>
          </w:tcPr>
          <w:p w14:paraId="5316A5A7" w14:textId="77777777" w:rsidR="00866764" w:rsidRPr="00037C61" w:rsidRDefault="00866764" w:rsidP="00866764">
            <w:pPr>
              <w:rPr>
                <w:rFonts w:eastAsia="Calibri" w:cs="Calibri"/>
                <w:sz w:val="18"/>
                <w:szCs w:val="18"/>
                <w:lang w:val="en-GB"/>
              </w:rPr>
            </w:pPr>
          </w:p>
        </w:tc>
        <w:tc>
          <w:tcPr>
            <w:tcW w:w="1350" w:type="dxa"/>
            <w:shd w:val="clear" w:color="auto" w:fill="00A651" w:themeFill="accent6"/>
          </w:tcPr>
          <w:p w14:paraId="26DDD2DC" w14:textId="77777777" w:rsidR="00866764" w:rsidRPr="00037C61" w:rsidRDefault="00866764" w:rsidP="00866764">
            <w:pPr>
              <w:rPr>
                <w:rFonts w:eastAsia="Calibri" w:cs="Calibri"/>
                <w:sz w:val="18"/>
                <w:szCs w:val="18"/>
                <w:lang w:val="en-GB"/>
              </w:rPr>
            </w:pPr>
          </w:p>
        </w:tc>
        <w:tc>
          <w:tcPr>
            <w:tcW w:w="1258" w:type="dxa"/>
            <w:shd w:val="clear" w:color="auto" w:fill="00A651" w:themeFill="accent6"/>
          </w:tcPr>
          <w:p w14:paraId="26EEF793" w14:textId="77777777" w:rsidR="00866764" w:rsidRPr="00037C61" w:rsidRDefault="00866764" w:rsidP="00866764">
            <w:pPr>
              <w:rPr>
                <w:rFonts w:eastAsia="Calibri" w:cs="Calibri"/>
                <w:sz w:val="18"/>
                <w:szCs w:val="18"/>
                <w:lang w:val="en-GB"/>
              </w:rPr>
            </w:pPr>
          </w:p>
        </w:tc>
        <w:tc>
          <w:tcPr>
            <w:tcW w:w="1260" w:type="dxa"/>
            <w:shd w:val="clear" w:color="auto" w:fill="00A651" w:themeFill="accent6"/>
          </w:tcPr>
          <w:p w14:paraId="389C77FA" w14:textId="77777777" w:rsidR="00866764" w:rsidRPr="00037C61" w:rsidRDefault="00866764" w:rsidP="00866764">
            <w:pPr>
              <w:rPr>
                <w:rFonts w:eastAsia="Calibri" w:cs="Calibri"/>
                <w:sz w:val="18"/>
                <w:szCs w:val="18"/>
                <w:lang w:val="en-GB"/>
              </w:rPr>
            </w:pPr>
          </w:p>
        </w:tc>
        <w:tc>
          <w:tcPr>
            <w:tcW w:w="1440" w:type="dxa"/>
            <w:shd w:val="clear" w:color="auto" w:fill="00A651" w:themeFill="accent6"/>
          </w:tcPr>
          <w:p w14:paraId="65B386C9" w14:textId="77777777" w:rsidR="00866764" w:rsidRPr="00037C61" w:rsidRDefault="00866764" w:rsidP="00866764">
            <w:pPr>
              <w:rPr>
                <w:rFonts w:eastAsia="Calibri" w:cs="Calibri"/>
                <w:sz w:val="18"/>
                <w:szCs w:val="18"/>
                <w:lang w:val="en-GB"/>
              </w:rPr>
            </w:pPr>
          </w:p>
        </w:tc>
        <w:tc>
          <w:tcPr>
            <w:tcW w:w="1352" w:type="dxa"/>
            <w:shd w:val="clear" w:color="auto" w:fill="00A651" w:themeFill="accent6"/>
          </w:tcPr>
          <w:p w14:paraId="3346CC79" w14:textId="77777777" w:rsidR="00866764" w:rsidRPr="00037C61" w:rsidRDefault="00866764" w:rsidP="00866764">
            <w:pPr>
              <w:rPr>
                <w:rFonts w:eastAsia="Calibri" w:cs="Calibri"/>
                <w:sz w:val="18"/>
                <w:szCs w:val="18"/>
                <w:lang w:val="en-GB"/>
              </w:rPr>
            </w:pPr>
          </w:p>
        </w:tc>
        <w:tc>
          <w:tcPr>
            <w:tcW w:w="1353" w:type="dxa"/>
            <w:shd w:val="clear" w:color="auto" w:fill="00A651" w:themeFill="accent6"/>
          </w:tcPr>
          <w:p w14:paraId="3E1F16AC" w14:textId="77777777" w:rsidR="00866764" w:rsidRPr="00037C61" w:rsidRDefault="00866764" w:rsidP="00866764">
            <w:pPr>
              <w:rPr>
                <w:rFonts w:eastAsia="Calibri" w:cs="Calibri"/>
                <w:sz w:val="18"/>
                <w:szCs w:val="18"/>
                <w:lang w:val="en-GB"/>
              </w:rPr>
            </w:pPr>
          </w:p>
        </w:tc>
      </w:tr>
      <w:tr w:rsidR="00C238E8" w:rsidRPr="00283B08" w14:paraId="09243E5B" w14:textId="77777777" w:rsidTr="00C238E8">
        <w:tc>
          <w:tcPr>
            <w:tcW w:w="1861" w:type="dxa"/>
          </w:tcPr>
          <w:p w14:paraId="57E3A3AF"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Euroregions </w:t>
            </w:r>
          </w:p>
        </w:tc>
        <w:tc>
          <w:tcPr>
            <w:tcW w:w="2904" w:type="dxa"/>
          </w:tcPr>
          <w:p w14:paraId="530B5F8B" w14:textId="7A2333B3" w:rsidR="00866764" w:rsidRPr="00037C61" w:rsidRDefault="00866764" w:rsidP="00FB741A">
            <w:pPr>
              <w:rPr>
                <w:rFonts w:eastAsia="Calibri" w:cs="Calibri"/>
                <w:sz w:val="18"/>
                <w:szCs w:val="18"/>
                <w:lang w:val="en-GB"/>
              </w:rPr>
            </w:pPr>
            <w:r w:rsidRPr="00037C61">
              <w:rPr>
                <w:rFonts w:eastAsia="Calibri" w:cs="Calibri"/>
                <w:sz w:val="18"/>
                <w:szCs w:val="18"/>
                <w:lang w:val="en-GB"/>
              </w:rPr>
              <w:t xml:space="preserve">Euroregions have the mission to promote cross-border cooperation in a variety of fields. </w:t>
            </w:r>
            <w:r w:rsidR="00FB741A" w:rsidRPr="00037C61">
              <w:rPr>
                <w:rFonts w:eastAsia="Calibri" w:cs="Calibri"/>
                <w:sz w:val="18"/>
                <w:szCs w:val="18"/>
                <w:lang w:val="en-GB"/>
              </w:rPr>
              <w:t>T</w:t>
            </w:r>
            <w:r w:rsidR="00EC6710" w:rsidRPr="00037C61">
              <w:rPr>
                <w:rFonts w:eastAsia="Calibri" w:cs="Calibri"/>
                <w:sz w:val="18"/>
                <w:szCs w:val="18"/>
                <w:lang w:val="en-GB"/>
              </w:rPr>
              <w:t>. Although</w:t>
            </w:r>
            <w:r w:rsidRPr="00037C61">
              <w:rPr>
                <w:rFonts w:eastAsia="Calibri" w:cs="Calibri"/>
                <w:sz w:val="18"/>
                <w:szCs w:val="18"/>
                <w:lang w:val="en-GB"/>
              </w:rPr>
              <w:t xml:space="preserve">heir </w:t>
            </w:r>
            <w:r w:rsidR="00EC6710" w:rsidRPr="00037C61">
              <w:rPr>
                <w:rFonts w:eastAsia="Calibri" w:cs="Calibri"/>
                <w:sz w:val="18"/>
                <w:szCs w:val="18"/>
                <w:lang w:val="en-GB"/>
              </w:rPr>
              <w:t>mission and their territorial coverage</w:t>
            </w:r>
            <w:r w:rsidR="00761A3E" w:rsidRPr="00037C61">
              <w:rPr>
                <w:rFonts w:eastAsia="Calibri" w:cs="Calibri"/>
                <w:sz w:val="18"/>
                <w:szCs w:val="18"/>
                <w:lang w:val="en-GB"/>
              </w:rPr>
              <w:t xml:space="preserve"> (in the case of Euroregions currently located in the PA)</w:t>
            </w:r>
            <w:r w:rsidR="00EC6710" w:rsidRPr="00037C61">
              <w:rPr>
                <w:rFonts w:eastAsia="Calibri" w:cs="Calibri"/>
                <w:sz w:val="18"/>
                <w:szCs w:val="18"/>
                <w:lang w:val="en-GB"/>
              </w:rPr>
              <w:t xml:space="preserve"> </w:t>
            </w:r>
            <w:r w:rsidR="00761A3E" w:rsidRPr="00037C61">
              <w:rPr>
                <w:rFonts w:eastAsia="Calibri" w:cs="Calibri"/>
                <w:sz w:val="18"/>
                <w:szCs w:val="18"/>
                <w:lang w:val="en-GB"/>
              </w:rPr>
              <w:t xml:space="preserve">may </w:t>
            </w:r>
            <w:r w:rsidR="00EC6710" w:rsidRPr="00037C61">
              <w:rPr>
                <w:rFonts w:eastAsia="Calibri" w:cs="Calibri"/>
                <w:sz w:val="18"/>
                <w:szCs w:val="18"/>
                <w:lang w:val="en-GB"/>
              </w:rPr>
              <w:t>go beyond the cooperation between Romania and Hungary, t</w:t>
            </w:r>
            <w:r w:rsidRPr="00037C61">
              <w:rPr>
                <w:rFonts w:eastAsia="Calibri" w:cs="Calibri"/>
                <w:sz w:val="18"/>
                <w:szCs w:val="18"/>
                <w:lang w:val="en-GB"/>
              </w:rPr>
              <w:t xml:space="preserve">heir role in the future Interreg Programme between </w:t>
            </w:r>
            <w:r w:rsidR="00EC6710" w:rsidRPr="00037C61">
              <w:rPr>
                <w:rFonts w:eastAsia="Calibri" w:cs="Calibri"/>
                <w:sz w:val="18"/>
                <w:szCs w:val="18"/>
                <w:lang w:val="en-GB"/>
              </w:rPr>
              <w:t xml:space="preserve">these </w:t>
            </w:r>
            <w:r w:rsidR="00EC6710" w:rsidRPr="00037C61">
              <w:rPr>
                <w:rFonts w:eastAsia="Calibri" w:cs="Calibri"/>
                <w:sz w:val="18"/>
                <w:szCs w:val="18"/>
                <w:lang w:val="en-GB"/>
              </w:rPr>
              <w:lastRenderedPageBreak/>
              <w:t xml:space="preserve">two countries </w:t>
            </w:r>
            <w:r w:rsidR="00FB741A" w:rsidRPr="00037C61">
              <w:rPr>
                <w:rFonts w:eastAsia="Calibri" w:cs="Calibri"/>
                <w:sz w:val="18"/>
                <w:szCs w:val="18"/>
                <w:lang w:val="en-GB"/>
              </w:rPr>
              <w:t>can create added value, even put forward by EU legislation.</w:t>
            </w:r>
            <w:r w:rsidR="00830DD5" w:rsidRPr="00037C61">
              <w:rPr>
                <w:rFonts w:eastAsia="Calibri" w:cs="Calibri"/>
                <w:sz w:val="18"/>
                <w:szCs w:val="18"/>
                <w:lang w:val="en-GB"/>
              </w:rPr>
              <w:t xml:space="preserve"> </w:t>
            </w:r>
            <w:r w:rsidR="008825ED" w:rsidRPr="00037C61">
              <w:rPr>
                <w:rFonts w:eastAsia="Calibri" w:cs="Calibri"/>
                <w:sz w:val="18"/>
                <w:szCs w:val="18"/>
                <w:lang w:val="en-GB"/>
              </w:rPr>
              <w:t>Euroregions’ strategies are, in any case, relevant for the future Interreg Programme between Romania and Hungary.</w:t>
            </w:r>
          </w:p>
        </w:tc>
        <w:tc>
          <w:tcPr>
            <w:tcW w:w="1170" w:type="dxa"/>
            <w:shd w:val="clear" w:color="auto" w:fill="FFBB13" w:themeFill="accent5"/>
          </w:tcPr>
          <w:p w14:paraId="765D31B5" w14:textId="77777777" w:rsidR="00866764" w:rsidRPr="00037C61" w:rsidRDefault="00866764" w:rsidP="00866764">
            <w:pPr>
              <w:rPr>
                <w:rFonts w:eastAsia="Calibri" w:cs="Calibri"/>
                <w:sz w:val="18"/>
                <w:szCs w:val="18"/>
                <w:lang w:val="en-GB"/>
              </w:rPr>
            </w:pPr>
          </w:p>
        </w:tc>
        <w:tc>
          <w:tcPr>
            <w:tcW w:w="1350" w:type="dxa"/>
            <w:shd w:val="clear" w:color="auto" w:fill="FFBB13" w:themeFill="accent5"/>
          </w:tcPr>
          <w:p w14:paraId="7048E144" w14:textId="77777777" w:rsidR="00866764" w:rsidRPr="00037C61" w:rsidRDefault="00866764" w:rsidP="00866764">
            <w:pPr>
              <w:rPr>
                <w:rFonts w:eastAsia="Calibri" w:cs="Calibri"/>
                <w:sz w:val="18"/>
                <w:szCs w:val="18"/>
                <w:lang w:val="en-GB"/>
              </w:rPr>
            </w:pPr>
          </w:p>
        </w:tc>
        <w:tc>
          <w:tcPr>
            <w:tcW w:w="1258" w:type="dxa"/>
            <w:shd w:val="clear" w:color="auto" w:fill="FFBB13" w:themeFill="accent5"/>
          </w:tcPr>
          <w:p w14:paraId="36F6D8ED" w14:textId="77777777" w:rsidR="00866764" w:rsidRPr="00037C61" w:rsidRDefault="00866764" w:rsidP="00866764">
            <w:pPr>
              <w:rPr>
                <w:rFonts w:eastAsia="Calibri" w:cs="Calibri"/>
                <w:sz w:val="18"/>
                <w:szCs w:val="18"/>
                <w:lang w:val="en-GB"/>
              </w:rPr>
            </w:pPr>
          </w:p>
        </w:tc>
        <w:tc>
          <w:tcPr>
            <w:tcW w:w="1260" w:type="dxa"/>
            <w:shd w:val="clear" w:color="auto" w:fill="FFBB13" w:themeFill="accent5"/>
          </w:tcPr>
          <w:p w14:paraId="36ECD33D" w14:textId="77777777" w:rsidR="00866764" w:rsidRPr="00037C61" w:rsidRDefault="00866764" w:rsidP="00866764">
            <w:pPr>
              <w:rPr>
                <w:rFonts w:eastAsia="Calibri" w:cs="Calibri"/>
                <w:sz w:val="18"/>
                <w:szCs w:val="18"/>
                <w:lang w:val="en-GB"/>
              </w:rPr>
            </w:pPr>
          </w:p>
        </w:tc>
        <w:tc>
          <w:tcPr>
            <w:tcW w:w="1440" w:type="dxa"/>
            <w:shd w:val="clear" w:color="auto" w:fill="00A651" w:themeFill="accent6"/>
          </w:tcPr>
          <w:p w14:paraId="3670AE84" w14:textId="77777777" w:rsidR="00866764" w:rsidRPr="00037C61" w:rsidRDefault="00866764" w:rsidP="00866764">
            <w:pPr>
              <w:rPr>
                <w:rFonts w:eastAsia="Calibri" w:cs="Calibri"/>
                <w:sz w:val="18"/>
                <w:szCs w:val="18"/>
                <w:lang w:val="en-GB"/>
              </w:rPr>
            </w:pPr>
          </w:p>
        </w:tc>
        <w:tc>
          <w:tcPr>
            <w:tcW w:w="1352" w:type="dxa"/>
            <w:shd w:val="clear" w:color="auto" w:fill="FFBB13" w:themeFill="accent5"/>
          </w:tcPr>
          <w:p w14:paraId="1BE3D240" w14:textId="77777777" w:rsidR="00866764" w:rsidRPr="00037C61" w:rsidRDefault="00866764" w:rsidP="00866764">
            <w:pPr>
              <w:rPr>
                <w:rFonts w:eastAsia="Calibri" w:cs="Calibri"/>
                <w:sz w:val="18"/>
                <w:szCs w:val="18"/>
                <w:lang w:val="en-GB"/>
              </w:rPr>
            </w:pPr>
          </w:p>
        </w:tc>
        <w:tc>
          <w:tcPr>
            <w:tcW w:w="1353" w:type="dxa"/>
            <w:shd w:val="clear" w:color="auto" w:fill="FFFF00"/>
          </w:tcPr>
          <w:p w14:paraId="0E05A1FE" w14:textId="77777777" w:rsidR="00866764" w:rsidRPr="00037C61" w:rsidRDefault="00866764" w:rsidP="00866764">
            <w:pPr>
              <w:rPr>
                <w:rFonts w:eastAsia="Calibri" w:cs="Calibri"/>
                <w:sz w:val="18"/>
                <w:szCs w:val="18"/>
                <w:lang w:val="en-GB"/>
              </w:rPr>
            </w:pPr>
          </w:p>
        </w:tc>
      </w:tr>
      <w:tr w:rsidR="00C238E8" w:rsidRPr="00283B08" w14:paraId="284E04B1" w14:textId="77777777" w:rsidTr="00C238E8">
        <w:tc>
          <w:tcPr>
            <w:tcW w:w="1861" w:type="dxa"/>
          </w:tcPr>
          <w:p w14:paraId="4E78DB8F"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t xml:space="preserve">Cross-border area </w:t>
            </w:r>
          </w:p>
        </w:tc>
        <w:tc>
          <w:tcPr>
            <w:tcW w:w="2904" w:type="dxa"/>
          </w:tcPr>
          <w:p w14:paraId="0D8BE720" w14:textId="77777777" w:rsidR="00866764" w:rsidRPr="00037C61" w:rsidRDefault="00866764" w:rsidP="00866764">
            <w:pPr>
              <w:rPr>
                <w:rFonts w:eastAsia="Calibri" w:cs="Calibri"/>
                <w:sz w:val="18"/>
                <w:szCs w:val="18"/>
                <w:lang w:val="en-GB"/>
              </w:rPr>
            </w:pPr>
            <w:r w:rsidRPr="00037C61">
              <w:rPr>
                <w:rFonts w:eastAsia="Calibri" w:cs="Calibri"/>
                <w:sz w:val="18"/>
                <w:szCs w:val="18"/>
                <w:lang w:val="en-GB"/>
              </w:rPr>
              <w:t>EGTCs are established as a European instrument designed to facilitate and promote cross-border, transnational and interregional cooperation. Main cooperation sectors are: agri-food, energy, culture and tourism, employment, community services, cooperation between cities.</w:t>
            </w:r>
            <w:r w:rsidR="004D4739" w:rsidRPr="00037C61">
              <w:rPr>
                <w:rFonts w:eastAsia="Calibri" w:cs="Calibri"/>
                <w:sz w:val="18"/>
                <w:szCs w:val="18"/>
                <w:lang w:val="en-GB"/>
              </w:rPr>
              <w:t xml:space="preserve"> However, out of the two strategies analysed, only one of them was referred exclusively to the Romanian and Hungarian territory, whilst functional areas were not clearly identified in both cases.</w:t>
            </w:r>
          </w:p>
          <w:p w14:paraId="4B2E78DC" w14:textId="4C65D82E" w:rsidR="00866764" w:rsidRPr="00037C61" w:rsidRDefault="006B791E" w:rsidP="00866764">
            <w:pPr>
              <w:rPr>
                <w:rFonts w:eastAsia="Calibri" w:cs="Calibri"/>
                <w:sz w:val="18"/>
                <w:szCs w:val="18"/>
                <w:lang w:val="en-GB"/>
              </w:rPr>
            </w:pPr>
            <w:r w:rsidRPr="00037C61">
              <w:rPr>
                <w:rFonts w:eastAsia="Calibri" w:cs="Calibri"/>
                <w:sz w:val="18"/>
                <w:szCs w:val="18"/>
                <w:lang w:val="en-GB"/>
              </w:rPr>
              <w:t>In any case</w:t>
            </w:r>
            <w:r w:rsidR="004D4739" w:rsidRPr="00037C61">
              <w:rPr>
                <w:rFonts w:eastAsia="Calibri" w:cs="Calibri"/>
                <w:sz w:val="18"/>
                <w:szCs w:val="18"/>
                <w:lang w:val="en-GB"/>
              </w:rPr>
              <w:t>, the</w:t>
            </w:r>
            <w:r w:rsidR="00866764" w:rsidRPr="00037C61">
              <w:rPr>
                <w:rFonts w:eastAsia="Calibri" w:cs="Calibri"/>
                <w:sz w:val="18"/>
                <w:szCs w:val="18"/>
                <w:lang w:val="en-GB"/>
              </w:rPr>
              <w:t xml:space="preserve"> extent to which the participation of EGTCs in future partnerships under Interreg projects 2021-2027 (in the above-mentioned fields) could create value added, should be further assessed (through consultations). Being a European instrument based on an EU Regulation, a reflection on EGTCs role within the future territorial cooperation in the cross-border area between Romania and Hungary is needed. </w:t>
            </w:r>
          </w:p>
        </w:tc>
        <w:tc>
          <w:tcPr>
            <w:tcW w:w="1170" w:type="dxa"/>
            <w:shd w:val="clear" w:color="auto" w:fill="FFC000"/>
          </w:tcPr>
          <w:p w14:paraId="50DF7FA4" w14:textId="60268337" w:rsidR="00866764" w:rsidRPr="00037C61" w:rsidRDefault="00866764" w:rsidP="00866764">
            <w:pPr>
              <w:rPr>
                <w:rFonts w:eastAsia="Calibri" w:cs="Calibri"/>
                <w:sz w:val="18"/>
                <w:szCs w:val="18"/>
                <w:lang w:val="en-GB"/>
              </w:rPr>
            </w:pPr>
          </w:p>
        </w:tc>
        <w:tc>
          <w:tcPr>
            <w:tcW w:w="1350" w:type="dxa"/>
            <w:shd w:val="clear" w:color="auto" w:fill="FFC000"/>
          </w:tcPr>
          <w:p w14:paraId="293089C0" w14:textId="4084B0FE" w:rsidR="00866764" w:rsidRPr="00037C61" w:rsidRDefault="00866764" w:rsidP="00866764">
            <w:pPr>
              <w:rPr>
                <w:rFonts w:eastAsia="Calibri" w:cs="Calibri"/>
                <w:sz w:val="18"/>
                <w:szCs w:val="18"/>
                <w:lang w:val="en-GB"/>
              </w:rPr>
            </w:pPr>
          </w:p>
        </w:tc>
        <w:tc>
          <w:tcPr>
            <w:tcW w:w="1258" w:type="dxa"/>
            <w:shd w:val="clear" w:color="auto" w:fill="FFC000"/>
          </w:tcPr>
          <w:p w14:paraId="4621560E" w14:textId="77777777" w:rsidR="00866764" w:rsidRPr="00037C61" w:rsidRDefault="00866764" w:rsidP="00866764">
            <w:pPr>
              <w:rPr>
                <w:rFonts w:eastAsia="Calibri" w:cs="Calibri"/>
                <w:sz w:val="18"/>
                <w:szCs w:val="18"/>
                <w:lang w:val="en-GB"/>
              </w:rPr>
            </w:pPr>
          </w:p>
        </w:tc>
        <w:tc>
          <w:tcPr>
            <w:tcW w:w="1260" w:type="dxa"/>
            <w:shd w:val="clear" w:color="auto" w:fill="FFC000"/>
          </w:tcPr>
          <w:p w14:paraId="07EF1F9F" w14:textId="79BAD895" w:rsidR="00866764" w:rsidRPr="00037C61" w:rsidRDefault="00866764" w:rsidP="00866764">
            <w:pPr>
              <w:rPr>
                <w:rFonts w:eastAsia="Calibri" w:cs="Calibri"/>
                <w:sz w:val="18"/>
                <w:szCs w:val="18"/>
                <w:lang w:val="en-GB"/>
              </w:rPr>
            </w:pPr>
          </w:p>
        </w:tc>
        <w:tc>
          <w:tcPr>
            <w:tcW w:w="1440" w:type="dxa"/>
            <w:shd w:val="clear" w:color="auto" w:fill="00A651" w:themeFill="accent6"/>
          </w:tcPr>
          <w:p w14:paraId="7B9CC3A4" w14:textId="77777777" w:rsidR="00866764" w:rsidRPr="00037C61" w:rsidRDefault="00866764" w:rsidP="00866764">
            <w:pPr>
              <w:rPr>
                <w:rFonts w:eastAsia="Calibri" w:cs="Calibri"/>
                <w:sz w:val="18"/>
                <w:szCs w:val="18"/>
                <w:lang w:val="en-GB"/>
              </w:rPr>
            </w:pPr>
          </w:p>
        </w:tc>
        <w:tc>
          <w:tcPr>
            <w:tcW w:w="1352" w:type="dxa"/>
            <w:shd w:val="clear" w:color="auto" w:fill="00A651" w:themeFill="accent6"/>
          </w:tcPr>
          <w:p w14:paraId="480A6336" w14:textId="77777777" w:rsidR="00866764" w:rsidRPr="00037C61" w:rsidRDefault="00866764" w:rsidP="00866764">
            <w:pPr>
              <w:rPr>
                <w:rFonts w:eastAsia="Calibri" w:cs="Calibri"/>
                <w:sz w:val="18"/>
                <w:szCs w:val="18"/>
                <w:lang w:val="en-GB"/>
              </w:rPr>
            </w:pPr>
          </w:p>
        </w:tc>
        <w:tc>
          <w:tcPr>
            <w:tcW w:w="1353" w:type="dxa"/>
            <w:shd w:val="clear" w:color="auto" w:fill="FFFF00"/>
          </w:tcPr>
          <w:p w14:paraId="518CF98A" w14:textId="77777777" w:rsidR="00866764" w:rsidRPr="00037C61" w:rsidRDefault="00866764" w:rsidP="00866764">
            <w:pPr>
              <w:rPr>
                <w:rFonts w:eastAsia="Calibri" w:cs="Calibri"/>
                <w:sz w:val="18"/>
                <w:szCs w:val="18"/>
                <w:lang w:val="en-GB"/>
              </w:rPr>
            </w:pPr>
          </w:p>
        </w:tc>
      </w:tr>
      <w:tr w:rsidR="00C238E8" w:rsidRPr="00283B08" w14:paraId="3501A5E4" w14:textId="77777777" w:rsidTr="00C238E8">
        <w:trPr>
          <w:trHeight w:val="4796"/>
        </w:trPr>
        <w:tc>
          <w:tcPr>
            <w:tcW w:w="1861" w:type="dxa"/>
          </w:tcPr>
          <w:p w14:paraId="5416C0CF" w14:textId="77777777" w:rsidR="00866764" w:rsidRPr="00037C61" w:rsidRDefault="00866764" w:rsidP="00014AA0">
            <w:pPr>
              <w:pStyle w:val="ListParagraph"/>
              <w:numPr>
                <w:ilvl w:val="0"/>
                <w:numId w:val="16"/>
              </w:numPr>
              <w:spacing w:after="0" w:line="240" w:lineRule="auto"/>
              <w:ind w:left="306"/>
              <w:jc w:val="left"/>
              <w:rPr>
                <w:rFonts w:cs="Calibri"/>
                <w:sz w:val="18"/>
                <w:szCs w:val="18"/>
                <w:lang w:val="en-GB"/>
              </w:rPr>
            </w:pPr>
            <w:r w:rsidRPr="00037C61">
              <w:rPr>
                <w:rFonts w:cs="Calibri"/>
                <w:sz w:val="18"/>
                <w:szCs w:val="18"/>
                <w:lang w:val="en-GB"/>
              </w:rPr>
              <w:lastRenderedPageBreak/>
              <w:t xml:space="preserve">Micro-regions </w:t>
            </w:r>
          </w:p>
        </w:tc>
        <w:tc>
          <w:tcPr>
            <w:tcW w:w="2904" w:type="dxa"/>
          </w:tcPr>
          <w:p w14:paraId="07EF9C1F" w14:textId="37AD0463" w:rsidR="00866764" w:rsidRPr="00037C61" w:rsidRDefault="00866764" w:rsidP="00866764">
            <w:pPr>
              <w:rPr>
                <w:rFonts w:eastAsia="Calibri" w:cs="Calibri"/>
                <w:sz w:val="18"/>
                <w:szCs w:val="18"/>
                <w:lang w:val="en-GB"/>
              </w:rPr>
            </w:pPr>
            <w:r w:rsidRPr="00037C61">
              <w:rPr>
                <w:rFonts w:eastAsia="Calibri" w:cs="Calibri"/>
                <w:sz w:val="18"/>
                <w:szCs w:val="18"/>
                <w:lang w:val="en-GB"/>
              </w:rPr>
              <w:t>Micro</w:t>
            </w:r>
            <w:r w:rsidR="000154BA" w:rsidRPr="00037C61">
              <w:rPr>
                <w:rFonts w:eastAsia="Calibri" w:cs="Calibri"/>
                <w:sz w:val="18"/>
                <w:szCs w:val="18"/>
                <w:lang w:val="en-GB"/>
              </w:rPr>
              <w:t>-</w:t>
            </w:r>
            <w:r w:rsidRPr="00037C61">
              <w:rPr>
                <w:rFonts w:eastAsia="Calibri" w:cs="Calibri"/>
                <w:sz w:val="18"/>
                <w:szCs w:val="18"/>
                <w:lang w:val="en-GB"/>
              </w:rPr>
              <w:t xml:space="preserve">regions’ strategies are mainly relevant for community services (notably health, employment and social services), tourism development, rural development and the promotion of local culture and local products. </w:t>
            </w:r>
          </w:p>
          <w:p w14:paraId="0E44F95A" w14:textId="02F0B77D" w:rsidR="00866764" w:rsidRPr="00037C61" w:rsidRDefault="00866764" w:rsidP="00866764">
            <w:pPr>
              <w:rPr>
                <w:rFonts w:eastAsia="Calibri" w:cs="Calibri"/>
                <w:sz w:val="18"/>
                <w:szCs w:val="18"/>
                <w:lang w:val="en-GB"/>
              </w:rPr>
            </w:pPr>
            <w:r w:rsidRPr="00037C61">
              <w:rPr>
                <w:rFonts w:eastAsia="Calibri" w:cs="Calibri"/>
                <w:sz w:val="18"/>
                <w:szCs w:val="18"/>
                <w:lang w:val="en-GB"/>
              </w:rPr>
              <w:t>The extent to which the participation of different forms of associations between public and private entities within microregions in future partnerships under Interreg projects 2021-2027 (in the above-mentioned fields) could create value added and synergies should be further assessed (through internal and external consultations). Their relevance for the cross-border area basically derives from their being rooted into local actors’ networks and traditions, rooted in the public-private nature of the partnership and, in certain cases, their relative stability as organisations (i.e. funded under other European and national funds)</w:t>
            </w:r>
            <w:r w:rsidR="17B9EB32" w:rsidRPr="00037C61">
              <w:rPr>
                <w:rFonts w:eastAsia="Calibri" w:cs="Calibri"/>
                <w:sz w:val="18"/>
                <w:szCs w:val="18"/>
                <w:lang w:val="en-GB"/>
              </w:rPr>
              <w:t>.</w:t>
            </w:r>
            <w:r w:rsidRPr="00037C61">
              <w:rPr>
                <w:rFonts w:eastAsia="Calibri" w:cs="Calibri"/>
                <w:sz w:val="18"/>
                <w:szCs w:val="18"/>
                <w:lang w:val="en-GB"/>
              </w:rPr>
              <w:t xml:space="preserve">   </w:t>
            </w:r>
          </w:p>
        </w:tc>
        <w:tc>
          <w:tcPr>
            <w:tcW w:w="1170" w:type="dxa"/>
            <w:shd w:val="clear" w:color="auto" w:fill="FFFF00"/>
          </w:tcPr>
          <w:p w14:paraId="071EABFE" w14:textId="1013CB96" w:rsidR="00866764" w:rsidRPr="00037C61" w:rsidRDefault="00866764" w:rsidP="00866764">
            <w:pPr>
              <w:rPr>
                <w:rFonts w:eastAsia="Calibri" w:cs="Calibri"/>
                <w:sz w:val="18"/>
                <w:szCs w:val="18"/>
                <w:lang w:val="en-GB"/>
              </w:rPr>
            </w:pPr>
          </w:p>
        </w:tc>
        <w:tc>
          <w:tcPr>
            <w:tcW w:w="1350" w:type="dxa"/>
            <w:shd w:val="clear" w:color="auto" w:fill="FFC000"/>
          </w:tcPr>
          <w:p w14:paraId="3EB8EEE3" w14:textId="6275EBEB" w:rsidR="00866764" w:rsidRPr="00037C61" w:rsidRDefault="00866764" w:rsidP="00866764">
            <w:pPr>
              <w:rPr>
                <w:rFonts w:eastAsia="Calibri" w:cs="Calibri"/>
                <w:sz w:val="18"/>
                <w:szCs w:val="18"/>
                <w:lang w:val="en-GB"/>
              </w:rPr>
            </w:pPr>
          </w:p>
        </w:tc>
        <w:tc>
          <w:tcPr>
            <w:tcW w:w="1258" w:type="dxa"/>
            <w:shd w:val="clear" w:color="auto" w:fill="FFFF00"/>
          </w:tcPr>
          <w:p w14:paraId="57B15C78" w14:textId="77777777" w:rsidR="00866764" w:rsidRPr="00037C61" w:rsidRDefault="00866764" w:rsidP="00866764">
            <w:pPr>
              <w:rPr>
                <w:rFonts w:eastAsia="Calibri" w:cs="Calibri"/>
                <w:sz w:val="18"/>
                <w:szCs w:val="18"/>
                <w:lang w:val="en-GB"/>
              </w:rPr>
            </w:pPr>
          </w:p>
        </w:tc>
        <w:tc>
          <w:tcPr>
            <w:tcW w:w="1260" w:type="dxa"/>
            <w:shd w:val="clear" w:color="auto" w:fill="FFC000"/>
          </w:tcPr>
          <w:p w14:paraId="4A3557E9" w14:textId="518CE91F" w:rsidR="00866764" w:rsidRPr="00037C61" w:rsidRDefault="00866764" w:rsidP="00866764">
            <w:pPr>
              <w:rPr>
                <w:rFonts w:eastAsia="Calibri" w:cs="Calibri"/>
                <w:sz w:val="18"/>
                <w:szCs w:val="18"/>
                <w:lang w:val="en-GB"/>
              </w:rPr>
            </w:pPr>
          </w:p>
        </w:tc>
        <w:tc>
          <w:tcPr>
            <w:tcW w:w="1440" w:type="dxa"/>
            <w:shd w:val="clear" w:color="auto" w:fill="00A651" w:themeFill="accent6"/>
          </w:tcPr>
          <w:p w14:paraId="7B7A6A32" w14:textId="77777777" w:rsidR="00866764" w:rsidRPr="00037C61" w:rsidRDefault="00866764" w:rsidP="00866764">
            <w:pPr>
              <w:rPr>
                <w:rFonts w:eastAsia="Calibri" w:cs="Calibri"/>
                <w:sz w:val="18"/>
                <w:szCs w:val="18"/>
                <w:lang w:val="en-GB"/>
              </w:rPr>
            </w:pPr>
          </w:p>
        </w:tc>
        <w:tc>
          <w:tcPr>
            <w:tcW w:w="1352" w:type="dxa"/>
            <w:shd w:val="clear" w:color="auto" w:fill="FFBB13" w:themeFill="accent5"/>
          </w:tcPr>
          <w:p w14:paraId="2248F73A" w14:textId="77777777" w:rsidR="00866764" w:rsidRPr="00037C61" w:rsidRDefault="00866764" w:rsidP="00866764">
            <w:pPr>
              <w:rPr>
                <w:rFonts w:eastAsia="Calibri" w:cs="Calibri"/>
                <w:color w:val="00B050"/>
                <w:sz w:val="18"/>
                <w:szCs w:val="18"/>
                <w:lang w:val="en-GB"/>
              </w:rPr>
            </w:pPr>
          </w:p>
        </w:tc>
        <w:tc>
          <w:tcPr>
            <w:tcW w:w="1353" w:type="dxa"/>
            <w:shd w:val="clear" w:color="auto" w:fill="FFFF00"/>
          </w:tcPr>
          <w:p w14:paraId="644137AC" w14:textId="77777777" w:rsidR="00866764" w:rsidRPr="00037C61" w:rsidRDefault="00866764" w:rsidP="00866764">
            <w:pPr>
              <w:rPr>
                <w:rFonts w:eastAsia="Calibri" w:cs="Calibri"/>
                <w:sz w:val="18"/>
                <w:szCs w:val="18"/>
                <w:lang w:val="en-GB"/>
              </w:rPr>
            </w:pPr>
          </w:p>
        </w:tc>
      </w:tr>
      <w:tr w:rsidR="00C238E8" w:rsidRPr="00037C61" w14:paraId="6A01133C" w14:textId="77777777" w:rsidTr="00C238E8">
        <w:trPr>
          <w:trHeight w:val="98"/>
        </w:trPr>
        <w:tc>
          <w:tcPr>
            <w:tcW w:w="4765" w:type="dxa"/>
            <w:gridSpan w:val="2"/>
            <w:shd w:val="clear" w:color="auto" w:fill="034FA3" w:themeFill="accent1"/>
          </w:tcPr>
          <w:p w14:paraId="1B45DE98" w14:textId="77777777" w:rsidR="00866764" w:rsidRPr="00037C61" w:rsidRDefault="00866764" w:rsidP="00866764">
            <w:pPr>
              <w:jc w:val="right"/>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 xml:space="preserve">Total score of the traffic light assessment per PO </w:t>
            </w:r>
          </w:p>
        </w:tc>
        <w:tc>
          <w:tcPr>
            <w:tcW w:w="1170" w:type="dxa"/>
            <w:shd w:val="clear" w:color="auto" w:fill="034FA3" w:themeFill="accent1"/>
          </w:tcPr>
          <w:p w14:paraId="62791AA0" w14:textId="0993D1FD" w:rsidR="00866764" w:rsidRPr="00037C61" w:rsidRDefault="00DF1A2A" w:rsidP="00866764">
            <w:pPr>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2</w:t>
            </w:r>
            <w:r w:rsidR="00D76C66">
              <w:rPr>
                <w:rFonts w:eastAsia="Calibri" w:cs="Calibri"/>
                <w:b/>
                <w:bCs/>
                <w:color w:val="FFFFFF" w:themeColor="background1"/>
                <w:sz w:val="20"/>
                <w:szCs w:val="20"/>
                <w:lang w:val="en-GB"/>
              </w:rPr>
              <w:t>3</w:t>
            </w:r>
          </w:p>
        </w:tc>
        <w:tc>
          <w:tcPr>
            <w:tcW w:w="1350" w:type="dxa"/>
            <w:shd w:val="clear" w:color="auto" w:fill="034FA3" w:themeFill="accent1"/>
          </w:tcPr>
          <w:p w14:paraId="5AFF48CF" w14:textId="7B433292" w:rsidR="00866764" w:rsidRPr="00037C61" w:rsidRDefault="00866764" w:rsidP="00866764">
            <w:pPr>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2</w:t>
            </w:r>
            <w:r w:rsidR="00DF1A2A" w:rsidRPr="00037C61">
              <w:rPr>
                <w:rFonts w:eastAsia="Calibri" w:cs="Calibri"/>
                <w:b/>
                <w:bCs/>
                <w:color w:val="FFFFFF" w:themeColor="background1"/>
                <w:sz w:val="20"/>
                <w:szCs w:val="20"/>
                <w:lang w:val="en-GB"/>
              </w:rPr>
              <w:t>8</w:t>
            </w:r>
          </w:p>
        </w:tc>
        <w:tc>
          <w:tcPr>
            <w:tcW w:w="1258" w:type="dxa"/>
            <w:shd w:val="clear" w:color="auto" w:fill="034FA3" w:themeFill="accent1"/>
          </w:tcPr>
          <w:p w14:paraId="0E99217E" w14:textId="5BF80206" w:rsidR="00866764" w:rsidRPr="00037C61" w:rsidRDefault="00DF1A2A" w:rsidP="00866764">
            <w:pPr>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15</w:t>
            </w:r>
          </w:p>
        </w:tc>
        <w:tc>
          <w:tcPr>
            <w:tcW w:w="1260" w:type="dxa"/>
            <w:shd w:val="clear" w:color="auto" w:fill="034FA3" w:themeFill="accent1"/>
          </w:tcPr>
          <w:p w14:paraId="23A68EA8" w14:textId="494F4600" w:rsidR="00866764" w:rsidRPr="00037C61" w:rsidRDefault="00DF1A2A" w:rsidP="00866764">
            <w:pPr>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28</w:t>
            </w:r>
          </w:p>
        </w:tc>
        <w:tc>
          <w:tcPr>
            <w:tcW w:w="1440" w:type="dxa"/>
            <w:shd w:val="clear" w:color="auto" w:fill="034FA3" w:themeFill="accent1"/>
          </w:tcPr>
          <w:p w14:paraId="47BB7921" w14:textId="013D5AE0" w:rsidR="00866764" w:rsidRPr="00037C61" w:rsidRDefault="00DF1A2A" w:rsidP="00866764">
            <w:pPr>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25</w:t>
            </w:r>
          </w:p>
        </w:tc>
        <w:tc>
          <w:tcPr>
            <w:tcW w:w="1352" w:type="dxa"/>
            <w:shd w:val="clear" w:color="auto" w:fill="034FA3" w:themeFill="accent1"/>
          </w:tcPr>
          <w:p w14:paraId="7E22C65E" w14:textId="7326C5FF" w:rsidR="00866764" w:rsidRPr="00037C61" w:rsidRDefault="00D92016" w:rsidP="00866764">
            <w:pPr>
              <w:rPr>
                <w:rFonts w:eastAsia="Calibri" w:cs="Calibri"/>
                <w:b/>
                <w:bCs/>
                <w:color w:val="FFFFFF" w:themeColor="background1"/>
                <w:sz w:val="20"/>
                <w:szCs w:val="20"/>
                <w:lang w:val="en-GB"/>
              </w:rPr>
            </w:pPr>
            <w:r>
              <w:rPr>
                <w:rFonts w:eastAsia="Calibri" w:cs="Calibri"/>
                <w:b/>
                <w:bCs/>
                <w:color w:val="FFFFFF" w:themeColor="background1"/>
                <w:sz w:val="20"/>
                <w:szCs w:val="20"/>
                <w:lang w:val="en-GB"/>
              </w:rPr>
              <w:t>20</w:t>
            </w:r>
          </w:p>
        </w:tc>
        <w:tc>
          <w:tcPr>
            <w:tcW w:w="1353" w:type="dxa"/>
            <w:shd w:val="clear" w:color="auto" w:fill="034FA3" w:themeFill="accent1"/>
          </w:tcPr>
          <w:p w14:paraId="17210D1F" w14:textId="4341BFEA" w:rsidR="00866764" w:rsidRPr="00037C61" w:rsidRDefault="00DF1A2A" w:rsidP="00866764">
            <w:pPr>
              <w:rPr>
                <w:rFonts w:eastAsia="Calibri" w:cs="Calibri"/>
                <w:b/>
                <w:bCs/>
                <w:color w:val="FFFFFF" w:themeColor="background1"/>
                <w:sz w:val="20"/>
                <w:szCs w:val="20"/>
                <w:lang w:val="en-GB"/>
              </w:rPr>
            </w:pPr>
            <w:r w:rsidRPr="00037C61">
              <w:rPr>
                <w:rFonts w:eastAsia="Calibri" w:cs="Calibri"/>
                <w:b/>
                <w:bCs/>
                <w:color w:val="FFFFFF" w:themeColor="background1"/>
                <w:sz w:val="20"/>
                <w:szCs w:val="20"/>
                <w:lang w:val="en-GB"/>
              </w:rPr>
              <w:t>5</w:t>
            </w:r>
          </w:p>
        </w:tc>
      </w:tr>
    </w:tbl>
    <w:p w14:paraId="65474914" w14:textId="77777777" w:rsidR="00866764" w:rsidRPr="00037C61" w:rsidRDefault="00866764" w:rsidP="00866764">
      <w:pPr>
        <w:spacing w:after="0"/>
        <w:rPr>
          <w:rFonts w:eastAsia="Calibri" w:cs="Calibri"/>
          <w:sz w:val="20"/>
          <w:szCs w:val="20"/>
          <w:lang w:val="en-GB"/>
        </w:rPr>
      </w:pPr>
      <w:r w:rsidRPr="00037C61">
        <w:rPr>
          <w:rFonts w:asciiTheme="minorHAnsi" w:hAnsiTheme="minorHAnsi" w:cstheme="minorHAnsi"/>
          <w:noProof/>
          <w:lang w:val="ro-RO" w:eastAsia="ro-RO"/>
        </w:rPr>
        <mc:AlternateContent>
          <mc:Choice Requires="wps">
            <w:drawing>
              <wp:inline distT="0" distB="0" distL="0" distR="0" wp14:anchorId="6165B953" wp14:editId="1683A249">
                <wp:extent cx="609600" cy="123825"/>
                <wp:effectExtent l="0" t="0" r="19050" b="28575"/>
                <wp:docPr id="799357037" name="Rettangolo 7"/>
                <wp:cNvGraphicFramePr/>
                <a:graphic xmlns:a="http://schemas.openxmlformats.org/drawingml/2006/main">
                  <a:graphicData uri="http://schemas.microsoft.com/office/word/2010/wordprocessingShape">
                    <wps:wsp>
                      <wps:cNvSpPr/>
                      <wps:spPr>
                        <a:xfrm>
                          <a:off x="0" y="0"/>
                          <a:ext cx="609600" cy="123825"/>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D76D7A8">
              <v:rect id="Rettangolo 7" style="width:48pt;height:9.75pt;visibility:visible;mso-wrap-style:square;mso-left-percent:-10001;mso-top-percent:-10001;mso-position-horizontal:absolute;mso-position-horizontal-relative:char;mso-position-vertical:absolute;mso-position-vertical-relative:line;mso-left-percent:-10001;mso-top-percent:-10001;v-text-anchor:middle" o:spid="_x0000_s1026" fillcolor="#00b050" strokecolor="#012751 [1604]" strokeweight="1pt" w14:anchorId="543D4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">
                <w10:anchorlock/>
              </v:rect>
            </w:pict>
          </mc:Fallback>
        </mc:AlternateContent>
      </w:r>
      <w:r w:rsidRPr="00037C61">
        <w:rPr>
          <w:rFonts w:eastAsia="Calibri" w:cs="Calibri"/>
          <w:sz w:val="20"/>
          <w:szCs w:val="20"/>
          <w:lang w:val="en-GB"/>
        </w:rPr>
        <w:t xml:space="preserve"> High relevance / complementarity / synergy (2 points) </w:t>
      </w:r>
    </w:p>
    <w:p w14:paraId="7ACB8058" w14:textId="77777777" w:rsidR="00866764" w:rsidRPr="00037C61" w:rsidRDefault="00866764" w:rsidP="00866764">
      <w:pPr>
        <w:spacing w:after="0"/>
        <w:rPr>
          <w:rFonts w:eastAsia="Calibri" w:cs="Calibri"/>
          <w:sz w:val="20"/>
          <w:szCs w:val="20"/>
          <w:lang w:val="en-GB"/>
        </w:rPr>
      </w:pPr>
      <w:r w:rsidRPr="00037C61">
        <w:rPr>
          <w:rFonts w:asciiTheme="minorHAnsi" w:hAnsiTheme="minorHAnsi" w:cstheme="minorHAnsi"/>
          <w:noProof/>
          <w:lang w:val="ro-RO" w:eastAsia="ro-RO"/>
        </w:rPr>
        <mc:AlternateContent>
          <mc:Choice Requires="wps">
            <w:drawing>
              <wp:inline distT="0" distB="0" distL="0" distR="0" wp14:anchorId="52F58B08" wp14:editId="30E39ACF">
                <wp:extent cx="600075" cy="123825"/>
                <wp:effectExtent l="0" t="0" r="28575" b="28575"/>
                <wp:docPr id="799357055" name="Rettangolo 8"/>
                <wp:cNvGraphicFramePr/>
                <a:graphic xmlns:a="http://schemas.openxmlformats.org/drawingml/2006/main">
                  <a:graphicData uri="http://schemas.microsoft.com/office/word/2010/wordprocessingShape">
                    <wps:wsp>
                      <wps:cNvSpPr/>
                      <wps:spPr>
                        <a:xfrm>
                          <a:off x="0" y="0"/>
                          <a:ext cx="600075" cy="12382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3BC6A6D">
              <v:rect id="Rettangolo 8" style="width:47.25pt;height:9.75pt;visibility:visible;mso-wrap-style:square;mso-left-percent:-10001;mso-top-percent:-10001;mso-position-horizontal:absolute;mso-position-horizontal-relative:char;mso-position-vertical:absolute;mso-position-vertical-relative:line;mso-left-percent:-10001;mso-top-percent:-10001;v-text-anchor:middle" o:spid="_x0000_s1026" fillcolor="#ffc000" strokecolor="#012751 [1604]" strokeweight="1pt" w14:anchorId="3210E4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">
                <w10:anchorlock/>
              </v:rect>
            </w:pict>
          </mc:Fallback>
        </mc:AlternateContent>
      </w:r>
      <w:r w:rsidRPr="00037C61">
        <w:rPr>
          <w:rFonts w:eastAsia="Calibri" w:cs="Calibri"/>
          <w:sz w:val="20"/>
          <w:szCs w:val="20"/>
          <w:lang w:val="en-GB"/>
        </w:rPr>
        <w:t xml:space="preserve"> Medium relevance / complementarity / synergy (1 point) </w:t>
      </w:r>
    </w:p>
    <w:p w14:paraId="6C07A860" w14:textId="77777777" w:rsidR="00866764" w:rsidRPr="00037C61" w:rsidRDefault="00866764" w:rsidP="00866764">
      <w:pPr>
        <w:spacing w:after="0"/>
        <w:rPr>
          <w:rFonts w:asciiTheme="minorHAnsi" w:hAnsiTheme="minorHAnsi" w:cstheme="minorHAnsi"/>
          <w:lang w:val="en-GB"/>
        </w:rPr>
        <w:sectPr w:rsidR="00866764" w:rsidRPr="00037C61" w:rsidSect="00276523">
          <w:pgSz w:w="16838" w:h="11906" w:orient="landscape"/>
          <w:pgMar w:top="1440" w:right="1440" w:bottom="1440" w:left="1440" w:header="708" w:footer="708" w:gutter="0"/>
          <w:cols w:space="708"/>
          <w:docGrid w:linePitch="360"/>
        </w:sectPr>
      </w:pPr>
      <w:r w:rsidRPr="00037C61">
        <w:rPr>
          <w:rFonts w:asciiTheme="minorHAnsi" w:hAnsiTheme="minorHAnsi" w:cstheme="minorHAnsi"/>
          <w:noProof/>
          <w:lang w:val="ro-RO" w:eastAsia="ro-RO"/>
        </w:rPr>
        <mc:AlternateContent>
          <mc:Choice Requires="wps">
            <w:drawing>
              <wp:inline distT="0" distB="0" distL="0" distR="0" wp14:anchorId="26B6B611" wp14:editId="4A736CDD">
                <wp:extent cx="590550" cy="123825"/>
                <wp:effectExtent l="0" t="0" r="19050" b="28575"/>
                <wp:docPr id="64" name="Rettangolo 9"/>
                <wp:cNvGraphicFramePr/>
                <a:graphic xmlns:a="http://schemas.openxmlformats.org/drawingml/2006/main">
                  <a:graphicData uri="http://schemas.microsoft.com/office/word/2010/wordprocessingShape">
                    <wps:wsp>
                      <wps:cNvSpPr/>
                      <wps:spPr>
                        <a:xfrm>
                          <a:off x="0" y="0"/>
                          <a:ext cx="590550" cy="12382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BCCDAE7">
              <v:rect id="Rettangolo 9" style="width:46.5pt;height:9.75pt;visibility:visible;mso-wrap-style:square;mso-left-percent:-10001;mso-top-percent:-10001;mso-position-horizontal:absolute;mso-position-horizontal-relative:char;mso-position-vertical:absolute;mso-position-vertical-relative:line;mso-left-percent:-10001;mso-top-percent:-10001;v-text-anchor:middle" o:spid="_x0000_s1026" fillcolor="yellow" strokecolor="#012751 [1604]" strokeweight="1pt" w14:anchorId="0370FD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">
                <w10:anchorlock/>
              </v:rect>
            </w:pict>
          </mc:Fallback>
        </mc:AlternateContent>
      </w:r>
      <w:r w:rsidRPr="00037C61">
        <w:rPr>
          <w:rFonts w:eastAsia="Calibri" w:cs="Calibri"/>
          <w:sz w:val="20"/>
          <w:szCs w:val="20"/>
          <w:lang w:val="en-GB"/>
        </w:rPr>
        <w:t xml:space="preserve"> Low – no relevance / complementarity / synergy (no points) </w:t>
      </w:r>
    </w:p>
    <w:p w14:paraId="7CD3672D" w14:textId="77777777" w:rsidR="00866764" w:rsidRPr="00037C61" w:rsidRDefault="00866764" w:rsidP="00866764">
      <w:pPr>
        <w:rPr>
          <w:rFonts w:eastAsia="Calibri" w:cs="Calibri"/>
          <w:lang w:val="en-GB"/>
        </w:rPr>
      </w:pPr>
    </w:p>
    <w:p w14:paraId="552A36BD" w14:textId="39BB956F" w:rsidR="00866764" w:rsidRPr="00A27D38" w:rsidRDefault="00866764" w:rsidP="00286861">
      <w:pPr>
        <w:pStyle w:val="Heading2"/>
        <w:rPr>
          <w:rFonts w:asciiTheme="minorHAnsi" w:hAnsiTheme="minorHAnsi" w:cstheme="minorBidi"/>
          <w:sz w:val="22"/>
          <w:szCs w:val="22"/>
        </w:rPr>
      </w:pPr>
      <w:bookmarkStart w:id="6" w:name="_Toc64619515"/>
      <w:r w:rsidRPr="00A27D38">
        <w:t>Lessons learnt from the current Interreg Programme Romania-Hungary 2014-2020</w:t>
      </w:r>
      <w:bookmarkEnd w:id="6"/>
      <w:r w:rsidRPr="00A27D38">
        <w:t xml:space="preserve"> </w:t>
      </w:r>
    </w:p>
    <w:p w14:paraId="4F82C135" w14:textId="77777777" w:rsidR="00866764" w:rsidRPr="00037C61" w:rsidRDefault="00866764" w:rsidP="00866764">
      <w:pPr>
        <w:rPr>
          <w:rFonts w:eastAsia="Calibri" w:cs="Calibri"/>
          <w:lang w:val="en-GB"/>
        </w:rPr>
      </w:pPr>
    </w:p>
    <w:p w14:paraId="663AF235" w14:textId="68FDD86B" w:rsidR="00866764" w:rsidRPr="00037C61" w:rsidRDefault="004725C1" w:rsidP="00866764">
      <w:pPr>
        <w:rPr>
          <w:rFonts w:eastAsia="Calibri" w:cs="Calibri"/>
          <w:lang w:val="en-GB"/>
        </w:rPr>
      </w:pPr>
      <w:r w:rsidRPr="00037C61">
        <w:rPr>
          <w:rFonts w:eastAsia="Calibri" w:cs="Calibri"/>
          <w:lang w:val="en-GB"/>
        </w:rPr>
        <w:t>In</w:t>
      </w:r>
      <w:r w:rsidR="00866764" w:rsidRPr="00037C61">
        <w:rPr>
          <w:rFonts w:eastAsia="Calibri" w:cs="Calibri"/>
          <w:lang w:val="en-GB"/>
        </w:rPr>
        <w:t xml:space="preserve"> </w:t>
      </w:r>
      <w:r w:rsidRPr="00037C61">
        <w:rPr>
          <w:rFonts w:eastAsia="Calibri" w:cs="Calibri"/>
          <w:lang w:val="en-GB"/>
        </w:rPr>
        <w:t xml:space="preserve">December </w:t>
      </w:r>
      <w:r w:rsidR="00866764" w:rsidRPr="00037C61">
        <w:rPr>
          <w:rFonts w:eastAsia="Calibri" w:cs="Calibri"/>
          <w:lang w:val="en-GB"/>
        </w:rPr>
        <w:t xml:space="preserve">2020, the total value of contracted interventions amounts to around EUR </w:t>
      </w:r>
      <w:r w:rsidRPr="00037C61">
        <w:rPr>
          <w:rFonts w:eastAsia="Calibri" w:cs="Calibri"/>
          <w:lang w:val="en-GB"/>
        </w:rPr>
        <w:t>175</w:t>
      </w:r>
      <w:r w:rsidR="00866764" w:rsidRPr="00037C61">
        <w:rPr>
          <w:rFonts w:eastAsia="Calibri" w:cs="Calibri"/>
          <w:lang w:val="en-GB"/>
        </w:rPr>
        <w:t xml:space="preserve"> million</w:t>
      </w:r>
      <w:r w:rsidRPr="00037C61">
        <w:rPr>
          <w:rFonts w:eastAsia="Calibri" w:cs="Calibri"/>
          <w:lang w:val="en-GB"/>
        </w:rPr>
        <w:t xml:space="preserve"> ERDF</w:t>
      </w:r>
      <w:r w:rsidR="00866764" w:rsidRPr="00037C61">
        <w:rPr>
          <w:rFonts w:eastAsia="Calibri" w:cs="Calibri"/>
          <w:lang w:val="en-GB"/>
        </w:rPr>
        <w:t xml:space="preserve">, representing </w:t>
      </w:r>
      <w:r w:rsidRPr="00037C61">
        <w:rPr>
          <w:rFonts w:eastAsia="Calibri" w:cs="Calibri"/>
          <w:lang w:val="en-GB"/>
        </w:rPr>
        <w:t xml:space="preserve">119 </w:t>
      </w:r>
      <w:r w:rsidR="00866764" w:rsidRPr="00037C61">
        <w:rPr>
          <w:rFonts w:eastAsia="Calibri" w:cs="Calibri"/>
          <w:lang w:val="en-GB"/>
        </w:rPr>
        <w:t xml:space="preserve">projects. The distribution of total contracted values by Priority Axis shows that cooperation projects on health-care prevention, common values and resources and employment, together covers </w:t>
      </w:r>
      <w:r w:rsidRPr="00037C61">
        <w:rPr>
          <w:rFonts w:eastAsia="Calibri" w:cs="Calibri"/>
          <w:lang w:val="en-GB"/>
        </w:rPr>
        <w:t>93.11</w:t>
      </w:r>
      <w:r w:rsidR="00866764" w:rsidRPr="00037C61">
        <w:rPr>
          <w:rFonts w:eastAsia="Calibri" w:cs="Calibri"/>
          <w:lang w:val="en-GB"/>
        </w:rPr>
        <w:t xml:space="preserve">% of total contracted amount. </w:t>
      </w:r>
    </w:p>
    <w:p w14:paraId="7E6AC0EE" w14:textId="77777777" w:rsidR="00866764" w:rsidRPr="00037C61" w:rsidRDefault="00866764" w:rsidP="00866764">
      <w:pPr>
        <w:keepNext/>
        <w:rPr>
          <w:lang w:val="en-GB"/>
        </w:rPr>
      </w:pPr>
      <w:r w:rsidRPr="00037C61">
        <w:rPr>
          <w:noProof/>
          <w:lang w:val="ro-RO" w:eastAsia="ro-RO"/>
        </w:rPr>
        <w:drawing>
          <wp:inline distT="0" distB="0" distL="0" distR="0" wp14:anchorId="49242716" wp14:editId="68BF3AA0">
            <wp:extent cx="5724524" cy="3162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32">
                      <a:extLst>
                        <a:ext uri="{28A0092B-C50C-407E-A947-70E740481C1C}">
                          <a14:useLocalDpi xmlns:a14="http://schemas.microsoft.com/office/drawing/2010/main"/>
                        </a:ext>
                      </a:extLst>
                    </a:blip>
                    <a:stretch>
                      <a:fillRect/>
                    </a:stretch>
                  </pic:blipFill>
                  <pic:spPr>
                    <a:xfrm>
                      <a:off x="0" y="0"/>
                      <a:ext cx="5724524" cy="3162300"/>
                    </a:xfrm>
                    <a:prstGeom prst="rect">
                      <a:avLst/>
                    </a:prstGeom>
                  </pic:spPr>
                </pic:pic>
              </a:graphicData>
            </a:graphic>
          </wp:inline>
        </w:drawing>
      </w:r>
    </w:p>
    <w:p w14:paraId="607856F5" w14:textId="3186CDE9" w:rsidR="00866764" w:rsidRPr="00037C61" w:rsidRDefault="00866764" w:rsidP="00866764">
      <w:pPr>
        <w:pStyle w:val="Caption"/>
        <w:jc w:val="both"/>
        <w:rPr>
          <w:lang w:val="en-GB"/>
        </w:rPr>
      </w:pPr>
      <w:bookmarkStart w:id="7" w:name="_Toc6461094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w:t>
      </w:r>
      <w:r w:rsidR="00412697">
        <w:rPr>
          <w:lang w:val="en-GB"/>
        </w:rPr>
        <w:fldChar w:fldCharType="end"/>
      </w:r>
      <w:r w:rsidRPr="00037C61">
        <w:rPr>
          <w:lang w:val="en-GB"/>
        </w:rPr>
        <w:t xml:space="preserve"> - Total contracted value</w:t>
      </w:r>
      <w:bookmarkEnd w:id="7"/>
    </w:p>
    <w:p w14:paraId="03ACCF72" w14:textId="77777777" w:rsidR="00866764" w:rsidRPr="00037C61" w:rsidRDefault="00866764" w:rsidP="00866764">
      <w:pPr>
        <w:rPr>
          <w:i/>
          <w:iCs/>
          <w:color w:val="012751" w:themeColor="text2"/>
          <w:sz w:val="18"/>
          <w:szCs w:val="18"/>
          <w:lang w:val="en-GB"/>
        </w:rPr>
      </w:pPr>
      <w:r w:rsidRPr="00037C61">
        <w:rPr>
          <w:i/>
          <w:iCs/>
          <w:color w:val="012751" w:themeColor="text2"/>
          <w:sz w:val="18"/>
          <w:szCs w:val="18"/>
          <w:lang w:val="en-GB"/>
        </w:rPr>
        <w:t>Source: Data provided by the Programme MA</w:t>
      </w:r>
    </w:p>
    <w:p w14:paraId="4DB0DCF8" w14:textId="4F833D31" w:rsidR="00161A9A" w:rsidRPr="00037C61" w:rsidRDefault="00E74A8F" w:rsidP="00866764">
      <w:pPr>
        <w:rPr>
          <w:rFonts w:eastAsia="Calibri" w:cs="Calibri"/>
          <w:lang w:val="en-GB"/>
        </w:rPr>
      </w:pPr>
      <w:r w:rsidRPr="00037C61">
        <w:rPr>
          <w:rFonts w:eastAsia="Calibri" w:cs="Calibri"/>
          <w:lang w:val="en-GB"/>
        </w:rPr>
        <w:t>Looking at the outputs and results obtained up to date, a</w:t>
      </w:r>
      <w:r w:rsidR="003A4737" w:rsidRPr="00037C61">
        <w:rPr>
          <w:rFonts w:eastAsia="Calibri" w:cs="Calibri"/>
          <w:lang w:val="en-GB"/>
        </w:rPr>
        <w:t xml:space="preserve">n important lesson learnt in terms of Programme intervention logics is related to the </w:t>
      </w:r>
      <w:r w:rsidR="003A4737" w:rsidRPr="00037C61">
        <w:rPr>
          <w:rFonts w:eastAsia="Calibri" w:cs="Calibri"/>
          <w:b/>
          <w:bCs/>
          <w:lang w:val="en-GB"/>
        </w:rPr>
        <w:t>need to reinforce the linkages between needs observed, envisaged interventions and programme indicators</w:t>
      </w:r>
      <w:r w:rsidR="003A4737" w:rsidRPr="00037C61">
        <w:rPr>
          <w:rFonts w:eastAsia="Calibri" w:cs="Calibri"/>
          <w:lang w:val="en-GB"/>
        </w:rPr>
        <w:t>, in order to be able to better assess programme and projects’ results</w:t>
      </w:r>
      <w:r w:rsidR="004A0962" w:rsidRPr="00037C61">
        <w:rPr>
          <w:rFonts w:eastAsia="Calibri" w:cs="Calibri"/>
          <w:lang w:val="en-GB"/>
        </w:rPr>
        <w:t>,</w:t>
      </w:r>
      <w:r w:rsidR="003A4737" w:rsidRPr="00037C61">
        <w:rPr>
          <w:rFonts w:eastAsia="Calibri" w:cs="Calibri"/>
          <w:lang w:val="en-GB"/>
        </w:rPr>
        <w:t xml:space="preserve"> territorial</w:t>
      </w:r>
      <w:r w:rsidR="004A0962" w:rsidRPr="00037C61">
        <w:rPr>
          <w:rFonts w:eastAsia="Calibri" w:cs="Calibri"/>
          <w:lang w:val="en-GB"/>
        </w:rPr>
        <w:t xml:space="preserve"> and social</w:t>
      </w:r>
      <w:r w:rsidR="003A4737" w:rsidRPr="00037C61">
        <w:rPr>
          <w:rFonts w:eastAsia="Calibri" w:cs="Calibri"/>
          <w:lang w:val="en-GB"/>
        </w:rPr>
        <w:t xml:space="preserve"> impacts.</w:t>
      </w:r>
      <w:r w:rsidR="00B85ABD" w:rsidRPr="00037C61">
        <w:rPr>
          <w:rFonts w:eastAsia="Calibri" w:cs="Calibri"/>
          <w:lang w:val="en-GB"/>
        </w:rPr>
        <w:t xml:space="preserve"> </w:t>
      </w:r>
    </w:p>
    <w:p w14:paraId="1EA174F1" w14:textId="65D6CDFF" w:rsidR="00D07874" w:rsidRPr="00037C61" w:rsidRDefault="004B421A" w:rsidP="00866764">
      <w:pPr>
        <w:rPr>
          <w:rFonts w:eastAsia="Calibri" w:cs="Calibri"/>
          <w:lang w:val="en-GB"/>
        </w:rPr>
      </w:pPr>
      <w:r w:rsidRPr="00037C61">
        <w:rPr>
          <w:rFonts w:eastAsia="Calibri" w:cs="Calibri"/>
          <w:lang w:val="en-GB"/>
        </w:rPr>
        <w:t>In particular, although the selected Programme output and result indicators will probably be attained, it has been argued</w:t>
      </w:r>
      <w:r w:rsidRPr="00037C61">
        <w:rPr>
          <w:rStyle w:val="FootnoteReference"/>
          <w:rFonts w:eastAsia="Calibri" w:cs="Calibri"/>
          <w:lang w:val="en-GB"/>
        </w:rPr>
        <w:footnoteReference w:id="12"/>
      </w:r>
      <w:r w:rsidRPr="00037C61">
        <w:rPr>
          <w:rFonts w:eastAsia="Calibri" w:cs="Calibri"/>
          <w:lang w:val="en-GB"/>
        </w:rPr>
        <w:t xml:space="preserve"> that they will not be able to fully depict the socio-economic and territorial impact of the Programme, mainly due to a weak linkage between result indicators and the funded interventions</w:t>
      </w:r>
      <w:r w:rsidR="00D07874" w:rsidRPr="00037C61">
        <w:rPr>
          <w:rFonts w:eastAsia="Calibri" w:cs="Calibri"/>
          <w:lang w:val="en-GB"/>
        </w:rPr>
        <w:t xml:space="preserve">. In this respect, the Evaluation Report of the current Programme found out that </w:t>
      </w:r>
      <w:r w:rsidRPr="00037C61">
        <w:rPr>
          <w:rFonts w:eastAsia="Calibri" w:cs="Calibri"/>
          <w:lang w:val="en-GB"/>
        </w:rPr>
        <w:t xml:space="preserve">many Programme indicators (i.e. unemployment rates, tourists’ flow) </w:t>
      </w:r>
      <w:r w:rsidR="00D07874" w:rsidRPr="00037C61">
        <w:rPr>
          <w:rFonts w:eastAsia="Calibri" w:cs="Calibri"/>
          <w:lang w:val="en-GB"/>
        </w:rPr>
        <w:t>are</w:t>
      </w:r>
      <w:r w:rsidRPr="00037C61">
        <w:rPr>
          <w:rFonts w:eastAsia="Calibri" w:cs="Calibri"/>
          <w:lang w:val="en-GB"/>
        </w:rPr>
        <w:t xml:space="preserve"> too much influenced by external factors and </w:t>
      </w:r>
      <w:r w:rsidR="00D07874" w:rsidRPr="00037C61">
        <w:rPr>
          <w:rFonts w:eastAsia="Calibri" w:cs="Calibri"/>
          <w:lang w:val="en-GB"/>
        </w:rPr>
        <w:t xml:space="preserve">do </w:t>
      </w:r>
      <w:r w:rsidRPr="00037C61">
        <w:rPr>
          <w:rFonts w:eastAsia="Calibri" w:cs="Calibri"/>
          <w:lang w:val="en-GB"/>
        </w:rPr>
        <w:t>not really deriv</w:t>
      </w:r>
      <w:r w:rsidR="00D07874" w:rsidRPr="00037C61">
        <w:rPr>
          <w:rFonts w:eastAsia="Calibri" w:cs="Calibri"/>
          <w:lang w:val="en-GB"/>
        </w:rPr>
        <w:t>e</w:t>
      </w:r>
      <w:r w:rsidRPr="00037C61">
        <w:rPr>
          <w:rFonts w:eastAsia="Calibri" w:cs="Calibri"/>
          <w:lang w:val="en-GB"/>
        </w:rPr>
        <w:t xml:space="preserve"> from beneficiaries’ interventions. </w:t>
      </w:r>
    </w:p>
    <w:p w14:paraId="66967373" w14:textId="52FE3A81" w:rsidR="003A4737" w:rsidRPr="00037C61" w:rsidRDefault="00B85ABD" w:rsidP="00866764">
      <w:pPr>
        <w:rPr>
          <w:rFonts w:eastAsia="Calibri" w:cs="Calibri"/>
          <w:lang w:val="en-GB"/>
        </w:rPr>
      </w:pPr>
      <w:r w:rsidRPr="00037C61">
        <w:rPr>
          <w:rFonts w:eastAsia="Calibri" w:cs="Calibri"/>
          <w:lang w:val="en-GB"/>
        </w:rPr>
        <w:lastRenderedPageBreak/>
        <w:t>This issue has been further analysed by looking deeper into the Flagship projects’ rationale, strengths and weaknesses, as emerged from the assessment grids (see below main outcomes of this analysis).</w:t>
      </w:r>
      <w:r w:rsidR="00E74A8F" w:rsidRPr="00037C61">
        <w:rPr>
          <w:rFonts w:eastAsia="Calibri" w:cs="Calibri"/>
          <w:lang w:val="en-GB"/>
        </w:rPr>
        <w:t xml:space="preserve"> </w:t>
      </w:r>
      <w:r w:rsidR="00B72D27" w:rsidRPr="00037C61">
        <w:rPr>
          <w:rFonts w:eastAsia="Calibri" w:cs="Calibri"/>
          <w:lang w:val="en-GB"/>
        </w:rPr>
        <w:t>In this respect, t</w:t>
      </w:r>
      <w:r w:rsidR="00E74A8F" w:rsidRPr="00037C61">
        <w:rPr>
          <w:rFonts w:eastAsia="Calibri" w:cs="Calibri"/>
          <w:lang w:val="en-GB"/>
        </w:rPr>
        <w:t xml:space="preserve">he choice of programme indicators and the </w:t>
      </w:r>
      <w:r w:rsidR="00B72D27" w:rsidRPr="00037C61">
        <w:rPr>
          <w:rFonts w:eastAsia="Calibri" w:cs="Calibri"/>
          <w:lang w:val="en-GB"/>
        </w:rPr>
        <w:t>methodology for the establishment of the performance framework, in close connection with the programme intervention logics (needs – priorities – types of interventions – expected outputs and results) emerge as key issues for a more effective programme monitoring and evaluation.</w:t>
      </w:r>
      <w:r w:rsidR="00A65EA3" w:rsidRPr="00037C61">
        <w:rPr>
          <w:rFonts w:eastAsia="Calibri" w:cs="Calibri"/>
          <w:lang w:val="en-GB"/>
        </w:rPr>
        <w:t xml:space="preserve"> Stronger programme intervention logics is the basis for stronger projects’ intervention logics and higher programme </w:t>
      </w:r>
      <w:r w:rsidR="004A0962" w:rsidRPr="00037C61">
        <w:rPr>
          <w:rFonts w:eastAsia="Calibri" w:cs="Calibri"/>
          <w:lang w:val="en-GB"/>
        </w:rPr>
        <w:t>capacity to generate expected changes</w:t>
      </w:r>
      <w:r w:rsidR="00A65EA3" w:rsidRPr="00037C61">
        <w:rPr>
          <w:rFonts w:eastAsia="Calibri" w:cs="Calibri"/>
          <w:lang w:val="en-GB"/>
        </w:rPr>
        <w:t xml:space="preserve">. </w:t>
      </w:r>
    </w:p>
    <w:p w14:paraId="179F051C" w14:textId="6D6477A1" w:rsidR="00866764" w:rsidRPr="00037C61" w:rsidRDefault="003A4737" w:rsidP="00866764">
      <w:pPr>
        <w:rPr>
          <w:rFonts w:eastAsia="Calibri" w:cs="Calibri"/>
          <w:lang w:val="en-GB"/>
        </w:rPr>
      </w:pPr>
      <w:r w:rsidRPr="00037C61">
        <w:rPr>
          <w:rFonts w:eastAsia="Calibri" w:cs="Calibri"/>
          <w:lang w:val="en-GB"/>
        </w:rPr>
        <w:t xml:space="preserve">Other </w:t>
      </w:r>
      <w:r w:rsidR="00866764" w:rsidRPr="00037C61">
        <w:rPr>
          <w:rFonts w:eastAsia="Calibri" w:cs="Calibri"/>
          <w:lang w:val="en-GB"/>
        </w:rPr>
        <w:t xml:space="preserve"> lessons learnt from the current ROHU Interreg Programme 2014-2020, suggested by the intermediate Programme Evaluation (2020) are recalled below:</w:t>
      </w:r>
    </w:p>
    <w:p w14:paraId="4A93BB98" w14:textId="77777777" w:rsidR="00866764" w:rsidRPr="00037C61" w:rsidRDefault="00866764" w:rsidP="00866764">
      <w:pPr>
        <w:pStyle w:val="InterregROHUBullet1"/>
        <w:ind w:left="567"/>
      </w:pPr>
      <w:r w:rsidRPr="00037C61">
        <w:t xml:space="preserve">The large number of priorities covered by the programme and the limited matching of the priorities of the eight counties led to a less focused concentration of the funds. For the next programming period, </w:t>
      </w:r>
      <w:r w:rsidRPr="00037C61">
        <w:rPr>
          <w:b/>
        </w:rPr>
        <w:t>a more</w:t>
      </w:r>
      <w:r w:rsidRPr="00037C61">
        <w:t xml:space="preserve"> </w:t>
      </w:r>
      <w:r w:rsidRPr="00037C61">
        <w:rPr>
          <w:b/>
        </w:rPr>
        <w:t>focused concentration of the funds would support and improve the potential to produce visible and perceptible impacts in the eligible area</w:t>
      </w:r>
      <w:r w:rsidRPr="00037C61">
        <w:t>.</w:t>
      </w:r>
    </w:p>
    <w:p w14:paraId="20908771" w14:textId="4C80D0D2" w:rsidR="00866764" w:rsidRPr="00037C61" w:rsidRDefault="00866764" w:rsidP="00866764">
      <w:pPr>
        <w:pStyle w:val="InterregROHUBullet1"/>
        <w:ind w:left="567"/>
      </w:pPr>
      <w:r w:rsidRPr="00037C61">
        <w:t xml:space="preserve">In terms of Programme effectiveness, the Evaluation proposes an </w:t>
      </w:r>
      <w:r w:rsidRPr="00037C61">
        <w:rPr>
          <w:b/>
        </w:rPr>
        <w:t xml:space="preserve">earlier launching of the calls for proposals as well as </w:t>
      </w:r>
      <w:r w:rsidR="0D3A1887" w:rsidRPr="00037C61">
        <w:rPr>
          <w:b/>
        </w:rPr>
        <w:t xml:space="preserve">an even </w:t>
      </w:r>
      <w:r w:rsidRPr="00037C61">
        <w:rPr>
          <w:b/>
        </w:rPr>
        <w:t>more simplified systems for project evaluation, contracting and monitoring</w:t>
      </w:r>
      <w:r w:rsidRPr="00037C61">
        <w:t xml:space="preserve"> that would improve the Programme effectiveness.</w:t>
      </w:r>
    </w:p>
    <w:p w14:paraId="63A8CFFE" w14:textId="77777777" w:rsidR="00866764" w:rsidRPr="00037C61" w:rsidRDefault="00866764" w:rsidP="00866764">
      <w:pPr>
        <w:pStyle w:val="InterregROHUBullet1"/>
        <w:ind w:left="567"/>
      </w:pPr>
      <w:r w:rsidRPr="00037C61">
        <w:t xml:space="preserve">The </w:t>
      </w:r>
      <w:r w:rsidRPr="00037C61">
        <w:rPr>
          <w:b/>
        </w:rPr>
        <w:t>sustainability of the cross-border cooperation</w:t>
      </w:r>
      <w:r w:rsidRPr="00037C61">
        <w:t xml:space="preserve"> depends firstly on the capacity and experience of the beneficiaries but also on a proper monitoring system that should timely depict possible Programme evolutions and external factors and take the right measures in due time.</w:t>
      </w:r>
    </w:p>
    <w:p w14:paraId="20655597" w14:textId="1B962A4E" w:rsidR="00C90D9D" w:rsidRPr="00067E4D" w:rsidRDefault="00C90D9D" w:rsidP="00C90D9D">
      <w:pPr>
        <w:rPr>
          <w:rFonts w:cs="Calibri"/>
          <w:lang w:val="en-GB"/>
        </w:rPr>
      </w:pPr>
      <w:r w:rsidRPr="00037C61">
        <w:rPr>
          <w:rFonts w:cs="Calibri"/>
          <w:lang w:val="en-GB"/>
        </w:rPr>
        <w:t xml:space="preserve">In particular, the </w:t>
      </w:r>
      <w:r w:rsidRPr="00DB74BF">
        <w:rPr>
          <w:rFonts w:cs="Calibri"/>
          <w:b/>
          <w:bCs/>
          <w:lang w:val="en-GB"/>
        </w:rPr>
        <w:t xml:space="preserve">Evaluator stressed that the higher concentration of resources was </w:t>
      </w:r>
      <w:r w:rsidR="00A27D38" w:rsidRPr="00DB74BF">
        <w:rPr>
          <w:rFonts w:cs="Calibri"/>
          <w:b/>
          <w:bCs/>
          <w:lang w:val="en-GB"/>
        </w:rPr>
        <w:t xml:space="preserve">the only </w:t>
      </w:r>
      <w:r w:rsidRPr="00DB74BF">
        <w:rPr>
          <w:rFonts w:cs="Calibri"/>
          <w:b/>
          <w:bCs/>
          <w:lang w:val="en-GB"/>
        </w:rPr>
        <w:t xml:space="preserve"> lesson learnt from the previous programme (2007-2013) which was not fully capitalized</w:t>
      </w:r>
      <w:r w:rsidRPr="00037C61">
        <w:rPr>
          <w:rFonts w:cs="Calibri"/>
          <w:lang w:val="en-GB"/>
        </w:rPr>
        <w:t xml:space="preserve"> in the actual programming period.</w:t>
      </w:r>
      <w:r w:rsidRPr="00037C61">
        <w:rPr>
          <w:rFonts w:cs="Calibri"/>
          <w:b/>
          <w:bCs/>
          <w:lang w:val="en-GB"/>
        </w:rPr>
        <w:t xml:space="preserve"> </w:t>
      </w:r>
      <w:r w:rsidRPr="00037C61">
        <w:rPr>
          <w:rFonts w:cs="Calibri"/>
          <w:lang w:val="en-GB"/>
        </w:rPr>
        <w:t xml:space="preserve">Some of the main changes recommended by the Evaluator for the next programming period have thus been formulated as </w:t>
      </w:r>
      <w:r w:rsidRPr="00067E4D">
        <w:rPr>
          <w:rFonts w:cs="Calibri"/>
          <w:lang w:val="en-GB"/>
        </w:rPr>
        <w:t>follows:</w:t>
      </w:r>
    </w:p>
    <w:p w14:paraId="6A914690" w14:textId="77777777" w:rsidR="00C90D9D" w:rsidRPr="00067E4D" w:rsidRDefault="00C90D9D" w:rsidP="00C90D9D">
      <w:pPr>
        <w:pStyle w:val="ListParagraph"/>
        <w:numPr>
          <w:ilvl w:val="0"/>
          <w:numId w:val="38"/>
        </w:numPr>
        <w:shd w:val="clear" w:color="auto" w:fill="FFFFFF" w:themeFill="background1"/>
        <w:rPr>
          <w:rFonts w:cs="Calibri"/>
          <w:lang w:val="en-GB"/>
        </w:rPr>
      </w:pPr>
      <w:r w:rsidRPr="00067E4D">
        <w:rPr>
          <w:rFonts w:cs="Calibri"/>
          <w:b/>
          <w:bCs/>
          <w:lang w:val="en-GB"/>
        </w:rPr>
        <w:t>Increase the concentration of funds</w:t>
      </w:r>
      <w:r w:rsidRPr="00067E4D">
        <w:rPr>
          <w:rFonts w:cs="Calibri"/>
          <w:lang w:val="en-GB"/>
        </w:rPr>
        <w:t xml:space="preserve"> with a focus on common problems and common priorities. </w:t>
      </w:r>
    </w:p>
    <w:p w14:paraId="624CF1CE" w14:textId="77777777" w:rsidR="00C90D9D" w:rsidRPr="00067E4D" w:rsidRDefault="00C90D9D" w:rsidP="00C90D9D">
      <w:pPr>
        <w:pStyle w:val="ListParagraph"/>
        <w:numPr>
          <w:ilvl w:val="0"/>
          <w:numId w:val="38"/>
        </w:numPr>
        <w:shd w:val="clear" w:color="auto" w:fill="FFFFFF" w:themeFill="background1"/>
        <w:rPr>
          <w:rFonts w:cs="Calibri"/>
          <w:lang w:val="en-GB"/>
        </w:rPr>
      </w:pPr>
      <w:r w:rsidRPr="00067E4D">
        <w:rPr>
          <w:rFonts w:cs="Calibri"/>
          <w:lang w:val="en-GB"/>
        </w:rPr>
        <w:t xml:space="preserve">Beyond the common needs to be addressed, the </w:t>
      </w:r>
      <w:r w:rsidRPr="00067E4D">
        <w:rPr>
          <w:rFonts w:cs="Calibri"/>
          <w:b/>
          <w:bCs/>
          <w:lang w:val="en-GB"/>
        </w:rPr>
        <w:t>stakeholders should work together to reach joint priorities to a larger extent than in the current programme</w:t>
      </w:r>
      <w:r w:rsidRPr="00067E4D">
        <w:rPr>
          <w:rFonts w:cs="Calibri"/>
          <w:lang w:val="en-GB"/>
        </w:rPr>
        <w:t xml:space="preserve"> so that the level of integration of the projects increases and, in this way, the cross-border feature and the contribution to the programme area cohesion is enhanced.</w:t>
      </w:r>
    </w:p>
    <w:p w14:paraId="3CE55077" w14:textId="77777777" w:rsidR="00C90D9D" w:rsidRPr="00067E4D" w:rsidRDefault="00C90D9D" w:rsidP="00C90D9D">
      <w:pPr>
        <w:pStyle w:val="ListParagraph"/>
        <w:numPr>
          <w:ilvl w:val="0"/>
          <w:numId w:val="38"/>
        </w:numPr>
        <w:shd w:val="clear" w:color="auto" w:fill="FFFFFF" w:themeFill="background1"/>
        <w:rPr>
          <w:rFonts w:cs="Calibri"/>
          <w:lang w:val="en-GB"/>
        </w:rPr>
      </w:pPr>
      <w:r w:rsidRPr="00067E4D">
        <w:rPr>
          <w:rFonts w:cs="Calibri"/>
          <w:b/>
          <w:bCs/>
          <w:lang w:val="en-GB"/>
        </w:rPr>
        <w:t>Include the flagship projects in the programme document</w:t>
      </w:r>
      <w:r w:rsidRPr="00067E4D">
        <w:rPr>
          <w:rFonts w:cs="Calibri"/>
          <w:lang w:val="en-GB"/>
        </w:rPr>
        <w:t>, using a competitive selection approach, assist in early preparation of the projects ensuring to mature projects at the start of the programme implementation.</w:t>
      </w:r>
    </w:p>
    <w:p w14:paraId="444CBCE6" w14:textId="77777777" w:rsidR="00C90D9D" w:rsidRPr="00067E4D" w:rsidRDefault="00C90D9D" w:rsidP="00C90D9D">
      <w:pPr>
        <w:pStyle w:val="ListParagraph"/>
        <w:numPr>
          <w:ilvl w:val="0"/>
          <w:numId w:val="38"/>
        </w:numPr>
        <w:shd w:val="clear" w:color="auto" w:fill="FFFFFF" w:themeFill="background1"/>
        <w:rPr>
          <w:rFonts w:cs="Calibri"/>
          <w:lang w:val="en-GB"/>
        </w:rPr>
      </w:pPr>
      <w:r w:rsidRPr="00067E4D">
        <w:rPr>
          <w:rFonts w:cs="Calibri"/>
          <w:lang w:val="en-GB"/>
        </w:rPr>
        <w:t xml:space="preserve">MA, NA and MC should analyse and reach a </w:t>
      </w:r>
      <w:r w:rsidRPr="00067E4D">
        <w:rPr>
          <w:rFonts w:cs="Calibri"/>
          <w:b/>
          <w:bCs/>
          <w:lang w:val="en-GB"/>
        </w:rPr>
        <w:t>common vision whether the programme should open more for broader participation, with more projects, more partners in the partnerships</w:t>
      </w:r>
      <w:r w:rsidRPr="00067E4D">
        <w:rPr>
          <w:rFonts w:cs="Calibri"/>
          <w:lang w:val="en-GB"/>
        </w:rPr>
        <w:t xml:space="preserve">. </w:t>
      </w:r>
    </w:p>
    <w:p w14:paraId="4EF78AF6" w14:textId="77777777" w:rsidR="00C90D9D" w:rsidRPr="00037C61" w:rsidRDefault="00C90D9D" w:rsidP="00C90D9D">
      <w:pPr>
        <w:pStyle w:val="ListParagraph"/>
        <w:numPr>
          <w:ilvl w:val="0"/>
          <w:numId w:val="38"/>
        </w:numPr>
        <w:shd w:val="clear" w:color="auto" w:fill="FFFFFF" w:themeFill="background1"/>
        <w:rPr>
          <w:rFonts w:cs="Calibri"/>
          <w:lang w:val="en-GB"/>
        </w:rPr>
      </w:pPr>
      <w:r w:rsidRPr="00067E4D">
        <w:rPr>
          <w:rFonts w:cs="Calibri"/>
          <w:lang w:val="en-GB"/>
        </w:rPr>
        <w:t xml:space="preserve">The MA, NA and JS with the support of MC should continue joint efforts </w:t>
      </w:r>
      <w:r w:rsidRPr="00067E4D">
        <w:rPr>
          <w:rFonts w:cs="Calibri"/>
          <w:b/>
          <w:bCs/>
          <w:lang w:val="en-GB"/>
        </w:rPr>
        <w:t>to reduce excessive bureaucracy and increase flexibility, to in</w:t>
      </w:r>
      <w:r w:rsidRPr="00037C61">
        <w:rPr>
          <w:rFonts w:cs="Calibri"/>
          <w:b/>
          <w:bCs/>
          <w:lang w:val="en-GB"/>
        </w:rPr>
        <w:t>crease the level of the institutional trust</w:t>
      </w:r>
      <w:r w:rsidRPr="00037C61">
        <w:rPr>
          <w:rFonts w:cs="Calibri"/>
          <w:lang w:val="en-GB"/>
        </w:rPr>
        <w:t>.</w:t>
      </w:r>
    </w:p>
    <w:p w14:paraId="18D4C29E" w14:textId="4127F1D9" w:rsidR="00DB3813" w:rsidRPr="00037C61" w:rsidRDefault="00DB3813" w:rsidP="00DB3813">
      <w:pPr>
        <w:rPr>
          <w:rFonts w:cs="Calibri"/>
          <w:lang w:val="en-GB"/>
        </w:rPr>
      </w:pPr>
      <w:r w:rsidRPr="00037C61">
        <w:rPr>
          <w:rFonts w:cs="Calibri"/>
          <w:lang w:val="en-GB"/>
        </w:rPr>
        <w:t xml:space="preserve">Whilst the sustainability and cross-border components can be dealt with by working with potential beneficiaries in the projects’ identification and planning phases, providing them ad hoc technical </w:t>
      </w:r>
      <w:r w:rsidRPr="00037C61">
        <w:rPr>
          <w:rFonts w:cs="Calibri"/>
          <w:lang w:val="en-GB"/>
        </w:rPr>
        <w:lastRenderedPageBreak/>
        <w:t xml:space="preserve">assistance for the enhancement of strategic and project planning capacities, it shall be noted that a </w:t>
      </w:r>
      <w:r w:rsidRPr="00037C61">
        <w:rPr>
          <w:rFonts w:cs="Calibri"/>
          <w:b/>
          <w:bCs/>
          <w:lang w:val="en-GB"/>
        </w:rPr>
        <w:t>higher concentration of resources and a streamlined Programme intervention logic may come in support of a more rapid launch of the Programme</w:t>
      </w:r>
      <w:r w:rsidRPr="00037C61">
        <w:rPr>
          <w:rFonts w:cs="Calibri"/>
          <w:lang w:val="en-GB"/>
        </w:rPr>
        <w:t>, as it would simpl</w:t>
      </w:r>
      <w:r w:rsidR="003020DB" w:rsidRPr="00037C61">
        <w:rPr>
          <w:rFonts w:cs="Calibri"/>
          <w:lang w:val="en-GB"/>
        </w:rPr>
        <w:t>if</w:t>
      </w:r>
      <w:r w:rsidRPr="00037C61">
        <w:rPr>
          <w:rFonts w:cs="Calibri"/>
          <w:lang w:val="en-GB"/>
        </w:rPr>
        <w:t>y its operationalisation.</w:t>
      </w:r>
    </w:p>
    <w:p w14:paraId="353AE990" w14:textId="77777777" w:rsidR="00DB3813" w:rsidRPr="00037C61" w:rsidRDefault="00DB3813" w:rsidP="00DB3813">
      <w:pPr>
        <w:rPr>
          <w:rFonts w:cs="Calibri"/>
          <w:lang w:val="en-GB"/>
        </w:rPr>
      </w:pPr>
      <w:r w:rsidRPr="00037C61">
        <w:rPr>
          <w:rFonts w:cs="Calibri"/>
          <w:lang w:val="en-GB"/>
        </w:rPr>
        <w:t>However, it is worth reminding that among important factors underlined by the Evaluator, when considering the relative delay in the launch of the current Programme, the following were included:</w:t>
      </w:r>
    </w:p>
    <w:p w14:paraId="301EFBB3" w14:textId="77777777" w:rsidR="00DB3813" w:rsidRPr="00037C61" w:rsidRDefault="00DB3813" w:rsidP="00DB3813">
      <w:pPr>
        <w:pStyle w:val="ListParagraph"/>
        <w:numPr>
          <w:ilvl w:val="0"/>
          <w:numId w:val="40"/>
        </w:numPr>
        <w:autoSpaceDE w:val="0"/>
        <w:autoSpaceDN w:val="0"/>
        <w:adjustRightInd w:val="0"/>
        <w:spacing w:after="24" w:line="240" w:lineRule="auto"/>
        <w:rPr>
          <w:rFonts w:cs="Calibri"/>
          <w:lang w:val="en-GB"/>
        </w:rPr>
      </w:pPr>
      <w:r w:rsidRPr="00037C61">
        <w:rPr>
          <w:rFonts w:cs="Calibri"/>
          <w:lang w:val="en-GB"/>
        </w:rPr>
        <w:t xml:space="preserve">delay in approving the Programme document. </w:t>
      </w:r>
    </w:p>
    <w:p w14:paraId="2FAAD952" w14:textId="77777777" w:rsidR="00DB3813" w:rsidRPr="00037C61" w:rsidRDefault="00DB3813" w:rsidP="00DB3813">
      <w:pPr>
        <w:pStyle w:val="ListParagraph"/>
        <w:numPr>
          <w:ilvl w:val="0"/>
          <w:numId w:val="40"/>
        </w:numPr>
        <w:autoSpaceDE w:val="0"/>
        <w:autoSpaceDN w:val="0"/>
        <w:adjustRightInd w:val="0"/>
        <w:spacing w:after="24" w:line="240" w:lineRule="auto"/>
        <w:rPr>
          <w:rFonts w:cs="Calibri"/>
          <w:lang w:val="en-GB"/>
        </w:rPr>
      </w:pPr>
      <w:r w:rsidRPr="00037C61">
        <w:rPr>
          <w:rFonts w:cs="Calibri"/>
          <w:lang w:val="en-GB"/>
        </w:rPr>
        <w:t xml:space="preserve">the slow process of setting up the legal and administrative framework needed for starting the Programme implementation (the slow process in approval of MoI, DMCS, getting fully operational the Programme structures, or discussing the guide for applicants). </w:t>
      </w:r>
    </w:p>
    <w:p w14:paraId="485FE9B8" w14:textId="77777777" w:rsidR="00DB3813" w:rsidRPr="00037C61" w:rsidRDefault="00DB3813" w:rsidP="00DB3813">
      <w:pPr>
        <w:pStyle w:val="ListParagraph"/>
        <w:numPr>
          <w:ilvl w:val="0"/>
          <w:numId w:val="40"/>
        </w:numPr>
        <w:autoSpaceDE w:val="0"/>
        <w:autoSpaceDN w:val="0"/>
        <w:adjustRightInd w:val="0"/>
        <w:spacing w:after="24" w:line="240" w:lineRule="auto"/>
        <w:rPr>
          <w:rFonts w:cs="Calibri"/>
          <w:lang w:val="en-GB"/>
        </w:rPr>
      </w:pPr>
      <w:r w:rsidRPr="00037C61">
        <w:rPr>
          <w:rFonts w:cs="Calibri"/>
          <w:lang w:val="en-GB"/>
        </w:rPr>
        <w:t>incidence of the State aid regulations on the investment priorities selected.</w:t>
      </w:r>
    </w:p>
    <w:p w14:paraId="28E057AE" w14:textId="77777777" w:rsidR="00DB3813" w:rsidRPr="00037C61" w:rsidRDefault="00DB3813" w:rsidP="00DB3813">
      <w:pPr>
        <w:rPr>
          <w:rFonts w:cs="Calibri"/>
          <w:lang w:val="en-GB"/>
        </w:rPr>
      </w:pPr>
    </w:p>
    <w:p w14:paraId="6FFF2B1F" w14:textId="100653B8" w:rsidR="00DB3813" w:rsidRPr="00037C61" w:rsidRDefault="00DB3813" w:rsidP="0061187F">
      <w:pPr>
        <w:rPr>
          <w:rFonts w:cs="Calibri"/>
          <w:lang w:val="en-GB"/>
        </w:rPr>
      </w:pPr>
      <w:r w:rsidRPr="00037C61">
        <w:rPr>
          <w:rFonts w:cs="Calibri"/>
          <w:lang w:val="en-GB"/>
        </w:rPr>
        <w:t xml:space="preserve">This means that the initial delays were generated by procedural, administrative and legal issues, including in respect to the application of State aid rules. As a lesson learnt from the current Programme, </w:t>
      </w:r>
      <w:r w:rsidRPr="00037C61">
        <w:rPr>
          <w:rFonts w:cs="Calibri"/>
          <w:b/>
          <w:bCs/>
          <w:lang w:val="en-GB"/>
        </w:rPr>
        <w:t>State aid rules thus deserve an additional attention in the Programming phase</w:t>
      </w:r>
      <w:r w:rsidRPr="00037C61">
        <w:rPr>
          <w:rFonts w:cs="Calibri"/>
          <w:lang w:val="en-GB"/>
        </w:rPr>
        <w:t>. As the current Programme was not designed to support State aid types of intervention, the modification of the approach during Programme implementation (in 2016) conducted to several delays determined by the need to:</w:t>
      </w:r>
      <w:r w:rsidR="00B461B5" w:rsidRPr="00037C61">
        <w:rPr>
          <w:rFonts w:cs="Calibri"/>
          <w:lang w:val="en-GB"/>
        </w:rPr>
        <w:t xml:space="preserve"> </w:t>
      </w:r>
      <w:r w:rsidRPr="00037C61">
        <w:rPr>
          <w:rFonts w:cs="Calibri"/>
          <w:lang w:val="en-GB"/>
        </w:rPr>
        <w:t xml:space="preserve">consult the </w:t>
      </w:r>
      <w:r w:rsidR="004725C1" w:rsidRPr="00037C61">
        <w:rPr>
          <w:rFonts w:cs="Calibri"/>
          <w:lang w:val="en-GB"/>
        </w:rPr>
        <w:t>competent authorities in both contries</w:t>
      </w:r>
      <w:r w:rsidRPr="00037C61">
        <w:rPr>
          <w:rFonts w:cs="Calibri"/>
          <w:lang w:val="en-GB"/>
        </w:rPr>
        <w:t>;</w:t>
      </w:r>
      <w:r w:rsidR="00B461B5" w:rsidRPr="00037C61">
        <w:rPr>
          <w:rFonts w:cs="Calibri"/>
          <w:lang w:val="en-GB"/>
        </w:rPr>
        <w:t xml:space="preserve"> </w:t>
      </w:r>
      <w:r w:rsidRPr="00037C61">
        <w:rPr>
          <w:rFonts w:cs="Calibri"/>
          <w:lang w:val="en-GB"/>
        </w:rPr>
        <w:t>develop GBER / de minimis</w:t>
      </w:r>
      <w:r w:rsidRPr="00037C61">
        <w:rPr>
          <w:rFonts w:cs="Calibri"/>
          <w:sz w:val="20"/>
          <w:szCs w:val="20"/>
          <w:lang w:val="en-GB"/>
        </w:rPr>
        <w:t xml:space="preserve"> </w:t>
      </w:r>
      <w:r w:rsidRPr="00037C61">
        <w:rPr>
          <w:rFonts w:cs="Calibri"/>
          <w:lang w:val="en-GB"/>
        </w:rPr>
        <w:t>State aid schemes;</w:t>
      </w:r>
      <w:r w:rsidR="00B461B5" w:rsidRPr="00037C61">
        <w:rPr>
          <w:rFonts w:cs="Calibri"/>
          <w:lang w:val="en-GB"/>
        </w:rPr>
        <w:t xml:space="preserve"> </w:t>
      </w:r>
      <w:r w:rsidRPr="00037C61">
        <w:rPr>
          <w:rFonts w:cs="Calibri"/>
          <w:lang w:val="en-GB"/>
        </w:rPr>
        <w:t>develop a special evaluation methodology dedicated to project proposals under State aid rules;</w:t>
      </w:r>
      <w:r w:rsidR="00B461B5" w:rsidRPr="00037C61">
        <w:rPr>
          <w:rFonts w:cs="Calibri"/>
          <w:lang w:val="en-GB"/>
        </w:rPr>
        <w:t xml:space="preserve"> </w:t>
      </w:r>
      <w:r w:rsidRPr="00037C61">
        <w:rPr>
          <w:rFonts w:cs="Calibri"/>
          <w:lang w:val="en-GB"/>
        </w:rPr>
        <w:t xml:space="preserve">contract specialised expertise to evaluate State aid incidence </w:t>
      </w:r>
      <w:r w:rsidR="004725C1" w:rsidRPr="00037C61">
        <w:rPr>
          <w:rFonts w:cs="Calibri"/>
          <w:lang w:val="en-GB"/>
        </w:rPr>
        <w:t>in relation to</w:t>
      </w:r>
      <w:r w:rsidRPr="00037C61">
        <w:rPr>
          <w:rFonts w:cs="Calibri"/>
          <w:lang w:val="en-GB"/>
        </w:rPr>
        <w:t xml:space="preserve"> submitted projects’ proposals;</w:t>
      </w:r>
      <w:r w:rsidR="00B461B5" w:rsidRPr="00037C61">
        <w:rPr>
          <w:rFonts w:cs="Calibri"/>
          <w:lang w:val="en-GB"/>
        </w:rPr>
        <w:t xml:space="preserve"> </w:t>
      </w:r>
      <w:r w:rsidRPr="00037C61">
        <w:rPr>
          <w:rFonts w:cs="Calibri"/>
          <w:lang w:val="en-GB"/>
        </w:rPr>
        <w:t xml:space="preserve">modify the Memorandum of </w:t>
      </w:r>
      <w:r w:rsidR="004725C1" w:rsidRPr="00037C61">
        <w:rPr>
          <w:rFonts w:cs="Calibri"/>
          <w:lang w:val="en-GB"/>
        </w:rPr>
        <w:t>Implementation</w:t>
      </w:r>
      <w:r w:rsidRPr="00037C61">
        <w:rPr>
          <w:rFonts w:cs="Calibri"/>
          <w:lang w:val="en-GB"/>
        </w:rPr>
        <w:t xml:space="preserve"> </w:t>
      </w:r>
      <w:r w:rsidR="004725C1" w:rsidRPr="00037C61">
        <w:rPr>
          <w:rFonts w:cs="Calibri"/>
          <w:lang w:val="en-GB"/>
        </w:rPr>
        <w:t>with its specific State aid recovey provisions</w:t>
      </w:r>
      <w:r w:rsidRPr="00037C61">
        <w:rPr>
          <w:rFonts w:cs="Calibri"/>
          <w:lang w:val="en-GB"/>
        </w:rPr>
        <w:t>.</w:t>
      </w:r>
    </w:p>
    <w:p w14:paraId="4BBED01F" w14:textId="3C5AD70E" w:rsidR="00DB3813" w:rsidRPr="00037C61" w:rsidRDefault="00DB3813" w:rsidP="0061187F">
      <w:pPr>
        <w:rPr>
          <w:rFonts w:cs="Calibri"/>
          <w:lang w:val="en-GB"/>
        </w:rPr>
      </w:pPr>
      <w:r w:rsidRPr="00037C61">
        <w:rPr>
          <w:rFonts w:cs="Calibri"/>
          <w:lang w:val="en-GB"/>
        </w:rPr>
        <w:t>Among the difficulties mentioned by the Evaluator with reference to the definition of the legal and operational framework for launching Calls for Proposals under the incidence of State aid rules, there are:</w:t>
      </w:r>
      <w:r w:rsidR="00B461B5" w:rsidRPr="00037C61">
        <w:rPr>
          <w:rFonts w:cs="Calibri"/>
          <w:lang w:val="en-GB"/>
        </w:rPr>
        <w:t xml:space="preserve"> </w:t>
      </w:r>
      <w:r w:rsidRPr="00037C61">
        <w:rPr>
          <w:rFonts w:cs="Calibri"/>
          <w:lang w:val="en-GB"/>
        </w:rPr>
        <w:t>the framing of the interventions against the state aid criteria;</w:t>
      </w:r>
      <w:r w:rsidR="00B461B5" w:rsidRPr="00037C61">
        <w:rPr>
          <w:rFonts w:cs="Calibri"/>
          <w:lang w:val="en-GB"/>
        </w:rPr>
        <w:t xml:space="preserve"> </w:t>
      </w:r>
      <w:r w:rsidRPr="00037C61">
        <w:rPr>
          <w:rFonts w:cs="Calibri"/>
          <w:lang w:val="en-GB"/>
        </w:rPr>
        <w:t>the specificities of the economic advantage in the sense of using local impact or services of general economic interest; the circumstances for applying the Altmark conditions;</w:t>
      </w:r>
      <w:r w:rsidR="00B461B5" w:rsidRPr="00037C61">
        <w:rPr>
          <w:rFonts w:cs="Calibri"/>
          <w:lang w:val="en-GB"/>
        </w:rPr>
        <w:t xml:space="preserve"> </w:t>
      </w:r>
      <w:r w:rsidRPr="00037C61">
        <w:rPr>
          <w:rFonts w:cs="Calibri"/>
          <w:lang w:val="en-GB"/>
        </w:rPr>
        <w:t>the definition of the indirect advantage;</w:t>
      </w:r>
      <w:r w:rsidR="00B461B5" w:rsidRPr="00037C61">
        <w:rPr>
          <w:rFonts w:cs="Calibri"/>
          <w:lang w:val="en-GB"/>
        </w:rPr>
        <w:t xml:space="preserve"> </w:t>
      </w:r>
      <w:r w:rsidRPr="00037C61">
        <w:rPr>
          <w:rFonts w:cs="Calibri"/>
          <w:lang w:val="en-GB"/>
        </w:rPr>
        <w:t>different conditions leading to different incidence on the two sides of the border.</w:t>
      </w:r>
    </w:p>
    <w:p w14:paraId="72430CC6" w14:textId="77777777" w:rsidR="00DB3813" w:rsidRPr="00037C61" w:rsidRDefault="00DB3813" w:rsidP="00DB3813">
      <w:pPr>
        <w:rPr>
          <w:rFonts w:cs="Calibri"/>
          <w:lang w:val="en-GB"/>
        </w:rPr>
      </w:pPr>
      <w:r w:rsidRPr="00037C61">
        <w:rPr>
          <w:rFonts w:cs="Calibri"/>
          <w:lang w:val="en-GB"/>
        </w:rPr>
        <w:t>Additionally, according to the Evaluator, the State aid incidence had multiple subsequent effects on the programme implementation, including the need to:</w:t>
      </w:r>
    </w:p>
    <w:p w14:paraId="114E0E21" w14:textId="77777777" w:rsidR="00DB3813" w:rsidRPr="00037C61" w:rsidRDefault="00DB3813" w:rsidP="00DB3813">
      <w:pPr>
        <w:pStyle w:val="ListParagraph"/>
        <w:numPr>
          <w:ilvl w:val="0"/>
          <w:numId w:val="42"/>
        </w:numPr>
        <w:rPr>
          <w:rFonts w:cs="Calibri"/>
          <w:lang w:val="en-GB"/>
        </w:rPr>
      </w:pPr>
      <w:r w:rsidRPr="00037C61">
        <w:rPr>
          <w:rFonts w:cs="Calibri"/>
          <w:lang w:val="en-GB"/>
        </w:rPr>
        <w:t>Provide awareness, training and continuous support to beneficiaries to deal with State aid rules;</w:t>
      </w:r>
    </w:p>
    <w:p w14:paraId="7A80C7C0" w14:textId="77777777" w:rsidR="00DB3813" w:rsidRPr="00037C61" w:rsidRDefault="00DB3813" w:rsidP="00DB3813">
      <w:pPr>
        <w:pStyle w:val="ListParagraph"/>
        <w:numPr>
          <w:ilvl w:val="0"/>
          <w:numId w:val="42"/>
        </w:numPr>
        <w:rPr>
          <w:rFonts w:cs="Calibri"/>
          <w:lang w:val="en-GB"/>
        </w:rPr>
      </w:pPr>
      <w:r w:rsidRPr="00037C61">
        <w:rPr>
          <w:rFonts w:cs="Calibri"/>
          <w:lang w:val="en-GB"/>
        </w:rPr>
        <w:t>The integration of the State aid assessment into the evaluation process;</w:t>
      </w:r>
    </w:p>
    <w:p w14:paraId="397C00B2" w14:textId="5DC67962" w:rsidR="00DB3813" w:rsidRPr="00037C61" w:rsidRDefault="00DB3813" w:rsidP="00DB3813">
      <w:pPr>
        <w:pStyle w:val="ListParagraph"/>
        <w:numPr>
          <w:ilvl w:val="0"/>
          <w:numId w:val="42"/>
        </w:numPr>
        <w:rPr>
          <w:rFonts w:cs="Calibri"/>
          <w:lang w:val="en-GB"/>
        </w:rPr>
      </w:pPr>
      <w:r w:rsidRPr="00037C61">
        <w:rPr>
          <w:rFonts w:cs="Calibri"/>
          <w:lang w:val="en-GB"/>
        </w:rPr>
        <w:t xml:space="preserve">Integrate into programme processes the function of monitoring State aid schemes and their ex -post assessment, as well as the procedure for recovering </w:t>
      </w:r>
      <w:r w:rsidR="004725C1" w:rsidRPr="00037C61">
        <w:rPr>
          <w:rFonts w:cs="Calibri"/>
          <w:lang w:val="en-GB"/>
        </w:rPr>
        <w:t>illegal/misused State aid</w:t>
      </w:r>
      <w:r w:rsidRPr="00037C61">
        <w:rPr>
          <w:rFonts w:cs="Calibri"/>
          <w:lang w:val="en-GB"/>
        </w:rPr>
        <w:t>;</w:t>
      </w:r>
    </w:p>
    <w:p w14:paraId="65336E86" w14:textId="33B6FF21" w:rsidR="00DB3813" w:rsidRPr="00037C61" w:rsidRDefault="00DB3813" w:rsidP="00DB3813">
      <w:pPr>
        <w:pStyle w:val="ListParagraph"/>
        <w:numPr>
          <w:ilvl w:val="0"/>
          <w:numId w:val="42"/>
        </w:numPr>
        <w:rPr>
          <w:rFonts w:cs="Calibri"/>
          <w:lang w:val="en-GB"/>
        </w:rPr>
      </w:pPr>
      <w:r w:rsidRPr="00037C61">
        <w:rPr>
          <w:rFonts w:cs="Calibri"/>
          <w:lang w:val="en-GB"/>
        </w:rPr>
        <w:t>A</w:t>
      </w:r>
      <w:r w:rsidR="004725C1" w:rsidRPr="00037C61">
        <w:rPr>
          <w:rFonts w:cs="Calibri"/>
          <w:lang w:val="en-GB"/>
        </w:rPr>
        <w:t>mend the</w:t>
      </w:r>
      <w:r w:rsidRPr="00037C61">
        <w:rPr>
          <w:rFonts w:cs="Calibri"/>
          <w:lang w:val="en-GB"/>
        </w:rPr>
        <w:t xml:space="preserve"> </w:t>
      </w:r>
      <w:r w:rsidR="004725C1" w:rsidRPr="00037C61">
        <w:rPr>
          <w:rFonts w:cs="Calibri"/>
          <w:lang w:val="en-GB"/>
        </w:rPr>
        <w:t>M</w:t>
      </w:r>
      <w:r w:rsidRPr="00037C61">
        <w:rPr>
          <w:rFonts w:cs="Calibri"/>
          <w:lang w:val="en-GB"/>
        </w:rPr>
        <w:t>emorandum between the</w:t>
      </w:r>
      <w:r w:rsidR="004725C1" w:rsidRPr="00037C61">
        <w:rPr>
          <w:rFonts w:cs="Calibri"/>
          <w:lang w:val="en-GB"/>
        </w:rPr>
        <w:t xml:space="preserve"> Member</w:t>
      </w:r>
      <w:r w:rsidRPr="00037C61">
        <w:rPr>
          <w:rFonts w:cs="Calibri"/>
          <w:lang w:val="en-GB"/>
        </w:rPr>
        <w:t xml:space="preserve"> </w:t>
      </w:r>
      <w:r w:rsidR="004725C1" w:rsidRPr="00037C61">
        <w:rPr>
          <w:rFonts w:cs="Calibri"/>
          <w:lang w:val="en-GB"/>
        </w:rPr>
        <w:t>S</w:t>
      </w:r>
      <w:r w:rsidRPr="00037C61">
        <w:rPr>
          <w:rFonts w:cs="Calibri"/>
          <w:lang w:val="en-GB"/>
        </w:rPr>
        <w:t xml:space="preserve">tates to cover the recovery </w:t>
      </w:r>
      <w:r w:rsidR="004725C1" w:rsidRPr="00037C61">
        <w:rPr>
          <w:rFonts w:cs="Calibri"/>
          <w:lang w:val="en-GB"/>
        </w:rPr>
        <w:t xml:space="preserve">of aid </w:t>
      </w:r>
      <w:r w:rsidRPr="00037C61">
        <w:rPr>
          <w:rFonts w:cs="Calibri"/>
          <w:lang w:val="en-GB"/>
        </w:rPr>
        <w:t>from the Hungarian beneficiaries, as the state aid provider is a Romanian authority.</w:t>
      </w:r>
    </w:p>
    <w:p w14:paraId="0123FDEC" w14:textId="77777777" w:rsidR="00DB3813" w:rsidRPr="00037C61" w:rsidRDefault="00DB3813" w:rsidP="00DB3813">
      <w:pPr>
        <w:rPr>
          <w:rFonts w:cs="Calibri"/>
          <w:lang w:val="en-GB"/>
        </w:rPr>
      </w:pPr>
      <w:r w:rsidRPr="00037C61">
        <w:rPr>
          <w:rFonts w:cs="Calibri"/>
          <w:lang w:val="en-GB"/>
        </w:rPr>
        <w:t xml:space="preserve">All these generated </w:t>
      </w:r>
      <w:r w:rsidRPr="00037C61">
        <w:rPr>
          <w:rFonts w:cs="Calibri"/>
          <w:b/>
          <w:bCs/>
          <w:lang w:val="en-GB"/>
        </w:rPr>
        <w:t>additional administrative burden on both the programme management structures and the beneficiaries</w:t>
      </w:r>
      <w:r w:rsidRPr="00037C61">
        <w:rPr>
          <w:rFonts w:cs="Calibri"/>
          <w:lang w:val="en-GB"/>
        </w:rPr>
        <w:t xml:space="preserve">. This additional administrative burden can be considered “disproportionate”, as compared to the benefit of granting assistance to a wider range of potential </w:t>
      </w:r>
      <w:r w:rsidRPr="00037C61">
        <w:rPr>
          <w:rFonts w:cs="Calibri"/>
          <w:lang w:val="en-GB"/>
        </w:rPr>
        <w:lastRenderedPageBreak/>
        <w:t xml:space="preserve">beneficiaries and activities, considering that only 11 out of 105 projects were found to be under the incidence of State aid rules. </w:t>
      </w:r>
    </w:p>
    <w:p w14:paraId="6CBC7269" w14:textId="7E18CF47" w:rsidR="00DB3813" w:rsidRPr="00037C61" w:rsidRDefault="00DB3813" w:rsidP="00393EBA">
      <w:pPr>
        <w:rPr>
          <w:rFonts w:cs="Calibri"/>
          <w:lang w:val="en-GB"/>
        </w:rPr>
      </w:pPr>
    </w:p>
    <w:p w14:paraId="5E402A39" w14:textId="77777777" w:rsidR="00866764" w:rsidRPr="00037C61" w:rsidRDefault="00866764" w:rsidP="00866764">
      <w:pPr>
        <w:rPr>
          <w:rFonts w:eastAsia="Calibri" w:cs="Calibri"/>
          <w:lang w:val="en-GB"/>
        </w:rPr>
      </w:pPr>
      <w:r w:rsidRPr="00037C61">
        <w:rPr>
          <w:rFonts w:eastAsia="Calibri" w:cs="Calibri"/>
          <w:lang w:val="en-GB"/>
        </w:rPr>
        <w:t xml:space="preserve">When it comes to analyse the specific progress of Flagship Projects, main problems identified during implementation, based on last reports, are mainly related to delays due to </w:t>
      </w:r>
      <w:r w:rsidRPr="00037C61">
        <w:rPr>
          <w:rFonts w:eastAsia="Calibri" w:cs="Calibri"/>
          <w:b/>
          <w:bCs/>
          <w:lang w:val="en-GB"/>
        </w:rPr>
        <w:t>public procurement procedures</w:t>
      </w:r>
      <w:r w:rsidRPr="00037C61">
        <w:rPr>
          <w:rFonts w:eastAsia="Calibri" w:cs="Calibri"/>
          <w:lang w:val="en-GB"/>
        </w:rPr>
        <w:t xml:space="preserve"> (ex. lack of compliant tenderers, appeals, no offers submitted). In the last months </w:t>
      </w:r>
      <w:r w:rsidRPr="00037C61">
        <w:rPr>
          <w:rFonts w:eastAsia="Calibri" w:cs="Calibri"/>
          <w:b/>
          <w:bCs/>
          <w:lang w:val="en-GB"/>
        </w:rPr>
        <w:t>SARS-CoV-2 pandemics</w:t>
      </w:r>
      <w:r w:rsidRPr="00037C61">
        <w:rPr>
          <w:rFonts w:eastAsia="Calibri" w:cs="Calibri"/>
          <w:lang w:val="en-GB"/>
        </w:rPr>
        <w:t xml:space="preserve"> restrictions have generated additional delays especially in relation to the implementation of soft measures involving the organisation of cross-border meetings and events. In some cases, projects are exposed to the risk of changes in the partnership composition and budget allocation. </w:t>
      </w:r>
    </w:p>
    <w:p w14:paraId="5EA0BC93" w14:textId="1CA211D1" w:rsidR="00866764" w:rsidRPr="00037C61" w:rsidRDefault="00866764" w:rsidP="00866764">
      <w:pPr>
        <w:rPr>
          <w:rFonts w:eastAsia="Calibri" w:cs="Calibri"/>
          <w:lang w:val="en-GB"/>
        </w:rPr>
      </w:pPr>
      <w:r w:rsidRPr="00037C61">
        <w:rPr>
          <w:rFonts w:eastAsia="Calibri" w:cs="Calibri"/>
          <w:lang w:val="en-GB"/>
        </w:rPr>
        <w:t xml:space="preserve">The analysis of assessment grids aimed at analysing main </w:t>
      </w:r>
      <w:r w:rsidRPr="00037C61">
        <w:rPr>
          <w:rFonts w:eastAsia="Calibri" w:cs="Calibri"/>
          <w:b/>
          <w:bCs/>
          <w:lang w:val="en-GB"/>
        </w:rPr>
        <w:t>projects strengths and weaknesses</w:t>
      </w:r>
      <w:r w:rsidRPr="00037C61">
        <w:rPr>
          <w:rFonts w:eastAsia="Calibri" w:cs="Calibri"/>
          <w:lang w:val="en-GB"/>
        </w:rPr>
        <w:t xml:space="preserve"> observed during Concept Notes and Full Applications’ selection stages, which may provide useful insights for the development of the future ”strategic project” concept and related selection procedure. . The analysis allowed us to provide the following conclusions:</w:t>
      </w:r>
    </w:p>
    <w:p w14:paraId="576F3482" w14:textId="77777777" w:rsidR="00866764" w:rsidRPr="00037C61" w:rsidRDefault="00866764" w:rsidP="00866764">
      <w:pPr>
        <w:pStyle w:val="InterregROHUBullet1"/>
        <w:ind w:left="709"/>
      </w:pPr>
      <w:r w:rsidRPr="00037C61">
        <w:t>The overall relevance of Flagship projects interventions and partnerships has been high, with strong linkages with previous projects and existing networks;</w:t>
      </w:r>
    </w:p>
    <w:p w14:paraId="58B5F17A" w14:textId="72CF355F" w:rsidR="00866764" w:rsidRPr="00037C61" w:rsidRDefault="32A2DE59" w:rsidP="00866764">
      <w:pPr>
        <w:pStyle w:val="InterregROHUBullet1"/>
        <w:ind w:left="709"/>
      </w:pPr>
      <w:r w:rsidRPr="00037C61">
        <w:t>The relevance of interventions in relation to the investment priorities has also been high. However, the applicants encountered problems in defining baseline indicators on existing needs, defining methodologies for quantifying and selecting target groups and, consequently, they had difficulties in quantifying expected impacts on territories and people, which is probably caused by important data gaps and limited capacity to prepare ex ante impact analysis of interventions (which actually suggests a low quality of feasibility studies). There is room to improve cooperation among institutions through reinforced joint planning, implementation and management procedures.</w:t>
      </w:r>
    </w:p>
    <w:p w14:paraId="56FDCB1B" w14:textId="77777777" w:rsidR="00866764" w:rsidRPr="00037C61" w:rsidRDefault="00866764" w:rsidP="00866764">
      <w:pPr>
        <w:rPr>
          <w:lang w:val="en-GB"/>
        </w:rPr>
      </w:pPr>
    </w:p>
    <w:bookmarkEnd w:id="3"/>
    <w:p w14:paraId="2AA269BC" w14:textId="7B008144" w:rsidR="007A102A" w:rsidRPr="00037C61" w:rsidRDefault="007A102A" w:rsidP="007A102A">
      <w:pPr>
        <w:rPr>
          <w:rFonts w:cs="Calibri"/>
          <w:lang w:val="en-GB"/>
        </w:rPr>
      </w:pPr>
      <w:r w:rsidRPr="00037C61">
        <w:rPr>
          <w:rFonts w:cs="Calibri"/>
          <w:lang w:val="en-GB"/>
        </w:rPr>
        <w:t xml:space="preserve">In conclusion, although it is too early to assess the socio-economic and territorial impact of the current Programme, some lessons learnt can be drawn from the current Programme experience: </w:t>
      </w:r>
    </w:p>
    <w:p w14:paraId="33BF2B5D" w14:textId="2F12BC33" w:rsidR="007A102A" w:rsidRPr="00037C61" w:rsidRDefault="007A102A" w:rsidP="007A102A">
      <w:pPr>
        <w:pStyle w:val="ListParagraph"/>
        <w:numPr>
          <w:ilvl w:val="0"/>
          <w:numId w:val="43"/>
        </w:numPr>
        <w:rPr>
          <w:rFonts w:cs="Calibri"/>
          <w:lang w:val="en-GB"/>
        </w:rPr>
      </w:pPr>
      <w:r w:rsidRPr="00037C61">
        <w:rPr>
          <w:rFonts w:cs="Calibri"/>
          <w:lang w:val="en-GB"/>
        </w:rPr>
        <w:t xml:space="preserve">The </w:t>
      </w:r>
      <w:r w:rsidRPr="00037C61">
        <w:rPr>
          <w:rFonts w:cs="Calibri"/>
          <w:b/>
          <w:bCs/>
          <w:lang w:val="en-GB"/>
        </w:rPr>
        <w:t>selection of indicators</w:t>
      </w:r>
      <w:r w:rsidRPr="00037C61">
        <w:rPr>
          <w:rFonts w:cs="Calibri"/>
          <w:lang w:val="en-GB"/>
        </w:rPr>
        <w:t xml:space="preserve"> is a key issue in view to ensure the future evaluability of Programme territorial impact, in terms of internal socio-economic cohesion. In this respect, indicators shall be as far as possible directly linked to implemented interventions and shall be owned by beneficiaries. The ex-ante identification of cross-border area </w:t>
      </w:r>
      <w:r w:rsidRPr="00037C61">
        <w:rPr>
          <w:rFonts w:cs="Calibri"/>
          <w:b/>
          <w:bCs/>
          <w:lang w:val="en-GB"/>
        </w:rPr>
        <w:t>priorities and a higher concentration of resources</w:t>
      </w:r>
      <w:r w:rsidRPr="00037C61">
        <w:rPr>
          <w:rFonts w:cs="Calibri"/>
          <w:lang w:val="en-GB"/>
        </w:rPr>
        <w:t xml:space="preserve"> is also a crucial issue to ensure that interventions with the highest possible impact on the main common challenges and opportunities are effectively tackled and, respectively, valorised under the future Interreg Programme.</w:t>
      </w:r>
    </w:p>
    <w:p w14:paraId="6C6B655F" w14:textId="489465FA" w:rsidR="30EED610" w:rsidRPr="00283B08" w:rsidRDefault="007A102A" w:rsidP="00C017F3">
      <w:pPr>
        <w:pStyle w:val="ListParagraph"/>
        <w:numPr>
          <w:ilvl w:val="0"/>
          <w:numId w:val="43"/>
        </w:numPr>
        <w:rPr>
          <w:lang w:val="en-GB"/>
        </w:rPr>
      </w:pPr>
      <w:r w:rsidRPr="00037C61">
        <w:rPr>
          <w:rFonts w:cs="Calibri"/>
          <w:b/>
          <w:bCs/>
          <w:lang w:val="en-GB"/>
        </w:rPr>
        <w:t>Projects’ relevance</w:t>
      </w:r>
      <w:r w:rsidRPr="00037C61">
        <w:rPr>
          <w:rFonts w:cs="Calibri"/>
          <w:lang w:val="en-GB"/>
        </w:rPr>
        <w:t xml:space="preserve"> shall not be assessed only generally, in relation to priority investments (or future policy objectives), but shall be directly related to the way the project contributes to the expected change and results, in line with the intervention logics and considering the highest possible impact on established indicators (i.e. in terms of population coverage, protected surface, number of organisations involved in joint actions, and so on). In this way, the potential beneficiaries are, in a certain way, “necessarily oriented towards” a better (and a more precise) estimation of the expected results on targeted population, organisations and </w:t>
      </w:r>
      <w:r w:rsidRPr="00037C61">
        <w:rPr>
          <w:rFonts w:cs="Calibri"/>
          <w:lang w:val="en-GB"/>
        </w:rPr>
        <w:lastRenderedPageBreak/>
        <w:t xml:space="preserve">territories. This issue can be addressed under the methodology for strategic projects, where some rewarding criteria can be inserted to provide a higher score to projects that are better describing their needs and are correlating in a clear way planned activities with these needs and expected </w:t>
      </w:r>
      <w:r w:rsidRPr="00067E4D">
        <w:rPr>
          <w:rFonts w:cs="Calibri"/>
          <w:lang w:val="en-GB"/>
        </w:rPr>
        <w:t xml:space="preserve">results (i.e. with a stronger projects’ intervention logics) </w:t>
      </w:r>
      <w:r w:rsidRPr="00283B08">
        <w:rPr>
          <w:rFonts w:cs="Calibri"/>
          <w:lang w:val="en-GB"/>
        </w:rPr>
        <w:t xml:space="preserve">The </w:t>
      </w:r>
      <w:r w:rsidRPr="00283B08">
        <w:rPr>
          <w:rFonts w:cs="Calibri"/>
          <w:b/>
          <w:bCs/>
          <w:lang w:val="en-GB"/>
        </w:rPr>
        <w:t>basis for sustainability and leverage effect</w:t>
      </w:r>
      <w:r w:rsidRPr="00283B08">
        <w:rPr>
          <w:rFonts w:cs="Calibri"/>
          <w:lang w:val="en-GB"/>
        </w:rPr>
        <w:t xml:space="preserve"> shall be built starting from the programming phase, by strengthening the requirements (already existing in the current programming period) in the project selection grids in relation to the joint management of infrastructures and systems, including requirements concerning the signature of institutional protocols and joint working and coordination procedures, which will ensure a stricter orientation of potential beneficiaries towards cooperation, as basis for sustainability. Similarly, the leverage effect can be promoted by establishing rewarding criteria (i.e. higher scores) for projects demonstrating continuity with previous interventions, consolidated partnerships and (especially) complementary measures, capable of boosting the impact of interventions. </w:t>
      </w:r>
      <w:r w:rsidR="00C017F3" w:rsidRPr="00C017F3">
        <w:rPr>
          <w:rFonts w:cs="Calibri"/>
          <w:lang w:val="en-GB"/>
        </w:rPr>
        <w:t>In order to increase sustainability and leverage effects, due attention shall be also paid to embedding the future Programme interventions into the EUSDR (i.e. through a close correlation with established objectives and planned actions), thus boosting the contribution of the programme to the implementation of the relevant macro-region strategy.</w:t>
      </w:r>
    </w:p>
    <w:p w14:paraId="31022C7A" w14:textId="763E1FC5" w:rsidR="00921D9C" w:rsidRPr="00037C61" w:rsidRDefault="00921D9C" w:rsidP="00921D9C">
      <w:pPr>
        <w:rPr>
          <w:lang w:val="en-GB"/>
        </w:rPr>
      </w:pPr>
      <w:r w:rsidRPr="00037C61">
        <w:rPr>
          <w:lang w:val="en-GB"/>
        </w:rPr>
        <w:br w:type="page"/>
      </w:r>
    </w:p>
    <w:p w14:paraId="1464FA49" w14:textId="35D33492" w:rsidR="00FB6D3F" w:rsidRPr="00037C61" w:rsidRDefault="00FB6D3F" w:rsidP="00FB6D3F">
      <w:pPr>
        <w:pStyle w:val="Heading2"/>
      </w:pPr>
      <w:bookmarkStart w:id="8" w:name="_Toc64619516"/>
      <w:bookmarkStart w:id="9" w:name="_Toc53137179"/>
      <w:bookmarkStart w:id="10" w:name="_Toc50723312"/>
      <w:r w:rsidRPr="00037C61">
        <w:lastRenderedPageBreak/>
        <w:t>The Covid-19 pandemic: potential impacts and common challenges in the cross-border area</w:t>
      </w:r>
      <w:bookmarkEnd w:id="8"/>
    </w:p>
    <w:p w14:paraId="31651654" w14:textId="0137ABF1" w:rsidR="00FB6D3F" w:rsidRPr="00037C61" w:rsidRDefault="00FB6D3F" w:rsidP="00FB6D3F">
      <w:pPr>
        <w:rPr>
          <w:rFonts w:cs="Calibri"/>
          <w:lang w:val="en-GB"/>
        </w:rPr>
      </w:pPr>
      <w:r w:rsidRPr="00037C61">
        <w:rPr>
          <w:rFonts w:cs="Calibri"/>
          <w:lang w:val="en-GB"/>
        </w:rPr>
        <w:t>In Spring 2020, in the middle of discussions and negotiations about the EU MFF 2021-2027 and strategic framework for future EU funds, EU and the world have been hit by the deepest and largest sanitary crisis since the Spanish flue (1918-1919) caused by the Covid-19 pandemic, which is still on-going (as shown in the table below), as EU and the world are still tackling the second wave of infections at the end of 2020.</w:t>
      </w:r>
    </w:p>
    <w:p w14:paraId="108663D4" w14:textId="77777777" w:rsidR="00FB6D3F" w:rsidRPr="00037C61" w:rsidRDefault="00FB6D3F" w:rsidP="00FB6D3F">
      <w:pPr>
        <w:keepNext/>
        <w:rPr>
          <w:lang w:val="en-GB"/>
        </w:rPr>
      </w:pPr>
      <w:r w:rsidRPr="00037C61">
        <w:rPr>
          <w:rFonts w:cs="Calibri"/>
          <w:noProof/>
          <w:lang w:val="ro-RO" w:eastAsia="ro-RO"/>
        </w:rPr>
        <w:drawing>
          <wp:inline distT="0" distB="0" distL="0" distR="0" wp14:anchorId="6079FB1D" wp14:editId="562FDD67">
            <wp:extent cx="6120130" cy="2240280"/>
            <wp:effectExtent l="0" t="0" r="0" b="0"/>
            <wp:docPr id="4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2240280"/>
                    </a:xfrm>
                    <a:prstGeom prst="rect">
                      <a:avLst/>
                    </a:prstGeom>
                  </pic:spPr>
                </pic:pic>
              </a:graphicData>
            </a:graphic>
          </wp:inline>
        </w:drawing>
      </w:r>
    </w:p>
    <w:p w14:paraId="4A7D3390" w14:textId="12947DBB" w:rsidR="00FB6D3F" w:rsidRPr="00037C61" w:rsidRDefault="00FB6D3F" w:rsidP="00FB6D3F">
      <w:pPr>
        <w:pStyle w:val="Caption"/>
        <w:jc w:val="both"/>
        <w:rPr>
          <w:lang w:val="en-GB"/>
        </w:rPr>
      </w:pPr>
      <w:bookmarkStart w:id="11" w:name="_Toc6461095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w:t>
      </w:r>
      <w:r w:rsidR="00412697">
        <w:rPr>
          <w:lang w:val="en-GB"/>
        </w:rPr>
        <w:fldChar w:fldCharType="end"/>
      </w:r>
      <w:r w:rsidRPr="00037C61">
        <w:rPr>
          <w:lang w:val="en-GB"/>
        </w:rPr>
        <w:t xml:space="preserve"> -</w:t>
      </w:r>
      <w:r w:rsidR="00835623" w:rsidRPr="00037C61">
        <w:rPr>
          <w:lang w:val="en-GB"/>
        </w:rPr>
        <w:t xml:space="preserve"> </w:t>
      </w:r>
      <w:r w:rsidRPr="00037C61">
        <w:rPr>
          <w:lang w:val="en-GB"/>
        </w:rPr>
        <w:t>Number of Covid-19 reported cases update, 6th December 2020</w:t>
      </w:r>
      <w:bookmarkEnd w:id="11"/>
      <w:r w:rsidRPr="00037C61">
        <w:rPr>
          <w:lang w:val="en-GB"/>
        </w:rPr>
        <w:t xml:space="preserve"> </w:t>
      </w:r>
    </w:p>
    <w:p w14:paraId="0E16643E" w14:textId="7CA7BFFC" w:rsidR="00FB6D3F" w:rsidRPr="00DB74BF" w:rsidRDefault="00FB6D3F" w:rsidP="00FB6D3F">
      <w:pPr>
        <w:pStyle w:val="Caption"/>
        <w:jc w:val="both"/>
        <w:rPr>
          <w:rFonts w:cs="Calibri"/>
          <w:sz w:val="22"/>
          <w:szCs w:val="22"/>
          <w:lang w:val="fr-FR"/>
        </w:rPr>
      </w:pPr>
      <w:r w:rsidRPr="00DB74BF">
        <w:rPr>
          <w:lang w:val="fr-FR"/>
        </w:rPr>
        <w:t>Source: https://www.ecdc.europa.eu/en/cases-2019-ncov-eueea</w:t>
      </w:r>
    </w:p>
    <w:p w14:paraId="1E973002" w14:textId="03DA5C59" w:rsidR="00FB6D3F" w:rsidRPr="00037C61" w:rsidRDefault="00FB6D3F" w:rsidP="00FB6D3F">
      <w:pPr>
        <w:rPr>
          <w:rFonts w:cs="Calibri"/>
          <w:lang w:val="en-GB"/>
        </w:rPr>
      </w:pPr>
      <w:r w:rsidRPr="00037C61">
        <w:rPr>
          <w:rFonts w:cs="Calibri"/>
          <w:lang w:val="en-GB"/>
        </w:rPr>
        <w:t>As compared to the first wave, the second wave of the Covid-19 pandemic has affected all EU countries, in terms of both reported cases and deaths, with extended lockdown, semi-lockdown and social distancing measures being adopted throughout EU starting from October 2020. The following table shows the incidence of cases and deaths (last update 6</w:t>
      </w:r>
      <w:r w:rsidRPr="00037C61">
        <w:rPr>
          <w:rFonts w:cs="Calibri"/>
          <w:vertAlign w:val="superscript"/>
          <w:lang w:val="en-GB"/>
        </w:rPr>
        <w:t>th</w:t>
      </w:r>
      <w:r w:rsidRPr="00037C61">
        <w:rPr>
          <w:rFonts w:cs="Calibri"/>
          <w:lang w:val="en-GB"/>
        </w:rPr>
        <w:t xml:space="preserve"> December 2020): it shall be noted that Romania is among the first 10 most affected countries, whilst Hungary is among the first 15. </w:t>
      </w:r>
    </w:p>
    <w:tbl>
      <w:tblPr>
        <w:tblW w:w="9898" w:type="dxa"/>
        <w:tblCellMar>
          <w:left w:w="70" w:type="dxa"/>
          <w:right w:w="70" w:type="dxa"/>
        </w:tblCellMar>
        <w:tblLook w:val="04A0" w:firstRow="1" w:lastRow="0" w:firstColumn="1" w:lastColumn="0" w:noHBand="0" w:noVBand="1"/>
      </w:tblPr>
      <w:tblGrid>
        <w:gridCol w:w="2122"/>
        <w:gridCol w:w="1269"/>
        <w:gridCol w:w="1587"/>
        <w:gridCol w:w="2460"/>
        <w:gridCol w:w="2460"/>
      </w:tblGrid>
      <w:tr w:rsidR="00FB6D3F" w:rsidRPr="00283B08" w14:paraId="3CD86AEE" w14:textId="77777777" w:rsidTr="00245B34">
        <w:trPr>
          <w:trHeight w:val="759"/>
          <w:tblHeader/>
        </w:trPr>
        <w:tc>
          <w:tcPr>
            <w:tcW w:w="2122" w:type="dxa"/>
            <w:tcBorders>
              <w:top w:val="single" w:sz="8" w:space="0" w:color="DDDDDD"/>
              <w:left w:val="single" w:sz="8" w:space="0" w:color="DDDDDD"/>
              <w:bottom w:val="single" w:sz="12" w:space="0" w:color="DDDDDD"/>
              <w:right w:val="single" w:sz="8" w:space="0" w:color="DDDDDD"/>
            </w:tcBorders>
            <w:shd w:val="clear" w:color="000000" w:fill="E1EFD3"/>
            <w:vAlign w:val="center"/>
            <w:hideMark/>
          </w:tcPr>
          <w:p w14:paraId="2919712E"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EU/EEA and the UK</w:t>
            </w:r>
          </w:p>
        </w:tc>
        <w:tc>
          <w:tcPr>
            <w:tcW w:w="1269" w:type="dxa"/>
            <w:tcBorders>
              <w:top w:val="single" w:sz="8" w:space="0" w:color="DDDDDD"/>
              <w:left w:val="nil"/>
              <w:bottom w:val="single" w:sz="12" w:space="0" w:color="DDDDDD"/>
              <w:right w:val="single" w:sz="8" w:space="0" w:color="DDDDDD"/>
            </w:tcBorders>
            <w:shd w:val="clear" w:color="000000" w:fill="E1EFD3"/>
            <w:vAlign w:val="center"/>
            <w:hideMark/>
          </w:tcPr>
          <w:p w14:paraId="5017AAE1"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Sum of Cases</w:t>
            </w:r>
          </w:p>
        </w:tc>
        <w:tc>
          <w:tcPr>
            <w:tcW w:w="1587" w:type="dxa"/>
            <w:tcBorders>
              <w:top w:val="single" w:sz="8" w:space="0" w:color="DDDDDD"/>
              <w:left w:val="nil"/>
              <w:bottom w:val="single" w:sz="12" w:space="0" w:color="DDDDDD"/>
              <w:right w:val="single" w:sz="8" w:space="0" w:color="DDDDDD"/>
            </w:tcBorders>
            <w:shd w:val="clear" w:color="000000" w:fill="E1EFD3"/>
            <w:vAlign w:val="center"/>
            <w:hideMark/>
          </w:tcPr>
          <w:p w14:paraId="37036A48"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Sum of Deaths</w:t>
            </w:r>
          </w:p>
        </w:tc>
        <w:tc>
          <w:tcPr>
            <w:tcW w:w="2460" w:type="dxa"/>
            <w:tcBorders>
              <w:top w:val="single" w:sz="8" w:space="0" w:color="DDDDDD"/>
              <w:left w:val="nil"/>
              <w:bottom w:val="single" w:sz="12" w:space="0" w:color="DDDDDD"/>
              <w:right w:val="single" w:sz="8" w:space="0" w:color="DDDDDD"/>
            </w:tcBorders>
            <w:shd w:val="clear" w:color="000000" w:fill="E1EFD3"/>
            <w:vAlign w:val="center"/>
            <w:hideMark/>
          </w:tcPr>
          <w:p w14:paraId="19111F41"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14-day cumulative number of COVID-19 cases per 100 000</w:t>
            </w:r>
          </w:p>
        </w:tc>
        <w:tc>
          <w:tcPr>
            <w:tcW w:w="2460" w:type="dxa"/>
            <w:tcBorders>
              <w:top w:val="single" w:sz="8" w:space="0" w:color="DDDDDD"/>
              <w:left w:val="nil"/>
              <w:bottom w:val="single" w:sz="12" w:space="0" w:color="DDDDDD"/>
              <w:right w:val="single" w:sz="8" w:space="0" w:color="DDDDDD"/>
            </w:tcBorders>
            <w:shd w:val="clear" w:color="000000" w:fill="E1EFD3"/>
            <w:vAlign w:val="center"/>
            <w:hideMark/>
          </w:tcPr>
          <w:p w14:paraId="40E8C4F3"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14-day cumulative number of COVID-19 deaths per 100 000</w:t>
            </w:r>
          </w:p>
        </w:tc>
      </w:tr>
      <w:tr w:rsidR="00FB6D3F" w:rsidRPr="00037C61" w14:paraId="2FE107FE" w14:textId="77777777" w:rsidTr="00245B34">
        <w:trPr>
          <w:trHeight w:val="313"/>
        </w:trPr>
        <w:tc>
          <w:tcPr>
            <w:tcW w:w="2122" w:type="dxa"/>
            <w:tcBorders>
              <w:top w:val="single" w:sz="8" w:space="0" w:color="DDDDDD"/>
              <w:left w:val="single" w:sz="8" w:space="0" w:color="DDDDDD"/>
              <w:bottom w:val="single" w:sz="8" w:space="0" w:color="DDDDDD"/>
              <w:right w:val="single" w:sz="8" w:space="0" w:color="DDDDDD"/>
            </w:tcBorders>
            <w:shd w:val="clear" w:color="000000" w:fill="FAFAFA"/>
            <w:vAlign w:val="center"/>
            <w:hideMark/>
          </w:tcPr>
          <w:p w14:paraId="558AFF5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France</w:t>
            </w:r>
          </w:p>
        </w:tc>
        <w:tc>
          <w:tcPr>
            <w:tcW w:w="1269" w:type="dxa"/>
            <w:tcBorders>
              <w:top w:val="single" w:sz="8" w:space="0" w:color="DDDDDD"/>
              <w:left w:val="nil"/>
              <w:bottom w:val="single" w:sz="8" w:space="0" w:color="DDDDDD"/>
              <w:right w:val="single" w:sz="8" w:space="0" w:color="DDDDDD"/>
            </w:tcBorders>
            <w:shd w:val="clear" w:color="000000" w:fill="FAFAFA"/>
            <w:vAlign w:val="center"/>
            <w:hideMark/>
          </w:tcPr>
          <w:p w14:paraId="507235A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2281475</w:t>
            </w:r>
          </w:p>
        </w:tc>
        <w:tc>
          <w:tcPr>
            <w:tcW w:w="1587" w:type="dxa"/>
            <w:tcBorders>
              <w:top w:val="single" w:sz="8" w:space="0" w:color="DDDDDD"/>
              <w:left w:val="nil"/>
              <w:bottom w:val="single" w:sz="8" w:space="0" w:color="DDDDDD"/>
              <w:right w:val="single" w:sz="8" w:space="0" w:color="DDDDDD"/>
            </w:tcBorders>
            <w:shd w:val="clear" w:color="000000" w:fill="FAFAFA"/>
            <w:vAlign w:val="center"/>
            <w:hideMark/>
          </w:tcPr>
          <w:p w14:paraId="4881E08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54981</w:t>
            </w:r>
          </w:p>
        </w:tc>
        <w:tc>
          <w:tcPr>
            <w:tcW w:w="2460" w:type="dxa"/>
            <w:tcBorders>
              <w:top w:val="single" w:sz="8" w:space="0" w:color="DDDDDD"/>
              <w:left w:val="nil"/>
              <w:bottom w:val="single" w:sz="8" w:space="0" w:color="DDDDDD"/>
              <w:right w:val="single" w:sz="8" w:space="0" w:color="DDDDDD"/>
            </w:tcBorders>
            <w:shd w:val="clear" w:color="000000" w:fill="FAFAFA"/>
            <w:vAlign w:val="center"/>
            <w:hideMark/>
          </w:tcPr>
          <w:p w14:paraId="398E603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230.4</w:t>
            </w:r>
          </w:p>
        </w:tc>
        <w:tc>
          <w:tcPr>
            <w:tcW w:w="2460" w:type="dxa"/>
            <w:tcBorders>
              <w:top w:val="single" w:sz="8" w:space="0" w:color="DDDDDD"/>
              <w:left w:val="nil"/>
              <w:bottom w:val="single" w:sz="8" w:space="0" w:color="DDDDDD"/>
              <w:right w:val="single" w:sz="8" w:space="0" w:color="DDDDDD"/>
            </w:tcBorders>
            <w:shd w:val="clear" w:color="000000" w:fill="FAFAFA"/>
            <w:vAlign w:val="center"/>
            <w:hideMark/>
          </w:tcPr>
          <w:p w14:paraId="260F313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9.6</w:t>
            </w:r>
          </w:p>
        </w:tc>
      </w:tr>
      <w:tr w:rsidR="00FB6D3F" w:rsidRPr="00037C61" w14:paraId="2D3EACC2"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66FC676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Italy</w:t>
            </w:r>
          </w:p>
        </w:tc>
        <w:tc>
          <w:tcPr>
            <w:tcW w:w="1269" w:type="dxa"/>
            <w:tcBorders>
              <w:top w:val="nil"/>
              <w:left w:val="nil"/>
              <w:bottom w:val="single" w:sz="8" w:space="0" w:color="DDDDDD"/>
              <w:right w:val="single" w:sz="8" w:space="0" w:color="DDDDDD"/>
            </w:tcBorders>
            <w:shd w:val="clear" w:color="000000" w:fill="FFFFFF"/>
            <w:vAlign w:val="center"/>
            <w:hideMark/>
          </w:tcPr>
          <w:p w14:paraId="7C17A2D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1709991</w:t>
            </w:r>
          </w:p>
        </w:tc>
        <w:tc>
          <w:tcPr>
            <w:tcW w:w="1587" w:type="dxa"/>
            <w:tcBorders>
              <w:top w:val="nil"/>
              <w:left w:val="nil"/>
              <w:bottom w:val="single" w:sz="8" w:space="0" w:color="DDDDDD"/>
              <w:right w:val="single" w:sz="8" w:space="0" w:color="DDDDDD"/>
            </w:tcBorders>
            <w:shd w:val="clear" w:color="000000" w:fill="FFFFFF"/>
            <w:vAlign w:val="center"/>
            <w:hideMark/>
          </w:tcPr>
          <w:p w14:paraId="31D037A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 59514</w:t>
            </w:r>
          </w:p>
        </w:tc>
        <w:tc>
          <w:tcPr>
            <w:tcW w:w="2460" w:type="dxa"/>
            <w:tcBorders>
              <w:top w:val="nil"/>
              <w:left w:val="nil"/>
              <w:bottom w:val="single" w:sz="8" w:space="0" w:color="DDDDDD"/>
              <w:right w:val="single" w:sz="8" w:space="0" w:color="DDDDDD"/>
            </w:tcBorders>
            <w:shd w:val="clear" w:color="000000" w:fill="FFFFFF"/>
            <w:vAlign w:val="center"/>
            <w:hideMark/>
          </w:tcPr>
          <w:p w14:paraId="1BF3D83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545.8</w:t>
            </w:r>
          </w:p>
        </w:tc>
        <w:tc>
          <w:tcPr>
            <w:tcW w:w="2460" w:type="dxa"/>
            <w:tcBorders>
              <w:top w:val="nil"/>
              <w:left w:val="nil"/>
              <w:bottom w:val="single" w:sz="8" w:space="0" w:color="DDDDDD"/>
              <w:right w:val="single" w:sz="8" w:space="0" w:color="DDDDDD"/>
            </w:tcBorders>
            <w:shd w:val="clear" w:color="000000" w:fill="FFFFFF"/>
            <w:vAlign w:val="center"/>
            <w:hideMark/>
          </w:tcPr>
          <w:p w14:paraId="74BA619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17.0</w:t>
            </w:r>
          </w:p>
        </w:tc>
      </w:tr>
      <w:tr w:rsidR="00FB6D3F" w:rsidRPr="00037C61" w14:paraId="6A3E44FB" w14:textId="77777777" w:rsidTr="00245B34">
        <w:trPr>
          <w:trHeight w:val="403"/>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58764C4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United_Kingdom</w:t>
            </w:r>
          </w:p>
        </w:tc>
        <w:tc>
          <w:tcPr>
            <w:tcW w:w="1269" w:type="dxa"/>
            <w:tcBorders>
              <w:top w:val="nil"/>
              <w:left w:val="nil"/>
              <w:bottom w:val="single" w:sz="8" w:space="0" w:color="DDDDDD"/>
              <w:right w:val="single" w:sz="8" w:space="0" w:color="DDDDDD"/>
            </w:tcBorders>
            <w:shd w:val="clear" w:color="000000" w:fill="FAFAFA"/>
            <w:vAlign w:val="center"/>
            <w:hideMark/>
          </w:tcPr>
          <w:p w14:paraId="4D59AD7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1705971</w:t>
            </w:r>
          </w:p>
        </w:tc>
        <w:tc>
          <w:tcPr>
            <w:tcW w:w="1587" w:type="dxa"/>
            <w:tcBorders>
              <w:top w:val="nil"/>
              <w:left w:val="nil"/>
              <w:bottom w:val="single" w:sz="8" w:space="0" w:color="DDDDDD"/>
              <w:right w:val="single" w:sz="8" w:space="0" w:color="DDDDDD"/>
            </w:tcBorders>
            <w:shd w:val="clear" w:color="000000" w:fill="FAFAFA"/>
            <w:vAlign w:val="center"/>
            <w:hideMark/>
          </w:tcPr>
          <w:p w14:paraId="04608E5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61014</w:t>
            </w:r>
          </w:p>
        </w:tc>
        <w:tc>
          <w:tcPr>
            <w:tcW w:w="2460" w:type="dxa"/>
            <w:tcBorders>
              <w:top w:val="nil"/>
              <w:left w:val="nil"/>
              <w:bottom w:val="single" w:sz="8" w:space="0" w:color="DDDDDD"/>
              <w:right w:val="single" w:sz="8" w:space="0" w:color="DDDDDD"/>
            </w:tcBorders>
            <w:shd w:val="clear" w:color="000000" w:fill="FAFAFA"/>
            <w:vAlign w:val="center"/>
            <w:hideMark/>
          </w:tcPr>
          <w:p w14:paraId="0742615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319.0</w:t>
            </w:r>
          </w:p>
        </w:tc>
        <w:tc>
          <w:tcPr>
            <w:tcW w:w="2460" w:type="dxa"/>
            <w:tcBorders>
              <w:top w:val="nil"/>
              <w:left w:val="nil"/>
              <w:bottom w:val="single" w:sz="8" w:space="0" w:color="DDDDDD"/>
              <w:right w:val="single" w:sz="8" w:space="0" w:color="DDDDDD"/>
            </w:tcBorders>
            <w:shd w:val="clear" w:color="000000" w:fill="FAFAFA"/>
            <w:vAlign w:val="center"/>
            <w:hideMark/>
          </w:tcPr>
          <w:p w14:paraId="189D6BD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9.6</w:t>
            </w:r>
          </w:p>
        </w:tc>
      </w:tr>
      <w:tr w:rsidR="00FB6D3F" w:rsidRPr="00037C61" w14:paraId="550EED8C"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71E94E6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Spain</w:t>
            </w:r>
          </w:p>
        </w:tc>
        <w:tc>
          <w:tcPr>
            <w:tcW w:w="1269" w:type="dxa"/>
            <w:tcBorders>
              <w:top w:val="nil"/>
              <w:left w:val="nil"/>
              <w:bottom w:val="single" w:sz="8" w:space="0" w:color="DDDDDD"/>
              <w:right w:val="single" w:sz="8" w:space="0" w:color="DDDDDD"/>
            </w:tcBorders>
            <w:shd w:val="clear" w:color="000000" w:fill="FFFFFF"/>
            <w:vAlign w:val="center"/>
            <w:hideMark/>
          </w:tcPr>
          <w:p w14:paraId="1E7119D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1684647</w:t>
            </w:r>
          </w:p>
        </w:tc>
        <w:tc>
          <w:tcPr>
            <w:tcW w:w="1587" w:type="dxa"/>
            <w:tcBorders>
              <w:top w:val="nil"/>
              <w:left w:val="nil"/>
              <w:bottom w:val="single" w:sz="8" w:space="0" w:color="DDDDDD"/>
              <w:right w:val="single" w:sz="8" w:space="0" w:color="DDDDDD"/>
            </w:tcBorders>
            <w:shd w:val="clear" w:color="000000" w:fill="FFFFFF"/>
            <w:vAlign w:val="center"/>
            <w:hideMark/>
          </w:tcPr>
          <w:p w14:paraId="73F7FF2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46252</w:t>
            </w:r>
          </w:p>
        </w:tc>
        <w:tc>
          <w:tcPr>
            <w:tcW w:w="2460" w:type="dxa"/>
            <w:tcBorders>
              <w:top w:val="nil"/>
              <w:left w:val="nil"/>
              <w:bottom w:val="single" w:sz="8" w:space="0" w:color="DDDDDD"/>
              <w:right w:val="single" w:sz="8" w:space="0" w:color="DDDDDD"/>
            </w:tcBorders>
            <w:shd w:val="clear" w:color="000000" w:fill="FFFFFF"/>
            <w:vAlign w:val="center"/>
            <w:hideMark/>
          </w:tcPr>
          <w:p w14:paraId="0C03622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272.5</w:t>
            </w:r>
          </w:p>
        </w:tc>
        <w:tc>
          <w:tcPr>
            <w:tcW w:w="2460" w:type="dxa"/>
            <w:tcBorders>
              <w:top w:val="nil"/>
              <w:left w:val="nil"/>
              <w:bottom w:val="single" w:sz="8" w:space="0" w:color="DDDDDD"/>
              <w:right w:val="single" w:sz="8" w:space="0" w:color="DDDDDD"/>
            </w:tcBorders>
            <w:shd w:val="clear" w:color="000000" w:fill="FFFFFF"/>
            <w:vAlign w:val="center"/>
            <w:hideMark/>
          </w:tcPr>
          <w:p w14:paraId="78D9C2B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7.7</w:t>
            </w:r>
          </w:p>
        </w:tc>
      </w:tr>
      <w:tr w:rsidR="00FB6D3F" w:rsidRPr="00037C61" w14:paraId="270283A8" w14:textId="77777777" w:rsidTr="00245B34">
        <w:trPr>
          <w:trHeight w:val="333"/>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38BBE76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Germany</w:t>
            </w:r>
          </w:p>
        </w:tc>
        <w:tc>
          <w:tcPr>
            <w:tcW w:w="1269" w:type="dxa"/>
            <w:tcBorders>
              <w:top w:val="nil"/>
              <w:left w:val="nil"/>
              <w:bottom w:val="single" w:sz="8" w:space="0" w:color="DDDDDD"/>
              <w:right w:val="single" w:sz="8" w:space="0" w:color="DDDDDD"/>
            </w:tcBorders>
            <w:shd w:val="clear" w:color="000000" w:fill="FAFAFA"/>
            <w:vAlign w:val="center"/>
            <w:hideMark/>
          </w:tcPr>
          <w:p w14:paraId="1BA9489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1171322</w:t>
            </w:r>
          </w:p>
        </w:tc>
        <w:tc>
          <w:tcPr>
            <w:tcW w:w="1587" w:type="dxa"/>
            <w:tcBorders>
              <w:top w:val="nil"/>
              <w:left w:val="nil"/>
              <w:bottom w:val="single" w:sz="8" w:space="0" w:color="DDDDDD"/>
              <w:right w:val="single" w:sz="8" w:space="0" w:color="DDDDDD"/>
            </w:tcBorders>
            <w:shd w:val="clear" w:color="000000" w:fill="FAFAFA"/>
            <w:vAlign w:val="center"/>
            <w:hideMark/>
          </w:tcPr>
          <w:p w14:paraId="4851969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18772</w:t>
            </w:r>
          </w:p>
        </w:tc>
        <w:tc>
          <w:tcPr>
            <w:tcW w:w="2460" w:type="dxa"/>
            <w:tcBorders>
              <w:top w:val="nil"/>
              <w:left w:val="nil"/>
              <w:bottom w:val="single" w:sz="8" w:space="0" w:color="DDDDDD"/>
              <w:right w:val="single" w:sz="8" w:space="0" w:color="DDDDDD"/>
            </w:tcBorders>
            <w:shd w:val="clear" w:color="000000" w:fill="FAFAFA"/>
            <w:vAlign w:val="center"/>
            <w:hideMark/>
          </w:tcPr>
          <w:p w14:paraId="7D0B670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304.8</w:t>
            </w:r>
          </w:p>
        </w:tc>
        <w:tc>
          <w:tcPr>
            <w:tcW w:w="2460" w:type="dxa"/>
            <w:tcBorders>
              <w:top w:val="nil"/>
              <w:left w:val="nil"/>
              <w:bottom w:val="single" w:sz="8" w:space="0" w:color="DDDDDD"/>
              <w:right w:val="single" w:sz="8" w:space="0" w:color="DDDDDD"/>
            </w:tcBorders>
            <w:shd w:val="clear" w:color="000000" w:fill="FAFAFA"/>
            <w:vAlign w:val="center"/>
            <w:hideMark/>
          </w:tcPr>
          <w:p w14:paraId="397DB7D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5.7</w:t>
            </w:r>
          </w:p>
        </w:tc>
      </w:tr>
      <w:tr w:rsidR="00FB6D3F" w:rsidRPr="00037C61" w14:paraId="01446FBC"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268181A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Poland</w:t>
            </w:r>
          </w:p>
        </w:tc>
        <w:tc>
          <w:tcPr>
            <w:tcW w:w="1269" w:type="dxa"/>
            <w:tcBorders>
              <w:top w:val="nil"/>
              <w:left w:val="nil"/>
              <w:bottom w:val="single" w:sz="8" w:space="0" w:color="DDDDDD"/>
              <w:right w:val="single" w:sz="8" w:space="0" w:color="DDDDDD"/>
            </w:tcBorders>
            <w:shd w:val="clear" w:color="000000" w:fill="FFFFFF"/>
            <w:vAlign w:val="center"/>
            <w:hideMark/>
          </w:tcPr>
          <w:p w14:paraId="5156967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1054273</w:t>
            </w:r>
          </w:p>
        </w:tc>
        <w:tc>
          <w:tcPr>
            <w:tcW w:w="1587" w:type="dxa"/>
            <w:tcBorders>
              <w:top w:val="nil"/>
              <w:left w:val="nil"/>
              <w:bottom w:val="single" w:sz="8" w:space="0" w:color="DDDDDD"/>
              <w:right w:val="single" w:sz="8" w:space="0" w:color="DDDDDD"/>
            </w:tcBorders>
            <w:shd w:val="clear" w:color="000000" w:fill="FFFFFF"/>
            <w:vAlign w:val="center"/>
            <w:hideMark/>
          </w:tcPr>
          <w:p w14:paraId="01D6333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19861</w:t>
            </w:r>
          </w:p>
        </w:tc>
        <w:tc>
          <w:tcPr>
            <w:tcW w:w="2460" w:type="dxa"/>
            <w:tcBorders>
              <w:top w:val="nil"/>
              <w:left w:val="nil"/>
              <w:bottom w:val="single" w:sz="8" w:space="0" w:color="DDDDDD"/>
              <w:right w:val="single" w:sz="8" w:space="0" w:color="DDDDDD"/>
            </w:tcBorders>
            <w:shd w:val="clear" w:color="000000" w:fill="FFFFFF"/>
            <w:vAlign w:val="center"/>
            <w:hideMark/>
          </w:tcPr>
          <w:p w14:paraId="11766C84"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555.1</w:t>
            </w:r>
          </w:p>
        </w:tc>
        <w:tc>
          <w:tcPr>
            <w:tcW w:w="2460" w:type="dxa"/>
            <w:tcBorders>
              <w:top w:val="nil"/>
              <w:left w:val="nil"/>
              <w:bottom w:val="single" w:sz="8" w:space="0" w:color="DDDDDD"/>
              <w:right w:val="single" w:sz="8" w:space="0" w:color="DDDDDD"/>
            </w:tcBorders>
            <w:shd w:val="clear" w:color="000000" w:fill="FFFFFF"/>
            <w:vAlign w:val="center"/>
            <w:hideMark/>
          </w:tcPr>
          <w:p w14:paraId="072DC0A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17.3</w:t>
            </w:r>
          </w:p>
        </w:tc>
      </w:tr>
      <w:tr w:rsidR="00FB6D3F" w:rsidRPr="00037C61" w14:paraId="04547F5D"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397F211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Belgium</w:t>
            </w:r>
          </w:p>
        </w:tc>
        <w:tc>
          <w:tcPr>
            <w:tcW w:w="1269" w:type="dxa"/>
            <w:tcBorders>
              <w:top w:val="nil"/>
              <w:left w:val="nil"/>
              <w:bottom w:val="single" w:sz="8" w:space="0" w:color="DDDDDD"/>
              <w:right w:val="single" w:sz="8" w:space="0" w:color="DDDDDD"/>
            </w:tcBorders>
            <w:shd w:val="clear" w:color="000000" w:fill="FAFAFA"/>
            <w:vAlign w:val="center"/>
            <w:hideMark/>
          </w:tcPr>
          <w:p w14:paraId="5D25461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589806</w:t>
            </w:r>
          </w:p>
        </w:tc>
        <w:tc>
          <w:tcPr>
            <w:tcW w:w="1587" w:type="dxa"/>
            <w:tcBorders>
              <w:top w:val="nil"/>
              <w:left w:val="nil"/>
              <w:bottom w:val="single" w:sz="8" w:space="0" w:color="DDDDDD"/>
              <w:right w:val="single" w:sz="8" w:space="0" w:color="DDDDDD"/>
            </w:tcBorders>
            <w:shd w:val="clear" w:color="000000" w:fill="FAFAFA"/>
            <w:vAlign w:val="center"/>
            <w:hideMark/>
          </w:tcPr>
          <w:p w14:paraId="7A00059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17254</w:t>
            </w:r>
          </w:p>
        </w:tc>
        <w:tc>
          <w:tcPr>
            <w:tcW w:w="2460" w:type="dxa"/>
            <w:tcBorders>
              <w:top w:val="nil"/>
              <w:left w:val="nil"/>
              <w:bottom w:val="single" w:sz="8" w:space="0" w:color="DDDDDD"/>
              <w:right w:val="single" w:sz="8" w:space="0" w:color="DDDDDD"/>
            </w:tcBorders>
            <w:shd w:val="clear" w:color="000000" w:fill="FAFAFA"/>
            <w:vAlign w:val="center"/>
            <w:hideMark/>
          </w:tcPr>
          <w:p w14:paraId="6DE3C5D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261.9</w:t>
            </w:r>
          </w:p>
        </w:tc>
        <w:tc>
          <w:tcPr>
            <w:tcW w:w="2460" w:type="dxa"/>
            <w:tcBorders>
              <w:top w:val="nil"/>
              <w:left w:val="nil"/>
              <w:bottom w:val="single" w:sz="8" w:space="0" w:color="DDDDDD"/>
              <w:right w:val="single" w:sz="8" w:space="0" w:color="DDDDDD"/>
            </w:tcBorders>
            <w:shd w:val="clear" w:color="000000" w:fill="FAFAFA"/>
            <w:vAlign w:val="center"/>
            <w:hideMark/>
          </w:tcPr>
          <w:p w14:paraId="56292A9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14.3</w:t>
            </w:r>
          </w:p>
        </w:tc>
      </w:tr>
      <w:tr w:rsidR="00FB6D3F" w:rsidRPr="00037C61" w14:paraId="72EDFAB0" w14:textId="77777777" w:rsidTr="00245B34">
        <w:trPr>
          <w:trHeight w:val="316"/>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38A6BA5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Netherlands</w:t>
            </w:r>
          </w:p>
        </w:tc>
        <w:tc>
          <w:tcPr>
            <w:tcW w:w="1269" w:type="dxa"/>
            <w:tcBorders>
              <w:top w:val="nil"/>
              <w:left w:val="nil"/>
              <w:bottom w:val="single" w:sz="8" w:space="0" w:color="DDDDDD"/>
              <w:right w:val="single" w:sz="8" w:space="0" w:color="DDDDDD"/>
            </w:tcBorders>
            <w:shd w:val="clear" w:color="000000" w:fill="FFFFFF"/>
            <w:vAlign w:val="center"/>
            <w:hideMark/>
          </w:tcPr>
          <w:p w14:paraId="6F47BE9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549784</w:t>
            </w:r>
          </w:p>
        </w:tc>
        <w:tc>
          <w:tcPr>
            <w:tcW w:w="1587" w:type="dxa"/>
            <w:tcBorders>
              <w:top w:val="nil"/>
              <w:left w:val="nil"/>
              <w:bottom w:val="single" w:sz="8" w:space="0" w:color="DDDDDD"/>
              <w:right w:val="single" w:sz="8" w:space="0" w:color="DDDDDD"/>
            </w:tcBorders>
            <w:shd w:val="clear" w:color="000000" w:fill="FFFFFF"/>
            <w:vAlign w:val="center"/>
            <w:hideMark/>
          </w:tcPr>
          <w:p w14:paraId="2E66E9D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9649</w:t>
            </w:r>
          </w:p>
        </w:tc>
        <w:tc>
          <w:tcPr>
            <w:tcW w:w="2460" w:type="dxa"/>
            <w:tcBorders>
              <w:top w:val="nil"/>
              <w:left w:val="nil"/>
              <w:bottom w:val="single" w:sz="8" w:space="0" w:color="DDDDDD"/>
              <w:right w:val="single" w:sz="8" w:space="0" w:color="DDDDDD"/>
            </w:tcBorders>
            <w:shd w:val="clear" w:color="000000" w:fill="FFFFFF"/>
            <w:vAlign w:val="center"/>
            <w:hideMark/>
          </w:tcPr>
          <w:p w14:paraId="3D26A2D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411.4</w:t>
            </w:r>
          </w:p>
        </w:tc>
        <w:tc>
          <w:tcPr>
            <w:tcW w:w="2460" w:type="dxa"/>
            <w:tcBorders>
              <w:top w:val="nil"/>
              <w:left w:val="nil"/>
              <w:bottom w:val="single" w:sz="8" w:space="0" w:color="DDDDDD"/>
              <w:right w:val="single" w:sz="8" w:space="0" w:color="DDDDDD"/>
            </w:tcBorders>
            <w:shd w:val="clear" w:color="000000" w:fill="FFFFFF"/>
            <w:vAlign w:val="center"/>
            <w:hideMark/>
          </w:tcPr>
          <w:p w14:paraId="0E411C7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4.6</w:t>
            </w:r>
          </w:p>
        </w:tc>
      </w:tr>
      <w:tr w:rsidR="00FB6D3F" w:rsidRPr="00037C61" w14:paraId="339ACE2F"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2EB71CA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Czechia</w:t>
            </w:r>
          </w:p>
        </w:tc>
        <w:tc>
          <w:tcPr>
            <w:tcW w:w="1269" w:type="dxa"/>
            <w:tcBorders>
              <w:top w:val="nil"/>
              <w:left w:val="nil"/>
              <w:bottom w:val="single" w:sz="8" w:space="0" w:color="DDDDDD"/>
              <w:right w:val="single" w:sz="8" w:space="0" w:color="DDDDDD"/>
            </w:tcBorders>
            <w:shd w:val="clear" w:color="000000" w:fill="FAFAFA"/>
            <w:vAlign w:val="center"/>
            <w:hideMark/>
          </w:tcPr>
          <w:p w14:paraId="41D265D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544179</w:t>
            </w:r>
          </w:p>
        </w:tc>
        <w:tc>
          <w:tcPr>
            <w:tcW w:w="1587" w:type="dxa"/>
            <w:tcBorders>
              <w:top w:val="nil"/>
              <w:left w:val="nil"/>
              <w:bottom w:val="single" w:sz="8" w:space="0" w:color="DDDDDD"/>
              <w:right w:val="single" w:sz="8" w:space="0" w:color="DDDDDD"/>
            </w:tcBorders>
            <w:shd w:val="clear" w:color="000000" w:fill="FAFAFA"/>
            <w:vAlign w:val="center"/>
            <w:hideMark/>
          </w:tcPr>
          <w:p w14:paraId="3F9AC88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8815</w:t>
            </w:r>
          </w:p>
        </w:tc>
        <w:tc>
          <w:tcPr>
            <w:tcW w:w="2460" w:type="dxa"/>
            <w:tcBorders>
              <w:top w:val="nil"/>
              <w:left w:val="nil"/>
              <w:bottom w:val="single" w:sz="8" w:space="0" w:color="DDDDDD"/>
              <w:right w:val="single" w:sz="8" w:space="0" w:color="DDDDDD"/>
            </w:tcBorders>
            <w:shd w:val="clear" w:color="000000" w:fill="FAFAFA"/>
            <w:vAlign w:val="center"/>
            <w:hideMark/>
          </w:tcPr>
          <w:p w14:paraId="300B6C1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501.7</w:t>
            </w:r>
          </w:p>
        </w:tc>
        <w:tc>
          <w:tcPr>
            <w:tcW w:w="2460" w:type="dxa"/>
            <w:tcBorders>
              <w:top w:val="nil"/>
              <w:left w:val="nil"/>
              <w:bottom w:val="single" w:sz="8" w:space="0" w:color="DDDDDD"/>
              <w:right w:val="single" w:sz="8" w:space="0" w:color="DDDDDD"/>
            </w:tcBorders>
            <w:shd w:val="clear" w:color="000000" w:fill="FAFAFA"/>
            <w:vAlign w:val="center"/>
            <w:hideMark/>
          </w:tcPr>
          <w:p w14:paraId="413F473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16.2</w:t>
            </w:r>
          </w:p>
        </w:tc>
      </w:tr>
      <w:tr w:rsidR="00FB6D3F" w:rsidRPr="00037C61" w14:paraId="7E2D947F" w14:textId="77777777" w:rsidTr="00245B34">
        <w:trPr>
          <w:trHeight w:val="326"/>
        </w:trPr>
        <w:tc>
          <w:tcPr>
            <w:tcW w:w="2122" w:type="dxa"/>
            <w:tcBorders>
              <w:top w:val="nil"/>
              <w:left w:val="single" w:sz="8" w:space="0" w:color="DDDDDD"/>
              <w:bottom w:val="single" w:sz="8" w:space="0" w:color="DDDDDD"/>
              <w:right w:val="single" w:sz="8" w:space="0" w:color="DDDDDD"/>
            </w:tcBorders>
            <w:shd w:val="clear" w:color="000000" w:fill="FFC000"/>
            <w:vAlign w:val="center"/>
            <w:hideMark/>
          </w:tcPr>
          <w:p w14:paraId="54E4C16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Romania</w:t>
            </w:r>
          </w:p>
        </w:tc>
        <w:tc>
          <w:tcPr>
            <w:tcW w:w="1269" w:type="dxa"/>
            <w:tcBorders>
              <w:top w:val="nil"/>
              <w:left w:val="nil"/>
              <w:bottom w:val="single" w:sz="8" w:space="0" w:color="DDDDDD"/>
              <w:right w:val="single" w:sz="8" w:space="0" w:color="DDDDDD"/>
            </w:tcBorders>
            <w:shd w:val="clear" w:color="000000" w:fill="FFC000"/>
            <w:vAlign w:val="center"/>
            <w:hideMark/>
          </w:tcPr>
          <w:p w14:paraId="66DD896D"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508345</w:t>
            </w:r>
          </w:p>
        </w:tc>
        <w:tc>
          <w:tcPr>
            <w:tcW w:w="1587" w:type="dxa"/>
            <w:tcBorders>
              <w:top w:val="nil"/>
              <w:left w:val="nil"/>
              <w:bottom w:val="single" w:sz="8" w:space="0" w:color="DDDDDD"/>
              <w:right w:val="single" w:sz="8" w:space="0" w:color="DDDDDD"/>
            </w:tcBorders>
            <w:shd w:val="clear" w:color="000000" w:fill="FFC000"/>
            <w:vAlign w:val="center"/>
            <w:hideMark/>
          </w:tcPr>
          <w:p w14:paraId="5BEE0D1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12186</w:t>
            </w:r>
          </w:p>
        </w:tc>
        <w:tc>
          <w:tcPr>
            <w:tcW w:w="2460" w:type="dxa"/>
            <w:tcBorders>
              <w:top w:val="nil"/>
              <w:left w:val="nil"/>
              <w:bottom w:val="single" w:sz="8" w:space="0" w:color="DDDDDD"/>
              <w:right w:val="single" w:sz="8" w:space="0" w:color="DDDDDD"/>
            </w:tcBorders>
            <w:shd w:val="clear" w:color="000000" w:fill="FFC000"/>
            <w:vAlign w:val="center"/>
            <w:hideMark/>
          </w:tcPr>
          <w:p w14:paraId="5678F3C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492.1</w:t>
            </w:r>
          </w:p>
        </w:tc>
        <w:tc>
          <w:tcPr>
            <w:tcW w:w="2460" w:type="dxa"/>
            <w:tcBorders>
              <w:top w:val="nil"/>
              <w:left w:val="nil"/>
              <w:bottom w:val="single" w:sz="8" w:space="0" w:color="DDDDDD"/>
              <w:right w:val="single" w:sz="8" w:space="0" w:color="DDDDDD"/>
            </w:tcBorders>
            <w:shd w:val="clear" w:color="000000" w:fill="FFC000"/>
            <w:vAlign w:val="center"/>
            <w:hideMark/>
          </w:tcPr>
          <w:p w14:paraId="792E3ED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11.7</w:t>
            </w:r>
          </w:p>
        </w:tc>
      </w:tr>
      <w:tr w:rsidR="00FB6D3F" w:rsidRPr="00037C61" w14:paraId="03C2120E"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35A6B69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Portugal</w:t>
            </w:r>
          </w:p>
        </w:tc>
        <w:tc>
          <w:tcPr>
            <w:tcW w:w="1269" w:type="dxa"/>
            <w:tcBorders>
              <w:top w:val="nil"/>
              <w:left w:val="nil"/>
              <w:bottom w:val="single" w:sz="8" w:space="0" w:color="DDDDDD"/>
              <w:right w:val="single" w:sz="8" w:space="0" w:color="DDDDDD"/>
            </w:tcBorders>
            <w:shd w:val="clear" w:color="000000" w:fill="FAFAFA"/>
            <w:vAlign w:val="center"/>
            <w:hideMark/>
          </w:tcPr>
          <w:p w14:paraId="57B85CD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318640</w:t>
            </w:r>
          </w:p>
        </w:tc>
        <w:tc>
          <w:tcPr>
            <w:tcW w:w="1587" w:type="dxa"/>
            <w:tcBorders>
              <w:top w:val="nil"/>
              <w:left w:val="nil"/>
              <w:bottom w:val="single" w:sz="8" w:space="0" w:color="DDDDDD"/>
              <w:right w:val="single" w:sz="8" w:space="0" w:color="DDDDDD"/>
            </w:tcBorders>
            <w:shd w:val="clear" w:color="000000" w:fill="FAFAFA"/>
            <w:vAlign w:val="center"/>
            <w:hideMark/>
          </w:tcPr>
          <w:p w14:paraId="56CF23C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4876</w:t>
            </w:r>
          </w:p>
        </w:tc>
        <w:tc>
          <w:tcPr>
            <w:tcW w:w="2460" w:type="dxa"/>
            <w:tcBorders>
              <w:top w:val="nil"/>
              <w:left w:val="nil"/>
              <w:bottom w:val="single" w:sz="8" w:space="0" w:color="DDDDDD"/>
              <w:right w:val="single" w:sz="8" w:space="0" w:color="DDDDDD"/>
            </w:tcBorders>
            <w:shd w:val="clear" w:color="000000" w:fill="FAFAFA"/>
            <w:vAlign w:val="center"/>
            <w:hideMark/>
          </w:tcPr>
          <w:p w14:paraId="639BC06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609.8</w:t>
            </w:r>
          </w:p>
        </w:tc>
        <w:tc>
          <w:tcPr>
            <w:tcW w:w="2460" w:type="dxa"/>
            <w:tcBorders>
              <w:top w:val="nil"/>
              <w:left w:val="nil"/>
              <w:bottom w:val="single" w:sz="8" w:space="0" w:color="DDDDDD"/>
              <w:right w:val="single" w:sz="8" w:space="0" w:color="DDDDDD"/>
            </w:tcBorders>
            <w:shd w:val="clear" w:color="000000" w:fill="FAFAFA"/>
            <w:vAlign w:val="center"/>
            <w:hideMark/>
          </w:tcPr>
          <w:p w14:paraId="693079E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10.2</w:t>
            </w:r>
          </w:p>
        </w:tc>
      </w:tr>
      <w:tr w:rsidR="00FB6D3F" w:rsidRPr="00037C61" w14:paraId="67AE1BEC"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473B42D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Austria</w:t>
            </w:r>
          </w:p>
        </w:tc>
        <w:tc>
          <w:tcPr>
            <w:tcW w:w="1269" w:type="dxa"/>
            <w:tcBorders>
              <w:top w:val="nil"/>
              <w:left w:val="nil"/>
              <w:bottom w:val="single" w:sz="8" w:space="0" w:color="DDDDDD"/>
              <w:right w:val="single" w:sz="8" w:space="0" w:color="DDDDDD"/>
            </w:tcBorders>
            <w:shd w:val="clear" w:color="000000" w:fill="FFFFFF"/>
            <w:vAlign w:val="center"/>
            <w:hideMark/>
          </w:tcPr>
          <w:p w14:paraId="4780A5F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298231</w:t>
            </w:r>
          </w:p>
        </w:tc>
        <w:tc>
          <w:tcPr>
            <w:tcW w:w="1587" w:type="dxa"/>
            <w:tcBorders>
              <w:top w:val="nil"/>
              <w:left w:val="nil"/>
              <w:bottom w:val="single" w:sz="8" w:space="0" w:color="DDDDDD"/>
              <w:right w:val="single" w:sz="8" w:space="0" w:color="DDDDDD"/>
            </w:tcBorders>
            <w:shd w:val="clear" w:color="000000" w:fill="FFFFFF"/>
            <w:vAlign w:val="center"/>
            <w:hideMark/>
          </w:tcPr>
          <w:p w14:paraId="2D6D0AB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3674</w:t>
            </w:r>
          </w:p>
        </w:tc>
        <w:tc>
          <w:tcPr>
            <w:tcW w:w="2460" w:type="dxa"/>
            <w:tcBorders>
              <w:top w:val="nil"/>
              <w:left w:val="nil"/>
              <w:bottom w:val="single" w:sz="8" w:space="0" w:color="DDDDDD"/>
              <w:right w:val="single" w:sz="8" w:space="0" w:color="DDDDDD"/>
            </w:tcBorders>
            <w:shd w:val="clear" w:color="000000" w:fill="FFFFFF"/>
            <w:vAlign w:val="center"/>
            <w:hideMark/>
          </w:tcPr>
          <w:p w14:paraId="4B40071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647.1</w:t>
            </w:r>
          </w:p>
        </w:tc>
        <w:tc>
          <w:tcPr>
            <w:tcW w:w="2460" w:type="dxa"/>
            <w:tcBorders>
              <w:top w:val="nil"/>
              <w:left w:val="nil"/>
              <w:bottom w:val="single" w:sz="8" w:space="0" w:color="DDDDDD"/>
              <w:right w:val="single" w:sz="8" w:space="0" w:color="DDDDDD"/>
            </w:tcBorders>
            <w:shd w:val="clear" w:color="000000" w:fill="FFFFFF"/>
            <w:vAlign w:val="center"/>
            <w:hideMark/>
          </w:tcPr>
          <w:p w14:paraId="725CA83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17.1</w:t>
            </w:r>
          </w:p>
        </w:tc>
      </w:tr>
      <w:tr w:rsidR="00FB6D3F" w:rsidRPr="00037C61" w14:paraId="6DF7FEA0"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1D7213C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Sweden</w:t>
            </w:r>
          </w:p>
        </w:tc>
        <w:tc>
          <w:tcPr>
            <w:tcW w:w="1269" w:type="dxa"/>
            <w:tcBorders>
              <w:top w:val="nil"/>
              <w:left w:val="nil"/>
              <w:bottom w:val="single" w:sz="8" w:space="0" w:color="DDDDDD"/>
              <w:right w:val="single" w:sz="8" w:space="0" w:color="DDDDDD"/>
            </w:tcBorders>
            <w:shd w:val="clear" w:color="000000" w:fill="FAFAFA"/>
            <w:vAlign w:val="center"/>
            <w:hideMark/>
          </w:tcPr>
          <w:p w14:paraId="3C6CF05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278912</w:t>
            </w:r>
          </w:p>
        </w:tc>
        <w:tc>
          <w:tcPr>
            <w:tcW w:w="1587" w:type="dxa"/>
            <w:tcBorders>
              <w:top w:val="nil"/>
              <w:left w:val="nil"/>
              <w:bottom w:val="single" w:sz="8" w:space="0" w:color="DDDDDD"/>
              <w:right w:val="single" w:sz="8" w:space="0" w:color="DDDDDD"/>
            </w:tcBorders>
            <w:shd w:val="clear" w:color="000000" w:fill="FAFAFA"/>
            <w:vAlign w:val="center"/>
            <w:hideMark/>
          </w:tcPr>
          <w:p w14:paraId="3A4C0A0D"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7067</w:t>
            </w:r>
          </w:p>
        </w:tc>
        <w:tc>
          <w:tcPr>
            <w:tcW w:w="2460" w:type="dxa"/>
            <w:tcBorders>
              <w:top w:val="nil"/>
              <w:left w:val="nil"/>
              <w:bottom w:val="single" w:sz="8" w:space="0" w:color="DDDDDD"/>
              <w:right w:val="single" w:sz="8" w:space="0" w:color="DDDDDD"/>
            </w:tcBorders>
            <w:shd w:val="clear" w:color="000000" w:fill="FAFAFA"/>
            <w:vAlign w:val="center"/>
            <w:hideMark/>
          </w:tcPr>
          <w:p w14:paraId="122A582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698.0</w:t>
            </w:r>
          </w:p>
        </w:tc>
        <w:tc>
          <w:tcPr>
            <w:tcW w:w="2460" w:type="dxa"/>
            <w:tcBorders>
              <w:top w:val="nil"/>
              <w:left w:val="nil"/>
              <w:bottom w:val="single" w:sz="8" w:space="0" w:color="DDDDDD"/>
              <w:right w:val="single" w:sz="8" w:space="0" w:color="DDDDDD"/>
            </w:tcBorders>
            <w:shd w:val="clear" w:color="000000" w:fill="FAFAFA"/>
            <w:vAlign w:val="center"/>
            <w:hideMark/>
          </w:tcPr>
          <w:p w14:paraId="7D84E2A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4.6</w:t>
            </w:r>
          </w:p>
        </w:tc>
      </w:tr>
      <w:tr w:rsidR="00FB6D3F" w:rsidRPr="00037C61" w14:paraId="2B00C49F"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C000"/>
            <w:vAlign w:val="center"/>
            <w:hideMark/>
          </w:tcPr>
          <w:p w14:paraId="5DF037E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lastRenderedPageBreak/>
              <w:t>Hungary</w:t>
            </w:r>
          </w:p>
        </w:tc>
        <w:tc>
          <w:tcPr>
            <w:tcW w:w="1269" w:type="dxa"/>
            <w:tcBorders>
              <w:top w:val="nil"/>
              <w:left w:val="nil"/>
              <w:bottom w:val="single" w:sz="8" w:space="0" w:color="DDDDDD"/>
              <w:right w:val="single" w:sz="8" w:space="0" w:color="DDDDDD"/>
            </w:tcBorders>
            <w:shd w:val="clear" w:color="000000" w:fill="FFC000"/>
            <w:vAlign w:val="center"/>
            <w:hideMark/>
          </w:tcPr>
          <w:p w14:paraId="639EB6B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250278</w:t>
            </w:r>
          </w:p>
        </w:tc>
        <w:tc>
          <w:tcPr>
            <w:tcW w:w="1587" w:type="dxa"/>
            <w:tcBorders>
              <w:top w:val="nil"/>
              <w:left w:val="nil"/>
              <w:bottom w:val="single" w:sz="8" w:space="0" w:color="DDDDDD"/>
              <w:right w:val="single" w:sz="8" w:space="0" w:color="DDDDDD"/>
            </w:tcBorders>
            <w:shd w:val="clear" w:color="000000" w:fill="FFC000"/>
            <w:vAlign w:val="center"/>
            <w:hideMark/>
          </w:tcPr>
          <w:p w14:paraId="5AD59EF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5868</w:t>
            </w:r>
          </w:p>
        </w:tc>
        <w:tc>
          <w:tcPr>
            <w:tcW w:w="2460" w:type="dxa"/>
            <w:tcBorders>
              <w:top w:val="nil"/>
              <w:left w:val="nil"/>
              <w:bottom w:val="single" w:sz="8" w:space="0" w:color="DDDDDD"/>
              <w:right w:val="single" w:sz="8" w:space="0" w:color="DDDDDD"/>
            </w:tcBorders>
            <w:shd w:val="clear" w:color="000000" w:fill="FFC000"/>
            <w:vAlign w:val="center"/>
            <w:hideMark/>
          </w:tcPr>
          <w:p w14:paraId="503F706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774.2</w:t>
            </w:r>
          </w:p>
        </w:tc>
        <w:tc>
          <w:tcPr>
            <w:tcW w:w="2460" w:type="dxa"/>
            <w:tcBorders>
              <w:top w:val="nil"/>
              <w:left w:val="nil"/>
              <w:bottom w:val="single" w:sz="8" w:space="0" w:color="DDDDDD"/>
              <w:right w:val="single" w:sz="8" w:space="0" w:color="DDDDDD"/>
            </w:tcBorders>
            <w:shd w:val="clear" w:color="000000" w:fill="FFC000"/>
            <w:vAlign w:val="center"/>
            <w:hideMark/>
          </w:tcPr>
          <w:p w14:paraId="2CC8B62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21.2</w:t>
            </w:r>
          </w:p>
        </w:tc>
      </w:tr>
      <w:tr w:rsidR="00FB6D3F" w:rsidRPr="00037C61" w14:paraId="1CA0E0F7"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5783C20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Bulgaria</w:t>
            </w:r>
          </w:p>
        </w:tc>
        <w:tc>
          <w:tcPr>
            <w:tcW w:w="1269" w:type="dxa"/>
            <w:tcBorders>
              <w:top w:val="nil"/>
              <w:left w:val="nil"/>
              <w:bottom w:val="single" w:sz="8" w:space="0" w:color="DDDDDD"/>
              <w:right w:val="single" w:sz="8" w:space="0" w:color="DDDDDD"/>
            </w:tcBorders>
            <w:shd w:val="clear" w:color="000000" w:fill="FAFAFA"/>
            <w:vAlign w:val="center"/>
            <w:hideMark/>
          </w:tcPr>
          <w:p w14:paraId="74B8790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160844</w:t>
            </w:r>
          </w:p>
        </w:tc>
        <w:tc>
          <w:tcPr>
            <w:tcW w:w="1587" w:type="dxa"/>
            <w:tcBorders>
              <w:top w:val="nil"/>
              <w:left w:val="nil"/>
              <w:bottom w:val="single" w:sz="8" w:space="0" w:color="DDDDDD"/>
              <w:right w:val="single" w:sz="8" w:space="0" w:color="DDDDDD"/>
            </w:tcBorders>
            <w:shd w:val="clear" w:color="000000" w:fill="FAFAFA"/>
            <w:vAlign w:val="center"/>
            <w:hideMark/>
          </w:tcPr>
          <w:p w14:paraId="64093CD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4729</w:t>
            </w:r>
          </w:p>
        </w:tc>
        <w:tc>
          <w:tcPr>
            <w:tcW w:w="2460" w:type="dxa"/>
            <w:tcBorders>
              <w:top w:val="nil"/>
              <w:left w:val="nil"/>
              <w:bottom w:val="single" w:sz="8" w:space="0" w:color="DDDDDD"/>
              <w:right w:val="single" w:sz="8" w:space="0" w:color="DDDDDD"/>
            </w:tcBorders>
            <w:shd w:val="clear" w:color="000000" w:fill="FAFAFA"/>
            <w:vAlign w:val="center"/>
            <w:hideMark/>
          </w:tcPr>
          <w:p w14:paraId="516F0E3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573.5</w:t>
            </w:r>
          </w:p>
        </w:tc>
        <w:tc>
          <w:tcPr>
            <w:tcW w:w="2460" w:type="dxa"/>
            <w:tcBorders>
              <w:top w:val="nil"/>
              <w:left w:val="nil"/>
              <w:bottom w:val="single" w:sz="8" w:space="0" w:color="DDDDDD"/>
              <w:right w:val="single" w:sz="8" w:space="0" w:color="DDDDDD"/>
            </w:tcBorders>
            <w:shd w:val="clear" w:color="000000" w:fill="FAFAFA"/>
            <w:vAlign w:val="center"/>
            <w:hideMark/>
          </w:tcPr>
          <w:p w14:paraId="2C824514"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27.3</w:t>
            </w:r>
          </w:p>
        </w:tc>
      </w:tr>
      <w:tr w:rsidR="00FB6D3F" w:rsidRPr="00037C61" w14:paraId="31E3420A"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62E32F4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Croatia</w:t>
            </w:r>
          </w:p>
        </w:tc>
        <w:tc>
          <w:tcPr>
            <w:tcW w:w="1269" w:type="dxa"/>
            <w:tcBorders>
              <w:top w:val="nil"/>
              <w:left w:val="nil"/>
              <w:bottom w:val="single" w:sz="8" w:space="0" w:color="DDDDDD"/>
              <w:right w:val="single" w:sz="8" w:space="0" w:color="DDDDDD"/>
            </w:tcBorders>
            <w:shd w:val="clear" w:color="000000" w:fill="FFFFFF"/>
            <w:vAlign w:val="center"/>
            <w:hideMark/>
          </w:tcPr>
          <w:p w14:paraId="4098D46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147454</w:t>
            </w:r>
          </w:p>
        </w:tc>
        <w:tc>
          <w:tcPr>
            <w:tcW w:w="1587" w:type="dxa"/>
            <w:tcBorders>
              <w:top w:val="nil"/>
              <w:left w:val="nil"/>
              <w:bottom w:val="single" w:sz="8" w:space="0" w:color="DDDDDD"/>
              <w:right w:val="single" w:sz="8" w:space="0" w:color="DDDDDD"/>
            </w:tcBorders>
            <w:shd w:val="clear" w:color="000000" w:fill="FFFFFF"/>
            <w:vAlign w:val="center"/>
            <w:hideMark/>
          </w:tcPr>
          <w:p w14:paraId="4219AD64"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2102</w:t>
            </w:r>
          </w:p>
        </w:tc>
        <w:tc>
          <w:tcPr>
            <w:tcW w:w="2460" w:type="dxa"/>
            <w:tcBorders>
              <w:top w:val="nil"/>
              <w:left w:val="nil"/>
              <w:bottom w:val="single" w:sz="8" w:space="0" w:color="DDDDDD"/>
              <w:right w:val="single" w:sz="8" w:space="0" w:color="DDDDDD"/>
            </w:tcBorders>
            <w:shd w:val="clear" w:color="000000" w:fill="FFFFFF"/>
            <w:vAlign w:val="center"/>
            <w:hideMark/>
          </w:tcPr>
          <w:p w14:paraId="6E1DA8B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1154.1</w:t>
            </w:r>
          </w:p>
        </w:tc>
        <w:tc>
          <w:tcPr>
            <w:tcW w:w="2460" w:type="dxa"/>
            <w:tcBorders>
              <w:top w:val="nil"/>
              <w:left w:val="nil"/>
              <w:bottom w:val="single" w:sz="8" w:space="0" w:color="DDDDDD"/>
              <w:right w:val="single" w:sz="8" w:space="0" w:color="DDDDDD"/>
            </w:tcBorders>
            <w:shd w:val="clear" w:color="000000" w:fill="FFFFFF"/>
            <w:vAlign w:val="center"/>
            <w:hideMark/>
          </w:tcPr>
          <w:p w14:paraId="02DEA16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19.6</w:t>
            </w:r>
          </w:p>
        </w:tc>
      </w:tr>
      <w:tr w:rsidR="00FB6D3F" w:rsidRPr="00037C61" w14:paraId="19224A23"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76694E0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Slovakia</w:t>
            </w:r>
          </w:p>
        </w:tc>
        <w:tc>
          <w:tcPr>
            <w:tcW w:w="1269" w:type="dxa"/>
            <w:tcBorders>
              <w:top w:val="nil"/>
              <w:left w:val="nil"/>
              <w:bottom w:val="single" w:sz="8" w:space="0" w:color="DDDDDD"/>
              <w:right w:val="single" w:sz="8" w:space="0" w:color="DDDDDD"/>
            </w:tcBorders>
            <w:shd w:val="clear" w:color="000000" w:fill="FAFAFA"/>
            <w:vAlign w:val="center"/>
            <w:hideMark/>
          </w:tcPr>
          <w:p w14:paraId="40E25B1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115462</w:t>
            </w:r>
          </w:p>
        </w:tc>
        <w:tc>
          <w:tcPr>
            <w:tcW w:w="1587" w:type="dxa"/>
            <w:tcBorders>
              <w:top w:val="nil"/>
              <w:left w:val="nil"/>
              <w:bottom w:val="single" w:sz="8" w:space="0" w:color="DDDDDD"/>
              <w:right w:val="single" w:sz="8" w:space="0" w:color="DDDDDD"/>
            </w:tcBorders>
            <w:shd w:val="clear" w:color="000000" w:fill="FAFAFA"/>
            <w:vAlign w:val="center"/>
            <w:hideMark/>
          </w:tcPr>
          <w:p w14:paraId="46CCB22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981</w:t>
            </w:r>
          </w:p>
        </w:tc>
        <w:tc>
          <w:tcPr>
            <w:tcW w:w="2460" w:type="dxa"/>
            <w:tcBorders>
              <w:top w:val="nil"/>
              <w:left w:val="nil"/>
              <w:bottom w:val="single" w:sz="8" w:space="0" w:color="DDDDDD"/>
              <w:right w:val="single" w:sz="8" w:space="0" w:color="DDDDDD"/>
            </w:tcBorders>
            <w:shd w:val="clear" w:color="000000" w:fill="FAFAFA"/>
            <w:vAlign w:val="center"/>
            <w:hideMark/>
          </w:tcPr>
          <w:p w14:paraId="35DB829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370.7</w:t>
            </w:r>
          </w:p>
        </w:tc>
        <w:tc>
          <w:tcPr>
            <w:tcW w:w="2460" w:type="dxa"/>
            <w:tcBorders>
              <w:top w:val="nil"/>
              <w:left w:val="nil"/>
              <w:bottom w:val="single" w:sz="8" w:space="0" w:color="DDDDDD"/>
              <w:right w:val="single" w:sz="8" w:space="0" w:color="DDDDDD"/>
            </w:tcBorders>
            <w:shd w:val="clear" w:color="000000" w:fill="FAFAFA"/>
            <w:vAlign w:val="center"/>
            <w:hideMark/>
          </w:tcPr>
          <w:p w14:paraId="412DE7C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6.2</w:t>
            </w:r>
          </w:p>
        </w:tc>
      </w:tr>
      <w:tr w:rsidR="00FB6D3F" w:rsidRPr="00037C61" w14:paraId="2035B292" w14:textId="77777777" w:rsidTr="00245B34">
        <w:trPr>
          <w:trHeight w:val="245"/>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5382F01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Greece</w:t>
            </w:r>
          </w:p>
        </w:tc>
        <w:tc>
          <w:tcPr>
            <w:tcW w:w="1269" w:type="dxa"/>
            <w:tcBorders>
              <w:top w:val="nil"/>
              <w:left w:val="nil"/>
              <w:bottom w:val="single" w:sz="8" w:space="0" w:color="DDDDDD"/>
              <w:right w:val="single" w:sz="8" w:space="0" w:color="DDDDDD"/>
            </w:tcBorders>
            <w:shd w:val="clear" w:color="000000" w:fill="FFFFFF"/>
            <w:vAlign w:val="center"/>
            <w:hideMark/>
          </w:tcPr>
          <w:p w14:paraId="61407D5D"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114568</w:t>
            </w:r>
          </w:p>
        </w:tc>
        <w:tc>
          <w:tcPr>
            <w:tcW w:w="1587" w:type="dxa"/>
            <w:tcBorders>
              <w:top w:val="nil"/>
              <w:left w:val="nil"/>
              <w:bottom w:val="single" w:sz="8" w:space="0" w:color="DDDDDD"/>
              <w:right w:val="single" w:sz="8" w:space="0" w:color="DDDDDD"/>
            </w:tcBorders>
            <w:shd w:val="clear" w:color="000000" w:fill="FFFFFF"/>
            <w:vAlign w:val="center"/>
            <w:hideMark/>
          </w:tcPr>
          <w:p w14:paraId="021633AD"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2902</w:t>
            </w:r>
          </w:p>
        </w:tc>
        <w:tc>
          <w:tcPr>
            <w:tcW w:w="2460" w:type="dxa"/>
            <w:tcBorders>
              <w:top w:val="nil"/>
              <w:left w:val="nil"/>
              <w:bottom w:val="single" w:sz="8" w:space="0" w:color="DDDDDD"/>
              <w:right w:val="single" w:sz="8" w:space="0" w:color="DDDDDD"/>
            </w:tcBorders>
            <w:shd w:val="clear" w:color="000000" w:fill="FFFFFF"/>
            <w:vAlign w:val="center"/>
            <w:hideMark/>
          </w:tcPr>
          <w:p w14:paraId="28C933FD"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228.0</w:t>
            </w:r>
          </w:p>
        </w:tc>
        <w:tc>
          <w:tcPr>
            <w:tcW w:w="2460" w:type="dxa"/>
            <w:tcBorders>
              <w:top w:val="nil"/>
              <w:left w:val="nil"/>
              <w:bottom w:val="single" w:sz="8" w:space="0" w:color="DDDDDD"/>
              <w:right w:val="single" w:sz="8" w:space="0" w:color="DDDDDD"/>
            </w:tcBorders>
            <w:shd w:val="clear" w:color="000000" w:fill="FFFFFF"/>
            <w:vAlign w:val="center"/>
            <w:hideMark/>
          </w:tcPr>
          <w:p w14:paraId="49DC36F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12.8</w:t>
            </w:r>
          </w:p>
        </w:tc>
      </w:tr>
      <w:tr w:rsidR="00FB6D3F" w:rsidRPr="00037C61" w14:paraId="35CBAAE0" w14:textId="77777777" w:rsidTr="00245B34">
        <w:trPr>
          <w:trHeight w:val="210"/>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471042C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Denmark</w:t>
            </w:r>
          </w:p>
        </w:tc>
        <w:tc>
          <w:tcPr>
            <w:tcW w:w="1269" w:type="dxa"/>
            <w:tcBorders>
              <w:top w:val="nil"/>
              <w:left w:val="nil"/>
              <w:bottom w:val="single" w:sz="8" w:space="0" w:color="DDDDDD"/>
              <w:right w:val="single" w:sz="8" w:space="0" w:color="DDDDDD"/>
            </w:tcBorders>
            <w:shd w:val="clear" w:color="000000" w:fill="FAFAFA"/>
            <w:vAlign w:val="center"/>
            <w:hideMark/>
          </w:tcPr>
          <w:p w14:paraId="55DEF84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88858</w:t>
            </w:r>
          </w:p>
        </w:tc>
        <w:tc>
          <w:tcPr>
            <w:tcW w:w="1587" w:type="dxa"/>
            <w:tcBorders>
              <w:top w:val="nil"/>
              <w:left w:val="nil"/>
              <w:bottom w:val="single" w:sz="8" w:space="0" w:color="DDDDDD"/>
              <w:right w:val="single" w:sz="8" w:space="0" w:color="DDDDDD"/>
            </w:tcBorders>
            <w:shd w:val="clear" w:color="000000" w:fill="FAFAFA"/>
            <w:vAlign w:val="center"/>
            <w:hideMark/>
          </w:tcPr>
          <w:p w14:paraId="65E6AA4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878</w:t>
            </w:r>
          </w:p>
        </w:tc>
        <w:tc>
          <w:tcPr>
            <w:tcW w:w="2460" w:type="dxa"/>
            <w:tcBorders>
              <w:top w:val="nil"/>
              <w:left w:val="nil"/>
              <w:bottom w:val="single" w:sz="8" w:space="0" w:color="DDDDDD"/>
              <w:right w:val="single" w:sz="8" w:space="0" w:color="DDDDDD"/>
            </w:tcBorders>
            <w:shd w:val="clear" w:color="000000" w:fill="FAFAFA"/>
            <w:vAlign w:val="center"/>
            <w:hideMark/>
          </w:tcPr>
          <w:p w14:paraId="5D1F6FB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331.1</w:t>
            </w:r>
          </w:p>
        </w:tc>
        <w:tc>
          <w:tcPr>
            <w:tcW w:w="2460" w:type="dxa"/>
            <w:tcBorders>
              <w:top w:val="nil"/>
              <w:left w:val="nil"/>
              <w:bottom w:val="single" w:sz="8" w:space="0" w:color="DDDDDD"/>
              <w:right w:val="single" w:sz="8" w:space="0" w:color="DDDDDD"/>
            </w:tcBorders>
            <w:shd w:val="clear" w:color="000000" w:fill="FAFAFA"/>
            <w:vAlign w:val="center"/>
            <w:hideMark/>
          </w:tcPr>
          <w:p w14:paraId="1A0E688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1.7</w:t>
            </w:r>
          </w:p>
        </w:tc>
      </w:tr>
      <w:tr w:rsidR="00FB6D3F" w:rsidRPr="00037C61" w14:paraId="32AFA376"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61672BF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Slovenia</w:t>
            </w:r>
          </w:p>
        </w:tc>
        <w:tc>
          <w:tcPr>
            <w:tcW w:w="1269" w:type="dxa"/>
            <w:tcBorders>
              <w:top w:val="nil"/>
              <w:left w:val="nil"/>
              <w:bottom w:val="single" w:sz="8" w:space="0" w:color="DDDDDD"/>
              <w:right w:val="single" w:sz="8" w:space="0" w:color="DDDDDD"/>
            </w:tcBorders>
            <w:shd w:val="clear" w:color="000000" w:fill="FFFFFF"/>
            <w:vAlign w:val="center"/>
            <w:hideMark/>
          </w:tcPr>
          <w:p w14:paraId="4E0D8AD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84775</w:t>
            </w:r>
          </w:p>
        </w:tc>
        <w:tc>
          <w:tcPr>
            <w:tcW w:w="1587" w:type="dxa"/>
            <w:tcBorders>
              <w:top w:val="nil"/>
              <w:left w:val="nil"/>
              <w:bottom w:val="single" w:sz="8" w:space="0" w:color="DDDDDD"/>
              <w:right w:val="single" w:sz="8" w:space="0" w:color="DDDDDD"/>
            </w:tcBorders>
            <w:shd w:val="clear" w:color="000000" w:fill="FFFFFF"/>
            <w:vAlign w:val="center"/>
            <w:hideMark/>
          </w:tcPr>
          <w:p w14:paraId="78949FE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1244</w:t>
            </w:r>
          </w:p>
        </w:tc>
        <w:tc>
          <w:tcPr>
            <w:tcW w:w="2460" w:type="dxa"/>
            <w:tcBorders>
              <w:top w:val="nil"/>
              <w:left w:val="nil"/>
              <w:bottom w:val="single" w:sz="8" w:space="0" w:color="DDDDDD"/>
              <w:right w:val="single" w:sz="8" w:space="0" w:color="DDDDDD"/>
            </w:tcBorders>
            <w:shd w:val="clear" w:color="000000" w:fill="FFFFFF"/>
            <w:vAlign w:val="center"/>
            <w:hideMark/>
          </w:tcPr>
          <w:p w14:paraId="78C7C23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984.7</w:t>
            </w:r>
          </w:p>
        </w:tc>
        <w:tc>
          <w:tcPr>
            <w:tcW w:w="2460" w:type="dxa"/>
            <w:tcBorders>
              <w:top w:val="nil"/>
              <w:left w:val="nil"/>
              <w:bottom w:val="single" w:sz="8" w:space="0" w:color="DDDDDD"/>
              <w:right w:val="single" w:sz="8" w:space="0" w:color="DDDDDD"/>
            </w:tcBorders>
            <w:shd w:val="clear" w:color="000000" w:fill="FFFFFF"/>
            <w:vAlign w:val="center"/>
            <w:hideMark/>
          </w:tcPr>
          <w:p w14:paraId="22730C6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28.2</w:t>
            </w:r>
          </w:p>
        </w:tc>
      </w:tr>
      <w:tr w:rsidR="00FB6D3F" w:rsidRPr="00037C61" w14:paraId="3E97C7FC" w14:textId="77777777" w:rsidTr="00245B34">
        <w:trPr>
          <w:trHeight w:val="253"/>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171EA9C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Lithuania</w:t>
            </w:r>
          </w:p>
        </w:tc>
        <w:tc>
          <w:tcPr>
            <w:tcW w:w="1269" w:type="dxa"/>
            <w:tcBorders>
              <w:top w:val="nil"/>
              <w:left w:val="nil"/>
              <w:bottom w:val="single" w:sz="8" w:space="0" w:color="DDDDDD"/>
              <w:right w:val="single" w:sz="8" w:space="0" w:color="DDDDDD"/>
            </w:tcBorders>
            <w:shd w:val="clear" w:color="000000" w:fill="FAFAFA"/>
            <w:vAlign w:val="center"/>
            <w:hideMark/>
          </w:tcPr>
          <w:p w14:paraId="0E631A5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74649</w:t>
            </w:r>
          </w:p>
        </w:tc>
        <w:tc>
          <w:tcPr>
            <w:tcW w:w="1587" w:type="dxa"/>
            <w:tcBorders>
              <w:top w:val="nil"/>
              <w:left w:val="nil"/>
              <w:bottom w:val="single" w:sz="8" w:space="0" w:color="DDDDDD"/>
              <w:right w:val="single" w:sz="8" w:space="0" w:color="DDDDDD"/>
            </w:tcBorders>
            <w:shd w:val="clear" w:color="000000" w:fill="FAFAFA"/>
            <w:vAlign w:val="center"/>
            <w:hideMark/>
          </w:tcPr>
          <w:p w14:paraId="0AF5810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626</w:t>
            </w:r>
          </w:p>
        </w:tc>
        <w:tc>
          <w:tcPr>
            <w:tcW w:w="2460" w:type="dxa"/>
            <w:tcBorders>
              <w:top w:val="nil"/>
              <w:left w:val="nil"/>
              <w:bottom w:val="single" w:sz="8" w:space="0" w:color="DDDDDD"/>
              <w:right w:val="single" w:sz="8" w:space="0" w:color="DDDDDD"/>
            </w:tcBorders>
            <w:shd w:val="clear" w:color="000000" w:fill="FAFAFA"/>
            <w:vAlign w:val="center"/>
            <w:hideMark/>
          </w:tcPr>
          <w:p w14:paraId="076396B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1070.4</w:t>
            </w:r>
          </w:p>
        </w:tc>
        <w:tc>
          <w:tcPr>
            <w:tcW w:w="2460" w:type="dxa"/>
            <w:tcBorders>
              <w:top w:val="nil"/>
              <w:left w:val="nil"/>
              <w:bottom w:val="single" w:sz="8" w:space="0" w:color="DDDDDD"/>
              <w:right w:val="single" w:sz="8" w:space="0" w:color="DDDDDD"/>
            </w:tcBorders>
            <w:shd w:val="clear" w:color="000000" w:fill="FAFAFA"/>
            <w:vAlign w:val="center"/>
            <w:hideMark/>
          </w:tcPr>
          <w:p w14:paraId="129A255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9.0</w:t>
            </w:r>
          </w:p>
        </w:tc>
      </w:tr>
      <w:tr w:rsidR="00FB6D3F" w:rsidRPr="00037C61" w14:paraId="536E558D"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5FDFE3A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Ireland</w:t>
            </w:r>
          </w:p>
        </w:tc>
        <w:tc>
          <w:tcPr>
            <w:tcW w:w="1269" w:type="dxa"/>
            <w:tcBorders>
              <w:top w:val="nil"/>
              <w:left w:val="nil"/>
              <w:bottom w:val="single" w:sz="8" w:space="0" w:color="DDDDDD"/>
              <w:right w:val="single" w:sz="8" w:space="0" w:color="DDDDDD"/>
            </w:tcBorders>
            <w:shd w:val="clear" w:color="000000" w:fill="FFFFFF"/>
            <w:vAlign w:val="center"/>
            <w:hideMark/>
          </w:tcPr>
          <w:p w14:paraId="2B2DD7C9"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73948</w:t>
            </w:r>
          </w:p>
        </w:tc>
        <w:tc>
          <w:tcPr>
            <w:tcW w:w="1587" w:type="dxa"/>
            <w:tcBorders>
              <w:top w:val="nil"/>
              <w:left w:val="nil"/>
              <w:bottom w:val="single" w:sz="8" w:space="0" w:color="DDDDDD"/>
              <w:right w:val="single" w:sz="8" w:space="0" w:color="DDDDDD"/>
            </w:tcBorders>
            <w:shd w:val="clear" w:color="000000" w:fill="FFFFFF"/>
            <w:vAlign w:val="center"/>
            <w:hideMark/>
          </w:tcPr>
          <w:p w14:paraId="18BC0A7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2099</w:t>
            </w:r>
          </w:p>
        </w:tc>
        <w:tc>
          <w:tcPr>
            <w:tcW w:w="2460" w:type="dxa"/>
            <w:tcBorders>
              <w:top w:val="nil"/>
              <w:left w:val="nil"/>
              <w:bottom w:val="single" w:sz="8" w:space="0" w:color="DDDDDD"/>
              <w:right w:val="single" w:sz="8" w:space="0" w:color="DDDDDD"/>
            </w:tcBorders>
            <w:shd w:val="clear" w:color="000000" w:fill="FFFFFF"/>
            <w:vAlign w:val="center"/>
            <w:hideMark/>
          </w:tcPr>
          <w:p w14:paraId="00EB60C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77.6</w:t>
            </w:r>
          </w:p>
        </w:tc>
        <w:tc>
          <w:tcPr>
            <w:tcW w:w="2460" w:type="dxa"/>
            <w:tcBorders>
              <w:top w:val="nil"/>
              <w:left w:val="nil"/>
              <w:bottom w:val="single" w:sz="8" w:space="0" w:color="DDDDDD"/>
              <w:right w:val="single" w:sz="8" w:space="0" w:color="DDDDDD"/>
            </w:tcBorders>
            <w:shd w:val="clear" w:color="000000" w:fill="FFFFFF"/>
            <w:vAlign w:val="center"/>
            <w:hideMark/>
          </w:tcPr>
          <w:p w14:paraId="60EBDC4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1.6</w:t>
            </w:r>
          </w:p>
        </w:tc>
      </w:tr>
      <w:tr w:rsidR="00FB6D3F" w:rsidRPr="00037C61" w14:paraId="6BFDCC5B"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4AD4EBA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Norway</w:t>
            </w:r>
          </w:p>
        </w:tc>
        <w:tc>
          <w:tcPr>
            <w:tcW w:w="1269" w:type="dxa"/>
            <w:tcBorders>
              <w:top w:val="nil"/>
              <w:left w:val="nil"/>
              <w:bottom w:val="single" w:sz="8" w:space="0" w:color="DDDDDD"/>
              <w:right w:val="single" w:sz="8" w:space="0" w:color="DDDDDD"/>
            </w:tcBorders>
            <w:shd w:val="clear" w:color="000000" w:fill="FAFAFA"/>
            <w:vAlign w:val="center"/>
            <w:hideMark/>
          </w:tcPr>
          <w:p w14:paraId="6561089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37371</w:t>
            </w:r>
          </w:p>
        </w:tc>
        <w:tc>
          <w:tcPr>
            <w:tcW w:w="1587" w:type="dxa"/>
            <w:tcBorders>
              <w:top w:val="nil"/>
              <w:left w:val="nil"/>
              <w:bottom w:val="single" w:sz="8" w:space="0" w:color="DDDDDD"/>
              <w:right w:val="single" w:sz="8" w:space="0" w:color="DDDDDD"/>
            </w:tcBorders>
            <w:shd w:val="clear" w:color="000000" w:fill="FAFAFA"/>
            <w:vAlign w:val="center"/>
            <w:hideMark/>
          </w:tcPr>
          <w:p w14:paraId="56932EB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354</w:t>
            </w:r>
          </w:p>
        </w:tc>
        <w:tc>
          <w:tcPr>
            <w:tcW w:w="2460" w:type="dxa"/>
            <w:tcBorders>
              <w:top w:val="nil"/>
              <w:left w:val="nil"/>
              <w:bottom w:val="single" w:sz="8" w:space="0" w:color="DDDDDD"/>
              <w:right w:val="single" w:sz="8" w:space="0" w:color="DDDDDD"/>
            </w:tcBorders>
            <w:shd w:val="clear" w:color="000000" w:fill="FAFAFA"/>
            <w:vAlign w:val="center"/>
            <w:hideMark/>
          </w:tcPr>
          <w:p w14:paraId="6773321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111.4</w:t>
            </w:r>
          </w:p>
        </w:tc>
        <w:tc>
          <w:tcPr>
            <w:tcW w:w="2460" w:type="dxa"/>
            <w:tcBorders>
              <w:top w:val="nil"/>
              <w:left w:val="nil"/>
              <w:bottom w:val="single" w:sz="8" w:space="0" w:color="DDDDDD"/>
              <w:right w:val="single" w:sz="8" w:space="0" w:color="DDDDDD"/>
            </w:tcBorders>
            <w:shd w:val="clear" w:color="000000" w:fill="FAFAFA"/>
            <w:vAlign w:val="center"/>
            <w:hideMark/>
          </w:tcPr>
          <w:p w14:paraId="49556483"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0.9</w:t>
            </w:r>
          </w:p>
        </w:tc>
      </w:tr>
      <w:tr w:rsidR="00FB6D3F" w:rsidRPr="00037C61" w14:paraId="6B0AB775" w14:textId="77777777" w:rsidTr="00245B34">
        <w:trPr>
          <w:trHeight w:val="27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0295A5F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Luxembourg</w:t>
            </w:r>
          </w:p>
        </w:tc>
        <w:tc>
          <w:tcPr>
            <w:tcW w:w="1269" w:type="dxa"/>
            <w:tcBorders>
              <w:top w:val="nil"/>
              <w:left w:val="nil"/>
              <w:bottom w:val="single" w:sz="8" w:space="0" w:color="DDDDDD"/>
              <w:right w:val="single" w:sz="8" w:space="0" w:color="DDDDDD"/>
            </w:tcBorders>
            <w:shd w:val="clear" w:color="000000" w:fill="FFFFFF"/>
            <w:vAlign w:val="center"/>
            <w:hideMark/>
          </w:tcPr>
          <w:p w14:paraId="420BAACD"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37017</w:t>
            </w:r>
          </w:p>
        </w:tc>
        <w:tc>
          <w:tcPr>
            <w:tcW w:w="1587" w:type="dxa"/>
            <w:tcBorders>
              <w:top w:val="nil"/>
              <w:left w:val="nil"/>
              <w:bottom w:val="single" w:sz="8" w:space="0" w:color="DDDDDD"/>
              <w:right w:val="single" w:sz="8" w:space="0" w:color="DDDDDD"/>
            </w:tcBorders>
            <w:shd w:val="clear" w:color="000000" w:fill="FFFFFF"/>
            <w:vAlign w:val="center"/>
            <w:hideMark/>
          </w:tcPr>
          <w:p w14:paraId="54A4404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345</w:t>
            </w:r>
          </w:p>
        </w:tc>
        <w:tc>
          <w:tcPr>
            <w:tcW w:w="2460" w:type="dxa"/>
            <w:tcBorders>
              <w:top w:val="nil"/>
              <w:left w:val="nil"/>
              <w:bottom w:val="single" w:sz="8" w:space="0" w:color="DDDDDD"/>
              <w:right w:val="single" w:sz="8" w:space="0" w:color="DDDDDD"/>
            </w:tcBorders>
            <w:shd w:val="clear" w:color="000000" w:fill="FFFFFF"/>
            <w:vAlign w:val="center"/>
            <w:hideMark/>
          </w:tcPr>
          <w:p w14:paraId="3C43EC4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1181.8</w:t>
            </w:r>
          </w:p>
        </w:tc>
        <w:tc>
          <w:tcPr>
            <w:tcW w:w="2460" w:type="dxa"/>
            <w:tcBorders>
              <w:top w:val="nil"/>
              <w:left w:val="nil"/>
              <w:bottom w:val="single" w:sz="8" w:space="0" w:color="DDDDDD"/>
              <w:right w:val="single" w:sz="8" w:space="0" w:color="DDDDDD"/>
            </w:tcBorders>
            <w:shd w:val="clear" w:color="000000" w:fill="FFFFFF"/>
            <w:vAlign w:val="center"/>
            <w:hideMark/>
          </w:tcPr>
          <w:p w14:paraId="14CBD72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13.8</w:t>
            </w:r>
          </w:p>
        </w:tc>
      </w:tr>
      <w:tr w:rsidR="00FB6D3F" w:rsidRPr="00037C61" w14:paraId="7434DBC1"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152CE2B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Finland</w:t>
            </w:r>
          </w:p>
        </w:tc>
        <w:tc>
          <w:tcPr>
            <w:tcW w:w="1269" w:type="dxa"/>
            <w:tcBorders>
              <w:top w:val="nil"/>
              <w:left w:val="nil"/>
              <w:bottom w:val="single" w:sz="8" w:space="0" w:color="DDDDDD"/>
              <w:right w:val="single" w:sz="8" w:space="0" w:color="DDDDDD"/>
            </w:tcBorders>
            <w:shd w:val="clear" w:color="000000" w:fill="FAFAFA"/>
            <w:vAlign w:val="center"/>
            <w:hideMark/>
          </w:tcPr>
          <w:p w14:paraId="7603416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27218</w:t>
            </w:r>
          </w:p>
        </w:tc>
        <w:tc>
          <w:tcPr>
            <w:tcW w:w="1587" w:type="dxa"/>
            <w:tcBorders>
              <w:top w:val="nil"/>
              <w:left w:val="nil"/>
              <w:bottom w:val="single" w:sz="8" w:space="0" w:color="DDDDDD"/>
              <w:right w:val="single" w:sz="8" w:space="0" w:color="DDDDDD"/>
            </w:tcBorders>
            <w:shd w:val="clear" w:color="000000" w:fill="FAFAFA"/>
            <w:vAlign w:val="center"/>
            <w:hideMark/>
          </w:tcPr>
          <w:p w14:paraId="75F0F6F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415</w:t>
            </w:r>
          </w:p>
        </w:tc>
        <w:tc>
          <w:tcPr>
            <w:tcW w:w="2460" w:type="dxa"/>
            <w:tcBorders>
              <w:top w:val="nil"/>
              <w:left w:val="nil"/>
              <w:bottom w:val="single" w:sz="8" w:space="0" w:color="DDDDDD"/>
              <w:right w:val="single" w:sz="8" w:space="0" w:color="DDDDDD"/>
            </w:tcBorders>
            <w:shd w:val="clear" w:color="000000" w:fill="FAFAFA"/>
            <w:vAlign w:val="center"/>
            <w:hideMark/>
          </w:tcPr>
          <w:p w14:paraId="383F46F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108.8</w:t>
            </w:r>
          </w:p>
        </w:tc>
        <w:tc>
          <w:tcPr>
            <w:tcW w:w="2460" w:type="dxa"/>
            <w:tcBorders>
              <w:top w:val="nil"/>
              <w:left w:val="nil"/>
              <w:bottom w:val="single" w:sz="8" w:space="0" w:color="DDDDDD"/>
              <w:right w:val="single" w:sz="8" w:space="0" w:color="DDDDDD"/>
            </w:tcBorders>
            <w:shd w:val="clear" w:color="000000" w:fill="FAFAFA"/>
            <w:vAlign w:val="center"/>
            <w:hideMark/>
          </w:tcPr>
          <w:p w14:paraId="6E920E2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0.7</w:t>
            </w:r>
          </w:p>
        </w:tc>
      </w:tr>
      <w:tr w:rsidR="00FB6D3F" w:rsidRPr="00037C61" w14:paraId="6579E69E"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2ADF7E5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Latvia</w:t>
            </w:r>
          </w:p>
        </w:tc>
        <w:tc>
          <w:tcPr>
            <w:tcW w:w="1269" w:type="dxa"/>
            <w:tcBorders>
              <w:top w:val="nil"/>
              <w:left w:val="nil"/>
              <w:bottom w:val="single" w:sz="8" w:space="0" w:color="DDDDDD"/>
              <w:right w:val="single" w:sz="8" w:space="0" w:color="DDDDDD"/>
            </w:tcBorders>
            <w:shd w:val="clear" w:color="000000" w:fill="FFFFFF"/>
            <w:vAlign w:val="center"/>
            <w:hideMark/>
          </w:tcPr>
          <w:p w14:paraId="5AFD9F0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20787</w:t>
            </w:r>
          </w:p>
        </w:tc>
        <w:tc>
          <w:tcPr>
            <w:tcW w:w="1587" w:type="dxa"/>
            <w:tcBorders>
              <w:top w:val="nil"/>
              <w:left w:val="nil"/>
              <w:bottom w:val="single" w:sz="8" w:space="0" w:color="DDDDDD"/>
              <w:right w:val="single" w:sz="8" w:space="0" w:color="DDDDDD"/>
            </w:tcBorders>
            <w:shd w:val="clear" w:color="000000" w:fill="FFFFFF"/>
            <w:vAlign w:val="center"/>
            <w:hideMark/>
          </w:tcPr>
          <w:p w14:paraId="4EC997F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253</w:t>
            </w:r>
          </w:p>
        </w:tc>
        <w:tc>
          <w:tcPr>
            <w:tcW w:w="2460" w:type="dxa"/>
            <w:tcBorders>
              <w:top w:val="nil"/>
              <w:left w:val="nil"/>
              <w:bottom w:val="single" w:sz="8" w:space="0" w:color="DDDDDD"/>
              <w:right w:val="single" w:sz="8" w:space="0" w:color="DDDDDD"/>
            </w:tcBorders>
            <w:shd w:val="clear" w:color="000000" w:fill="FFFFFF"/>
            <w:vAlign w:val="center"/>
            <w:hideMark/>
          </w:tcPr>
          <w:p w14:paraId="26D7DE2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418.9</w:t>
            </w:r>
          </w:p>
        </w:tc>
        <w:tc>
          <w:tcPr>
            <w:tcW w:w="2460" w:type="dxa"/>
            <w:tcBorders>
              <w:top w:val="nil"/>
              <w:left w:val="nil"/>
              <w:bottom w:val="single" w:sz="8" w:space="0" w:color="DDDDDD"/>
              <w:right w:val="single" w:sz="8" w:space="0" w:color="DDDDDD"/>
            </w:tcBorders>
            <w:shd w:val="clear" w:color="000000" w:fill="FFFFFF"/>
            <w:vAlign w:val="center"/>
            <w:hideMark/>
          </w:tcPr>
          <w:p w14:paraId="427389C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5.2</w:t>
            </w:r>
          </w:p>
        </w:tc>
      </w:tr>
      <w:tr w:rsidR="00FB6D3F" w:rsidRPr="00037C61" w14:paraId="7E5DA6C0"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10912C3E"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Estonia</w:t>
            </w:r>
          </w:p>
        </w:tc>
        <w:tc>
          <w:tcPr>
            <w:tcW w:w="1269" w:type="dxa"/>
            <w:tcBorders>
              <w:top w:val="nil"/>
              <w:left w:val="nil"/>
              <w:bottom w:val="single" w:sz="8" w:space="0" w:color="DDDDDD"/>
              <w:right w:val="single" w:sz="8" w:space="0" w:color="DDDDDD"/>
            </w:tcBorders>
            <w:shd w:val="clear" w:color="000000" w:fill="FAFAFA"/>
            <w:vAlign w:val="center"/>
            <w:hideMark/>
          </w:tcPr>
          <w:p w14:paraId="2C5B0F2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14500</w:t>
            </w:r>
          </w:p>
        </w:tc>
        <w:tc>
          <w:tcPr>
            <w:tcW w:w="1587" w:type="dxa"/>
            <w:tcBorders>
              <w:top w:val="nil"/>
              <w:left w:val="nil"/>
              <w:bottom w:val="single" w:sz="8" w:space="0" w:color="DDDDDD"/>
              <w:right w:val="single" w:sz="8" w:space="0" w:color="DDDDDD"/>
            </w:tcBorders>
            <w:shd w:val="clear" w:color="000000" w:fill="FAFAFA"/>
            <w:vAlign w:val="center"/>
            <w:hideMark/>
          </w:tcPr>
          <w:p w14:paraId="3C603F34"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126</w:t>
            </w:r>
          </w:p>
        </w:tc>
        <w:tc>
          <w:tcPr>
            <w:tcW w:w="2460" w:type="dxa"/>
            <w:tcBorders>
              <w:top w:val="nil"/>
              <w:left w:val="nil"/>
              <w:bottom w:val="single" w:sz="8" w:space="0" w:color="DDDDDD"/>
              <w:right w:val="single" w:sz="8" w:space="0" w:color="DDDDDD"/>
            </w:tcBorders>
            <w:shd w:val="clear" w:color="000000" w:fill="FAFAFA"/>
            <w:vAlign w:val="center"/>
            <w:hideMark/>
          </w:tcPr>
          <w:p w14:paraId="53657C0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386.8</w:t>
            </w:r>
          </w:p>
        </w:tc>
        <w:tc>
          <w:tcPr>
            <w:tcW w:w="2460" w:type="dxa"/>
            <w:tcBorders>
              <w:top w:val="nil"/>
              <w:left w:val="nil"/>
              <w:bottom w:val="single" w:sz="8" w:space="0" w:color="DDDDDD"/>
              <w:right w:val="single" w:sz="8" w:space="0" w:color="DDDDDD"/>
            </w:tcBorders>
            <w:shd w:val="clear" w:color="000000" w:fill="FAFAFA"/>
            <w:vAlign w:val="center"/>
            <w:hideMark/>
          </w:tcPr>
          <w:p w14:paraId="775476C7"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2.9</w:t>
            </w:r>
          </w:p>
        </w:tc>
      </w:tr>
      <w:tr w:rsidR="00FB6D3F" w:rsidRPr="00037C61" w14:paraId="56D8FAD8"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69D31AB2"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Cyprus</w:t>
            </w:r>
          </w:p>
        </w:tc>
        <w:tc>
          <w:tcPr>
            <w:tcW w:w="1269" w:type="dxa"/>
            <w:tcBorders>
              <w:top w:val="nil"/>
              <w:left w:val="nil"/>
              <w:bottom w:val="single" w:sz="8" w:space="0" w:color="DDDDDD"/>
              <w:right w:val="single" w:sz="8" w:space="0" w:color="DDDDDD"/>
            </w:tcBorders>
            <w:shd w:val="clear" w:color="000000" w:fill="FFFFFF"/>
            <w:vAlign w:val="center"/>
            <w:hideMark/>
          </w:tcPr>
          <w:p w14:paraId="62B3FDBF"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12181</w:t>
            </w:r>
          </w:p>
        </w:tc>
        <w:tc>
          <w:tcPr>
            <w:tcW w:w="1587" w:type="dxa"/>
            <w:tcBorders>
              <w:top w:val="nil"/>
              <w:left w:val="nil"/>
              <w:bottom w:val="single" w:sz="8" w:space="0" w:color="DDDDDD"/>
              <w:right w:val="single" w:sz="8" w:space="0" w:color="DDDDDD"/>
            </w:tcBorders>
            <w:shd w:val="clear" w:color="000000" w:fill="FFFFFF"/>
            <w:vAlign w:val="center"/>
            <w:hideMark/>
          </w:tcPr>
          <w:p w14:paraId="2E1A757C"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59</w:t>
            </w:r>
          </w:p>
        </w:tc>
        <w:tc>
          <w:tcPr>
            <w:tcW w:w="2460" w:type="dxa"/>
            <w:tcBorders>
              <w:top w:val="nil"/>
              <w:left w:val="nil"/>
              <w:bottom w:val="single" w:sz="8" w:space="0" w:color="DDDDDD"/>
              <w:right w:val="single" w:sz="8" w:space="0" w:color="DDDDDD"/>
            </w:tcBorders>
            <w:shd w:val="clear" w:color="000000" w:fill="FFFFFF"/>
            <w:vAlign w:val="center"/>
            <w:hideMark/>
          </w:tcPr>
          <w:p w14:paraId="4819DB8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425.3</w:t>
            </w:r>
          </w:p>
        </w:tc>
        <w:tc>
          <w:tcPr>
            <w:tcW w:w="2460" w:type="dxa"/>
            <w:tcBorders>
              <w:top w:val="nil"/>
              <w:left w:val="nil"/>
              <w:bottom w:val="single" w:sz="8" w:space="0" w:color="DDDDDD"/>
              <w:right w:val="single" w:sz="8" w:space="0" w:color="DDDDDD"/>
            </w:tcBorders>
            <w:shd w:val="clear" w:color="000000" w:fill="FFFFFF"/>
            <w:vAlign w:val="center"/>
            <w:hideMark/>
          </w:tcPr>
          <w:p w14:paraId="2306CC5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1.8</w:t>
            </w:r>
          </w:p>
        </w:tc>
      </w:tr>
      <w:tr w:rsidR="00FB6D3F" w:rsidRPr="00037C61" w14:paraId="28FBE10D"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5D1C0BE1"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Malta</w:t>
            </w:r>
          </w:p>
        </w:tc>
        <w:tc>
          <w:tcPr>
            <w:tcW w:w="1269" w:type="dxa"/>
            <w:tcBorders>
              <w:top w:val="nil"/>
              <w:left w:val="nil"/>
              <w:bottom w:val="single" w:sz="8" w:space="0" w:color="DDDDDD"/>
              <w:right w:val="single" w:sz="8" w:space="0" w:color="DDDDDD"/>
            </w:tcBorders>
            <w:shd w:val="clear" w:color="000000" w:fill="FAFAFA"/>
            <w:vAlign w:val="center"/>
            <w:hideMark/>
          </w:tcPr>
          <w:p w14:paraId="1800A7A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10423</w:t>
            </w:r>
          </w:p>
        </w:tc>
        <w:tc>
          <w:tcPr>
            <w:tcW w:w="1587" w:type="dxa"/>
            <w:tcBorders>
              <w:top w:val="nil"/>
              <w:left w:val="nil"/>
              <w:bottom w:val="single" w:sz="8" w:space="0" w:color="DDDDDD"/>
              <w:right w:val="single" w:sz="8" w:space="0" w:color="DDDDDD"/>
            </w:tcBorders>
            <w:shd w:val="clear" w:color="000000" w:fill="FAFAFA"/>
            <w:vAlign w:val="center"/>
            <w:hideMark/>
          </w:tcPr>
          <w:p w14:paraId="6C2CA79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149</w:t>
            </w:r>
          </w:p>
        </w:tc>
        <w:tc>
          <w:tcPr>
            <w:tcW w:w="2460" w:type="dxa"/>
            <w:tcBorders>
              <w:top w:val="nil"/>
              <w:left w:val="nil"/>
              <w:bottom w:val="single" w:sz="8" w:space="0" w:color="DDDDDD"/>
              <w:right w:val="single" w:sz="8" w:space="0" w:color="DDDDDD"/>
            </w:tcBorders>
            <w:shd w:val="clear" w:color="000000" w:fill="FAFAFA"/>
            <w:vAlign w:val="center"/>
            <w:hideMark/>
          </w:tcPr>
          <w:p w14:paraId="0826BB6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305.9</w:t>
            </w:r>
          </w:p>
        </w:tc>
        <w:tc>
          <w:tcPr>
            <w:tcW w:w="2460" w:type="dxa"/>
            <w:tcBorders>
              <w:top w:val="nil"/>
              <w:left w:val="nil"/>
              <w:bottom w:val="single" w:sz="8" w:space="0" w:color="DDDDDD"/>
              <w:right w:val="single" w:sz="8" w:space="0" w:color="DDDDDD"/>
            </w:tcBorders>
            <w:shd w:val="clear" w:color="000000" w:fill="FAFAFA"/>
            <w:vAlign w:val="center"/>
            <w:hideMark/>
          </w:tcPr>
          <w:p w14:paraId="50F02D04"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8.5</w:t>
            </w:r>
          </w:p>
        </w:tc>
      </w:tr>
      <w:tr w:rsidR="00FB6D3F" w:rsidRPr="00037C61" w14:paraId="56D1D65A"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61F5671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Iceland</w:t>
            </w:r>
          </w:p>
        </w:tc>
        <w:tc>
          <w:tcPr>
            <w:tcW w:w="1269" w:type="dxa"/>
            <w:tcBorders>
              <w:top w:val="nil"/>
              <w:left w:val="nil"/>
              <w:bottom w:val="single" w:sz="8" w:space="0" w:color="DDDDDD"/>
              <w:right w:val="single" w:sz="8" w:space="0" w:color="DDDDDD"/>
            </w:tcBorders>
            <w:shd w:val="clear" w:color="000000" w:fill="FFFFFF"/>
            <w:vAlign w:val="center"/>
            <w:hideMark/>
          </w:tcPr>
          <w:p w14:paraId="1E80E67A"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5476</w:t>
            </w:r>
          </w:p>
        </w:tc>
        <w:tc>
          <w:tcPr>
            <w:tcW w:w="1587" w:type="dxa"/>
            <w:tcBorders>
              <w:top w:val="nil"/>
              <w:left w:val="nil"/>
              <w:bottom w:val="single" w:sz="8" w:space="0" w:color="DDDDDD"/>
              <w:right w:val="single" w:sz="8" w:space="0" w:color="DDDDDD"/>
            </w:tcBorders>
            <w:shd w:val="clear" w:color="000000" w:fill="FFFFFF"/>
            <w:vAlign w:val="center"/>
            <w:hideMark/>
          </w:tcPr>
          <w:p w14:paraId="5216993B"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27</w:t>
            </w:r>
          </w:p>
        </w:tc>
        <w:tc>
          <w:tcPr>
            <w:tcW w:w="2460" w:type="dxa"/>
            <w:tcBorders>
              <w:top w:val="nil"/>
              <w:left w:val="nil"/>
              <w:bottom w:val="single" w:sz="8" w:space="0" w:color="DDDDDD"/>
              <w:right w:val="single" w:sz="8" w:space="0" w:color="DDDDDD"/>
            </w:tcBorders>
            <w:shd w:val="clear" w:color="000000" w:fill="FFFFFF"/>
            <w:vAlign w:val="center"/>
            <w:hideMark/>
          </w:tcPr>
          <w:p w14:paraId="48014E24"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58.0</w:t>
            </w:r>
          </w:p>
        </w:tc>
        <w:tc>
          <w:tcPr>
            <w:tcW w:w="2460" w:type="dxa"/>
            <w:tcBorders>
              <w:top w:val="nil"/>
              <w:left w:val="nil"/>
              <w:bottom w:val="single" w:sz="8" w:space="0" w:color="DDDDDD"/>
              <w:right w:val="single" w:sz="8" w:space="0" w:color="DDDDDD"/>
            </w:tcBorders>
            <w:shd w:val="clear" w:color="000000" w:fill="FFFFFF"/>
            <w:vAlign w:val="center"/>
            <w:hideMark/>
          </w:tcPr>
          <w:p w14:paraId="751F8F8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0.3</w:t>
            </w:r>
          </w:p>
        </w:tc>
      </w:tr>
      <w:tr w:rsidR="00FB6D3F" w:rsidRPr="00037C61" w14:paraId="415FCD08" w14:textId="77777777" w:rsidTr="00245B34">
        <w:trPr>
          <w:trHeight w:val="250"/>
        </w:trPr>
        <w:tc>
          <w:tcPr>
            <w:tcW w:w="2122" w:type="dxa"/>
            <w:tcBorders>
              <w:top w:val="nil"/>
              <w:left w:val="single" w:sz="8" w:space="0" w:color="DDDDDD"/>
              <w:bottom w:val="single" w:sz="8" w:space="0" w:color="DDDDDD"/>
              <w:right w:val="single" w:sz="8" w:space="0" w:color="DDDDDD"/>
            </w:tcBorders>
            <w:shd w:val="clear" w:color="000000" w:fill="FAFAFA"/>
            <w:vAlign w:val="center"/>
            <w:hideMark/>
          </w:tcPr>
          <w:p w14:paraId="4B193068"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Liechtenstein</w:t>
            </w:r>
          </w:p>
        </w:tc>
        <w:tc>
          <w:tcPr>
            <w:tcW w:w="1269" w:type="dxa"/>
            <w:tcBorders>
              <w:top w:val="nil"/>
              <w:left w:val="nil"/>
              <w:bottom w:val="single" w:sz="8" w:space="0" w:color="DDDDDD"/>
              <w:right w:val="single" w:sz="8" w:space="0" w:color="DDDDDD"/>
            </w:tcBorders>
            <w:shd w:val="clear" w:color="000000" w:fill="FAFAFA"/>
            <w:vAlign w:val="center"/>
            <w:hideMark/>
          </w:tcPr>
          <w:p w14:paraId="2062ED56"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1396</w:t>
            </w:r>
          </w:p>
        </w:tc>
        <w:tc>
          <w:tcPr>
            <w:tcW w:w="1587" w:type="dxa"/>
            <w:tcBorders>
              <w:top w:val="nil"/>
              <w:left w:val="nil"/>
              <w:bottom w:val="single" w:sz="8" w:space="0" w:color="DDDDDD"/>
              <w:right w:val="single" w:sz="8" w:space="0" w:color="DDDDDD"/>
            </w:tcBorders>
            <w:shd w:val="clear" w:color="000000" w:fill="FAFAFA"/>
            <w:vAlign w:val="center"/>
            <w:hideMark/>
          </w:tcPr>
          <w:p w14:paraId="0E37B0C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16</w:t>
            </w:r>
          </w:p>
        </w:tc>
        <w:tc>
          <w:tcPr>
            <w:tcW w:w="2460" w:type="dxa"/>
            <w:tcBorders>
              <w:top w:val="nil"/>
              <w:left w:val="nil"/>
              <w:bottom w:val="single" w:sz="8" w:space="0" w:color="DDDDDD"/>
              <w:right w:val="single" w:sz="8" w:space="0" w:color="DDDDDD"/>
            </w:tcBorders>
            <w:shd w:val="clear" w:color="000000" w:fill="FAFAFA"/>
            <w:vAlign w:val="center"/>
            <w:hideMark/>
          </w:tcPr>
          <w:p w14:paraId="098535B5"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747.8</w:t>
            </w:r>
          </w:p>
        </w:tc>
        <w:tc>
          <w:tcPr>
            <w:tcW w:w="2460" w:type="dxa"/>
            <w:tcBorders>
              <w:top w:val="nil"/>
              <w:left w:val="nil"/>
              <w:bottom w:val="single" w:sz="8" w:space="0" w:color="DDDDDD"/>
              <w:right w:val="single" w:sz="8" w:space="0" w:color="DDDDDD"/>
            </w:tcBorders>
            <w:shd w:val="clear" w:color="000000" w:fill="FAFAFA"/>
            <w:vAlign w:val="center"/>
            <w:hideMark/>
          </w:tcPr>
          <w:p w14:paraId="566A26D0" w14:textId="77777777" w:rsidR="00FB6D3F" w:rsidRPr="00037C61" w:rsidRDefault="00FB6D3F" w:rsidP="00245B34">
            <w:pPr>
              <w:spacing w:after="0" w:line="240" w:lineRule="auto"/>
              <w:jc w:val="center"/>
              <w:rPr>
                <w:rFonts w:eastAsia="Times New Roman" w:cs="Calibri"/>
                <w:color w:val="333333"/>
                <w:lang w:val="en-GB" w:eastAsia="it-IT"/>
              </w:rPr>
            </w:pPr>
            <w:r w:rsidRPr="00037C61">
              <w:rPr>
                <w:rFonts w:eastAsia="Times New Roman" w:cs="Calibri"/>
                <w:color w:val="333333"/>
                <w:lang w:val="en-GB" w:eastAsia="it-IT"/>
              </w:rPr>
              <w:t>20.8</w:t>
            </w:r>
          </w:p>
        </w:tc>
      </w:tr>
      <w:tr w:rsidR="00FB6D3F" w:rsidRPr="00037C61" w14:paraId="74974FEA" w14:textId="77777777" w:rsidTr="00245B34">
        <w:trPr>
          <w:trHeight w:val="298"/>
        </w:trPr>
        <w:tc>
          <w:tcPr>
            <w:tcW w:w="2122" w:type="dxa"/>
            <w:tcBorders>
              <w:top w:val="nil"/>
              <w:left w:val="single" w:sz="8" w:space="0" w:color="DDDDDD"/>
              <w:bottom w:val="single" w:sz="8" w:space="0" w:color="DDDDDD"/>
              <w:right w:val="single" w:sz="8" w:space="0" w:color="DDDDDD"/>
            </w:tcBorders>
            <w:shd w:val="clear" w:color="000000" w:fill="FFFFFF"/>
            <w:vAlign w:val="center"/>
            <w:hideMark/>
          </w:tcPr>
          <w:p w14:paraId="13499316"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Total</w:t>
            </w:r>
          </w:p>
        </w:tc>
        <w:tc>
          <w:tcPr>
            <w:tcW w:w="1269" w:type="dxa"/>
            <w:tcBorders>
              <w:top w:val="nil"/>
              <w:left w:val="nil"/>
              <w:bottom w:val="single" w:sz="8" w:space="0" w:color="DDDDDD"/>
              <w:right w:val="single" w:sz="8" w:space="0" w:color="DDDDDD"/>
            </w:tcBorders>
            <w:shd w:val="clear" w:color="000000" w:fill="FFFFFF"/>
            <w:vAlign w:val="center"/>
            <w:hideMark/>
          </w:tcPr>
          <w:p w14:paraId="089C6B0B"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13972781</w:t>
            </w:r>
          </w:p>
        </w:tc>
        <w:tc>
          <w:tcPr>
            <w:tcW w:w="1587" w:type="dxa"/>
            <w:tcBorders>
              <w:top w:val="nil"/>
              <w:left w:val="nil"/>
              <w:bottom w:val="single" w:sz="8" w:space="0" w:color="DDDDDD"/>
              <w:right w:val="single" w:sz="8" w:space="0" w:color="DDDDDD"/>
            </w:tcBorders>
            <w:shd w:val="clear" w:color="000000" w:fill="FFFFFF"/>
            <w:vAlign w:val="center"/>
            <w:hideMark/>
          </w:tcPr>
          <w:p w14:paraId="73C33360"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347088</w:t>
            </w:r>
          </w:p>
        </w:tc>
        <w:tc>
          <w:tcPr>
            <w:tcW w:w="2460" w:type="dxa"/>
            <w:tcBorders>
              <w:top w:val="nil"/>
              <w:left w:val="nil"/>
              <w:bottom w:val="single" w:sz="8" w:space="0" w:color="DDDDDD"/>
              <w:right w:val="single" w:sz="8" w:space="0" w:color="DDDDDD"/>
            </w:tcBorders>
            <w:shd w:val="clear" w:color="000000" w:fill="FFFFFF"/>
            <w:vAlign w:val="center"/>
            <w:hideMark/>
          </w:tcPr>
          <w:p w14:paraId="2296D46D" w14:textId="77777777" w:rsidR="00FB6D3F" w:rsidRPr="00037C61" w:rsidRDefault="00FB6D3F" w:rsidP="00245B34">
            <w:pPr>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NA</w:t>
            </w:r>
          </w:p>
        </w:tc>
        <w:tc>
          <w:tcPr>
            <w:tcW w:w="2460" w:type="dxa"/>
            <w:tcBorders>
              <w:top w:val="nil"/>
              <w:left w:val="nil"/>
              <w:bottom w:val="single" w:sz="8" w:space="0" w:color="DDDDDD"/>
              <w:right w:val="single" w:sz="8" w:space="0" w:color="DDDDDD"/>
            </w:tcBorders>
            <w:shd w:val="clear" w:color="000000" w:fill="FFFFFF"/>
            <w:vAlign w:val="center"/>
            <w:hideMark/>
          </w:tcPr>
          <w:p w14:paraId="0F601877" w14:textId="77777777" w:rsidR="00FB6D3F" w:rsidRPr="00037C61" w:rsidRDefault="00FB6D3F" w:rsidP="00FB6D3F">
            <w:pPr>
              <w:keepNext/>
              <w:spacing w:after="0" w:line="240" w:lineRule="auto"/>
              <w:jc w:val="center"/>
              <w:rPr>
                <w:rFonts w:eastAsia="Times New Roman" w:cs="Calibri"/>
                <w:b/>
                <w:bCs/>
                <w:color w:val="333333"/>
                <w:lang w:val="en-GB" w:eastAsia="it-IT"/>
              </w:rPr>
            </w:pPr>
            <w:r w:rsidRPr="00037C61">
              <w:rPr>
                <w:rFonts w:eastAsia="Times New Roman" w:cs="Calibri"/>
                <w:b/>
                <w:bCs/>
                <w:color w:val="333333"/>
                <w:lang w:val="en-GB" w:eastAsia="it-IT"/>
              </w:rPr>
              <w:t>NA</w:t>
            </w:r>
          </w:p>
        </w:tc>
      </w:tr>
    </w:tbl>
    <w:p w14:paraId="0C20BDB2" w14:textId="77C3E253" w:rsidR="00FB6D3F" w:rsidRPr="00037C61" w:rsidRDefault="00FB6D3F" w:rsidP="00FB6D3F">
      <w:pPr>
        <w:pStyle w:val="Caption"/>
        <w:jc w:val="left"/>
        <w:rPr>
          <w:lang w:val="en-GB"/>
        </w:rPr>
      </w:pPr>
      <w:bookmarkStart w:id="12" w:name="_Toc58237624"/>
      <w:r w:rsidRPr="00037C61">
        <w:rPr>
          <w:lang w:val="en-GB"/>
        </w:rPr>
        <w:t xml:space="preserve">Table </w:t>
      </w:r>
      <w:r w:rsidR="005B3555" w:rsidRPr="00037C61">
        <w:rPr>
          <w:lang w:val="en-GB"/>
        </w:rPr>
        <w:fldChar w:fldCharType="begin"/>
      </w:r>
      <w:r w:rsidR="005B3555" w:rsidRPr="00037C61">
        <w:rPr>
          <w:lang w:val="en-GB"/>
        </w:rPr>
        <w:instrText xml:space="preserve"> SEQ Table \* ARABIC </w:instrText>
      </w:r>
      <w:r w:rsidR="005B3555" w:rsidRPr="00037C61">
        <w:rPr>
          <w:lang w:val="en-GB"/>
        </w:rPr>
        <w:fldChar w:fldCharType="separate"/>
      </w:r>
      <w:r w:rsidR="005A7BD8">
        <w:rPr>
          <w:noProof/>
          <w:lang w:val="en-GB"/>
        </w:rPr>
        <w:t>1</w:t>
      </w:r>
      <w:r w:rsidR="005B3555" w:rsidRPr="00037C61">
        <w:rPr>
          <w:lang w:val="en-GB"/>
        </w:rPr>
        <w:fldChar w:fldCharType="end"/>
      </w:r>
      <w:r w:rsidRPr="00037C61">
        <w:rPr>
          <w:lang w:val="en-GB"/>
        </w:rPr>
        <w:t xml:space="preserve"> Number of reported Covid-19 cases and deaths in EU/EEA and the UK (6th December 2020)</w:t>
      </w:r>
      <w:bookmarkEnd w:id="12"/>
      <w:r w:rsidRPr="00037C61">
        <w:rPr>
          <w:lang w:val="en-GB"/>
        </w:rPr>
        <w:t xml:space="preserve"> </w:t>
      </w:r>
    </w:p>
    <w:p w14:paraId="09709694" w14:textId="0F460454" w:rsidR="00FB6D3F" w:rsidRPr="00DB74BF" w:rsidRDefault="00FB6D3F" w:rsidP="00FB6D3F">
      <w:pPr>
        <w:pStyle w:val="Caption"/>
        <w:jc w:val="left"/>
        <w:rPr>
          <w:lang w:val="fr-FR"/>
        </w:rPr>
      </w:pPr>
      <w:r w:rsidRPr="00DB74BF">
        <w:rPr>
          <w:lang w:val="fr-FR"/>
        </w:rPr>
        <w:t>Source: https://www.ecdc.europa.eu/en/cases-2019-ncov-eueea</w:t>
      </w:r>
    </w:p>
    <w:p w14:paraId="4D3CF3DE" w14:textId="77777777" w:rsidR="00FB6D3F" w:rsidRPr="00037C61" w:rsidRDefault="00FB6D3F" w:rsidP="00FB6D3F">
      <w:pPr>
        <w:rPr>
          <w:rFonts w:cs="Calibri"/>
          <w:lang w:val="en-GB"/>
        </w:rPr>
      </w:pPr>
      <w:r w:rsidRPr="00037C61">
        <w:rPr>
          <w:rFonts w:cs="Calibri"/>
          <w:lang w:val="en-GB"/>
        </w:rPr>
        <w:t>The sanitary crisis has soon become a socio-economic crisis (which has been compared, in terms of deep and duration of impacts, to the oil prices shock dated back in 1973 and 1979) mainly driven by the consequences of lockdown measures adopted to protect the population health. Since the crisis is still on-going and the majority of EU countries is still implementing restrictive measures to business activities, people movements and, in general, to social life, the long-term effects of the socio-economic downturn generated by the pandemic are uncertain and much depend on several uncertain factors, such as:</w:t>
      </w:r>
    </w:p>
    <w:p w14:paraId="3664603E" w14:textId="77777777" w:rsidR="00FB6D3F" w:rsidRPr="00037C61" w:rsidRDefault="00FB6D3F" w:rsidP="00FB6D3F">
      <w:pPr>
        <w:pStyle w:val="ListParagraph"/>
        <w:numPr>
          <w:ilvl w:val="0"/>
          <w:numId w:val="32"/>
        </w:numPr>
        <w:spacing w:after="160" w:line="259" w:lineRule="auto"/>
        <w:contextualSpacing/>
        <w:rPr>
          <w:rFonts w:cs="Calibri"/>
          <w:lang w:val="en-GB"/>
        </w:rPr>
      </w:pPr>
      <w:r w:rsidRPr="00037C61">
        <w:rPr>
          <w:rFonts w:cs="Calibri"/>
          <w:lang w:val="en-GB"/>
        </w:rPr>
        <w:t>The degree of Covid-19 diffusion in a given country (share of population infected and business affected by restrictions);</w:t>
      </w:r>
    </w:p>
    <w:p w14:paraId="43CD0723" w14:textId="77777777" w:rsidR="00FB6D3F" w:rsidRPr="00037C61" w:rsidRDefault="00FB6D3F" w:rsidP="00FB6D3F">
      <w:pPr>
        <w:pStyle w:val="ListParagraph"/>
        <w:numPr>
          <w:ilvl w:val="0"/>
          <w:numId w:val="32"/>
        </w:numPr>
        <w:spacing w:after="160" w:line="259" w:lineRule="auto"/>
        <w:contextualSpacing/>
        <w:rPr>
          <w:rFonts w:cs="Calibri"/>
          <w:lang w:val="en-GB"/>
        </w:rPr>
      </w:pPr>
      <w:r w:rsidRPr="00037C61">
        <w:rPr>
          <w:rFonts w:cs="Calibri"/>
          <w:lang w:val="en-GB"/>
        </w:rPr>
        <w:t>The response capacity of the state (for example in terms of adopting rapid measures in support of firms’ liquidity and labour wage protection);</w:t>
      </w:r>
    </w:p>
    <w:p w14:paraId="2B9790AC" w14:textId="77777777" w:rsidR="00FB6D3F" w:rsidRPr="00037C61" w:rsidRDefault="00FB6D3F" w:rsidP="00FB6D3F">
      <w:pPr>
        <w:pStyle w:val="ListParagraph"/>
        <w:numPr>
          <w:ilvl w:val="0"/>
          <w:numId w:val="32"/>
        </w:numPr>
        <w:spacing w:after="160" w:line="259" w:lineRule="auto"/>
        <w:contextualSpacing/>
        <w:rPr>
          <w:rFonts w:cs="Calibri"/>
          <w:lang w:val="en-GB"/>
        </w:rPr>
      </w:pPr>
      <w:r w:rsidRPr="00037C61">
        <w:rPr>
          <w:rFonts w:cs="Calibri"/>
          <w:lang w:val="en-GB"/>
        </w:rPr>
        <w:t>The duration of the pandemic and the availability of a vaccine, that may avoid or at least limit the severity of additional waves of Covid-19 peaks.</w:t>
      </w:r>
      <w:r w:rsidRPr="00037C61">
        <w:rPr>
          <w:rStyle w:val="FootnoteReference"/>
          <w:rFonts w:cs="Calibri"/>
          <w:lang w:val="en-GB"/>
        </w:rPr>
        <w:footnoteReference w:id="13"/>
      </w:r>
    </w:p>
    <w:p w14:paraId="7095F0D8" w14:textId="77777777" w:rsidR="00FB6D3F" w:rsidRPr="00037C61" w:rsidRDefault="00FB6D3F" w:rsidP="00FB6D3F">
      <w:pPr>
        <w:rPr>
          <w:rFonts w:cs="Calibri"/>
          <w:lang w:val="en-GB"/>
        </w:rPr>
      </w:pPr>
      <w:r w:rsidRPr="00037C61">
        <w:rPr>
          <w:rFonts w:cs="Calibri"/>
          <w:lang w:val="en-GB"/>
        </w:rPr>
        <w:t xml:space="preserve">According to European Central Bank preliminary analysis, it is expected that the pandemic will have a long-term and structural impact on the potential output of the economies: potential output typically reflects supply conditions in the economy, such as changes in the key production inputs of capital and </w:t>
      </w:r>
      <w:r w:rsidRPr="00037C61">
        <w:rPr>
          <w:rFonts w:cs="Calibri"/>
          <w:lang w:val="en-GB"/>
        </w:rPr>
        <w:lastRenderedPageBreak/>
        <w:t>labour and their productivity, whilst fluctuations around potential output are related to demand factors. According to the ECB, the measures imposed by governments to contain the spread of the virus in the aftermath of the COVID-19 shock are a unique example of severe temporary supply-side restrictions.</w:t>
      </w:r>
      <w:r w:rsidRPr="00037C61">
        <w:rPr>
          <w:rStyle w:val="FootnoteReference"/>
          <w:rFonts w:cs="Calibri"/>
          <w:lang w:val="en-GB"/>
        </w:rPr>
        <w:footnoteReference w:id="14"/>
      </w:r>
    </w:p>
    <w:p w14:paraId="434590EB" w14:textId="77777777" w:rsidR="00FB6D3F" w:rsidRPr="00037C61" w:rsidRDefault="00FB6D3F" w:rsidP="00FB6D3F">
      <w:pPr>
        <w:rPr>
          <w:rFonts w:cs="Calibri"/>
          <w:lang w:val="en-GB"/>
        </w:rPr>
      </w:pPr>
      <w:r w:rsidRPr="00037C61">
        <w:rPr>
          <w:rFonts w:cs="Calibri"/>
          <w:lang w:val="en-GB"/>
        </w:rPr>
        <w:t>The COVID-19 shock is thus expected to have medium to long-term effects on the economies and labour markets and to affect, with a certain severity, the following socio-economic elements:</w:t>
      </w:r>
    </w:p>
    <w:p w14:paraId="5ED56A5A"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Supply chain disruption might be persistent and firms might need to find new suppliers, new transport routes or new locations of production;</w:t>
      </w:r>
    </w:p>
    <w:p w14:paraId="3C5DD683"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Financial distress might increase the financing cost of new, productive projects and might also increase corporate default rates;</w:t>
      </w:r>
    </w:p>
    <w:p w14:paraId="76FB34EE"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The destruction of jobs resulting from a surge in firm exits would potentially lead to productivity losses if reallocation of displaced workers to other firms is slow and results in a deterioration of workers’ skills in the long run;</w:t>
      </w:r>
    </w:p>
    <w:p w14:paraId="1E2A8A65"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Some low-productivity sectors may be more persistently affected and lose economic importance to the benefit of less affected high-productivity sectors. In this respect, containment measures might have accelerated the progress of digital uptake in firms across all sectors and may thus enhance productivity growth in the medium term;</w:t>
      </w:r>
    </w:p>
    <w:p w14:paraId="610C08F3"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 xml:space="preserve">The sectors most affected by the decline in activity are also those that contribute the most to changes in the euro area productive capital stock. Traditionally, the manufacturing and retail trade, transport (including travel), accommodation (including hotels) and food and beverage sectors have been the largest contributors to developments in investment in machinery and equipment. </w:t>
      </w:r>
    </w:p>
    <w:p w14:paraId="25C03E53"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The current shock may have a more permanent impact on some service sectors, primarily those that have been relying on the benefits of globalisation – namely accommodation, travel and transportation. But domestic service sectors may also be negatively affected in the longer term.</w:t>
      </w:r>
    </w:p>
    <w:p w14:paraId="5B23CD25"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The labour contribution to potential output could be severely hit: hysteresis effects could emerge, resulting in a more persistent increase in the non-accelerating inflation rate of unemployment (NAIRU). This can happen if people become long-term unemployed, which tends primarily to affect the younger and lower skilled;</w:t>
      </w:r>
    </w:p>
    <w:p w14:paraId="0781D9DD"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If the shock turns out to be more persistent, working age population growth could slow due to lower migration. Immigration has had an upward impact on working age population growth in the euro area recently. Cross-border and immigrant workers tend to work in sectors that are considerably affected by the shock (for example accommodation, retail trade and food service).</w:t>
      </w:r>
    </w:p>
    <w:p w14:paraId="1B8FA976" w14:textId="77777777" w:rsidR="00FB6D3F" w:rsidRPr="00037C61" w:rsidRDefault="00FB6D3F" w:rsidP="00FB6D3F">
      <w:pPr>
        <w:pStyle w:val="ListParagraph"/>
        <w:numPr>
          <w:ilvl w:val="0"/>
          <w:numId w:val="33"/>
        </w:numPr>
        <w:spacing w:after="160" w:line="259" w:lineRule="auto"/>
        <w:contextualSpacing/>
        <w:rPr>
          <w:rFonts w:cs="Calibri"/>
          <w:lang w:val="en-GB"/>
        </w:rPr>
      </w:pPr>
      <w:r w:rsidRPr="00037C61">
        <w:rPr>
          <w:rFonts w:cs="Calibri"/>
          <w:lang w:val="en-GB"/>
        </w:rPr>
        <w:t>Older workers may be withdrawing from the labour market in the aftermath of the shock and the labour participation of women may also be affected as they are more represented in the sectors hit harder by the shock (e.g. accommodation and food service activities; the arts, entertainment and recreation), compared with other sectors less affected.</w:t>
      </w:r>
    </w:p>
    <w:p w14:paraId="7164D3DA" w14:textId="77777777" w:rsidR="00FB6D3F" w:rsidRPr="00037C61" w:rsidRDefault="00FB6D3F" w:rsidP="00FB6D3F">
      <w:pPr>
        <w:rPr>
          <w:rFonts w:cs="Calibri"/>
          <w:lang w:val="en-GB"/>
        </w:rPr>
      </w:pPr>
      <w:r w:rsidRPr="00037C61">
        <w:rPr>
          <w:rFonts w:cs="Calibri"/>
          <w:lang w:val="en-GB"/>
        </w:rPr>
        <w:lastRenderedPageBreak/>
        <w:t>Last available aggregated GDP and employment data, which refer to the first quarter of 2020 (Eurostat)</w:t>
      </w:r>
      <w:r w:rsidRPr="00037C61">
        <w:rPr>
          <w:rStyle w:val="FootnoteReference"/>
          <w:rFonts w:cs="Calibri"/>
          <w:lang w:val="en-GB"/>
        </w:rPr>
        <w:footnoteReference w:id="15"/>
      </w:r>
      <w:r w:rsidRPr="00037C61">
        <w:rPr>
          <w:rFonts w:cs="Calibri"/>
          <w:lang w:val="en-GB"/>
        </w:rPr>
        <w:t xml:space="preserve"> are thus not able to gauge the full picture on the effects of the pandemic on EU socio-economic indicators, for which we must probably need to wait for 2021 data. However, the last comparative tables published by Eurostat already show that the main affected countries in terms of GDP growth rate reduction are some of those mostly affected by the pandemic first wase (notably France, Italy and Spain), whilst Hungary and Romania do not seem to have major GDP downturns, with Romania being among the only three countries recording a slight increase in the GDP.  </w:t>
      </w:r>
    </w:p>
    <w:p w14:paraId="0BEECAA4" w14:textId="77777777" w:rsidR="00FB6D3F" w:rsidRPr="00037C61" w:rsidRDefault="00FB6D3F" w:rsidP="00FB6D3F">
      <w:pPr>
        <w:keepNext/>
        <w:jc w:val="center"/>
        <w:rPr>
          <w:lang w:val="en-GB"/>
        </w:rPr>
      </w:pPr>
      <w:r w:rsidRPr="00037C61">
        <w:rPr>
          <w:rFonts w:cs="Calibri"/>
          <w:noProof/>
          <w:lang w:val="ro-RO" w:eastAsia="ro-RO"/>
        </w:rPr>
        <w:drawing>
          <wp:inline distT="0" distB="0" distL="0" distR="0" wp14:anchorId="118DA988" wp14:editId="36D7738C">
            <wp:extent cx="5311979" cy="2423406"/>
            <wp:effectExtent l="0" t="0" r="3175" b="0"/>
            <wp:docPr id="58332966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89021" cy="2458554"/>
                    </a:xfrm>
                    <a:prstGeom prst="rect">
                      <a:avLst/>
                    </a:prstGeom>
                  </pic:spPr>
                </pic:pic>
              </a:graphicData>
            </a:graphic>
          </wp:inline>
        </w:drawing>
      </w:r>
    </w:p>
    <w:p w14:paraId="49F30308" w14:textId="65A828A1" w:rsidR="00FB6D3F" w:rsidRPr="00037C61" w:rsidRDefault="00FB6D3F" w:rsidP="00FB6D3F">
      <w:pPr>
        <w:pStyle w:val="Caption"/>
        <w:jc w:val="left"/>
        <w:rPr>
          <w:lang w:val="en-GB"/>
        </w:rPr>
      </w:pPr>
      <w:bookmarkStart w:id="13" w:name="_Toc6461095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w:t>
      </w:r>
      <w:r w:rsidR="00412697">
        <w:rPr>
          <w:lang w:val="en-GB"/>
        </w:rPr>
        <w:fldChar w:fldCharType="end"/>
      </w:r>
      <w:r w:rsidRPr="00037C61">
        <w:rPr>
          <w:lang w:val="en-GB"/>
        </w:rPr>
        <w:t xml:space="preserve"> - GDP growth rate for 2020Q1</w:t>
      </w:r>
      <w:bookmarkEnd w:id="13"/>
      <w:r w:rsidRPr="00037C61">
        <w:rPr>
          <w:lang w:val="en-GB"/>
        </w:rPr>
        <w:t xml:space="preserve"> </w:t>
      </w:r>
    </w:p>
    <w:p w14:paraId="4420570B" w14:textId="2D845D10" w:rsidR="00FB6D3F" w:rsidRPr="00037C61" w:rsidRDefault="00FB6D3F" w:rsidP="00FB6D3F">
      <w:pPr>
        <w:pStyle w:val="Caption"/>
        <w:jc w:val="left"/>
        <w:rPr>
          <w:rFonts w:cs="Calibri"/>
          <w:sz w:val="22"/>
          <w:szCs w:val="22"/>
          <w:lang w:val="en-GB"/>
        </w:rPr>
      </w:pPr>
      <w:r w:rsidRPr="00037C61">
        <w:rPr>
          <w:lang w:val="en-GB"/>
        </w:rPr>
        <w:t>Source: Eurostat</w:t>
      </w:r>
    </w:p>
    <w:p w14:paraId="27B81CC9" w14:textId="77777777" w:rsidR="00FB6D3F" w:rsidRPr="00037C61" w:rsidRDefault="00FB6D3F" w:rsidP="00FB6D3F">
      <w:pPr>
        <w:rPr>
          <w:rFonts w:cs="Calibri"/>
          <w:lang w:val="en-GB"/>
        </w:rPr>
      </w:pPr>
      <w:r w:rsidRPr="00037C61">
        <w:rPr>
          <w:rFonts w:cs="Calibri"/>
          <w:lang w:val="en-GB"/>
        </w:rPr>
        <w:t>Disaggregated data on the GDP expenditure show, on the other hand, some initial signs of lockdown measures and effects on households’ consumption, with important decreases almost in all countries, with the notable exception of Hungary and Slovakia, that saw a slight increase in households’ final consumptions.</w:t>
      </w:r>
    </w:p>
    <w:p w14:paraId="735AB028" w14:textId="77777777" w:rsidR="00FB6D3F" w:rsidRPr="00037C61" w:rsidRDefault="00FB6D3F" w:rsidP="00FB6D3F">
      <w:pPr>
        <w:keepNext/>
        <w:jc w:val="center"/>
        <w:rPr>
          <w:lang w:val="en-GB"/>
        </w:rPr>
      </w:pPr>
      <w:r w:rsidRPr="00037C61">
        <w:rPr>
          <w:rFonts w:cs="Calibri"/>
          <w:noProof/>
          <w:lang w:val="ro-RO" w:eastAsia="ro-RO"/>
        </w:rPr>
        <w:drawing>
          <wp:inline distT="0" distB="0" distL="0" distR="0" wp14:anchorId="560C8F0C" wp14:editId="7F27819B">
            <wp:extent cx="5290805" cy="2473580"/>
            <wp:effectExtent l="0" t="0" r="5715" b="3175"/>
            <wp:docPr id="58332966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87165" cy="2518631"/>
                    </a:xfrm>
                    <a:prstGeom prst="rect">
                      <a:avLst/>
                    </a:prstGeom>
                  </pic:spPr>
                </pic:pic>
              </a:graphicData>
            </a:graphic>
          </wp:inline>
        </w:drawing>
      </w:r>
    </w:p>
    <w:p w14:paraId="54BCC497" w14:textId="7F2B8B72" w:rsidR="00FB6D3F" w:rsidRPr="00037C61" w:rsidRDefault="00FB6D3F" w:rsidP="00FB6D3F">
      <w:pPr>
        <w:pStyle w:val="Caption"/>
        <w:jc w:val="left"/>
        <w:rPr>
          <w:lang w:val="en-GB"/>
        </w:rPr>
      </w:pPr>
      <w:bookmarkStart w:id="14" w:name="_Toc6461095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w:t>
      </w:r>
      <w:r w:rsidR="00412697">
        <w:rPr>
          <w:lang w:val="en-GB"/>
        </w:rPr>
        <w:fldChar w:fldCharType="end"/>
      </w:r>
      <w:r w:rsidRPr="00037C61">
        <w:rPr>
          <w:lang w:val="en-GB"/>
        </w:rPr>
        <w:t>- Evolution of GDP and main GDP expediture aggregates in 2020Q1</w:t>
      </w:r>
      <w:bookmarkEnd w:id="14"/>
      <w:r w:rsidRPr="00037C61">
        <w:rPr>
          <w:lang w:val="en-GB"/>
        </w:rPr>
        <w:t xml:space="preserve"> </w:t>
      </w:r>
    </w:p>
    <w:p w14:paraId="5D35120D" w14:textId="3C2E3BE6" w:rsidR="00FB6D3F" w:rsidRPr="00037C61" w:rsidRDefault="00FB6D3F" w:rsidP="00FB6D3F">
      <w:pPr>
        <w:pStyle w:val="Caption"/>
        <w:jc w:val="left"/>
        <w:rPr>
          <w:rFonts w:cs="Calibri"/>
          <w:sz w:val="22"/>
          <w:szCs w:val="22"/>
          <w:lang w:val="en-GB"/>
        </w:rPr>
      </w:pPr>
      <w:r w:rsidRPr="00037C61">
        <w:rPr>
          <w:lang w:val="en-GB"/>
        </w:rPr>
        <w:t>Source: Eurostat</w:t>
      </w:r>
    </w:p>
    <w:p w14:paraId="58025E0E" w14:textId="77777777" w:rsidR="00FB6D3F" w:rsidRPr="00037C61" w:rsidRDefault="00FB6D3F" w:rsidP="00FB6D3F">
      <w:pPr>
        <w:rPr>
          <w:rFonts w:cs="Calibri"/>
          <w:lang w:val="en-GB"/>
        </w:rPr>
      </w:pPr>
      <w:r w:rsidRPr="00037C61">
        <w:rPr>
          <w:rFonts w:cs="Calibri"/>
          <w:lang w:val="en-GB"/>
        </w:rPr>
        <w:lastRenderedPageBreak/>
        <w:t>According to Eurostat analysis, with respect to specific industries, it can be noted that gross value added and hours worked decreased in all industries in 2020-Q1 with rather similar trends in the euro area and the EU. For both zones, the largest fall was observed for industries G to I (which includes transport, accommodation and food services activities) and R to U (which includes arts, entertainment and recreations activities), which were the industries most affected by government shutdowns to contain the spread of COVID-19.</w:t>
      </w:r>
    </w:p>
    <w:p w14:paraId="6A2520D1" w14:textId="77777777" w:rsidR="00FB6D3F" w:rsidRPr="00037C61" w:rsidRDefault="00FB6D3F" w:rsidP="00FB6D3F">
      <w:pPr>
        <w:keepNext/>
        <w:jc w:val="center"/>
        <w:rPr>
          <w:lang w:val="en-GB"/>
        </w:rPr>
      </w:pPr>
      <w:r w:rsidRPr="00037C61">
        <w:rPr>
          <w:rFonts w:cs="Calibri"/>
          <w:noProof/>
          <w:lang w:val="ro-RO" w:eastAsia="ro-RO"/>
        </w:rPr>
        <w:drawing>
          <wp:inline distT="0" distB="0" distL="0" distR="0" wp14:anchorId="2223E616" wp14:editId="563E8C7E">
            <wp:extent cx="6120130" cy="2343785"/>
            <wp:effectExtent l="0" t="0" r="0" b="0"/>
            <wp:docPr id="58332966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2343785"/>
                    </a:xfrm>
                    <a:prstGeom prst="rect">
                      <a:avLst/>
                    </a:prstGeom>
                  </pic:spPr>
                </pic:pic>
              </a:graphicData>
            </a:graphic>
          </wp:inline>
        </w:drawing>
      </w:r>
    </w:p>
    <w:p w14:paraId="5FF43B99" w14:textId="44919A76" w:rsidR="00FB6D3F" w:rsidRPr="00037C61" w:rsidRDefault="00FB6D3F" w:rsidP="00FB6D3F">
      <w:pPr>
        <w:pStyle w:val="Caption"/>
        <w:jc w:val="left"/>
        <w:rPr>
          <w:lang w:val="en-GB"/>
        </w:rPr>
      </w:pPr>
      <w:bookmarkStart w:id="15" w:name="_Toc6461095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w:t>
      </w:r>
      <w:r w:rsidR="00412697">
        <w:rPr>
          <w:lang w:val="en-GB"/>
        </w:rPr>
        <w:fldChar w:fldCharType="end"/>
      </w:r>
      <w:r w:rsidRPr="00037C61">
        <w:rPr>
          <w:lang w:val="en-GB"/>
        </w:rPr>
        <w:t xml:space="preserve"> - Growth rate trends by industry in 2020Q1</w:t>
      </w:r>
      <w:bookmarkEnd w:id="15"/>
      <w:r w:rsidRPr="00037C61">
        <w:rPr>
          <w:lang w:val="en-GB"/>
        </w:rPr>
        <w:t xml:space="preserve"> </w:t>
      </w:r>
    </w:p>
    <w:p w14:paraId="6DDF170D" w14:textId="3D00BA34" w:rsidR="00FB6D3F" w:rsidRPr="00037C61" w:rsidRDefault="00FB6D3F" w:rsidP="00FB6D3F">
      <w:pPr>
        <w:pStyle w:val="Caption"/>
        <w:jc w:val="left"/>
        <w:rPr>
          <w:rFonts w:cs="Calibri"/>
          <w:sz w:val="22"/>
          <w:szCs w:val="22"/>
          <w:lang w:val="en-GB"/>
        </w:rPr>
      </w:pPr>
      <w:r w:rsidRPr="00037C61">
        <w:rPr>
          <w:lang w:val="en-GB"/>
        </w:rPr>
        <w:t>Source: Eurostat</w:t>
      </w:r>
    </w:p>
    <w:p w14:paraId="22843101" w14:textId="77777777" w:rsidR="00FB6D3F" w:rsidRPr="00037C61" w:rsidRDefault="00FB6D3F" w:rsidP="00FB6D3F">
      <w:pPr>
        <w:rPr>
          <w:rFonts w:cs="Calibri"/>
          <w:lang w:val="en-GB"/>
        </w:rPr>
      </w:pPr>
      <w:r w:rsidRPr="00037C61">
        <w:rPr>
          <w:rFonts w:cs="Calibri"/>
          <w:lang w:val="en-GB"/>
        </w:rPr>
        <w:t>In July, the European Commission estimated that the European economy would contract by 8.3% in 2020 (European Commission, 2020a). The prediction is that divergences between Member States will widen because of large differences in the scale of the impact of the pandemic and the extent of recoveries.</w:t>
      </w:r>
      <w:r w:rsidRPr="00037C61">
        <w:rPr>
          <w:rStyle w:val="FootnoteReference"/>
          <w:rFonts w:cs="Calibri"/>
          <w:lang w:val="en-GB"/>
        </w:rPr>
        <w:footnoteReference w:id="16"/>
      </w:r>
    </w:p>
    <w:p w14:paraId="4458C0C4" w14:textId="77777777" w:rsidR="00FB6D3F" w:rsidRPr="00037C61" w:rsidRDefault="00FB6D3F" w:rsidP="00FB6D3F">
      <w:pPr>
        <w:rPr>
          <w:rFonts w:cs="Calibri"/>
          <w:lang w:val="en-GB"/>
        </w:rPr>
      </w:pPr>
      <w:r w:rsidRPr="00037C61">
        <w:rPr>
          <w:rFonts w:cs="Calibri"/>
          <w:lang w:val="en-GB"/>
        </w:rPr>
        <w:t>Considering all the above projections and trends and having regard of the current territorial context of the cross-border area between Romania and Hungary, it may be expected that the Covid-19 pandemic will have an important medium and long term impact in the cross-border area, especially starting from the following assumptions:</w:t>
      </w:r>
    </w:p>
    <w:p w14:paraId="1BE7EB08" w14:textId="77777777" w:rsidR="00FB6D3F" w:rsidRPr="00037C61" w:rsidRDefault="00FB6D3F" w:rsidP="00FB6D3F">
      <w:pPr>
        <w:pStyle w:val="ListParagraph"/>
        <w:numPr>
          <w:ilvl w:val="0"/>
          <w:numId w:val="34"/>
        </w:numPr>
        <w:spacing w:after="160" w:line="259" w:lineRule="auto"/>
        <w:contextualSpacing/>
        <w:rPr>
          <w:rFonts w:cs="Calibri"/>
          <w:lang w:val="en-GB"/>
        </w:rPr>
      </w:pPr>
      <w:r w:rsidRPr="00037C61">
        <w:rPr>
          <w:rFonts w:cs="Calibri"/>
          <w:lang w:val="en-GB"/>
        </w:rPr>
        <w:t>The pandemic crisis is expected to exacerbate regional differences, to the detriment of less competitive regions, in terms of labour productivity, business innovation and concentration of low added value economic sectors;</w:t>
      </w:r>
    </w:p>
    <w:p w14:paraId="2B3064DA" w14:textId="77777777" w:rsidR="00FB6D3F" w:rsidRPr="00037C61" w:rsidRDefault="00FB6D3F" w:rsidP="00FB6D3F">
      <w:pPr>
        <w:pStyle w:val="ListParagraph"/>
        <w:numPr>
          <w:ilvl w:val="0"/>
          <w:numId w:val="34"/>
        </w:numPr>
        <w:spacing w:after="160" w:line="259" w:lineRule="auto"/>
        <w:contextualSpacing/>
        <w:rPr>
          <w:rFonts w:cs="Calibri"/>
          <w:lang w:val="en-GB"/>
        </w:rPr>
      </w:pPr>
      <w:r w:rsidRPr="00037C61">
        <w:rPr>
          <w:rFonts w:cs="Calibri"/>
          <w:lang w:val="en-GB"/>
        </w:rPr>
        <w:t>The pandemic crisis is expected to hit harder low-skilled labour, women, older workers and the youth.</w:t>
      </w:r>
    </w:p>
    <w:p w14:paraId="7A99DBF4" w14:textId="77777777" w:rsidR="00FB6D3F" w:rsidRPr="00037C61" w:rsidRDefault="00FB6D3F" w:rsidP="00FB6D3F">
      <w:pPr>
        <w:rPr>
          <w:rFonts w:cs="Calibri"/>
          <w:lang w:val="en-GB"/>
        </w:rPr>
      </w:pPr>
      <w:r w:rsidRPr="00037C61">
        <w:rPr>
          <w:rFonts w:cs="Calibri"/>
          <w:lang w:val="en-GB"/>
        </w:rPr>
        <w:t>As the Territorial Analysis will show in the next pages, the cross-border area is characterised by a relatively low innovative capacity, structural weaknesses of the business sector, low incidence of knowledge intensive economic activities, growing exposure to labour market exclusion for certain vulnerable groups, including low-skilled workers and the youth, and a growing population ageing. All these contextual factors may generate a medium to high impact of the crisis in the cross-border area, especially the most marginalised territories within the area.</w:t>
      </w:r>
    </w:p>
    <w:p w14:paraId="7B981AE5" w14:textId="77777777" w:rsidR="00FB6D3F" w:rsidRPr="00037C61" w:rsidRDefault="00FB6D3F" w:rsidP="00FB6D3F">
      <w:pPr>
        <w:rPr>
          <w:rFonts w:cs="Calibri"/>
          <w:lang w:val="en-GB"/>
        </w:rPr>
      </w:pPr>
      <w:r w:rsidRPr="00037C61">
        <w:rPr>
          <w:rFonts w:cs="Calibri"/>
          <w:lang w:val="en-GB"/>
        </w:rPr>
        <w:lastRenderedPageBreak/>
        <w:t xml:space="preserve">In the same time, the Programme area presents a growing trend in high value added emerging sectors, such as IT and bio-economy: further investigation on how to strengthen possible cross-border value chain linkages in emerging sectors shall be supported, in order to promote a smart recovery of the cross-border area economies.  </w:t>
      </w:r>
    </w:p>
    <w:p w14:paraId="154CBBC1" w14:textId="77777777" w:rsidR="00FB6D3F" w:rsidRPr="00037C61" w:rsidRDefault="00FB6D3F" w:rsidP="00FB6D3F">
      <w:pPr>
        <w:rPr>
          <w:rFonts w:cs="Calibri"/>
          <w:lang w:val="en-GB"/>
        </w:rPr>
      </w:pPr>
      <w:r w:rsidRPr="00037C61">
        <w:rPr>
          <w:rFonts w:cs="Calibri"/>
          <w:lang w:val="en-GB"/>
        </w:rPr>
        <w:t>The pandemic crisis has also revealed the fragility of the health-care systems response capacity in case of emergency. Looking across health systems, some common challenges related to care delivery and organisation can be identified as follows</w:t>
      </w:r>
      <w:r w:rsidRPr="00037C61">
        <w:rPr>
          <w:rStyle w:val="FootnoteReference"/>
          <w:rFonts w:cs="Calibri"/>
          <w:lang w:val="en-GB"/>
        </w:rPr>
        <w:footnoteReference w:id="17"/>
      </w:r>
      <w:r w:rsidRPr="00037C61">
        <w:rPr>
          <w:rFonts w:cs="Calibri"/>
          <w:lang w:val="en-GB"/>
        </w:rPr>
        <w:t>:</w:t>
      </w:r>
    </w:p>
    <w:p w14:paraId="3BCB98A1"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Primary care providers reportedly struggled to ensure continuity of care and found it difficult to switch swiftly to new methods of service delivery (e.g. telemedicine, telemonitoring and other e-health solutions);</w:t>
      </w:r>
    </w:p>
    <w:p w14:paraId="0CAB3733"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Hospitals faced great strain due to insufficient capacity, unavailability of adequately trained health workers, and lack of experience in managing an unprecedented emergency;</w:t>
      </w:r>
    </w:p>
    <w:p w14:paraId="1F7169C9"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Social care facilities, unprepared for protecting residents and struggling to obtain support from authorities, recorded a surge in infections and mortality;</w:t>
      </w:r>
    </w:p>
    <w:p w14:paraId="5CF3F7B8"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Weak integration between primary care, outpatient specialist and hospital care and social care resulted in overburdened hospitals in some Member States, while many elderly homes became incubators in the spread of the pandemic;</w:t>
      </w:r>
    </w:p>
    <w:p w14:paraId="1673346C"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Some clinical activities, such as transplant and rehabilitation programmes, came almost to a standstill due to resource and logistical problems;</w:t>
      </w:r>
    </w:p>
    <w:p w14:paraId="5CAEE042"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Increased risk to patients with rare and complex diseases, not only affecting the access to their usual doctors or medicines but – in case of COVID-19 related complications –access to ICU provision;</w:t>
      </w:r>
    </w:p>
    <w:p w14:paraId="3BDE39B1"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Underdeveloped crisis preparedness resulted in shortages and lack of coordination at national and at EU level, which took time to resolve (e.g. low availability of personal protective equipment, limited laboratory and testing capacity etc.).</w:t>
      </w:r>
    </w:p>
    <w:p w14:paraId="5757FC7D" w14:textId="77777777" w:rsidR="00FB6D3F" w:rsidRPr="00037C61" w:rsidRDefault="00FB6D3F" w:rsidP="00FB6D3F">
      <w:pPr>
        <w:pStyle w:val="ListParagraph"/>
        <w:numPr>
          <w:ilvl w:val="0"/>
          <w:numId w:val="35"/>
        </w:numPr>
        <w:spacing w:after="160" w:line="259" w:lineRule="auto"/>
        <w:contextualSpacing/>
        <w:rPr>
          <w:rFonts w:cs="Calibri"/>
          <w:lang w:val="en-GB"/>
        </w:rPr>
      </w:pPr>
      <w:r w:rsidRPr="00037C61">
        <w:rPr>
          <w:rFonts w:cs="Calibri"/>
          <w:lang w:val="en-GB"/>
        </w:rPr>
        <w:t>The pandemic and the confinement measures created a psychosocial burden for the population and, especially, the wellbeing of the health workforce.</w:t>
      </w:r>
    </w:p>
    <w:p w14:paraId="657E224C" w14:textId="77777777" w:rsidR="00FB6D3F" w:rsidRPr="00037C61" w:rsidRDefault="00FB6D3F" w:rsidP="00FB6D3F">
      <w:pPr>
        <w:rPr>
          <w:rFonts w:cs="Calibri"/>
          <w:lang w:val="en-GB"/>
        </w:rPr>
      </w:pPr>
      <w:r w:rsidRPr="00037C61">
        <w:rPr>
          <w:rFonts w:cs="Calibri"/>
          <w:lang w:val="en-GB"/>
        </w:rPr>
        <w:t>In this context, surrounded by many uncertainties, whilst direct subsidies in support of firms’ liquidity, labour wages and households’ incomes will be granted by national governments from both national and EU funds (i.e. Recovery Fund, InvestEu and social protection systems), it is of utmost priority for the cross-border countries to focus their attention on certain common assets and challenges where cooperation may bring added value and generate critical mass for higher impact, in order to:</w:t>
      </w:r>
    </w:p>
    <w:p w14:paraId="32F6A41D" w14:textId="77777777" w:rsidR="00FB6D3F" w:rsidRPr="00037C61" w:rsidRDefault="00FB6D3F" w:rsidP="00FB6D3F">
      <w:pPr>
        <w:pStyle w:val="ListParagraph"/>
        <w:numPr>
          <w:ilvl w:val="0"/>
          <w:numId w:val="36"/>
        </w:numPr>
        <w:spacing w:after="160" w:line="259" w:lineRule="auto"/>
        <w:contextualSpacing/>
        <w:rPr>
          <w:rFonts w:cs="Calibri"/>
          <w:lang w:val="en-GB"/>
        </w:rPr>
      </w:pPr>
      <w:r w:rsidRPr="00037C61">
        <w:rPr>
          <w:rFonts w:cs="Calibri"/>
          <w:lang w:val="en-GB"/>
        </w:rPr>
        <w:t>reduce the potential impact of the socio-economic crisis on internal disparities within the cross-border area,</w:t>
      </w:r>
    </w:p>
    <w:p w14:paraId="3B02B298" w14:textId="77777777" w:rsidR="00FB6D3F" w:rsidRPr="00037C61" w:rsidRDefault="00FB6D3F" w:rsidP="00FB6D3F">
      <w:pPr>
        <w:pStyle w:val="ListParagraph"/>
        <w:numPr>
          <w:ilvl w:val="0"/>
          <w:numId w:val="36"/>
        </w:numPr>
        <w:spacing w:after="160" w:line="259" w:lineRule="auto"/>
        <w:contextualSpacing/>
        <w:rPr>
          <w:rFonts w:cs="Calibri"/>
          <w:lang w:val="en-GB"/>
        </w:rPr>
      </w:pPr>
      <w:r w:rsidRPr="00037C61">
        <w:rPr>
          <w:rFonts w:cs="Calibri"/>
          <w:lang w:val="en-GB"/>
        </w:rPr>
        <w:t xml:space="preserve">valorise existing common resources where joint management shall be preferred for greater effectiveness, </w:t>
      </w:r>
    </w:p>
    <w:p w14:paraId="718A44B0" w14:textId="77777777" w:rsidR="00FB6D3F" w:rsidRPr="00037C61" w:rsidRDefault="00FB6D3F" w:rsidP="00FB6D3F">
      <w:pPr>
        <w:pStyle w:val="ListParagraph"/>
        <w:numPr>
          <w:ilvl w:val="0"/>
          <w:numId w:val="36"/>
        </w:numPr>
        <w:spacing w:after="160" w:line="259" w:lineRule="auto"/>
        <w:contextualSpacing/>
        <w:rPr>
          <w:rFonts w:cs="Calibri"/>
          <w:lang w:val="en-GB"/>
        </w:rPr>
      </w:pPr>
      <w:r w:rsidRPr="00037C61">
        <w:rPr>
          <w:rFonts w:cs="Calibri"/>
          <w:lang w:val="en-GB"/>
        </w:rPr>
        <w:t>increase cooperation towards higher systems’ resilience (which is also relevant to climate change related challenges, that will still be a high priority at EU and global level in the years to come).</w:t>
      </w:r>
    </w:p>
    <w:p w14:paraId="02948E40" w14:textId="77777777" w:rsidR="00FB6D3F" w:rsidRPr="00037C61" w:rsidRDefault="00FB6D3F" w:rsidP="00FB6D3F">
      <w:pPr>
        <w:rPr>
          <w:rFonts w:cs="Calibri"/>
          <w:lang w:val="en-GB"/>
        </w:rPr>
      </w:pPr>
    </w:p>
    <w:p w14:paraId="7F629B66" w14:textId="77777777" w:rsidR="00981D6C" w:rsidRPr="00037C61" w:rsidRDefault="003D1F8F" w:rsidP="00981D6C">
      <w:pPr>
        <w:pStyle w:val="Heading1"/>
      </w:pPr>
      <w:bookmarkStart w:id="16" w:name="_Toc64619517"/>
      <w:r w:rsidRPr="00037C61">
        <w:lastRenderedPageBreak/>
        <w:t>THEMATIC TERRITORIAL ANALYSIS</w:t>
      </w:r>
      <w:bookmarkEnd w:id="16"/>
    </w:p>
    <w:p w14:paraId="31A73EF2" w14:textId="06C53C40" w:rsidR="003D1F8F" w:rsidRPr="00037C61" w:rsidRDefault="003D1F8F" w:rsidP="00457478">
      <w:pPr>
        <w:ind w:left="-1418"/>
        <w:rPr>
          <w:lang w:val="en-GB"/>
        </w:rPr>
      </w:pPr>
      <w:r w:rsidRPr="00037C61">
        <w:rPr>
          <w:noProof/>
          <w:lang w:val="ro-RO" w:eastAsia="ro-RO"/>
        </w:rPr>
        <w:drawing>
          <wp:inline distT="0" distB="0" distL="0" distR="0" wp14:anchorId="7B1A8F2A" wp14:editId="4CB566F5">
            <wp:extent cx="7543800" cy="772353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7560734" cy="7740874"/>
                    </a:xfrm>
                    <a:prstGeom prst="rect">
                      <a:avLst/>
                    </a:prstGeom>
                    <a:noFill/>
                    <a:ln>
                      <a:noFill/>
                    </a:ln>
                    <a:extLst>
                      <a:ext uri="{53640926-AAD7-44D8-BBD7-CCE9431645EC}">
                        <a14:shadowObscured xmlns:a14="http://schemas.microsoft.com/office/drawing/2010/main"/>
                      </a:ext>
                    </a:extLst>
                  </pic:spPr>
                </pic:pic>
              </a:graphicData>
            </a:graphic>
          </wp:inline>
        </w:drawing>
      </w:r>
      <w:r w:rsidRPr="00037C61">
        <w:rPr>
          <w:lang w:val="en-GB"/>
        </w:rPr>
        <w:t xml:space="preserve"> </w:t>
      </w:r>
      <w:r w:rsidR="005F2808">
        <w:rPr>
          <w:lang w:val="en-GB"/>
        </w:rPr>
        <w:softHyphen/>
      </w:r>
      <w:r w:rsidRPr="00037C61">
        <w:rPr>
          <w:lang w:val="en-GB"/>
        </w:rPr>
        <w:br w:type="page"/>
      </w:r>
    </w:p>
    <w:p w14:paraId="78269477" w14:textId="77777777" w:rsidR="003D1F8F" w:rsidRPr="00037C61" w:rsidRDefault="003D1F8F" w:rsidP="003D1F8F">
      <w:pPr>
        <w:rPr>
          <w:lang w:val="en-GB"/>
        </w:rPr>
      </w:pPr>
    </w:p>
    <w:p w14:paraId="3B711638" w14:textId="4BB53A6C" w:rsidR="00921D9C" w:rsidRPr="00037C61" w:rsidRDefault="00E667A6" w:rsidP="00BB1B56">
      <w:pPr>
        <w:pStyle w:val="Heading2"/>
      </w:pPr>
      <w:bookmarkStart w:id="17" w:name="_Toc64619518"/>
      <w:r w:rsidRPr="00037C61">
        <w:t xml:space="preserve">Main characteristics of the cross-border territory. </w:t>
      </w:r>
      <w:r w:rsidR="2A9CDEBA" w:rsidRPr="00037C61">
        <w:t xml:space="preserve">Demographic potential and </w:t>
      </w:r>
      <w:r w:rsidR="00B665F5" w:rsidRPr="00037C61">
        <w:t>social</w:t>
      </w:r>
      <w:r w:rsidR="2A9CDEBA" w:rsidRPr="00037C61">
        <w:t xml:space="preserve"> capital</w:t>
      </w:r>
      <w:bookmarkEnd w:id="17"/>
      <w:r w:rsidR="2A9CDEBA" w:rsidRPr="00037C61">
        <w:t xml:space="preserve"> </w:t>
      </w:r>
      <w:bookmarkEnd w:id="9"/>
      <w:bookmarkEnd w:id="10"/>
    </w:p>
    <w:p w14:paraId="267E6672" w14:textId="31FD6C93" w:rsidR="00A97B28" w:rsidRPr="00037C61" w:rsidRDefault="003D1F8F" w:rsidP="00A97B28">
      <w:pPr>
        <w:rPr>
          <w:lang w:val="en-GB"/>
        </w:rPr>
      </w:pPr>
      <w:r w:rsidRPr="00037C61">
        <w:rPr>
          <w:lang w:val="en-GB"/>
        </w:rPr>
        <w:t xml:space="preserve">The first chapter of the thematic analysis looks at </w:t>
      </w:r>
      <w:r w:rsidR="00B665F5" w:rsidRPr="00037C61">
        <w:rPr>
          <w:lang w:val="en-GB"/>
        </w:rPr>
        <w:t xml:space="preserve">the </w:t>
      </w:r>
      <w:r w:rsidR="00E667A6" w:rsidRPr="00037C61">
        <w:rPr>
          <w:lang w:val="en-GB"/>
        </w:rPr>
        <w:t xml:space="preserve">main traits of the programme area, in terms of basic indicators of territorial-administrative structure. It further analyses the </w:t>
      </w:r>
      <w:r w:rsidR="00B665F5" w:rsidRPr="00037C61">
        <w:rPr>
          <w:lang w:val="en-GB"/>
        </w:rPr>
        <w:t>broad socio-demographic characteristics of the programme area, identifying the basic characteristics of the population base residing in the eight PA counties, population concentration, distribution, temporal and spatial dynamics.</w:t>
      </w:r>
      <w:r w:rsidR="00E667A6" w:rsidRPr="00037C61">
        <w:rPr>
          <w:lang w:val="en-GB"/>
        </w:rPr>
        <w:t xml:space="preserve"> The chapter looks at the urbanisation characteristics and dynamics, and further</w:t>
      </w:r>
      <w:r w:rsidR="00B665F5" w:rsidRPr="00037C61">
        <w:rPr>
          <w:lang w:val="en-GB"/>
        </w:rPr>
        <w:t>more presents the structure of the population</w:t>
      </w:r>
      <w:r w:rsidR="00E667A6" w:rsidRPr="00037C61">
        <w:rPr>
          <w:lang w:val="en-GB"/>
        </w:rPr>
        <w:t xml:space="preserve">, </w:t>
      </w:r>
      <w:r w:rsidR="00B665F5" w:rsidRPr="00037C61">
        <w:rPr>
          <w:lang w:val="en-GB"/>
        </w:rPr>
        <w:t>highlight</w:t>
      </w:r>
      <w:r w:rsidR="00E667A6" w:rsidRPr="00037C61">
        <w:rPr>
          <w:lang w:val="en-GB"/>
        </w:rPr>
        <w:t>ing</w:t>
      </w:r>
      <w:r w:rsidR="00B665F5" w:rsidRPr="00037C61">
        <w:rPr>
          <w:lang w:val="en-GB"/>
        </w:rPr>
        <w:t xml:space="preserve"> important issues such as ageing trends, areas with high dependency ratios, migratory trends and cross-border specificities. </w:t>
      </w:r>
      <w:r w:rsidR="00E667A6" w:rsidRPr="00037C61">
        <w:rPr>
          <w:lang w:val="en-GB"/>
        </w:rPr>
        <w:t xml:space="preserve">A set of thematic conclusions and a SWOT analysis for this chapter is presented at the end. </w:t>
      </w:r>
    </w:p>
    <w:p w14:paraId="1C8B0E39" w14:textId="589E8D41" w:rsidR="00E667A6" w:rsidRPr="00037C61" w:rsidRDefault="00E667A6" w:rsidP="005E0849">
      <w:pPr>
        <w:pStyle w:val="Heading3"/>
      </w:pPr>
      <w:bookmarkStart w:id="18" w:name="_Ref64610178"/>
      <w:bookmarkStart w:id="19" w:name="_Toc64619519"/>
      <w:r w:rsidRPr="00037C61">
        <w:t>Main characteristics of the PA area and settlement network</w:t>
      </w:r>
      <w:bookmarkEnd w:id="18"/>
      <w:bookmarkEnd w:id="19"/>
      <w:r w:rsidRPr="00037C61">
        <w:t xml:space="preserve"> </w:t>
      </w:r>
    </w:p>
    <w:p w14:paraId="4F0E3A02" w14:textId="0FF37C3C" w:rsidR="00E667A6" w:rsidRPr="00037C61" w:rsidRDefault="00E667A6" w:rsidP="00E667A6">
      <w:pPr>
        <w:rPr>
          <w:lang w:val="en-GB"/>
        </w:rPr>
      </w:pPr>
      <w:r w:rsidRPr="00037C61">
        <w:rPr>
          <w:lang w:val="en-GB"/>
        </w:rPr>
        <w:t>The cross-border region is composed of 4 counties on the Romanian side and 4 counties on the Hungarian side</w:t>
      </w:r>
      <w:r w:rsidR="00CE5316" w:rsidRPr="00037C61">
        <w:rPr>
          <w:lang w:val="en-GB"/>
        </w:rPr>
        <w:t>, ranked by administrative size from 8,691.5 km</w:t>
      </w:r>
      <w:r w:rsidR="00CE5316" w:rsidRPr="00037C61">
        <w:rPr>
          <w:vertAlign w:val="superscript"/>
          <w:lang w:val="en-GB"/>
        </w:rPr>
        <w:t xml:space="preserve">2 </w:t>
      </w:r>
      <w:r w:rsidR="00CE5316" w:rsidRPr="00037C61">
        <w:rPr>
          <w:lang w:val="en-GB"/>
        </w:rPr>
        <w:t>(Timiș) to half that (4,252.8 km</w:t>
      </w:r>
      <w:r w:rsidR="00CE5316" w:rsidRPr="00037C61">
        <w:rPr>
          <w:vertAlign w:val="superscript"/>
          <w:lang w:val="en-GB"/>
        </w:rPr>
        <w:t>2</w:t>
      </w:r>
      <w:r w:rsidR="00CE5316" w:rsidRPr="00037C61">
        <w:rPr>
          <w:lang w:val="en-GB"/>
        </w:rPr>
        <w:t>, Csongrád-Csanád)</w:t>
      </w:r>
      <w:r w:rsidRPr="00037C61">
        <w:rPr>
          <w:lang w:val="en-GB"/>
        </w:rPr>
        <w:t>.</w:t>
      </w:r>
    </w:p>
    <w:p w14:paraId="6FD43CC2" w14:textId="77777777" w:rsidR="00E667A6" w:rsidRPr="00037C61" w:rsidRDefault="00E667A6" w:rsidP="00E667A6">
      <w:pPr>
        <w:keepNext/>
        <w:rPr>
          <w:lang w:val="en-GB"/>
        </w:rPr>
      </w:pPr>
      <w:r w:rsidRPr="00037C61">
        <w:rPr>
          <w:noProof/>
          <w:shd w:val="clear" w:color="auto" w:fill="0070C0"/>
          <w:lang w:val="ro-RO" w:eastAsia="ro-RO"/>
        </w:rPr>
        <w:drawing>
          <wp:inline distT="0" distB="0" distL="0" distR="0" wp14:anchorId="02BEA798" wp14:editId="45923647">
            <wp:extent cx="5731510" cy="2933700"/>
            <wp:effectExtent l="19050" t="19050" r="21590" b="19050"/>
            <wp:docPr id="1490160161" name="Chart 149016016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C2BDD1B" w14:textId="6192CA93" w:rsidR="00E667A6" w:rsidRPr="00037C61" w:rsidRDefault="00E667A6" w:rsidP="00E667A6">
      <w:pPr>
        <w:pStyle w:val="Caption"/>
        <w:jc w:val="both"/>
        <w:rPr>
          <w:lang w:val="en-GB"/>
        </w:rPr>
      </w:pPr>
      <w:bookmarkStart w:id="20" w:name="_Toc6461095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w:t>
      </w:r>
      <w:r w:rsidR="00412697">
        <w:rPr>
          <w:lang w:val="en-GB"/>
        </w:rPr>
        <w:fldChar w:fldCharType="end"/>
      </w:r>
      <w:r w:rsidRPr="00037C61">
        <w:rPr>
          <w:lang w:val="en-GB"/>
        </w:rPr>
        <w:t xml:space="preserve"> - Administrative surface ranking 2019</w:t>
      </w:r>
      <w:bookmarkEnd w:id="20"/>
      <w:r w:rsidRPr="00037C61">
        <w:rPr>
          <w:lang w:val="en-GB"/>
        </w:rPr>
        <w:t xml:space="preserve"> </w:t>
      </w:r>
    </w:p>
    <w:p w14:paraId="79CE2DBF" w14:textId="77777777" w:rsidR="00E667A6" w:rsidRPr="00037C61" w:rsidRDefault="00E667A6" w:rsidP="00E667A6">
      <w:pPr>
        <w:pStyle w:val="Caption"/>
        <w:jc w:val="both"/>
        <w:rPr>
          <w:lang w:val="en-GB"/>
        </w:rPr>
      </w:pPr>
      <w:r w:rsidRPr="00037C61">
        <w:rPr>
          <w:lang w:val="en-GB"/>
        </w:rPr>
        <w:t>Source - INS, KSH</w:t>
      </w:r>
    </w:p>
    <w:p w14:paraId="75BDE987" w14:textId="77777777" w:rsidR="00E667A6" w:rsidRPr="00037C61" w:rsidRDefault="00E667A6" w:rsidP="00E667A6">
      <w:pPr>
        <w:rPr>
          <w:lang w:val="en-GB"/>
        </w:rPr>
      </w:pPr>
    </w:p>
    <w:p w14:paraId="11B4C4AD" w14:textId="49AA2BA0" w:rsidR="00E667A6" w:rsidRPr="00037C61" w:rsidRDefault="00E667A6" w:rsidP="00E667A6">
      <w:pPr>
        <w:rPr>
          <w:lang w:val="en-GB"/>
        </w:rPr>
      </w:pPr>
      <w:r w:rsidRPr="00037C61">
        <w:rPr>
          <w:lang w:val="en-GB"/>
        </w:rPr>
        <w:t>Romania's border region has a total area of 28,396.50 km</w:t>
      </w:r>
      <w:r w:rsidRPr="00037C61">
        <w:rPr>
          <w:vertAlign w:val="superscript"/>
          <w:lang w:val="en-GB"/>
        </w:rPr>
        <w:t>2</w:t>
      </w:r>
      <w:r w:rsidRPr="00037C61">
        <w:rPr>
          <w:lang w:val="en-GB"/>
        </w:rPr>
        <w:t xml:space="preserve"> (1.9% of total national territory) and Hungary's border region has a total area of 22,038.81 km</w:t>
      </w:r>
      <w:r w:rsidRPr="00037C61">
        <w:rPr>
          <w:vertAlign w:val="superscript"/>
          <w:lang w:val="en-GB"/>
        </w:rPr>
        <w:t xml:space="preserve">2 </w:t>
      </w:r>
      <w:r w:rsidRPr="00037C61">
        <w:rPr>
          <w:lang w:val="en-GB"/>
        </w:rPr>
        <w:t xml:space="preserve">(14.15% of total national territory) (Eurostat 2019). The </w:t>
      </w:r>
      <w:r w:rsidRPr="00037C61">
        <w:rPr>
          <w:b/>
          <w:bCs/>
          <w:lang w:val="en-GB"/>
        </w:rPr>
        <w:t>total length of the border is 450 km</w:t>
      </w:r>
      <w:r w:rsidRPr="00037C61">
        <w:rPr>
          <w:lang w:val="en-GB"/>
        </w:rPr>
        <w:t xml:space="preserve">, crossed by </w:t>
      </w:r>
      <w:r w:rsidR="008D206E" w:rsidRPr="00037C61">
        <w:rPr>
          <w:lang w:val="en-GB"/>
        </w:rPr>
        <w:t>1</w:t>
      </w:r>
      <w:r w:rsidR="004B4C2A">
        <w:rPr>
          <w:lang w:val="en-GB"/>
        </w:rPr>
        <w:t>2</w:t>
      </w:r>
      <w:r w:rsidR="008D206E" w:rsidRPr="00037C61">
        <w:rPr>
          <w:lang w:val="en-GB"/>
        </w:rPr>
        <w:t xml:space="preserve"> </w:t>
      </w:r>
      <w:r w:rsidRPr="00037C61">
        <w:rPr>
          <w:lang w:val="en-GB"/>
        </w:rPr>
        <w:t>road corridors and 5 railways border crossing points.</w:t>
      </w:r>
    </w:p>
    <w:p w14:paraId="5EE9D239" w14:textId="3A969931" w:rsidR="00E667A6" w:rsidRPr="00037C61" w:rsidRDefault="00E667A6" w:rsidP="00E667A6">
      <w:pPr>
        <w:keepNext/>
        <w:spacing w:after="0"/>
        <w:jc w:val="center"/>
        <w:rPr>
          <w:lang w:val="en-GB"/>
        </w:rPr>
      </w:pPr>
      <w:r w:rsidRPr="00037C61">
        <w:rPr>
          <w:noProof/>
          <w:lang w:val="ro-RO" w:eastAsia="ro-RO"/>
        </w:rPr>
        <w:lastRenderedPageBreak/>
        <w:drawing>
          <wp:inline distT="0" distB="0" distL="0" distR="0" wp14:anchorId="3DFA85A4" wp14:editId="667CA341">
            <wp:extent cx="4874809" cy="6381750"/>
            <wp:effectExtent l="38100" t="38100" r="40640" b="38100"/>
            <wp:docPr id="1490160162" name="Picture 149016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0" cstate="print">
                      <a:extLst>
                        <a:ext uri="{28A0092B-C50C-407E-A947-70E740481C1C}">
                          <a14:useLocalDpi xmlns:a14="http://schemas.microsoft.com/office/drawing/2010/main"/>
                        </a:ext>
                      </a:extLst>
                    </a:blip>
                    <a:stretch>
                      <a:fillRect/>
                    </a:stretch>
                  </pic:blipFill>
                  <pic:spPr bwMode="auto">
                    <a:xfrm>
                      <a:off x="0" y="0"/>
                      <a:ext cx="4891508" cy="6403611"/>
                    </a:xfrm>
                    <a:prstGeom prst="rect">
                      <a:avLst/>
                    </a:prstGeom>
                    <a:ln w="28575">
                      <a:solidFill>
                        <a:schemeClr val="bg2"/>
                      </a:solidFill>
                    </a:ln>
                    <a:extLst>
                      <a:ext uri="{53640926-AAD7-44D8-BBD7-CCE9431645EC}">
                        <a14:shadowObscured xmlns:a14="http://schemas.microsoft.com/office/drawing/2010/main"/>
                      </a:ext>
                    </a:extLst>
                  </pic:spPr>
                </pic:pic>
              </a:graphicData>
            </a:graphic>
          </wp:inline>
        </w:drawing>
      </w:r>
    </w:p>
    <w:p w14:paraId="4B32C972" w14:textId="20588087" w:rsidR="00E667A6" w:rsidRPr="00037C61" w:rsidRDefault="00E667A6" w:rsidP="00E667A6">
      <w:pPr>
        <w:pStyle w:val="Caption"/>
        <w:jc w:val="left"/>
        <w:rPr>
          <w:lang w:val="en-GB"/>
        </w:rPr>
      </w:pPr>
      <w:bookmarkStart w:id="21" w:name="_Toc6461095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7</w:t>
      </w:r>
      <w:r w:rsidR="00412697">
        <w:rPr>
          <w:lang w:val="en-GB"/>
        </w:rPr>
        <w:fldChar w:fldCharType="end"/>
      </w:r>
      <w:r w:rsidRPr="00037C61">
        <w:rPr>
          <w:lang w:val="en-GB"/>
        </w:rPr>
        <w:t xml:space="preserve"> - Major cities and distance to border crossing points</w:t>
      </w:r>
      <w:bookmarkEnd w:id="21"/>
      <w:r w:rsidRPr="00037C61">
        <w:rPr>
          <w:lang w:val="en-GB"/>
        </w:rPr>
        <w:t xml:space="preserve"> </w:t>
      </w:r>
    </w:p>
    <w:p w14:paraId="7666F41A" w14:textId="4FE00557" w:rsidR="00E667A6" w:rsidRPr="00037C61" w:rsidRDefault="00E667A6" w:rsidP="00E667A6">
      <w:pPr>
        <w:pStyle w:val="Caption"/>
        <w:jc w:val="left"/>
        <w:rPr>
          <w:lang w:val="en-GB"/>
        </w:rPr>
      </w:pPr>
      <w:r w:rsidRPr="00037C61">
        <w:rPr>
          <w:lang w:val="en-GB"/>
        </w:rPr>
        <w:t>Source: desk research</w:t>
      </w:r>
    </w:p>
    <w:p w14:paraId="6039C8C0" w14:textId="77777777" w:rsidR="00CE5316" w:rsidRPr="00037C61" w:rsidRDefault="00CE5316" w:rsidP="005E0849">
      <w:pPr>
        <w:rPr>
          <w:lang w:val="en-GB"/>
        </w:rPr>
      </w:pPr>
    </w:p>
    <w:p w14:paraId="1D93E248" w14:textId="1BAB9264" w:rsidR="00E667A6" w:rsidRPr="00037C61" w:rsidRDefault="00E667A6" w:rsidP="00E667A6">
      <w:pPr>
        <w:rPr>
          <w:lang w:val="en-GB"/>
        </w:rPr>
      </w:pPr>
      <w:r w:rsidRPr="00037C61">
        <w:rPr>
          <w:lang w:val="en-GB"/>
        </w:rPr>
        <w:t xml:space="preserve">The cross-border region is composed of a total of </w:t>
      </w:r>
      <w:r w:rsidRPr="00037C61">
        <w:rPr>
          <w:b/>
          <w:bCs/>
          <w:lang w:val="en-GB"/>
        </w:rPr>
        <w:t>117 urban settlements and 672 rural settlements</w:t>
      </w:r>
      <w:r w:rsidRPr="00037C61">
        <w:rPr>
          <w:lang w:val="en-GB"/>
        </w:rPr>
        <w:t xml:space="preserve">. Romania’s border region has 36 urban settlements and 307 rural settlements. Hungarian`s border region has 81 urban settlements and 365 rural settlements. </w:t>
      </w:r>
      <w:r w:rsidR="00B31110" w:rsidRPr="00037C61">
        <w:rPr>
          <w:lang w:val="en-GB"/>
        </w:rPr>
        <w:t>E</w:t>
      </w:r>
      <w:r w:rsidRPr="00037C61">
        <w:rPr>
          <w:lang w:val="en-GB"/>
        </w:rPr>
        <w:t xml:space="preserve">ven if the Hungarian cross-border region area is only 77,61% of Romania region, it has </w:t>
      </w:r>
      <w:r w:rsidRPr="00037C61">
        <w:rPr>
          <w:b/>
          <w:bCs/>
          <w:lang w:val="en-GB"/>
        </w:rPr>
        <w:t>more than 2 times more urban settlements</w:t>
      </w:r>
      <w:r w:rsidRPr="00037C61">
        <w:rPr>
          <w:lang w:val="en-GB"/>
        </w:rPr>
        <w:t xml:space="preserve"> and </w:t>
      </w:r>
      <w:r w:rsidRPr="00037C61">
        <w:rPr>
          <w:b/>
          <w:bCs/>
          <w:lang w:val="en-GB"/>
        </w:rPr>
        <w:t xml:space="preserve">19% more rural settlements. </w:t>
      </w:r>
      <w:r w:rsidRPr="00037C61">
        <w:rPr>
          <w:lang w:val="en-GB"/>
        </w:rPr>
        <w:t xml:space="preserve">This results in a </w:t>
      </w:r>
      <w:r w:rsidRPr="00037C61">
        <w:rPr>
          <w:b/>
          <w:bCs/>
          <w:lang w:val="en-GB"/>
        </w:rPr>
        <w:t>more fragmented territory</w:t>
      </w:r>
      <w:r w:rsidRPr="00037C61">
        <w:rPr>
          <w:lang w:val="en-GB"/>
        </w:rPr>
        <w:t>, part of it because Hungarian regions have a plain</w:t>
      </w:r>
      <w:r w:rsidR="5A667037" w:rsidRPr="00037C61">
        <w:rPr>
          <w:lang w:val="en-GB"/>
        </w:rPr>
        <w:t>er</w:t>
      </w:r>
      <w:r w:rsidRPr="00037C61">
        <w:rPr>
          <w:lang w:val="en-GB"/>
        </w:rPr>
        <w:t xml:space="preserve"> terrain (which facilitated the development of a more stretched urban structure – the traditional “</w:t>
      </w:r>
      <w:r w:rsidRPr="00037C61">
        <w:rPr>
          <w:i/>
          <w:iCs/>
          <w:lang w:val="en-GB"/>
        </w:rPr>
        <w:t>mezőváros</w:t>
      </w:r>
      <w:r w:rsidRPr="00037C61">
        <w:rPr>
          <w:lang w:val="en-GB"/>
        </w:rPr>
        <w:t>” settlement structure), while Romanian regions have an important percentage of hills and mountain areas, resulting in a more scattered area, but with major settlements with higher buildings and population density.</w:t>
      </w:r>
      <w:r w:rsidR="00CE5316" w:rsidRPr="00037C61">
        <w:rPr>
          <w:lang w:val="en-GB"/>
        </w:rPr>
        <w:t xml:space="preserve"> </w:t>
      </w:r>
    </w:p>
    <w:p w14:paraId="4D5CB8AD" w14:textId="77777777" w:rsidR="00E667A6" w:rsidRPr="00037C61" w:rsidRDefault="00E667A6" w:rsidP="00E667A6">
      <w:pPr>
        <w:keepNext/>
        <w:spacing w:after="0"/>
        <w:jc w:val="left"/>
        <w:rPr>
          <w:lang w:val="en-GB"/>
        </w:rPr>
      </w:pPr>
      <w:r w:rsidRPr="00037C61">
        <w:rPr>
          <w:noProof/>
          <w:lang w:val="ro-RO" w:eastAsia="ro-RO"/>
        </w:rPr>
        <w:lastRenderedPageBreak/>
        <w:drawing>
          <wp:inline distT="0" distB="0" distL="0" distR="0" wp14:anchorId="706EEB55" wp14:editId="78FB711D">
            <wp:extent cx="5762625" cy="2457450"/>
            <wp:effectExtent l="19050" t="19050" r="9525" b="19050"/>
            <wp:docPr id="1490160164" name="Chart 149016016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72B9AE-B578-49D2-B578-A24462D8BD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9259A7D" w14:textId="7FBD91CC" w:rsidR="00E667A6" w:rsidRPr="00037C61" w:rsidRDefault="00E667A6" w:rsidP="00E667A6">
      <w:pPr>
        <w:pStyle w:val="Caption"/>
        <w:jc w:val="left"/>
        <w:rPr>
          <w:lang w:val="en-GB"/>
        </w:rPr>
      </w:pPr>
      <w:bookmarkStart w:id="22" w:name="_Toc6461095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w:t>
      </w:r>
      <w:r w:rsidR="00412697">
        <w:rPr>
          <w:lang w:val="en-GB"/>
        </w:rPr>
        <w:fldChar w:fldCharType="end"/>
      </w:r>
      <w:r w:rsidRPr="00037C61">
        <w:rPr>
          <w:lang w:val="en-GB"/>
        </w:rPr>
        <w:t xml:space="preserve"> - Average LAU 2 unit size in the programme area</w:t>
      </w:r>
      <w:bookmarkEnd w:id="22"/>
      <w:r w:rsidRPr="00037C61">
        <w:rPr>
          <w:lang w:val="en-GB"/>
        </w:rPr>
        <w:t xml:space="preserve"> </w:t>
      </w:r>
    </w:p>
    <w:p w14:paraId="32A49EDA" w14:textId="77777777" w:rsidR="00E667A6" w:rsidRPr="00037C61" w:rsidRDefault="00E667A6" w:rsidP="00E667A6">
      <w:pPr>
        <w:pStyle w:val="Caption"/>
        <w:jc w:val="left"/>
        <w:rPr>
          <w:lang w:val="en-GB"/>
        </w:rPr>
      </w:pPr>
      <w:r w:rsidRPr="00037C61">
        <w:rPr>
          <w:lang w:val="en-GB"/>
        </w:rPr>
        <w:t>Source - INS, KSH</w:t>
      </w:r>
    </w:p>
    <w:p w14:paraId="0B8E83D3" w14:textId="040B4D39" w:rsidR="00E667A6" w:rsidRPr="00037C61" w:rsidRDefault="00E667A6" w:rsidP="00E667A6">
      <w:pPr>
        <w:rPr>
          <w:lang w:val="en-GB"/>
        </w:rPr>
      </w:pPr>
      <w:r w:rsidRPr="00037C61">
        <w:rPr>
          <w:lang w:val="en-GB"/>
        </w:rPr>
        <w:t xml:space="preserve">Hungary has a </w:t>
      </w:r>
      <w:r w:rsidR="00B31110" w:rsidRPr="00037C61">
        <w:rPr>
          <w:lang w:val="en-GB"/>
        </w:rPr>
        <w:t xml:space="preserve">comparatively </w:t>
      </w:r>
      <w:r w:rsidRPr="00037C61">
        <w:rPr>
          <w:lang w:val="en-GB"/>
        </w:rPr>
        <w:t xml:space="preserve">higher degree of administrative unit fragmentation at LAU2 level, which are </w:t>
      </w:r>
      <w:r w:rsidRPr="00037C61">
        <w:rPr>
          <w:b/>
          <w:bCs/>
          <w:lang w:val="en-GB"/>
        </w:rPr>
        <w:t>approximately 3 times smaller</w:t>
      </w:r>
      <w:r w:rsidRPr="00037C61">
        <w:rPr>
          <w:lang w:val="en-GB"/>
        </w:rPr>
        <w:t xml:space="preserve"> than Romania`s average. </w:t>
      </w:r>
      <w:r w:rsidR="00B31110" w:rsidRPr="00037C61">
        <w:rPr>
          <w:lang w:val="en-GB"/>
        </w:rPr>
        <w:t>H</w:t>
      </w:r>
      <w:r w:rsidRPr="00037C61">
        <w:rPr>
          <w:lang w:val="en-GB"/>
        </w:rPr>
        <w:t xml:space="preserve">owever, in most of the CBC area, the LAU2 units are less fragmented, being closer to the Romanian side, which can be an indicator of historical administrative spill over effects between the regions. </w:t>
      </w:r>
    </w:p>
    <w:p w14:paraId="5B0DE93E" w14:textId="72B17CF5" w:rsidR="00E667A6" w:rsidRPr="00037C61" w:rsidRDefault="00E667A6" w:rsidP="00E667A6">
      <w:pPr>
        <w:rPr>
          <w:lang w:val="en-GB"/>
        </w:rPr>
      </w:pPr>
      <w:r w:rsidRPr="00037C61">
        <w:rPr>
          <w:lang w:val="en-GB"/>
        </w:rPr>
        <w:t>Szabolcs-Szatmár-Bereg has a very high number of settlements</w:t>
      </w:r>
      <w:r w:rsidR="00CE5316" w:rsidRPr="00037C61">
        <w:rPr>
          <w:lang w:val="en-GB"/>
        </w:rPr>
        <w:t>, predominantly rural,</w:t>
      </w:r>
      <w:r w:rsidRPr="00037C61">
        <w:rPr>
          <w:lang w:val="en-GB"/>
        </w:rPr>
        <w:t xml:space="preserve"> distributed on an area of 5</w:t>
      </w:r>
      <w:r w:rsidR="00B31110" w:rsidRPr="00037C61">
        <w:rPr>
          <w:lang w:val="en-GB"/>
        </w:rPr>
        <w:t>,</w:t>
      </w:r>
      <w:r w:rsidRPr="00037C61">
        <w:rPr>
          <w:lang w:val="en-GB"/>
        </w:rPr>
        <w:t>935.92 km</w:t>
      </w:r>
      <w:r w:rsidRPr="00037C61">
        <w:rPr>
          <w:vertAlign w:val="superscript"/>
          <w:lang w:val="en-GB"/>
        </w:rPr>
        <w:t>2</w:t>
      </w:r>
      <w:r w:rsidRPr="00037C61">
        <w:rPr>
          <w:lang w:val="en-GB"/>
        </w:rPr>
        <w:t xml:space="preserve"> (ranking fifth in size out of a total of 8 regions).  </w:t>
      </w:r>
    </w:p>
    <w:p w14:paraId="3FB9D93F" w14:textId="3809CC29" w:rsidR="00E667A6" w:rsidRPr="00037C61" w:rsidRDefault="00E667A6" w:rsidP="00E667A6">
      <w:pPr>
        <w:keepNext/>
        <w:spacing w:after="0"/>
        <w:rPr>
          <w:lang w:val="en-GB"/>
        </w:rPr>
      </w:pPr>
      <w:r w:rsidRPr="00037C61">
        <w:rPr>
          <w:noProof/>
          <w:lang w:val="ro-RO" w:eastAsia="ro-RO"/>
        </w:rPr>
        <w:drawing>
          <wp:inline distT="0" distB="0" distL="0" distR="0" wp14:anchorId="25D2587A" wp14:editId="191A85AC">
            <wp:extent cx="5724524" cy="2352675"/>
            <wp:effectExtent l="0" t="0" r="0" b="0"/>
            <wp:docPr id="1490160167" name="Picture 149016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160167"/>
                    <pic:cNvPicPr/>
                  </pic:nvPicPr>
                  <pic:blipFill>
                    <a:blip r:embed="rId42">
                      <a:extLst>
                        <a:ext uri="{28A0092B-C50C-407E-A947-70E740481C1C}">
                          <a14:useLocalDpi xmlns:a14="http://schemas.microsoft.com/office/drawing/2010/main"/>
                        </a:ext>
                      </a:extLst>
                    </a:blip>
                    <a:stretch>
                      <a:fillRect/>
                    </a:stretch>
                  </pic:blipFill>
                  <pic:spPr>
                    <a:xfrm>
                      <a:off x="0" y="0"/>
                      <a:ext cx="5724524" cy="2352675"/>
                    </a:xfrm>
                    <a:prstGeom prst="rect">
                      <a:avLst/>
                    </a:prstGeom>
                  </pic:spPr>
                </pic:pic>
              </a:graphicData>
            </a:graphic>
          </wp:inline>
        </w:drawing>
      </w:r>
    </w:p>
    <w:p w14:paraId="57D02B0A" w14:textId="32128E1D" w:rsidR="00E667A6" w:rsidRPr="00037C61" w:rsidRDefault="00E667A6" w:rsidP="00E667A6">
      <w:pPr>
        <w:pStyle w:val="Caption"/>
        <w:jc w:val="both"/>
        <w:rPr>
          <w:lang w:val="en-GB"/>
        </w:rPr>
      </w:pPr>
      <w:bookmarkStart w:id="23" w:name="_Toc6461095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w:t>
      </w:r>
      <w:r w:rsidR="00412697">
        <w:rPr>
          <w:lang w:val="en-GB"/>
        </w:rPr>
        <w:fldChar w:fldCharType="end"/>
      </w:r>
      <w:r w:rsidRPr="00037C61">
        <w:rPr>
          <w:lang w:val="en-GB"/>
        </w:rPr>
        <w:t xml:space="preserve"> - Number of urban and rural settlements per NUTS3 region</w:t>
      </w:r>
      <w:bookmarkEnd w:id="23"/>
      <w:r w:rsidRPr="00037C61">
        <w:rPr>
          <w:lang w:val="en-GB"/>
        </w:rPr>
        <w:t xml:space="preserve"> </w:t>
      </w:r>
    </w:p>
    <w:p w14:paraId="681000B6" w14:textId="77777777" w:rsidR="00E667A6" w:rsidRPr="00037C61" w:rsidRDefault="00E667A6" w:rsidP="00E667A6">
      <w:pPr>
        <w:pStyle w:val="Caption"/>
        <w:spacing w:after="240"/>
        <w:jc w:val="both"/>
        <w:rPr>
          <w:lang w:val="en-GB"/>
        </w:rPr>
      </w:pPr>
      <w:r w:rsidRPr="00037C61">
        <w:rPr>
          <w:lang w:val="en-GB"/>
        </w:rPr>
        <w:t>Source – INS, KSH</w:t>
      </w:r>
    </w:p>
    <w:p w14:paraId="25C0F240" w14:textId="77777777" w:rsidR="00B31110" w:rsidRPr="00037C61" w:rsidRDefault="00B31110" w:rsidP="00B31110">
      <w:pPr>
        <w:rPr>
          <w:lang w:val="en-GB"/>
        </w:rPr>
      </w:pPr>
      <w:r w:rsidRPr="00037C61">
        <w:rPr>
          <w:lang w:val="en-GB"/>
        </w:rPr>
        <w:t xml:space="preserve">Although Szabolcs-Szatmár-Bereg is the region with most rural settlements, Bihor is the region with most rural area coverage (89.32% of total area being rural). </w:t>
      </w:r>
    </w:p>
    <w:p w14:paraId="761A57B7" w14:textId="75D7E8D7" w:rsidR="00B31110" w:rsidRPr="00037C61" w:rsidRDefault="00B31110" w:rsidP="00B31110">
      <w:pPr>
        <w:spacing w:after="0"/>
        <w:rPr>
          <w:color w:val="ED1D24" w:themeColor="accent3"/>
          <w:lang w:val="en-GB"/>
        </w:rPr>
      </w:pPr>
      <w:r w:rsidRPr="00037C61">
        <w:rPr>
          <w:noProof/>
          <w:lang w:val="ro-RO" w:eastAsia="ro-RO"/>
        </w:rPr>
        <w:lastRenderedPageBreak/>
        <w:drawing>
          <wp:inline distT="0" distB="0" distL="0" distR="0" wp14:anchorId="48C93171" wp14:editId="0E26EDC0">
            <wp:extent cx="5731510" cy="3409950"/>
            <wp:effectExtent l="19050" t="19050" r="21590" b="19050"/>
            <wp:docPr id="10" name="Chart 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BA40459" w14:textId="28043AB0" w:rsidR="00B31110" w:rsidRPr="00037C61" w:rsidRDefault="00B31110" w:rsidP="00B31110">
      <w:pPr>
        <w:pStyle w:val="Caption"/>
        <w:jc w:val="both"/>
        <w:rPr>
          <w:lang w:val="en-GB"/>
        </w:rPr>
      </w:pPr>
      <w:bookmarkStart w:id="24" w:name="_Toc6461095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w:t>
      </w:r>
      <w:r w:rsidR="00412697">
        <w:rPr>
          <w:lang w:val="en-GB"/>
        </w:rPr>
        <w:fldChar w:fldCharType="end"/>
      </w:r>
      <w:r w:rsidRPr="00037C61">
        <w:rPr>
          <w:lang w:val="en-GB"/>
        </w:rPr>
        <w:t xml:space="preserve"> - Urban versus rural area coverage 2019 (km2, % of total)</w:t>
      </w:r>
      <w:bookmarkEnd w:id="24"/>
      <w:r w:rsidRPr="00037C61">
        <w:rPr>
          <w:lang w:val="en-GB"/>
        </w:rPr>
        <w:t xml:space="preserve"> </w:t>
      </w:r>
    </w:p>
    <w:p w14:paraId="0E47AC1E" w14:textId="6EBF3616" w:rsidR="00B31110" w:rsidRPr="00037C61" w:rsidRDefault="00B31110" w:rsidP="00B31110">
      <w:pPr>
        <w:pStyle w:val="Caption"/>
        <w:jc w:val="both"/>
        <w:rPr>
          <w:lang w:val="en-GB"/>
        </w:rPr>
      </w:pPr>
      <w:r w:rsidRPr="00037C61">
        <w:rPr>
          <w:lang w:val="en-GB"/>
        </w:rPr>
        <w:t>Source - INS, KSH</w:t>
      </w:r>
    </w:p>
    <w:p w14:paraId="388AED91" w14:textId="44C8AC04" w:rsidR="00450ED0" w:rsidRPr="00037C61" w:rsidRDefault="00450ED0" w:rsidP="00450ED0">
      <w:pPr>
        <w:rPr>
          <w:lang w:val="en-GB"/>
        </w:rPr>
      </w:pPr>
    </w:p>
    <w:p w14:paraId="617BF536" w14:textId="577ECFCD" w:rsidR="00450ED0" w:rsidRPr="00037C61" w:rsidRDefault="00450ED0" w:rsidP="005E0849">
      <w:pPr>
        <w:rPr>
          <w:lang w:val="en-GB"/>
        </w:rPr>
      </w:pPr>
      <w:r w:rsidRPr="00037C61">
        <w:rPr>
          <w:lang w:val="en-GB"/>
        </w:rPr>
        <w:t xml:space="preserve">These administrative division disparities across the PA reflect on the way the territories are administered, and they can potentially affect service provision capacity at local level: a more fragmented territory may be more prone to redundancies and inefficiencies, and economies of scale for services can be pursued including at CBC level for better coverage. </w:t>
      </w:r>
    </w:p>
    <w:p w14:paraId="7C6E2A46" w14:textId="2D3BDBDF" w:rsidR="00921D9C" w:rsidRPr="00037C61" w:rsidRDefault="2A9CDEBA" w:rsidP="00BB1B56">
      <w:pPr>
        <w:pStyle w:val="Heading3"/>
      </w:pPr>
      <w:bookmarkStart w:id="25" w:name="_Toc53858394"/>
      <w:bookmarkStart w:id="26" w:name="_Toc53867922"/>
      <w:bookmarkStart w:id="27" w:name="_Toc53869326"/>
      <w:bookmarkStart w:id="28" w:name="_Toc53894460"/>
      <w:bookmarkStart w:id="29" w:name="_Toc53858395"/>
      <w:bookmarkStart w:id="30" w:name="_Toc53867923"/>
      <w:bookmarkStart w:id="31" w:name="_Toc53869327"/>
      <w:bookmarkStart w:id="32" w:name="_Toc53894461"/>
      <w:bookmarkStart w:id="33" w:name="_Toc53858396"/>
      <w:bookmarkStart w:id="34" w:name="_Toc53867924"/>
      <w:bookmarkStart w:id="35" w:name="_Toc53869328"/>
      <w:bookmarkStart w:id="36" w:name="_Toc53894462"/>
      <w:bookmarkStart w:id="37" w:name="_Toc53858397"/>
      <w:bookmarkStart w:id="38" w:name="_Toc53867925"/>
      <w:bookmarkStart w:id="39" w:name="_Toc53869329"/>
      <w:bookmarkStart w:id="40" w:name="_Toc53894463"/>
      <w:bookmarkStart w:id="41" w:name="_Toc53858398"/>
      <w:bookmarkStart w:id="42" w:name="_Toc53867926"/>
      <w:bookmarkStart w:id="43" w:name="_Toc53869330"/>
      <w:bookmarkStart w:id="44" w:name="_Toc53894464"/>
      <w:bookmarkStart w:id="45" w:name="_Toc53858399"/>
      <w:bookmarkStart w:id="46" w:name="_Toc53867927"/>
      <w:bookmarkStart w:id="47" w:name="_Toc53869331"/>
      <w:bookmarkStart w:id="48" w:name="_Toc53894465"/>
      <w:bookmarkStart w:id="49" w:name="_Toc53858400"/>
      <w:bookmarkStart w:id="50" w:name="_Toc53867928"/>
      <w:bookmarkStart w:id="51" w:name="_Toc53869332"/>
      <w:bookmarkStart w:id="52" w:name="_Toc53894466"/>
      <w:bookmarkStart w:id="53" w:name="_Toc53858401"/>
      <w:bookmarkStart w:id="54" w:name="_Toc53867929"/>
      <w:bookmarkStart w:id="55" w:name="_Toc53869333"/>
      <w:bookmarkStart w:id="56" w:name="_Toc53894467"/>
      <w:bookmarkStart w:id="57" w:name="_Toc53858402"/>
      <w:bookmarkStart w:id="58" w:name="_Toc53867930"/>
      <w:bookmarkStart w:id="59" w:name="_Toc53869334"/>
      <w:bookmarkStart w:id="60" w:name="_Toc53894468"/>
      <w:bookmarkStart w:id="61" w:name="_Toc53858403"/>
      <w:bookmarkStart w:id="62" w:name="_Toc53867931"/>
      <w:bookmarkStart w:id="63" w:name="_Toc53869335"/>
      <w:bookmarkStart w:id="64" w:name="_Toc53894469"/>
      <w:bookmarkStart w:id="65" w:name="_Toc53858404"/>
      <w:bookmarkStart w:id="66" w:name="_Toc53867932"/>
      <w:bookmarkStart w:id="67" w:name="_Toc53869336"/>
      <w:bookmarkStart w:id="68" w:name="_Toc53894470"/>
      <w:bookmarkStart w:id="69" w:name="_Toc53858405"/>
      <w:bookmarkStart w:id="70" w:name="_Toc53867933"/>
      <w:bookmarkStart w:id="71" w:name="_Toc53869337"/>
      <w:bookmarkStart w:id="72" w:name="_Toc53894471"/>
      <w:bookmarkStart w:id="73" w:name="_Toc53858406"/>
      <w:bookmarkStart w:id="74" w:name="_Toc53867934"/>
      <w:bookmarkStart w:id="75" w:name="_Toc53869338"/>
      <w:bookmarkStart w:id="76" w:name="_Toc53894472"/>
      <w:bookmarkStart w:id="77" w:name="_Toc53858407"/>
      <w:bookmarkStart w:id="78" w:name="_Toc53867935"/>
      <w:bookmarkStart w:id="79" w:name="_Toc53869339"/>
      <w:bookmarkStart w:id="80" w:name="_Toc53894473"/>
      <w:bookmarkStart w:id="81" w:name="_Toc53858408"/>
      <w:bookmarkStart w:id="82" w:name="_Toc53867936"/>
      <w:bookmarkStart w:id="83" w:name="_Toc53869340"/>
      <w:bookmarkStart w:id="84" w:name="_Toc53894474"/>
      <w:bookmarkStart w:id="85" w:name="_Toc53858409"/>
      <w:bookmarkStart w:id="86" w:name="_Toc53867937"/>
      <w:bookmarkStart w:id="87" w:name="_Toc53869341"/>
      <w:bookmarkStart w:id="88" w:name="_Toc53894475"/>
      <w:bookmarkStart w:id="89" w:name="_Toc53858410"/>
      <w:bookmarkStart w:id="90" w:name="_Toc53867938"/>
      <w:bookmarkStart w:id="91" w:name="_Toc53869342"/>
      <w:bookmarkStart w:id="92" w:name="_Toc53894476"/>
      <w:bookmarkStart w:id="93" w:name="_Toc53858411"/>
      <w:bookmarkStart w:id="94" w:name="_Toc53867939"/>
      <w:bookmarkStart w:id="95" w:name="_Toc53869343"/>
      <w:bookmarkStart w:id="96" w:name="_Toc53894477"/>
      <w:bookmarkStart w:id="97" w:name="_Toc64619520"/>
      <w:bookmarkStart w:id="98" w:name="_Toc50723313"/>
      <w:bookmarkStart w:id="99" w:name="_Toc53137180"/>
      <w:bookmarkStart w:id="100" w:name="_Ref5012616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037C61">
        <w:t>Demographic characterisation of the PA</w:t>
      </w:r>
      <w:bookmarkEnd w:id="97"/>
      <w:r w:rsidRPr="00037C61">
        <w:t xml:space="preserve"> </w:t>
      </w:r>
      <w:bookmarkEnd w:id="98"/>
      <w:bookmarkEnd w:id="99"/>
      <w:bookmarkEnd w:id="100"/>
    </w:p>
    <w:p w14:paraId="2958A7A8" w14:textId="77777777" w:rsidR="00921D9C" w:rsidRPr="00037C61" w:rsidRDefault="00921D9C" w:rsidP="00921D9C">
      <w:pPr>
        <w:pStyle w:val="Heading4"/>
        <w:rPr>
          <w:lang w:val="en-GB"/>
        </w:rPr>
      </w:pPr>
      <w:r w:rsidRPr="00037C61">
        <w:rPr>
          <w:lang w:val="en-GB"/>
        </w:rPr>
        <w:t xml:space="preserve">Population </w:t>
      </w:r>
    </w:p>
    <w:p w14:paraId="4924A4FB" w14:textId="1B74DD2F" w:rsidR="00921D9C" w:rsidRPr="00037C61" w:rsidRDefault="52230E0C" w:rsidP="00921D9C">
      <w:pPr>
        <w:pStyle w:val="InterregROHUBullet1"/>
        <w:numPr>
          <w:ilvl w:val="0"/>
          <w:numId w:val="0"/>
        </w:numPr>
      </w:pPr>
      <w:r w:rsidRPr="00037C61">
        <w:t>The latest data from Eurostat indicates as resident population in 2019 in Hungary a number of 9,772,756 inhabitants (1.9% of EU-28 population), and in Romania 19,414,458 inhabitants (3.8% of EU-28 population). According to the latest census, in 2011 in Hungary there were 9,985,722 inhabitants and in Romania 19,042,936</w:t>
      </w:r>
      <w:r w:rsidRPr="00037C61">
        <w:rPr>
          <w:sz w:val="12"/>
          <w:szCs w:val="12"/>
        </w:rPr>
        <w:t xml:space="preserve"> </w:t>
      </w:r>
      <w:r w:rsidRPr="00037C61">
        <w:t>inhabitants</w:t>
      </w:r>
      <w:r w:rsidR="00F62C76" w:rsidRPr="00037C61">
        <w:rPr>
          <w:rStyle w:val="FootnoteReference"/>
        </w:rPr>
        <w:footnoteReference w:id="18"/>
      </w:r>
      <w:r w:rsidR="00F62C76" w:rsidRPr="00037C61">
        <w:t>.</w:t>
      </w:r>
      <w:r w:rsidRPr="00037C61">
        <w:t xml:space="preserve"> The PA has </w:t>
      </w:r>
      <w:r w:rsidRPr="00037C61">
        <w:rPr>
          <w:b/>
          <w:bCs w:val="0"/>
        </w:rPr>
        <w:t>almost 4 million people</w:t>
      </w:r>
      <w:r w:rsidRPr="00037C61">
        <w:t xml:space="preserve"> (3,846,734 inhabitants), representing 13.2% of the two countries’ inhabitants. Between 2009 and 2018, the population from the cross-border counties decreased with 3.72% (148,712 inhabitants). </w:t>
      </w:r>
    </w:p>
    <w:p w14:paraId="1DDA1FEE" w14:textId="5C49359B" w:rsidR="00921D9C" w:rsidRPr="00037C61" w:rsidRDefault="52230E0C" w:rsidP="00921D9C">
      <w:pPr>
        <w:pStyle w:val="InterregROHUBullet1"/>
        <w:numPr>
          <w:ilvl w:val="0"/>
          <w:numId w:val="0"/>
        </w:numPr>
      </w:pPr>
      <w:r w:rsidRPr="00037C61">
        <w:t xml:space="preserve">The county with the biggest population in the PA is Timiș, with 701,499 inhabitants (18% of the PA population), while Satu Mare, with 334,768 people is the smallest (9% of population of the PA). On the Hungarian side of the border, </w:t>
      </w:r>
      <w:r w:rsidR="00CE5316" w:rsidRPr="00037C61">
        <w:t>the</w:t>
      </w:r>
      <w:r w:rsidR="4C5A8999" w:rsidRPr="00037C61">
        <w:t xml:space="preserve"> </w:t>
      </w:r>
      <w:r w:rsidRPr="00037C61">
        <w:t xml:space="preserve">biggest population is in Szabolcs-Szatmár-Bereg </w:t>
      </w:r>
      <w:r w:rsidR="00CE5316" w:rsidRPr="00037C61">
        <w:t xml:space="preserve">– </w:t>
      </w:r>
      <w:r w:rsidRPr="00037C61">
        <w:t>558,361 inhabitants (15% of the population of the PA), while Békés has the smallest population from the Hungarian counties (9%). (</w:t>
      </w:r>
      <w:r w:rsidRPr="00037C61">
        <w:fldChar w:fldCharType="begin"/>
      </w:r>
      <w:r w:rsidRPr="00037C61">
        <w:instrText xml:space="preserve"> REF _Ref49856609 \h </w:instrText>
      </w:r>
      <w:r w:rsidRPr="00037C61">
        <w:fldChar w:fldCharType="separate"/>
      </w:r>
      <w:r w:rsidR="000408CC" w:rsidRPr="00037C61">
        <w:t xml:space="preserve">Table </w:t>
      </w:r>
      <w:r w:rsidR="000408CC">
        <w:rPr>
          <w:noProof/>
        </w:rPr>
        <w:t>2</w:t>
      </w:r>
      <w:r w:rsidR="000408CC" w:rsidRPr="00037C61">
        <w:t xml:space="preserve"> - Population in PA,trends between 2009-2018</w:t>
      </w:r>
      <w:r w:rsidRPr="00037C61">
        <w:fldChar w:fldCharType="end"/>
      </w:r>
      <w:r w:rsidRPr="00037C61">
        <w:t>)</w:t>
      </w:r>
    </w:p>
    <w:p w14:paraId="5407B2C5" w14:textId="7CB02452" w:rsidR="00921D9C" w:rsidRPr="00037C61" w:rsidRDefault="52230E0C" w:rsidP="00921D9C">
      <w:pPr>
        <w:pStyle w:val="InterregROHUBullet1"/>
        <w:numPr>
          <w:ilvl w:val="0"/>
          <w:numId w:val="0"/>
        </w:numPr>
      </w:pPr>
      <w:r w:rsidRPr="00037C61">
        <w:lastRenderedPageBreak/>
        <w:t xml:space="preserve">In the last decade, almost all of the PA’s counties have registered a </w:t>
      </w:r>
      <w:r w:rsidRPr="00037C61">
        <w:rPr>
          <w:b/>
          <w:bCs w:val="0"/>
        </w:rPr>
        <w:t>decrease of population</w:t>
      </w:r>
      <w:r w:rsidRPr="00037C61">
        <w:t xml:space="preserve"> between 1.23% (in Szabolcs-Szatmár-Bereg) and 8.43% (in Satu Mare). Timiș county is the outlier in the PA, registering a constant ascending trend in the last 10 years – from 676,360 in 2009 to 701,499 in 2018. </w:t>
      </w:r>
    </w:p>
    <w:p w14:paraId="46620A14" w14:textId="1C243A4F" w:rsidR="00921D9C" w:rsidRPr="00037C61" w:rsidRDefault="00921D9C" w:rsidP="00921D9C">
      <w:pPr>
        <w:pStyle w:val="InterregROHUBullet1"/>
        <w:numPr>
          <w:ilvl w:val="0"/>
          <w:numId w:val="0"/>
        </w:numPr>
        <w:rPr>
          <w:rFonts w:cs="Calibri"/>
        </w:rPr>
      </w:pPr>
      <w:r w:rsidRPr="00037C61">
        <w:t>The population density is higher in the four analysed Hungarian counties and varies overall between 54.1 inhabitants/km</w:t>
      </w:r>
      <w:r w:rsidRPr="00037C61">
        <w:rPr>
          <w:rFonts w:cs="Calibri"/>
        </w:rPr>
        <w:t>²</w:t>
      </w:r>
      <w:r w:rsidRPr="00037C61">
        <w:t xml:space="preserve"> (Arad) and 93.9 inhabitants/km</w:t>
      </w:r>
      <w:r w:rsidRPr="00037C61">
        <w:rPr>
          <w:rFonts w:cs="Calibri"/>
        </w:rPr>
        <w:t>²</w:t>
      </w:r>
      <w:r w:rsidRPr="00037C61">
        <w:t xml:space="preserve"> (</w:t>
      </w:r>
      <w:r w:rsidR="00F62C76" w:rsidRPr="00037C61">
        <w:t>Csongrád-Csanád</w:t>
      </w:r>
      <w:r w:rsidRPr="00037C61">
        <w:t>). The lowest population density is registered in the Romanian part, in Arad county – 54.1 inhabitants/km</w:t>
      </w:r>
      <w:r w:rsidRPr="00037C61">
        <w:rPr>
          <w:rFonts w:cs="Calibri"/>
        </w:rPr>
        <w:t>²</w:t>
      </w:r>
      <w:r w:rsidRPr="00037C61">
        <w:t xml:space="preserve">, and the highest in </w:t>
      </w:r>
      <w:r w:rsidR="00F62C76" w:rsidRPr="00037C61">
        <w:t>Csongrád-Csanád</w:t>
      </w:r>
      <w:r w:rsidRPr="00037C61">
        <w:t xml:space="preserve"> - 93.9 inhabitants/km</w:t>
      </w:r>
      <w:r w:rsidRPr="00037C61">
        <w:rPr>
          <w:rFonts w:cs="Calibri"/>
        </w:rPr>
        <w:t>².(</w:t>
      </w:r>
      <w:r w:rsidRPr="00037C61">
        <w:rPr>
          <w:rFonts w:cs="Calibri"/>
        </w:rPr>
        <w:fldChar w:fldCharType="begin"/>
      </w:r>
      <w:r w:rsidRPr="00037C61">
        <w:rPr>
          <w:rFonts w:cs="Calibri"/>
        </w:rPr>
        <w:instrText xml:space="preserve"> REF _Ref49856609 \h </w:instrText>
      </w:r>
      <w:r w:rsidRPr="00037C61">
        <w:rPr>
          <w:rFonts w:cs="Calibri"/>
        </w:rPr>
      </w:r>
      <w:r w:rsidRPr="00037C61">
        <w:rPr>
          <w:rFonts w:cs="Calibri"/>
        </w:rPr>
        <w:fldChar w:fldCharType="separate"/>
      </w:r>
      <w:r w:rsidR="00B365DE" w:rsidRPr="00037C61">
        <w:t xml:space="preserve">Table </w:t>
      </w:r>
      <w:r w:rsidR="00B365DE">
        <w:rPr>
          <w:noProof/>
        </w:rPr>
        <w:t>2</w:t>
      </w:r>
      <w:r w:rsidR="00B365DE" w:rsidRPr="00037C61">
        <w:t xml:space="preserve"> - Population in PA,trends between 2009-2018</w:t>
      </w:r>
      <w:r w:rsidRPr="00037C61">
        <w:rPr>
          <w:rFonts w:cs="Calibri"/>
        </w:rPr>
        <w:fldChar w:fldCharType="end"/>
      </w:r>
      <w:r w:rsidRPr="00037C61">
        <w:rPr>
          <w:rFonts w:cs="Calibri"/>
        </w:rPr>
        <w:t xml:space="preserve">) </w:t>
      </w:r>
    </w:p>
    <w:p w14:paraId="3A298B4A" w14:textId="7F9A5C43" w:rsidR="00921D9C" w:rsidRPr="00037C61" w:rsidRDefault="52230E0C" w:rsidP="00921D9C">
      <w:pPr>
        <w:pStyle w:val="Caption"/>
        <w:jc w:val="both"/>
        <w:rPr>
          <w:lang w:val="en-GB"/>
        </w:rPr>
      </w:pPr>
      <w:bookmarkStart w:id="101" w:name="_Ref49856609"/>
      <w:bookmarkStart w:id="102" w:name="_Toc50584196"/>
      <w:bookmarkStart w:id="103" w:name="_Toc58237625"/>
      <w:r w:rsidRPr="00037C61">
        <w:rPr>
          <w:lang w:val="en-GB"/>
        </w:rPr>
        <w:t xml:space="preserve">Table </w:t>
      </w:r>
      <w:r w:rsidR="00921D9C" w:rsidRPr="00037C61">
        <w:rPr>
          <w:lang w:val="en-GB"/>
        </w:rPr>
        <w:fldChar w:fldCharType="begin"/>
      </w:r>
      <w:r w:rsidR="00921D9C" w:rsidRPr="00037C61">
        <w:rPr>
          <w:lang w:val="en-GB"/>
        </w:rPr>
        <w:instrText xml:space="preserve"> SEQ Table \* ARABIC </w:instrText>
      </w:r>
      <w:r w:rsidR="00921D9C" w:rsidRPr="00037C61">
        <w:rPr>
          <w:lang w:val="en-GB"/>
        </w:rPr>
        <w:fldChar w:fldCharType="separate"/>
      </w:r>
      <w:r w:rsidR="005A7BD8">
        <w:rPr>
          <w:noProof/>
          <w:lang w:val="en-GB"/>
        </w:rPr>
        <w:t>2</w:t>
      </w:r>
      <w:r w:rsidR="00921D9C" w:rsidRPr="00037C61">
        <w:rPr>
          <w:lang w:val="en-GB"/>
        </w:rPr>
        <w:fldChar w:fldCharType="end"/>
      </w:r>
      <w:r w:rsidR="00EA5E72" w:rsidRPr="00037C61">
        <w:rPr>
          <w:lang w:val="en-GB"/>
        </w:rPr>
        <w:t xml:space="preserve"> -</w:t>
      </w:r>
      <w:r w:rsidRPr="00037C61">
        <w:rPr>
          <w:lang w:val="en-GB"/>
        </w:rPr>
        <w:t xml:space="preserve"> Population in PA,trends between 2009-2018</w:t>
      </w:r>
      <w:bookmarkEnd w:id="101"/>
      <w:bookmarkEnd w:id="102"/>
      <w:bookmarkEnd w:id="103"/>
      <w:r w:rsidR="000408CC">
        <w:rPr>
          <w:lang w:val="en-GB"/>
        </w:rPr>
        <w:t xml:space="preserve"> and population density in 2018 </w:t>
      </w:r>
    </w:p>
    <w:tbl>
      <w:tblPr>
        <w:tblW w:w="9085"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2409"/>
        <w:gridCol w:w="1217"/>
        <w:gridCol w:w="1917"/>
        <w:gridCol w:w="1652"/>
        <w:gridCol w:w="1890"/>
      </w:tblGrid>
      <w:tr w:rsidR="00921D9C" w:rsidRPr="00037C61" w14:paraId="606F1F3E" w14:textId="77777777" w:rsidTr="3C1461C6">
        <w:tc>
          <w:tcPr>
            <w:tcW w:w="2409" w:type="dxa"/>
            <w:tcBorders>
              <w:top w:val="single" w:sz="4" w:space="0" w:color="034FA3" w:themeColor="accent1"/>
              <w:left w:val="single" w:sz="4" w:space="0" w:color="034FA3" w:themeColor="accent1"/>
              <w:bottom w:val="nil"/>
              <w:right w:val="nil"/>
            </w:tcBorders>
            <w:shd w:val="clear" w:color="auto" w:fill="034FA3" w:themeFill="accent1"/>
            <w:hideMark/>
          </w:tcPr>
          <w:p w14:paraId="66D1708B" w14:textId="77777777" w:rsidR="00921D9C" w:rsidRPr="00037C61" w:rsidRDefault="00921D9C">
            <w:pPr>
              <w:spacing w:after="0" w:line="240" w:lineRule="auto"/>
              <w:rPr>
                <w:b/>
                <w:color w:val="FFFFFF" w:themeColor="background1"/>
                <w:sz w:val="20"/>
                <w:lang w:val="en-GB"/>
              </w:rPr>
            </w:pPr>
            <w:r w:rsidRPr="00037C61">
              <w:rPr>
                <w:b/>
                <w:color w:val="FFFFFF" w:themeColor="background1"/>
                <w:sz w:val="20"/>
                <w:lang w:val="en-GB"/>
              </w:rPr>
              <w:t>County</w:t>
            </w:r>
          </w:p>
        </w:tc>
        <w:tc>
          <w:tcPr>
            <w:tcW w:w="1217" w:type="dxa"/>
            <w:tcBorders>
              <w:top w:val="single" w:sz="4" w:space="0" w:color="034FA3" w:themeColor="accent1"/>
              <w:left w:val="nil"/>
              <w:bottom w:val="nil"/>
              <w:right w:val="nil"/>
            </w:tcBorders>
            <w:shd w:val="clear" w:color="auto" w:fill="034FA3" w:themeFill="accent1"/>
            <w:hideMark/>
          </w:tcPr>
          <w:p w14:paraId="0BD77C76" w14:textId="77777777" w:rsidR="00921D9C" w:rsidRPr="00037C61" w:rsidRDefault="00921D9C">
            <w:pPr>
              <w:spacing w:after="0" w:line="240" w:lineRule="auto"/>
              <w:jc w:val="center"/>
              <w:rPr>
                <w:b/>
                <w:color w:val="FFFFFF" w:themeColor="background1"/>
                <w:sz w:val="20"/>
                <w:lang w:val="en-GB"/>
              </w:rPr>
            </w:pPr>
            <w:r w:rsidRPr="00037C61">
              <w:rPr>
                <w:b/>
                <w:color w:val="FFFFFF" w:themeColor="background1"/>
                <w:sz w:val="20"/>
                <w:lang w:val="en-GB"/>
              </w:rPr>
              <w:t>Population in 2018</w:t>
            </w:r>
          </w:p>
        </w:tc>
        <w:tc>
          <w:tcPr>
            <w:tcW w:w="1917" w:type="dxa"/>
            <w:tcBorders>
              <w:top w:val="single" w:sz="4" w:space="0" w:color="034FA3" w:themeColor="accent1"/>
              <w:left w:val="nil"/>
              <w:bottom w:val="nil"/>
              <w:right w:val="nil"/>
            </w:tcBorders>
            <w:shd w:val="clear" w:color="auto" w:fill="034FA3" w:themeFill="accent1"/>
            <w:hideMark/>
          </w:tcPr>
          <w:p w14:paraId="64CE66EC" w14:textId="572B03E3" w:rsidR="00921D9C" w:rsidRPr="00037C61" w:rsidRDefault="52230E0C" w:rsidP="52230E0C">
            <w:pPr>
              <w:spacing w:after="0" w:line="240" w:lineRule="auto"/>
              <w:jc w:val="center"/>
              <w:rPr>
                <w:b/>
                <w:bCs/>
                <w:color w:val="FFFFFF" w:themeColor="background1"/>
                <w:sz w:val="20"/>
                <w:szCs w:val="20"/>
                <w:lang w:val="en-GB"/>
              </w:rPr>
            </w:pPr>
            <w:r w:rsidRPr="00037C61">
              <w:rPr>
                <w:b/>
                <w:bCs/>
                <w:color w:val="FFFFFF" w:themeColor="background1"/>
                <w:sz w:val="20"/>
                <w:szCs w:val="20"/>
                <w:lang w:val="en-GB"/>
              </w:rPr>
              <w:t>% population of the PA</w:t>
            </w:r>
          </w:p>
        </w:tc>
        <w:tc>
          <w:tcPr>
            <w:tcW w:w="1652" w:type="dxa"/>
            <w:tcBorders>
              <w:top w:val="single" w:sz="4" w:space="0" w:color="034FA3" w:themeColor="accent1"/>
              <w:left w:val="nil"/>
              <w:bottom w:val="nil"/>
              <w:right w:val="nil"/>
            </w:tcBorders>
            <w:shd w:val="clear" w:color="auto" w:fill="034FA3" w:themeFill="accent1"/>
            <w:hideMark/>
          </w:tcPr>
          <w:p w14:paraId="5D4F6471" w14:textId="77777777" w:rsidR="00921D9C" w:rsidRPr="00037C61" w:rsidRDefault="00921D9C">
            <w:pPr>
              <w:spacing w:after="0" w:line="240" w:lineRule="auto"/>
              <w:jc w:val="center"/>
              <w:rPr>
                <w:b/>
                <w:color w:val="FFFFFF" w:themeColor="background1"/>
                <w:sz w:val="20"/>
                <w:lang w:val="en-GB"/>
              </w:rPr>
            </w:pPr>
            <w:r w:rsidRPr="00037C61">
              <w:rPr>
                <w:b/>
                <w:color w:val="FFFFFF" w:themeColor="background1"/>
                <w:sz w:val="20"/>
                <w:lang w:val="en-GB"/>
              </w:rPr>
              <w:t>Trend in period 2009-2018</w:t>
            </w:r>
          </w:p>
        </w:tc>
        <w:tc>
          <w:tcPr>
            <w:tcW w:w="1890" w:type="dxa"/>
            <w:tcBorders>
              <w:top w:val="single" w:sz="4" w:space="0" w:color="034FA3" w:themeColor="accent1"/>
              <w:left w:val="nil"/>
              <w:bottom w:val="nil"/>
              <w:right w:val="single" w:sz="4" w:space="0" w:color="034FA3" w:themeColor="accent1"/>
            </w:tcBorders>
            <w:shd w:val="clear" w:color="auto" w:fill="034FA3" w:themeFill="accent1"/>
            <w:hideMark/>
          </w:tcPr>
          <w:p w14:paraId="49CD34CB" w14:textId="77777777" w:rsidR="00921D9C" w:rsidRPr="00037C61" w:rsidRDefault="00921D9C">
            <w:pPr>
              <w:spacing w:after="0" w:line="240" w:lineRule="auto"/>
              <w:jc w:val="center"/>
              <w:rPr>
                <w:b/>
                <w:color w:val="FFFFFF" w:themeColor="background1"/>
                <w:sz w:val="20"/>
                <w:lang w:val="en-GB"/>
              </w:rPr>
            </w:pPr>
            <w:r w:rsidRPr="00037C61">
              <w:rPr>
                <w:b/>
                <w:color w:val="FFFFFF" w:themeColor="background1"/>
                <w:sz w:val="20"/>
                <w:lang w:val="en-GB"/>
              </w:rPr>
              <w:t>Population density in 2018</w:t>
            </w:r>
          </w:p>
        </w:tc>
      </w:tr>
      <w:tr w:rsidR="00921D9C" w:rsidRPr="00037C61" w14:paraId="32366295" w14:textId="77777777" w:rsidTr="3C1461C6">
        <w:tc>
          <w:tcPr>
            <w:tcW w:w="240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220E8303" w14:textId="77777777" w:rsidR="00921D9C" w:rsidRPr="00037C61" w:rsidRDefault="00921D9C">
            <w:pPr>
              <w:spacing w:after="0" w:line="240" w:lineRule="auto"/>
              <w:rPr>
                <w:bCs/>
                <w:lang w:val="en-GB"/>
              </w:rPr>
            </w:pPr>
            <w:r w:rsidRPr="00037C61">
              <w:rPr>
                <w:bCs/>
                <w:lang w:val="en-GB"/>
              </w:rPr>
              <w:t>Hajdú-Bihar</w:t>
            </w:r>
          </w:p>
        </w:tc>
        <w:tc>
          <w:tcPr>
            <w:tcW w:w="1217" w:type="dxa"/>
            <w:tcBorders>
              <w:top w:val="single" w:sz="4" w:space="0" w:color="034FA3" w:themeColor="accent1"/>
              <w:left w:val="nil"/>
              <w:bottom w:val="single" w:sz="4" w:space="0" w:color="034FA3" w:themeColor="accent1"/>
              <w:right w:val="nil"/>
            </w:tcBorders>
            <w:hideMark/>
          </w:tcPr>
          <w:p w14:paraId="21C4DCBD" w14:textId="77777777" w:rsidR="00921D9C" w:rsidRPr="00037C61" w:rsidRDefault="00921D9C">
            <w:pPr>
              <w:spacing w:after="0" w:line="240" w:lineRule="auto"/>
              <w:jc w:val="center"/>
              <w:rPr>
                <w:lang w:val="en-GB"/>
              </w:rPr>
            </w:pPr>
            <w:r w:rsidRPr="00037C61">
              <w:rPr>
                <w:lang w:val="en-GB"/>
              </w:rPr>
              <w:t>530,464</w:t>
            </w:r>
          </w:p>
        </w:tc>
        <w:tc>
          <w:tcPr>
            <w:tcW w:w="1917" w:type="dxa"/>
            <w:tcBorders>
              <w:top w:val="single" w:sz="4" w:space="0" w:color="034FA3" w:themeColor="accent1"/>
              <w:left w:val="nil"/>
              <w:bottom w:val="single" w:sz="4" w:space="0" w:color="034FA3" w:themeColor="accent1"/>
              <w:right w:val="nil"/>
            </w:tcBorders>
            <w:hideMark/>
          </w:tcPr>
          <w:p w14:paraId="1854FF8D" w14:textId="77777777" w:rsidR="00921D9C" w:rsidRPr="00037C61" w:rsidRDefault="00921D9C">
            <w:pPr>
              <w:spacing w:after="0" w:line="240" w:lineRule="auto"/>
              <w:jc w:val="center"/>
              <w:rPr>
                <w:lang w:val="en-GB"/>
              </w:rPr>
            </w:pPr>
            <w:r w:rsidRPr="00037C61">
              <w:rPr>
                <w:lang w:val="en-GB"/>
              </w:rPr>
              <w:t>14%</w:t>
            </w:r>
          </w:p>
        </w:tc>
        <w:tc>
          <w:tcPr>
            <w:tcW w:w="1652" w:type="dxa"/>
            <w:tcBorders>
              <w:top w:val="single" w:sz="4" w:space="0" w:color="034FA3" w:themeColor="accent1"/>
              <w:left w:val="nil"/>
              <w:bottom w:val="single" w:sz="4" w:space="0" w:color="034FA3" w:themeColor="accent1"/>
              <w:right w:val="nil"/>
            </w:tcBorders>
            <w:hideMark/>
          </w:tcPr>
          <w:p w14:paraId="0FDC833E" w14:textId="77777777" w:rsidR="00921D9C" w:rsidRPr="00037C61" w:rsidRDefault="00921D9C">
            <w:pPr>
              <w:spacing w:after="0" w:line="240" w:lineRule="auto"/>
              <w:jc w:val="center"/>
              <w:rPr>
                <w:lang w:val="en-GB"/>
              </w:rPr>
            </w:pPr>
            <w:r w:rsidRPr="00037C61">
              <w:rPr>
                <w:lang w:val="en-GB"/>
              </w:rPr>
              <w:t>-2.16</w:t>
            </w:r>
          </w:p>
        </w:tc>
        <w:tc>
          <w:tcPr>
            <w:tcW w:w="1890" w:type="dxa"/>
            <w:tcBorders>
              <w:top w:val="single" w:sz="4" w:space="0" w:color="034FA3" w:themeColor="accent1"/>
              <w:left w:val="nil"/>
              <w:bottom w:val="single" w:sz="4" w:space="0" w:color="034FA3" w:themeColor="accent1"/>
              <w:right w:val="single" w:sz="4" w:space="0" w:color="034FA3" w:themeColor="accent1"/>
            </w:tcBorders>
            <w:hideMark/>
          </w:tcPr>
          <w:p w14:paraId="19A38BC9" w14:textId="77777777" w:rsidR="00921D9C" w:rsidRPr="00037C61" w:rsidRDefault="00921D9C">
            <w:pPr>
              <w:spacing w:after="0" w:line="240" w:lineRule="auto"/>
              <w:jc w:val="center"/>
              <w:rPr>
                <w:lang w:val="en-GB"/>
              </w:rPr>
            </w:pPr>
            <w:r w:rsidRPr="00037C61">
              <w:rPr>
                <w:lang w:val="en-GB"/>
              </w:rPr>
              <w:t>85.4</w:t>
            </w:r>
          </w:p>
        </w:tc>
      </w:tr>
      <w:tr w:rsidR="00921D9C" w:rsidRPr="00037C61" w14:paraId="621AA111" w14:textId="77777777" w:rsidTr="3C1461C6">
        <w:tc>
          <w:tcPr>
            <w:tcW w:w="2409" w:type="dxa"/>
            <w:tcBorders>
              <w:top w:val="nil"/>
              <w:left w:val="single" w:sz="4" w:space="0" w:color="034FA3" w:themeColor="accent1"/>
              <w:bottom w:val="nil"/>
              <w:right w:val="nil"/>
            </w:tcBorders>
            <w:shd w:val="clear" w:color="auto" w:fill="FFFFFF" w:themeFill="background1"/>
            <w:hideMark/>
          </w:tcPr>
          <w:p w14:paraId="6B70A952" w14:textId="77777777" w:rsidR="00921D9C" w:rsidRPr="00037C61" w:rsidRDefault="00921D9C">
            <w:pPr>
              <w:spacing w:after="0" w:line="240" w:lineRule="auto"/>
              <w:rPr>
                <w:bCs/>
                <w:lang w:val="en-GB"/>
              </w:rPr>
            </w:pPr>
            <w:r w:rsidRPr="00037C61">
              <w:rPr>
                <w:bCs/>
                <w:lang w:val="en-GB"/>
              </w:rPr>
              <w:t>Szabolcs-Szatmár-Bereg</w:t>
            </w:r>
          </w:p>
        </w:tc>
        <w:tc>
          <w:tcPr>
            <w:tcW w:w="1217" w:type="dxa"/>
            <w:tcBorders>
              <w:top w:val="nil"/>
              <w:left w:val="nil"/>
              <w:bottom w:val="nil"/>
              <w:right w:val="nil"/>
            </w:tcBorders>
            <w:hideMark/>
          </w:tcPr>
          <w:p w14:paraId="5C1C9BA9" w14:textId="77777777" w:rsidR="00921D9C" w:rsidRPr="00037C61" w:rsidRDefault="00921D9C">
            <w:pPr>
              <w:spacing w:after="0" w:line="240" w:lineRule="auto"/>
              <w:jc w:val="center"/>
              <w:rPr>
                <w:lang w:val="en-GB"/>
              </w:rPr>
            </w:pPr>
            <w:r w:rsidRPr="00037C61">
              <w:rPr>
                <w:lang w:val="en-GB"/>
              </w:rPr>
              <w:t>558,361</w:t>
            </w:r>
          </w:p>
        </w:tc>
        <w:tc>
          <w:tcPr>
            <w:tcW w:w="1917" w:type="dxa"/>
            <w:tcBorders>
              <w:top w:val="nil"/>
              <w:left w:val="nil"/>
              <w:bottom w:val="nil"/>
              <w:right w:val="nil"/>
            </w:tcBorders>
            <w:hideMark/>
          </w:tcPr>
          <w:p w14:paraId="508C7963" w14:textId="77777777" w:rsidR="00921D9C" w:rsidRPr="00037C61" w:rsidRDefault="00921D9C">
            <w:pPr>
              <w:spacing w:after="0" w:line="240" w:lineRule="auto"/>
              <w:jc w:val="center"/>
              <w:rPr>
                <w:lang w:val="en-GB"/>
              </w:rPr>
            </w:pPr>
            <w:r w:rsidRPr="00037C61">
              <w:rPr>
                <w:lang w:val="en-GB"/>
              </w:rPr>
              <w:t>15%</w:t>
            </w:r>
          </w:p>
        </w:tc>
        <w:tc>
          <w:tcPr>
            <w:tcW w:w="1652" w:type="dxa"/>
            <w:tcBorders>
              <w:top w:val="nil"/>
              <w:left w:val="nil"/>
              <w:bottom w:val="nil"/>
              <w:right w:val="nil"/>
            </w:tcBorders>
            <w:hideMark/>
          </w:tcPr>
          <w:p w14:paraId="3819A062" w14:textId="77777777" w:rsidR="00921D9C" w:rsidRPr="00037C61" w:rsidRDefault="00921D9C">
            <w:pPr>
              <w:spacing w:after="0" w:line="240" w:lineRule="auto"/>
              <w:jc w:val="center"/>
              <w:rPr>
                <w:lang w:val="en-GB"/>
              </w:rPr>
            </w:pPr>
            <w:r w:rsidRPr="00037C61">
              <w:rPr>
                <w:lang w:val="en-GB"/>
              </w:rPr>
              <w:t>-1.23</w:t>
            </w:r>
          </w:p>
        </w:tc>
        <w:tc>
          <w:tcPr>
            <w:tcW w:w="1890" w:type="dxa"/>
            <w:tcBorders>
              <w:top w:val="nil"/>
              <w:left w:val="nil"/>
              <w:bottom w:val="nil"/>
              <w:right w:val="single" w:sz="4" w:space="0" w:color="034FA3" w:themeColor="accent1"/>
            </w:tcBorders>
            <w:hideMark/>
          </w:tcPr>
          <w:p w14:paraId="4A2AAC23" w14:textId="77777777" w:rsidR="00921D9C" w:rsidRPr="00037C61" w:rsidRDefault="00921D9C">
            <w:pPr>
              <w:spacing w:after="0" w:line="240" w:lineRule="auto"/>
              <w:jc w:val="center"/>
              <w:rPr>
                <w:lang w:val="en-GB"/>
              </w:rPr>
            </w:pPr>
            <w:r w:rsidRPr="00037C61">
              <w:rPr>
                <w:lang w:val="en-GB"/>
              </w:rPr>
              <w:t>85.4</w:t>
            </w:r>
          </w:p>
        </w:tc>
      </w:tr>
      <w:tr w:rsidR="00921D9C" w:rsidRPr="00037C61" w14:paraId="796E43E7" w14:textId="77777777" w:rsidTr="3C1461C6">
        <w:tc>
          <w:tcPr>
            <w:tcW w:w="240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32A1E7A9" w14:textId="77777777" w:rsidR="00921D9C" w:rsidRPr="00037C61" w:rsidRDefault="00921D9C">
            <w:pPr>
              <w:spacing w:after="0" w:line="240" w:lineRule="auto"/>
              <w:rPr>
                <w:bCs/>
                <w:lang w:val="en-GB"/>
              </w:rPr>
            </w:pPr>
            <w:bookmarkStart w:id="104" w:name="_Hlk53833387"/>
            <w:r w:rsidRPr="00037C61">
              <w:rPr>
                <w:bCs/>
                <w:lang w:val="en-GB"/>
              </w:rPr>
              <w:t>Békés</w:t>
            </w:r>
            <w:bookmarkEnd w:id="104"/>
          </w:p>
        </w:tc>
        <w:tc>
          <w:tcPr>
            <w:tcW w:w="1217" w:type="dxa"/>
            <w:tcBorders>
              <w:top w:val="single" w:sz="4" w:space="0" w:color="034FA3" w:themeColor="accent1"/>
              <w:left w:val="nil"/>
              <w:bottom w:val="single" w:sz="4" w:space="0" w:color="034FA3" w:themeColor="accent1"/>
              <w:right w:val="nil"/>
            </w:tcBorders>
            <w:hideMark/>
          </w:tcPr>
          <w:p w14:paraId="08411A1C" w14:textId="77777777" w:rsidR="00921D9C" w:rsidRPr="00037C61" w:rsidRDefault="00921D9C">
            <w:pPr>
              <w:spacing w:after="0" w:line="240" w:lineRule="auto"/>
              <w:jc w:val="center"/>
              <w:rPr>
                <w:lang w:val="en-GB"/>
              </w:rPr>
            </w:pPr>
            <w:r w:rsidRPr="00037C61">
              <w:rPr>
                <w:lang w:val="en-GB"/>
              </w:rPr>
              <w:t>338,025</w:t>
            </w:r>
          </w:p>
        </w:tc>
        <w:tc>
          <w:tcPr>
            <w:tcW w:w="1917" w:type="dxa"/>
            <w:tcBorders>
              <w:top w:val="single" w:sz="4" w:space="0" w:color="034FA3" w:themeColor="accent1"/>
              <w:left w:val="nil"/>
              <w:bottom w:val="single" w:sz="4" w:space="0" w:color="034FA3" w:themeColor="accent1"/>
              <w:right w:val="nil"/>
            </w:tcBorders>
            <w:hideMark/>
          </w:tcPr>
          <w:p w14:paraId="4493643C" w14:textId="77777777" w:rsidR="00921D9C" w:rsidRPr="00037C61" w:rsidRDefault="00921D9C">
            <w:pPr>
              <w:spacing w:after="0" w:line="240" w:lineRule="auto"/>
              <w:jc w:val="center"/>
              <w:rPr>
                <w:lang w:val="en-GB"/>
              </w:rPr>
            </w:pPr>
            <w:r w:rsidRPr="00037C61">
              <w:rPr>
                <w:lang w:val="en-GB"/>
              </w:rPr>
              <w:t>9%</w:t>
            </w:r>
          </w:p>
        </w:tc>
        <w:tc>
          <w:tcPr>
            <w:tcW w:w="1652" w:type="dxa"/>
            <w:tcBorders>
              <w:top w:val="single" w:sz="4" w:space="0" w:color="034FA3" w:themeColor="accent1"/>
              <w:left w:val="nil"/>
              <w:bottom w:val="single" w:sz="4" w:space="0" w:color="034FA3" w:themeColor="accent1"/>
              <w:right w:val="nil"/>
            </w:tcBorders>
            <w:hideMark/>
          </w:tcPr>
          <w:p w14:paraId="6579373F" w14:textId="77777777" w:rsidR="00921D9C" w:rsidRPr="00037C61" w:rsidRDefault="00921D9C">
            <w:pPr>
              <w:spacing w:after="0" w:line="240" w:lineRule="auto"/>
              <w:jc w:val="center"/>
              <w:rPr>
                <w:lang w:val="en-GB"/>
              </w:rPr>
            </w:pPr>
            <w:r w:rsidRPr="00037C61">
              <w:rPr>
                <w:lang w:val="en-GB"/>
              </w:rPr>
              <w:t>-8.97</w:t>
            </w:r>
          </w:p>
        </w:tc>
        <w:tc>
          <w:tcPr>
            <w:tcW w:w="1890" w:type="dxa"/>
            <w:tcBorders>
              <w:top w:val="single" w:sz="4" w:space="0" w:color="034FA3" w:themeColor="accent1"/>
              <w:left w:val="nil"/>
              <w:bottom w:val="single" w:sz="4" w:space="0" w:color="034FA3" w:themeColor="accent1"/>
              <w:right w:val="single" w:sz="4" w:space="0" w:color="034FA3" w:themeColor="accent1"/>
            </w:tcBorders>
            <w:hideMark/>
          </w:tcPr>
          <w:p w14:paraId="764969D7" w14:textId="77777777" w:rsidR="00921D9C" w:rsidRPr="00037C61" w:rsidRDefault="00921D9C">
            <w:pPr>
              <w:spacing w:after="0" w:line="240" w:lineRule="auto"/>
              <w:jc w:val="center"/>
              <w:rPr>
                <w:lang w:val="en-GB"/>
              </w:rPr>
            </w:pPr>
            <w:r w:rsidRPr="00037C61">
              <w:rPr>
                <w:lang w:val="en-GB"/>
              </w:rPr>
              <w:t>60.0</w:t>
            </w:r>
          </w:p>
        </w:tc>
      </w:tr>
      <w:tr w:rsidR="00921D9C" w:rsidRPr="00037C61" w14:paraId="2B9BB7F8" w14:textId="77777777" w:rsidTr="3C1461C6">
        <w:tc>
          <w:tcPr>
            <w:tcW w:w="2409" w:type="dxa"/>
            <w:tcBorders>
              <w:top w:val="nil"/>
              <w:left w:val="single" w:sz="4" w:space="0" w:color="034FA3" w:themeColor="accent1"/>
              <w:bottom w:val="nil"/>
              <w:right w:val="nil"/>
            </w:tcBorders>
            <w:shd w:val="clear" w:color="auto" w:fill="FFFFFF" w:themeFill="background1"/>
            <w:hideMark/>
          </w:tcPr>
          <w:p w14:paraId="162FFD37" w14:textId="387CAC28" w:rsidR="00921D9C" w:rsidRPr="00037C61" w:rsidRDefault="6446A0E8" w:rsidP="6446A0E8">
            <w:pPr>
              <w:spacing w:after="0" w:line="240" w:lineRule="auto"/>
              <w:rPr>
                <w:lang w:val="en-GB"/>
              </w:rPr>
            </w:pPr>
            <w:bookmarkStart w:id="105" w:name="_Hlk53833443"/>
            <w:r w:rsidRPr="00037C61">
              <w:rPr>
                <w:lang w:val="en-GB"/>
              </w:rPr>
              <w:t>Csongrád-Csanád</w:t>
            </w:r>
          </w:p>
        </w:tc>
        <w:tc>
          <w:tcPr>
            <w:tcW w:w="1217" w:type="dxa"/>
            <w:tcBorders>
              <w:top w:val="nil"/>
              <w:left w:val="nil"/>
              <w:bottom w:val="nil"/>
              <w:right w:val="nil"/>
            </w:tcBorders>
            <w:hideMark/>
          </w:tcPr>
          <w:p w14:paraId="4A11EA0A" w14:textId="77777777" w:rsidR="00921D9C" w:rsidRPr="00037C61" w:rsidRDefault="00921D9C">
            <w:pPr>
              <w:spacing w:after="0" w:line="240" w:lineRule="auto"/>
              <w:jc w:val="center"/>
              <w:rPr>
                <w:lang w:val="en-GB"/>
              </w:rPr>
            </w:pPr>
            <w:r w:rsidRPr="00037C61">
              <w:rPr>
                <w:lang w:val="en-GB"/>
              </w:rPr>
              <w:t>400,238</w:t>
            </w:r>
          </w:p>
        </w:tc>
        <w:tc>
          <w:tcPr>
            <w:tcW w:w="1917" w:type="dxa"/>
            <w:tcBorders>
              <w:top w:val="nil"/>
              <w:left w:val="nil"/>
              <w:bottom w:val="nil"/>
              <w:right w:val="nil"/>
            </w:tcBorders>
            <w:hideMark/>
          </w:tcPr>
          <w:p w14:paraId="2C4C7147" w14:textId="77777777" w:rsidR="00921D9C" w:rsidRPr="00037C61" w:rsidRDefault="00921D9C">
            <w:pPr>
              <w:spacing w:after="0" w:line="240" w:lineRule="auto"/>
              <w:jc w:val="center"/>
              <w:rPr>
                <w:lang w:val="en-GB"/>
              </w:rPr>
            </w:pPr>
            <w:r w:rsidRPr="00037C61">
              <w:rPr>
                <w:lang w:val="en-GB"/>
              </w:rPr>
              <w:t>10%</w:t>
            </w:r>
          </w:p>
        </w:tc>
        <w:tc>
          <w:tcPr>
            <w:tcW w:w="1652" w:type="dxa"/>
            <w:tcBorders>
              <w:top w:val="nil"/>
              <w:left w:val="nil"/>
              <w:bottom w:val="nil"/>
              <w:right w:val="nil"/>
            </w:tcBorders>
            <w:hideMark/>
          </w:tcPr>
          <w:p w14:paraId="0BA27D00" w14:textId="77777777" w:rsidR="00921D9C" w:rsidRPr="00037C61" w:rsidRDefault="00921D9C">
            <w:pPr>
              <w:spacing w:after="0" w:line="240" w:lineRule="auto"/>
              <w:jc w:val="center"/>
              <w:rPr>
                <w:lang w:val="en-GB"/>
              </w:rPr>
            </w:pPr>
            <w:r w:rsidRPr="00037C61">
              <w:rPr>
                <w:lang w:val="en-GB"/>
              </w:rPr>
              <w:t>-5.57</w:t>
            </w:r>
          </w:p>
        </w:tc>
        <w:tc>
          <w:tcPr>
            <w:tcW w:w="1890" w:type="dxa"/>
            <w:tcBorders>
              <w:top w:val="nil"/>
              <w:left w:val="nil"/>
              <w:bottom w:val="nil"/>
              <w:right w:val="single" w:sz="4" w:space="0" w:color="034FA3" w:themeColor="accent1"/>
            </w:tcBorders>
            <w:hideMark/>
          </w:tcPr>
          <w:p w14:paraId="73A2120F" w14:textId="77777777" w:rsidR="00921D9C" w:rsidRPr="00037C61" w:rsidRDefault="00921D9C">
            <w:pPr>
              <w:spacing w:after="0" w:line="240" w:lineRule="auto"/>
              <w:jc w:val="center"/>
              <w:rPr>
                <w:lang w:val="en-GB"/>
              </w:rPr>
            </w:pPr>
            <w:r w:rsidRPr="00037C61">
              <w:rPr>
                <w:lang w:val="en-GB"/>
              </w:rPr>
              <w:t>93.9</w:t>
            </w:r>
          </w:p>
        </w:tc>
      </w:tr>
      <w:bookmarkEnd w:id="105"/>
      <w:tr w:rsidR="00921D9C" w:rsidRPr="00037C61" w14:paraId="2AE98803" w14:textId="77777777" w:rsidTr="3C1461C6">
        <w:tc>
          <w:tcPr>
            <w:tcW w:w="2409"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hideMark/>
          </w:tcPr>
          <w:p w14:paraId="0FED7BF0" w14:textId="77777777" w:rsidR="00921D9C" w:rsidRPr="00037C61" w:rsidRDefault="00921D9C">
            <w:pPr>
              <w:spacing w:after="0" w:line="240" w:lineRule="auto"/>
              <w:rPr>
                <w:bCs/>
                <w:lang w:val="en-GB"/>
              </w:rPr>
            </w:pPr>
            <w:r w:rsidRPr="00037C61">
              <w:rPr>
                <w:bCs/>
                <w:lang w:val="en-GB"/>
              </w:rPr>
              <w:t>Bihor</w:t>
            </w:r>
          </w:p>
        </w:tc>
        <w:tc>
          <w:tcPr>
            <w:tcW w:w="1217"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24B86DAC" w14:textId="77777777" w:rsidR="00921D9C" w:rsidRPr="00037C61" w:rsidRDefault="00921D9C">
            <w:pPr>
              <w:spacing w:after="0" w:line="240" w:lineRule="auto"/>
              <w:jc w:val="center"/>
              <w:rPr>
                <w:lang w:val="en-GB"/>
              </w:rPr>
            </w:pPr>
            <w:r w:rsidRPr="00037C61">
              <w:rPr>
                <w:lang w:val="en-GB"/>
              </w:rPr>
              <w:t>564,109</w:t>
            </w:r>
          </w:p>
        </w:tc>
        <w:tc>
          <w:tcPr>
            <w:tcW w:w="1917"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52541DE6" w14:textId="77777777" w:rsidR="00921D9C" w:rsidRPr="00037C61" w:rsidRDefault="00921D9C">
            <w:pPr>
              <w:spacing w:after="0" w:line="240" w:lineRule="auto"/>
              <w:jc w:val="center"/>
              <w:rPr>
                <w:lang w:val="en-GB"/>
              </w:rPr>
            </w:pPr>
            <w:r w:rsidRPr="00037C61">
              <w:rPr>
                <w:lang w:val="en-GB"/>
              </w:rPr>
              <w:t>15%</w:t>
            </w:r>
          </w:p>
        </w:tc>
        <w:tc>
          <w:tcPr>
            <w:tcW w:w="1652"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000BE629" w14:textId="77777777" w:rsidR="00921D9C" w:rsidRPr="00037C61" w:rsidRDefault="00921D9C">
            <w:pPr>
              <w:spacing w:after="0" w:line="240" w:lineRule="auto"/>
              <w:jc w:val="center"/>
              <w:rPr>
                <w:lang w:val="en-GB"/>
              </w:rPr>
            </w:pPr>
            <w:r w:rsidRPr="00037C61">
              <w:rPr>
                <w:lang w:val="en-GB"/>
              </w:rPr>
              <w:t>-4.97</w:t>
            </w:r>
          </w:p>
        </w:tc>
        <w:tc>
          <w:tcPr>
            <w:tcW w:w="1890"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hideMark/>
          </w:tcPr>
          <w:p w14:paraId="6389720F" w14:textId="77777777" w:rsidR="00921D9C" w:rsidRPr="00037C61" w:rsidRDefault="00921D9C">
            <w:pPr>
              <w:spacing w:after="0" w:line="240" w:lineRule="auto"/>
              <w:jc w:val="center"/>
              <w:rPr>
                <w:lang w:val="en-GB"/>
              </w:rPr>
            </w:pPr>
            <w:r w:rsidRPr="00037C61">
              <w:rPr>
                <w:lang w:val="en-GB"/>
              </w:rPr>
              <w:t>74.8</w:t>
            </w:r>
          </w:p>
        </w:tc>
      </w:tr>
      <w:tr w:rsidR="00921D9C" w:rsidRPr="00037C61" w14:paraId="75D71EEF" w14:textId="77777777" w:rsidTr="3C1461C6">
        <w:tc>
          <w:tcPr>
            <w:tcW w:w="2409" w:type="dxa"/>
            <w:tcBorders>
              <w:top w:val="nil"/>
              <w:left w:val="single" w:sz="4" w:space="0" w:color="034FA3" w:themeColor="accent1"/>
              <w:bottom w:val="nil"/>
              <w:right w:val="nil"/>
            </w:tcBorders>
            <w:shd w:val="clear" w:color="auto" w:fill="EAEDF6" w:themeFill="accent2" w:themeFillTint="33"/>
            <w:hideMark/>
          </w:tcPr>
          <w:p w14:paraId="5C13A50B" w14:textId="77777777" w:rsidR="00921D9C" w:rsidRPr="00037C61" w:rsidRDefault="00921D9C">
            <w:pPr>
              <w:spacing w:after="0" w:line="240" w:lineRule="auto"/>
              <w:rPr>
                <w:bCs/>
                <w:lang w:val="en-GB"/>
              </w:rPr>
            </w:pPr>
            <w:r w:rsidRPr="00037C61">
              <w:rPr>
                <w:bCs/>
                <w:lang w:val="en-GB"/>
              </w:rPr>
              <w:t>Satu Mare</w:t>
            </w:r>
          </w:p>
        </w:tc>
        <w:tc>
          <w:tcPr>
            <w:tcW w:w="1217" w:type="dxa"/>
            <w:tcBorders>
              <w:top w:val="nil"/>
              <w:left w:val="nil"/>
              <w:bottom w:val="nil"/>
              <w:right w:val="nil"/>
            </w:tcBorders>
            <w:shd w:val="clear" w:color="auto" w:fill="EAEDF6" w:themeFill="accent2" w:themeFillTint="33"/>
            <w:hideMark/>
          </w:tcPr>
          <w:p w14:paraId="78AF7B8C" w14:textId="77777777" w:rsidR="00921D9C" w:rsidRPr="00037C61" w:rsidRDefault="00921D9C">
            <w:pPr>
              <w:spacing w:after="0" w:line="240" w:lineRule="auto"/>
              <w:jc w:val="center"/>
              <w:rPr>
                <w:lang w:val="en-GB"/>
              </w:rPr>
            </w:pPr>
            <w:r w:rsidRPr="00037C61">
              <w:rPr>
                <w:lang w:val="en-GB"/>
              </w:rPr>
              <w:t>334,678</w:t>
            </w:r>
          </w:p>
        </w:tc>
        <w:tc>
          <w:tcPr>
            <w:tcW w:w="1917" w:type="dxa"/>
            <w:tcBorders>
              <w:top w:val="nil"/>
              <w:left w:val="nil"/>
              <w:bottom w:val="nil"/>
              <w:right w:val="nil"/>
            </w:tcBorders>
            <w:shd w:val="clear" w:color="auto" w:fill="EAEDF6" w:themeFill="accent2" w:themeFillTint="33"/>
            <w:hideMark/>
          </w:tcPr>
          <w:p w14:paraId="7F23A0EB" w14:textId="77777777" w:rsidR="00921D9C" w:rsidRPr="00037C61" w:rsidRDefault="00921D9C">
            <w:pPr>
              <w:spacing w:after="0" w:line="240" w:lineRule="auto"/>
              <w:jc w:val="center"/>
              <w:rPr>
                <w:lang w:val="en-GB"/>
              </w:rPr>
            </w:pPr>
            <w:r w:rsidRPr="00037C61">
              <w:rPr>
                <w:lang w:val="en-GB"/>
              </w:rPr>
              <w:t>9%</w:t>
            </w:r>
          </w:p>
        </w:tc>
        <w:tc>
          <w:tcPr>
            <w:tcW w:w="1652" w:type="dxa"/>
            <w:tcBorders>
              <w:top w:val="nil"/>
              <w:left w:val="nil"/>
              <w:bottom w:val="nil"/>
              <w:right w:val="nil"/>
            </w:tcBorders>
            <w:shd w:val="clear" w:color="auto" w:fill="EAEDF6" w:themeFill="accent2" w:themeFillTint="33"/>
            <w:hideMark/>
          </w:tcPr>
          <w:p w14:paraId="14E14957" w14:textId="77777777" w:rsidR="00921D9C" w:rsidRPr="00037C61" w:rsidRDefault="00921D9C">
            <w:pPr>
              <w:spacing w:after="0" w:line="240" w:lineRule="auto"/>
              <w:jc w:val="center"/>
              <w:rPr>
                <w:lang w:val="en-GB"/>
              </w:rPr>
            </w:pPr>
            <w:r w:rsidRPr="00037C61">
              <w:rPr>
                <w:lang w:val="en-GB"/>
              </w:rPr>
              <w:t>-8.43</w:t>
            </w:r>
          </w:p>
        </w:tc>
        <w:tc>
          <w:tcPr>
            <w:tcW w:w="1890" w:type="dxa"/>
            <w:tcBorders>
              <w:top w:val="nil"/>
              <w:left w:val="nil"/>
              <w:bottom w:val="nil"/>
              <w:right w:val="single" w:sz="4" w:space="0" w:color="034FA3" w:themeColor="accent1"/>
            </w:tcBorders>
            <w:shd w:val="clear" w:color="auto" w:fill="EAEDF6" w:themeFill="accent2" w:themeFillTint="33"/>
            <w:hideMark/>
          </w:tcPr>
          <w:p w14:paraId="21C74CB9" w14:textId="77777777" w:rsidR="00921D9C" w:rsidRPr="00037C61" w:rsidRDefault="00921D9C">
            <w:pPr>
              <w:spacing w:after="0" w:line="240" w:lineRule="auto"/>
              <w:jc w:val="center"/>
              <w:rPr>
                <w:lang w:val="en-GB"/>
              </w:rPr>
            </w:pPr>
            <w:r w:rsidRPr="00037C61">
              <w:rPr>
                <w:lang w:val="en-GB"/>
              </w:rPr>
              <w:t>75.7</w:t>
            </w:r>
          </w:p>
        </w:tc>
      </w:tr>
      <w:tr w:rsidR="00921D9C" w:rsidRPr="00037C61" w14:paraId="0A0CAA5D" w14:textId="77777777" w:rsidTr="3C1461C6">
        <w:tc>
          <w:tcPr>
            <w:tcW w:w="2409"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hideMark/>
          </w:tcPr>
          <w:p w14:paraId="58CAACD6" w14:textId="77777777" w:rsidR="00921D9C" w:rsidRPr="00037C61" w:rsidRDefault="00921D9C">
            <w:pPr>
              <w:spacing w:after="0" w:line="240" w:lineRule="auto"/>
              <w:rPr>
                <w:bCs/>
                <w:lang w:val="en-GB"/>
              </w:rPr>
            </w:pPr>
            <w:r w:rsidRPr="00037C61">
              <w:rPr>
                <w:bCs/>
                <w:lang w:val="en-GB"/>
              </w:rPr>
              <w:t>Arad</w:t>
            </w:r>
          </w:p>
        </w:tc>
        <w:tc>
          <w:tcPr>
            <w:tcW w:w="1217"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72556AE0" w14:textId="77777777" w:rsidR="00921D9C" w:rsidRPr="00037C61" w:rsidRDefault="00921D9C">
            <w:pPr>
              <w:spacing w:after="0" w:line="240" w:lineRule="auto"/>
              <w:jc w:val="center"/>
              <w:rPr>
                <w:lang w:val="en-GB"/>
              </w:rPr>
            </w:pPr>
            <w:r w:rsidRPr="00037C61">
              <w:rPr>
                <w:lang w:val="en-GB"/>
              </w:rPr>
              <w:t>419,360</w:t>
            </w:r>
          </w:p>
        </w:tc>
        <w:tc>
          <w:tcPr>
            <w:tcW w:w="1917"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51F20B1C" w14:textId="77777777" w:rsidR="00921D9C" w:rsidRPr="00037C61" w:rsidRDefault="00921D9C">
            <w:pPr>
              <w:spacing w:after="0" w:line="240" w:lineRule="auto"/>
              <w:jc w:val="center"/>
              <w:rPr>
                <w:lang w:val="en-GB"/>
              </w:rPr>
            </w:pPr>
            <w:r w:rsidRPr="00037C61">
              <w:rPr>
                <w:lang w:val="en-GB"/>
              </w:rPr>
              <w:t>11%</w:t>
            </w:r>
          </w:p>
        </w:tc>
        <w:tc>
          <w:tcPr>
            <w:tcW w:w="1652"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4DA11533" w14:textId="77777777" w:rsidR="00921D9C" w:rsidRPr="00037C61" w:rsidRDefault="00921D9C">
            <w:pPr>
              <w:spacing w:after="0" w:line="240" w:lineRule="auto"/>
              <w:jc w:val="center"/>
              <w:rPr>
                <w:lang w:val="en-GB"/>
              </w:rPr>
            </w:pPr>
            <w:r w:rsidRPr="00037C61">
              <w:rPr>
                <w:lang w:val="en-GB"/>
              </w:rPr>
              <w:t>-8.30</w:t>
            </w:r>
          </w:p>
        </w:tc>
        <w:tc>
          <w:tcPr>
            <w:tcW w:w="1890"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hideMark/>
          </w:tcPr>
          <w:p w14:paraId="37B7322D" w14:textId="77777777" w:rsidR="00921D9C" w:rsidRPr="00037C61" w:rsidRDefault="00921D9C">
            <w:pPr>
              <w:spacing w:after="0" w:line="240" w:lineRule="auto"/>
              <w:jc w:val="center"/>
              <w:rPr>
                <w:lang w:val="en-GB"/>
              </w:rPr>
            </w:pPr>
            <w:r w:rsidRPr="00037C61">
              <w:rPr>
                <w:lang w:val="en-GB"/>
              </w:rPr>
              <w:t>54.1</w:t>
            </w:r>
          </w:p>
        </w:tc>
      </w:tr>
      <w:tr w:rsidR="00921D9C" w:rsidRPr="00037C61" w14:paraId="208F2199" w14:textId="77777777" w:rsidTr="3C1461C6">
        <w:tc>
          <w:tcPr>
            <w:tcW w:w="2409" w:type="dxa"/>
            <w:tcBorders>
              <w:top w:val="nil"/>
              <w:left w:val="single" w:sz="4" w:space="0" w:color="034FA3" w:themeColor="accent1"/>
              <w:bottom w:val="nil"/>
              <w:right w:val="nil"/>
            </w:tcBorders>
            <w:shd w:val="clear" w:color="auto" w:fill="EAEDF6" w:themeFill="accent2" w:themeFillTint="33"/>
            <w:hideMark/>
          </w:tcPr>
          <w:p w14:paraId="22F0663D" w14:textId="21E54F34" w:rsidR="00921D9C" w:rsidRPr="00037C61" w:rsidRDefault="008B32DD">
            <w:pPr>
              <w:spacing w:after="0" w:line="240" w:lineRule="auto"/>
              <w:rPr>
                <w:bCs/>
                <w:lang w:val="en-GB"/>
              </w:rPr>
            </w:pPr>
            <w:r w:rsidRPr="00037C61">
              <w:rPr>
                <w:bCs/>
                <w:lang w:val="en-GB"/>
              </w:rPr>
              <w:t>Timiș</w:t>
            </w:r>
          </w:p>
        </w:tc>
        <w:tc>
          <w:tcPr>
            <w:tcW w:w="1217" w:type="dxa"/>
            <w:tcBorders>
              <w:top w:val="nil"/>
              <w:left w:val="nil"/>
              <w:bottom w:val="nil"/>
              <w:right w:val="nil"/>
            </w:tcBorders>
            <w:shd w:val="clear" w:color="auto" w:fill="EAEDF6" w:themeFill="accent2" w:themeFillTint="33"/>
            <w:hideMark/>
          </w:tcPr>
          <w:p w14:paraId="7B8EEB54" w14:textId="77777777" w:rsidR="00921D9C" w:rsidRPr="00037C61" w:rsidRDefault="00921D9C">
            <w:pPr>
              <w:spacing w:after="0" w:line="240" w:lineRule="auto"/>
              <w:jc w:val="center"/>
              <w:rPr>
                <w:lang w:val="en-GB"/>
              </w:rPr>
            </w:pPr>
            <w:bookmarkStart w:id="106" w:name="_Hlk53833393"/>
            <w:r w:rsidRPr="00037C61">
              <w:rPr>
                <w:lang w:val="en-GB"/>
              </w:rPr>
              <w:t>701,499</w:t>
            </w:r>
            <w:bookmarkEnd w:id="106"/>
          </w:p>
        </w:tc>
        <w:tc>
          <w:tcPr>
            <w:tcW w:w="1917" w:type="dxa"/>
            <w:tcBorders>
              <w:top w:val="nil"/>
              <w:left w:val="nil"/>
              <w:bottom w:val="nil"/>
              <w:right w:val="nil"/>
            </w:tcBorders>
            <w:shd w:val="clear" w:color="auto" w:fill="EAEDF6" w:themeFill="accent2" w:themeFillTint="33"/>
            <w:hideMark/>
          </w:tcPr>
          <w:p w14:paraId="34E6E60F" w14:textId="77777777" w:rsidR="00921D9C" w:rsidRPr="00037C61" w:rsidRDefault="00921D9C">
            <w:pPr>
              <w:spacing w:after="0" w:line="240" w:lineRule="auto"/>
              <w:jc w:val="center"/>
              <w:rPr>
                <w:lang w:val="en-GB"/>
              </w:rPr>
            </w:pPr>
            <w:r w:rsidRPr="00037C61">
              <w:rPr>
                <w:lang w:val="en-GB"/>
              </w:rPr>
              <w:t>18%</w:t>
            </w:r>
          </w:p>
        </w:tc>
        <w:tc>
          <w:tcPr>
            <w:tcW w:w="1652" w:type="dxa"/>
            <w:tcBorders>
              <w:top w:val="nil"/>
              <w:left w:val="nil"/>
              <w:bottom w:val="nil"/>
              <w:right w:val="nil"/>
            </w:tcBorders>
            <w:shd w:val="clear" w:color="auto" w:fill="EAEDF6" w:themeFill="accent2" w:themeFillTint="33"/>
            <w:hideMark/>
          </w:tcPr>
          <w:p w14:paraId="1914A0B2" w14:textId="77777777" w:rsidR="00921D9C" w:rsidRPr="00037C61" w:rsidRDefault="00921D9C">
            <w:pPr>
              <w:spacing w:after="0" w:line="240" w:lineRule="auto"/>
              <w:jc w:val="center"/>
              <w:rPr>
                <w:lang w:val="en-GB"/>
              </w:rPr>
            </w:pPr>
            <w:r w:rsidRPr="00037C61">
              <w:rPr>
                <w:lang w:val="en-GB"/>
              </w:rPr>
              <w:t>3.72</w:t>
            </w:r>
          </w:p>
        </w:tc>
        <w:tc>
          <w:tcPr>
            <w:tcW w:w="1890" w:type="dxa"/>
            <w:tcBorders>
              <w:top w:val="nil"/>
              <w:left w:val="nil"/>
              <w:bottom w:val="nil"/>
              <w:right w:val="single" w:sz="4" w:space="0" w:color="034FA3" w:themeColor="accent1"/>
            </w:tcBorders>
            <w:shd w:val="clear" w:color="auto" w:fill="EAEDF6" w:themeFill="accent2" w:themeFillTint="33"/>
            <w:hideMark/>
          </w:tcPr>
          <w:p w14:paraId="47659EEF" w14:textId="77777777" w:rsidR="00921D9C" w:rsidRPr="00037C61" w:rsidRDefault="00921D9C">
            <w:pPr>
              <w:spacing w:after="0" w:line="240" w:lineRule="auto"/>
              <w:jc w:val="center"/>
              <w:rPr>
                <w:lang w:val="en-GB"/>
              </w:rPr>
            </w:pPr>
            <w:r w:rsidRPr="00037C61">
              <w:rPr>
                <w:lang w:val="en-GB"/>
              </w:rPr>
              <w:t>80.7</w:t>
            </w:r>
          </w:p>
        </w:tc>
      </w:tr>
      <w:tr w:rsidR="00921D9C" w:rsidRPr="00037C61" w14:paraId="5FF96BC1" w14:textId="77777777" w:rsidTr="3C1461C6">
        <w:tc>
          <w:tcPr>
            <w:tcW w:w="240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2E08BE34" w14:textId="77777777" w:rsidR="00921D9C" w:rsidRPr="00037C61" w:rsidRDefault="00921D9C">
            <w:pPr>
              <w:spacing w:after="0" w:line="240" w:lineRule="auto"/>
              <w:rPr>
                <w:b/>
                <w:bCs/>
                <w:lang w:val="en-GB"/>
              </w:rPr>
            </w:pPr>
            <w:r w:rsidRPr="00037C61">
              <w:rPr>
                <w:b/>
                <w:bCs/>
                <w:lang w:val="en-GB"/>
              </w:rPr>
              <w:t>Total</w:t>
            </w:r>
          </w:p>
        </w:tc>
        <w:tc>
          <w:tcPr>
            <w:tcW w:w="1217" w:type="dxa"/>
            <w:tcBorders>
              <w:top w:val="single" w:sz="4" w:space="0" w:color="034FA3" w:themeColor="accent1"/>
              <w:left w:val="nil"/>
              <w:bottom w:val="single" w:sz="4" w:space="0" w:color="034FA3" w:themeColor="accent1"/>
              <w:right w:val="nil"/>
            </w:tcBorders>
            <w:hideMark/>
          </w:tcPr>
          <w:p w14:paraId="20759FA4" w14:textId="77777777" w:rsidR="00921D9C" w:rsidRPr="00037C61" w:rsidRDefault="00921D9C">
            <w:pPr>
              <w:spacing w:after="0" w:line="240" w:lineRule="auto"/>
              <w:jc w:val="center"/>
              <w:rPr>
                <w:b/>
                <w:lang w:val="en-GB"/>
              </w:rPr>
            </w:pPr>
            <w:r w:rsidRPr="00037C61">
              <w:rPr>
                <w:b/>
                <w:lang w:val="en-GB"/>
              </w:rPr>
              <w:t>3,846,734</w:t>
            </w:r>
          </w:p>
        </w:tc>
        <w:tc>
          <w:tcPr>
            <w:tcW w:w="1917" w:type="dxa"/>
            <w:tcBorders>
              <w:top w:val="single" w:sz="4" w:space="0" w:color="034FA3" w:themeColor="accent1"/>
              <w:left w:val="nil"/>
              <w:bottom w:val="single" w:sz="4" w:space="0" w:color="034FA3" w:themeColor="accent1"/>
              <w:right w:val="nil"/>
            </w:tcBorders>
          </w:tcPr>
          <w:p w14:paraId="5B7A2CBF" w14:textId="77777777" w:rsidR="00921D9C" w:rsidRPr="00037C61" w:rsidRDefault="00921D9C">
            <w:pPr>
              <w:spacing w:after="0" w:line="240" w:lineRule="auto"/>
              <w:jc w:val="center"/>
              <w:rPr>
                <w:b/>
                <w:lang w:val="en-GB"/>
              </w:rPr>
            </w:pPr>
          </w:p>
        </w:tc>
        <w:tc>
          <w:tcPr>
            <w:tcW w:w="1652" w:type="dxa"/>
            <w:tcBorders>
              <w:top w:val="single" w:sz="4" w:space="0" w:color="034FA3" w:themeColor="accent1"/>
              <w:left w:val="nil"/>
              <w:bottom w:val="single" w:sz="4" w:space="0" w:color="034FA3" w:themeColor="accent1"/>
              <w:right w:val="nil"/>
            </w:tcBorders>
            <w:hideMark/>
          </w:tcPr>
          <w:p w14:paraId="791370E0" w14:textId="77777777" w:rsidR="00921D9C" w:rsidRPr="00037C61" w:rsidRDefault="00921D9C">
            <w:pPr>
              <w:spacing w:after="0" w:line="240" w:lineRule="auto"/>
              <w:jc w:val="center"/>
              <w:rPr>
                <w:b/>
                <w:lang w:val="en-GB"/>
              </w:rPr>
            </w:pPr>
            <w:r w:rsidRPr="00037C61">
              <w:rPr>
                <w:b/>
                <w:lang w:val="en-GB"/>
              </w:rPr>
              <w:t>-3.72</w:t>
            </w:r>
          </w:p>
        </w:tc>
        <w:tc>
          <w:tcPr>
            <w:tcW w:w="1890" w:type="dxa"/>
            <w:tcBorders>
              <w:top w:val="single" w:sz="4" w:space="0" w:color="034FA3" w:themeColor="accent1"/>
              <w:left w:val="nil"/>
              <w:bottom w:val="single" w:sz="4" w:space="0" w:color="034FA3" w:themeColor="accent1"/>
              <w:right w:val="single" w:sz="4" w:space="0" w:color="034FA3" w:themeColor="accent1"/>
            </w:tcBorders>
          </w:tcPr>
          <w:p w14:paraId="79DE4B3D" w14:textId="77777777" w:rsidR="00921D9C" w:rsidRPr="00037C61" w:rsidRDefault="00921D9C">
            <w:pPr>
              <w:spacing w:after="0" w:line="240" w:lineRule="auto"/>
              <w:jc w:val="center"/>
              <w:rPr>
                <w:b/>
                <w:lang w:val="en-GB"/>
              </w:rPr>
            </w:pPr>
          </w:p>
        </w:tc>
      </w:tr>
    </w:tbl>
    <w:p w14:paraId="69B0B9BE" w14:textId="2F6B9844" w:rsidR="3C1461C6" w:rsidRPr="00037C61" w:rsidRDefault="3C1461C6">
      <w:pPr>
        <w:rPr>
          <w:lang w:val="en-GB"/>
        </w:rPr>
      </w:pPr>
    </w:p>
    <w:p w14:paraId="7EA7AA0B" w14:textId="77777777" w:rsidR="00921D9C" w:rsidRPr="00037C61" w:rsidRDefault="00921D9C" w:rsidP="00921D9C">
      <w:pPr>
        <w:pStyle w:val="Caption"/>
        <w:jc w:val="both"/>
        <w:rPr>
          <w:lang w:val="en-GB"/>
        </w:rPr>
      </w:pPr>
      <w:r w:rsidRPr="00037C61">
        <w:rPr>
          <w:lang w:val="en-GB"/>
        </w:rPr>
        <w:t>Source: Eurostat, Population on 1 January by age group, sex and NUTS 3 region (demo_r_pjangrp3)</w:t>
      </w:r>
    </w:p>
    <w:p w14:paraId="01336D86" w14:textId="77777777" w:rsidR="00921D9C" w:rsidRPr="00037C61" w:rsidRDefault="00921D9C" w:rsidP="00921D9C">
      <w:pPr>
        <w:pStyle w:val="InterregROHUBullet1"/>
        <w:numPr>
          <w:ilvl w:val="0"/>
          <w:numId w:val="0"/>
        </w:numPr>
        <w:spacing w:after="0"/>
        <w:rPr>
          <w:rFonts w:cs="Calibri"/>
        </w:rPr>
      </w:pPr>
    </w:p>
    <w:p w14:paraId="0DB921E6" w14:textId="225FA9F0" w:rsidR="00921D9C" w:rsidRPr="00037C61" w:rsidRDefault="00B665F5" w:rsidP="00B665F5">
      <w:pPr>
        <w:pStyle w:val="InterregROHUBullet1"/>
        <w:numPr>
          <w:ilvl w:val="0"/>
          <w:numId w:val="0"/>
        </w:numPr>
      </w:pPr>
      <w:r w:rsidRPr="00037C61">
        <w:rPr>
          <w:noProof/>
          <w:lang w:val="ro-RO" w:eastAsia="ro-RO"/>
        </w:rPr>
        <w:drawing>
          <wp:anchor distT="0" distB="0" distL="114300" distR="114300" simplePos="0" relativeHeight="251632128" behindDoc="0" locked="0" layoutInCell="1" allowOverlap="1" wp14:anchorId="272482F6" wp14:editId="4ACA1BB1">
            <wp:simplePos x="0" y="0"/>
            <wp:positionH relativeFrom="margin">
              <wp:align>left</wp:align>
            </wp:positionH>
            <wp:positionV relativeFrom="paragraph">
              <wp:posOffset>6350</wp:posOffset>
            </wp:positionV>
            <wp:extent cx="2732405" cy="2971800"/>
            <wp:effectExtent l="0" t="0" r="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732405"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1D9C" w:rsidRPr="00037C61">
        <w:rPr>
          <w:rFonts w:cs="Calibri"/>
        </w:rPr>
        <w:t>An analysis of the area using the GEOSTAT population grid</w:t>
      </w:r>
      <w:r w:rsidR="00921D9C" w:rsidRPr="00037C61">
        <w:rPr>
          <w:rStyle w:val="FootnoteReference"/>
          <w:rFonts w:cs="Calibri"/>
        </w:rPr>
        <w:footnoteReference w:id="19"/>
      </w:r>
      <w:r w:rsidR="00921D9C" w:rsidRPr="00037C61">
        <w:rPr>
          <w:rFonts w:cs="Calibri"/>
        </w:rPr>
        <w:t xml:space="preserve"> reveals a generally heterogenous area, with </w:t>
      </w:r>
      <w:r w:rsidR="00921D9C" w:rsidRPr="00037C61">
        <w:rPr>
          <w:rFonts w:cs="Calibri"/>
          <w:b/>
        </w:rPr>
        <w:t>localized clusters of high-density population</w:t>
      </w:r>
      <w:r w:rsidR="00921D9C" w:rsidRPr="00037C61">
        <w:rPr>
          <w:rFonts w:cs="Calibri"/>
        </w:rPr>
        <w:t xml:space="preserve"> in the southern and norther parts of the PA and more sparsely populated territories especially moving inland in Arad, </w:t>
      </w:r>
      <w:r w:rsidR="00921D9C" w:rsidRPr="00037C61">
        <w:t>Hajdú-Bihar and Békés</w:t>
      </w:r>
      <w:r w:rsidR="00921D9C" w:rsidRPr="00037C61">
        <w:rPr>
          <w:rFonts w:cs="Calibri"/>
        </w:rPr>
        <w:t xml:space="preserve"> (</w:t>
      </w:r>
      <w:r w:rsidR="00921D9C" w:rsidRPr="00037C61">
        <w:rPr>
          <w:rFonts w:cs="Calibri"/>
        </w:rPr>
        <w:fldChar w:fldCharType="begin"/>
      </w:r>
      <w:r w:rsidR="00921D9C" w:rsidRPr="00037C61">
        <w:rPr>
          <w:rFonts w:cs="Calibri"/>
        </w:rPr>
        <w:instrText xml:space="preserve"> REF _Ref50114200 \h </w:instrText>
      </w:r>
      <w:r w:rsidR="00921D9C" w:rsidRPr="00037C61">
        <w:rPr>
          <w:rFonts w:cs="Calibri"/>
        </w:rPr>
      </w:r>
      <w:r w:rsidR="00921D9C" w:rsidRPr="00037C61">
        <w:rPr>
          <w:rFonts w:cs="Calibri"/>
        </w:rPr>
        <w:fldChar w:fldCharType="separate"/>
      </w:r>
      <w:r w:rsidR="00A633B8" w:rsidRPr="00037C61">
        <w:t xml:space="preserve">Figure </w:t>
      </w:r>
      <w:r w:rsidR="00A633B8" w:rsidRPr="00037C61">
        <w:rPr>
          <w:noProof/>
        </w:rPr>
        <w:t>7</w:t>
      </w:r>
      <w:r w:rsidR="00A633B8" w:rsidRPr="00037C61">
        <w:t xml:space="preserve"> - Distribution of population in the PA, based on the GEOSTAT Population Grid. </w:t>
      </w:r>
      <w:r w:rsidR="00921D9C" w:rsidRPr="00037C61">
        <w:rPr>
          <w:rFonts w:cs="Calibri"/>
        </w:rPr>
        <w:fldChar w:fldCharType="end"/>
      </w:r>
      <w:r w:rsidR="00921D9C" w:rsidRPr="00037C61">
        <w:rPr>
          <w:rFonts w:cs="Calibri"/>
        </w:rPr>
        <w:t xml:space="preserve">). These particularities, attributable partially to topography, generate </w:t>
      </w:r>
      <w:r w:rsidR="00921D9C" w:rsidRPr="00037C61">
        <w:rPr>
          <w:rFonts w:cs="Calibri"/>
          <w:b/>
        </w:rPr>
        <w:t xml:space="preserve">population density disparities </w:t>
      </w:r>
      <w:r w:rsidR="00921D9C" w:rsidRPr="00037C61">
        <w:rPr>
          <w:rFonts w:cs="Calibri"/>
        </w:rPr>
        <w:t xml:space="preserve">which can be observed between counties both in Hungarian and Romanian part. In the Hungarian PA, there is a disparity between </w:t>
      </w:r>
      <w:r w:rsidR="00921D9C" w:rsidRPr="00037C61">
        <w:t>Békés (60 inhabitants/km</w:t>
      </w:r>
      <w:r w:rsidR="00921D9C" w:rsidRPr="00037C61">
        <w:rPr>
          <w:rFonts w:cs="Calibri"/>
        </w:rPr>
        <w:t>²) and the rest of the counties that have population density higher with more than 25 points. Almost the same situation is in Romania, where Arad has a population density lower than the other counties with more than 20 points.</w:t>
      </w:r>
    </w:p>
    <w:p w14:paraId="12563A47" w14:textId="5CB1F899" w:rsidR="00921D9C" w:rsidRPr="00037C61" w:rsidRDefault="52230E0C" w:rsidP="00921D9C">
      <w:pPr>
        <w:pStyle w:val="Caption"/>
        <w:jc w:val="both"/>
        <w:rPr>
          <w:lang w:val="en-GB"/>
        </w:rPr>
      </w:pPr>
      <w:bookmarkStart w:id="108" w:name="_Toc50657524"/>
      <w:bookmarkStart w:id="109" w:name="_Toc64610959"/>
      <w:bookmarkStart w:id="110" w:name="_Ref5011420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w:t>
      </w:r>
      <w:r w:rsidR="00412697">
        <w:rPr>
          <w:lang w:val="en-GB"/>
        </w:rPr>
        <w:fldChar w:fldCharType="end"/>
      </w:r>
      <w:r w:rsidRPr="00037C61">
        <w:rPr>
          <w:lang w:val="en-GB"/>
        </w:rPr>
        <w:t xml:space="preserve"> - Distribution of population in the PA, based on the GEOSTAT Population Grid.</w:t>
      </w:r>
      <w:bookmarkEnd w:id="108"/>
      <w:bookmarkEnd w:id="109"/>
      <w:r w:rsidRPr="00037C61">
        <w:rPr>
          <w:lang w:val="en-GB"/>
        </w:rPr>
        <w:t xml:space="preserve"> </w:t>
      </w:r>
      <w:bookmarkEnd w:id="110"/>
    </w:p>
    <w:p w14:paraId="11067D17" w14:textId="77777777" w:rsidR="00921D9C" w:rsidRPr="00037C61" w:rsidRDefault="00921D9C" w:rsidP="00921D9C">
      <w:pPr>
        <w:pStyle w:val="Caption"/>
        <w:jc w:val="both"/>
        <w:rPr>
          <w:lang w:val="en-GB"/>
        </w:rPr>
      </w:pPr>
      <w:r w:rsidRPr="00037C61">
        <w:rPr>
          <w:lang w:val="en-GB"/>
        </w:rPr>
        <w:t xml:space="preserve">Source: EUROSTAT Regional Yearbook 2018. </w:t>
      </w:r>
    </w:p>
    <w:p w14:paraId="40F99B88" w14:textId="77777777" w:rsidR="00921D9C" w:rsidRPr="00037C61" w:rsidRDefault="00921D9C" w:rsidP="00921D9C">
      <w:pPr>
        <w:rPr>
          <w:lang w:val="en-GB"/>
        </w:rPr>
      </w:pPr>
    </w:p>
    <w:p w14:paraId="42D08D21" w14:textId="70521D39" w:rsidR="00921D9C" w:rsidRPr="00037C61" w:rsidRDefault="52230E0C" w:rsidP="00921D9C">
      <w:pPr>
        <w:pStyle w:val="InterregROHUBullet1"/>
        <w:numPr>
          <w:ilvl w:val="0"/>
          <w:numId w:val="0"/>
        </w:numPr>
        <w:rPr>
          <w:rFonts w:cs="Calibri"/>
        </w:rPr>
      </w:pPr>
      <w:r w:rsidRPr="00037C61">
        <w:rPr>
          <w:rFonts w:cs="Calibri"/>
        </w:rPr>
        <w:t xml:space="preserve">Taking into account the negative trend in the population dynamic in almost counties in the PA, the same trend could be observed also regarding population density. Only Timiș county has registered a positive trend in population density between 2009 and 2018 from 77.8 to 80.7 </w:t>
      </w:r>
      <w:r w:rsidRPr="00037C61">
        <w:t>inhabitants/km</w:t>
      </w:r>
      <w:r w:rsidRPr="00037C61">
        <w:rPr>
          <w:rFonts w:cs="Calibri"/>
        </w:rPr>
        <w:t>².</w:t>
      </w:r>
    </w:p>
    <w:p w14:paraId="55C30F8B" w14:textId="3E4F48F4" w:rsidR="00921D9C" w:rsidRPr="00037C61" w:rsidRDefault="00921D9C" w:rsidP="00921D9C">
      <w:pPr>
        <w:pStyle w:val="InterregROHUBullet1"/>
        <w:keepNext/>
        <w:numPr>
          <w:ilvl w:val="0"/>
          <w:numId w:val="0"/>
        </w:numPr>
        <w:spacing w:after="0"/>
      </w:pPr>
      <w:r w:rsidRPr="00037C61">
        <w:rPr>
          <w:noProof/>
          <w:lang w:val="ro-RO" w:eastAsia="ro-RO"/>
        </w:rPr>
        <w:drawing>
          <wp:inline distT="0" distB="0" distL="0" distR="0" wp14:anchorId="3EC0E9DD" wp14:editId="186854F0">
            <wp:extent cx="5257800" cy="6808402"/>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pic:nvPicPr>
                  <pic:blipFill>
                    <a:blip r:embed="rId45">
                      <a:extLst>
                        <a:ext uri="{28A0092B-C50C-407E-A947-70E740481C1C}">
                          <a14:useLocalDpi xmlns:a14="http://schemas.microsoft.com/office/drawing/2010/main"/>
                        </a:ext>
                      </a:extLst>
                    </a:blip>
                    <a:stretch>
                      <a:fillRect/>
                    </a:stretch>
                  </pic:blipFill>
                  <pic:spPr>
                    <a:xfrm>
                      <a:off x="0" y="0"/>
                      <a:ext cx="5257800" cy="6808402"/>
                    </a:xfrm>
                    <a:prstGeom prst="rect">
                      <a:avLst/>
                    </a:prstGeom>
                  </pic:spPr>
                </pic:pic>
              </a:graphicData>
            </a:graphic>
          </wp:inline>
        </w:drawing>
      </w:r>
    </w:p>
    <w:p w14:paraId="37381832" w14:textId="6A0B6F63" w:rsidR="00921D9C" w:rsidRPr="00037C61" w:rsidRDefault="00921D9C" w:rsidP="00921D9C">
      <w:pPr>
        <w:pStyle w:val="Caption"/>
        <w:jc w:val="both"/>
        <w:rPr>
          <w:lang w:val="en-GB"/>
        </w:rPr>
      </w:pPr>
      <w:bookmarkStart w:id="111" w:name="_Ref52976973"/>
      <w:bookmarkStart w:id="112" w:name="_Toc50657525"/>
      <w:bookmarkStart w:id="113" w:name="_Toc6461096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w:t>
      </w:r>
      <w:r w:rsidR="00412697">
        <w:rPr>
          <w:lang w:val="en-GB"/>
        </w:rPr>
        <w:fldChar w:fldCharType="end"/>
      </w:r>
      <w:r w:rsidRPr="00037C61">
        <w:rPr>
          <w:lang w:val="en-GB"/>
        </w:rPr>
        <w:t xml:space="preserve"> - Population density at LAU 2 level (2018).</w:t>
      </w:r>
      <w:bookmarkEnd w:id="111"/>
      <w:bookmarkEnd w:id="112"/>
      <w:bookmarkEnd w:id="113"/>
      <w:r w:rsidRPr="00037C61">
        <w:rPr>
          <w:lang w:val="en-GB"/>
        </w:rPr>
        <w:t xml:space="preserve"> </w:t>
      </w:r>
    </w:p>
    <w:p w14:paraId="7E0501B0" w14:textId="34CF1A68" w:rsidR="00921D9C" w:rsidRPr="00037C61" w:rsidRDefault="00921D9C" w:rsidP="00921D9C">
      <w:pPr>
        <w:pStyle w:val="Caption"/>
        <w:jc w:val="both"/>
        <w:rPr>
          <w:lang w:val="en-GB"/>
        </w:rPr>
      </w:pPr>
      <w:r w:rsidRPr="00037C61">
        <w:rPr>
          <w:lang w:val="en-GB"/>
        </w:rPr>
        <w:t>Source: KSH, INS</w:t>
      </w:r>
    </w:p>
    <w:p w14:paraId="0834D5C9" w14:textId="6DFA36DD" w:rsidR="00B665F5" w:rsidRPr="00037C61" w:rsidRDefault="00B665F5" w:rsidP="00B665F5">
      <w:pPr>
        <w:rPr>
          <w:lang w:val="en-GB"/>
        </w:rPr>
      </w:pPr>
    </w:p>
    <w:p w14:paraId="211EC0BD" w14:textId="03CD77DD" w:rsidR="00921D9C" w:rsidRPr="00037C61" w:rsidRDefault="00921D9C" w:rsidP="00921D9C">
      <w:pPr>
        <w:pStyle w:val="Heading4"/>
        <w:rPr>
          <w:lang w:val="en-GB"/>
        </w:rPr>
      </w:pPr>
      <w:r w:rsidRPr="00037C61">
        <w:rPr>
          <w:lang w:val="en-GB"/>
        </w:rPr>
        <w:lastRenderedPageBreak/>
        <w:t>Population by degree of urbanisation</w:t>
      </w:r>
    </w:p>
    <w:p w14:paraId="715F592A" w14:textId="0A03060F" w:rsidR="30EED610" w:rsidRPr="00037C61" w:rsidRDefault="30EED610" w:rsidP="005E0849">
      <w:pPr>
        <w:pStyle w:val="ListParagraph"/>
        <w:spacing w:line="257" w:lineRule="auto"/>
        <w:ind w:left="0"/>
        <w:rPr>
          <w:rFonts w:asciiTheme="minorHAnsi" w:eastAsiaTheme="minorEastAsia" w:hAnsiTheme="minorHAnsi" w:cstheme="minorBidi"/>
          <w:lang w:val="en-GB"/>
        </w:rPr>
      </w:pPr>
      <w:r w:rsidRPr="00037C61">
        <w:rPr>
          <w:lang w:val="en-GB"/>
        </w:rPr>
        <w:t xml:space="preserve">Urban population counts 2,544,696 people with permanent residence (62% of the total population of the PA) out of which 1,323,230 (52% of the total urban population) are in Hungary and 1,221,466 in Romania (48% of the total urban population). The Hungarian counties from the PA have a </w:t>
      </w:r>
      <w:r w:rsidRPr="00037C61">
        <w:rPr>
          <w:b/>
          <w:bCs/>
          <w:lang w:val="en-GB"/>
        </w:rPr>
        <w:t>higher degree of urbanisation</w:t>
      </w:r>
      <w:r w:rsidRPr="00037C61">
        <w:rPr>
          <w:lang w:val="en-GB"/>
        </w:rPr>
        <w:t xml:space="preserve">, with 70% urban population, while the counties from Romania have 55% urban and 45% rural population. </w:t>
      </w:r>
      <w:r w:rsidRPr="00037C61">
        <w:rPr>
          <w:rFonts w:cs="Calibri"/>
          <w:lang w:val="en-GB"/>
        </w:rPr>
        <w:t xml:space="preserve">These </w:t>
      </w:r>
      <w:r w:rsidRPr="00037C61">
        <w:rPr>
          <w:rFonts w:cs="Calibri"/>
          <w:b/>
          <w:bCs/>
          <w:lang w:val="en-GB"/>
        </w:rPr>
        <w:t>disparities between urban and rural population</w:t>
      </w:r>
      <w:r w:rsidRPr="00037C61">
        <w:rPr>
          <w:rFonts w:cs="Calibri"/>
          <w:lang w:val="en-GB"/>
        </w:rPr>
        <w:t xml:space="preserve"> are in line with the national trends – in Hungary the urban population represents 72% while rural population is 28% and in Romania 56% of the population is in urban areas and 44% in rural ones.</w:t>
      </w:r>
    </w:p>
    <w:p w14:paraId="633464D6" w14:textId="0992A74D" w:rsidR="00450ED0" w:rsidRPr="00037C61" w:rsidRDefault="30EED610">
      <w:pPr>
        <w:pStyle w:val="ListParagraph"/>
        <w:spacing w:line="257" w:lineRule="auto"/>
        <w:ind w:left="0"/>
        <w:rPr>
          <w:lang w:val="en-GB"/>
        </w:rPr>
      </w:pPr>
      <w:r w:rsidRPr="00037C61">
        <w:rPr>
          <w:lang w:val="en-GB"/>
        </w:rPr>
        <w:t xml:space="preserve">Intra-regionally, in the Hungarian PA the percentage of urban population varies from 53% (Szabolcs-Szatmár-Bereg) to 79% (Hajdú-Bihar), while in the Romanian area the variation amplitude is lower, ranging from 48% in Satu Mare to 60% urban population in Timiș. </w:t>
      </w:r>
      <w:r w:rsidRPr="00037C61">
        <w:rPr>
          <w:rFonts w:cs="Calibri"/>
          <w:lang w:val="en-GB"/>
        </w:rPr>
        <w:t xml:space="preserve">This large proportion of rural population in Romanian counties of PA implies </w:t>
      </w:r>
      <w:r w:rsidRPr="00037C61">
        <w:rPr>
          <w:rFonts w:cs="Calibri"/>
          <w:b/>
          <w:bCs/>
          <w:lang w:val="en-GB"/>
        </w:rPr>
        <w:t>a greater concern for ensuring its access to public services</w:t>
      </w:r>
      <w:r w:rsidRPr="00037C61">
        <w:rPr>
          <w:rFonts w:cs="Calibri"/>
          <w:lang w:val="en-GB"/>
        </w:rPr>
        <w:t xml:space="preserve"> according to their needs like education, health, social protection, utilities, transport and so on.  </w:t>
      </w:r>
      <w:r w:rsidR="00450ED0" w:rsidRPr="00037C61">
        <w:rPr>
          <w:lang w:val="en-GB"/>
        </w:rPr>
        <w:t>Th</w:t>
      </w:r>
      <w:r w:rsidRPr="00037C61">
        <w:rPr>
          <w:lang w:val="en-GB"/>
        </w:rPr>
        <w:t xml:space="preserve">e proportion of </w:t>
      </w:r>
      <w:r w:rsidRPr="00037C61">
        <w:rPr>
          <w:b/>
          <w:bCs/>
          <w:lang w:val="en-GB"/>
        </w:rPr>
        <w:t>rural population</w:t>
      </w:r>
      <w:r w:rsidRPr="00037C61">
        <w:rPr>
          <w:lang w:val="en-GB"/>
        </w:rPr>
        <w:t xml:space="preserve"> </w:t>
      </w:r>
      <w:r w:rsidR="00450ED0" w:rsidRPr="00037C61">
        <w:rPr>
          <w:lang w:val="en-GB"/>
        </w:rPr>
        <w:t xml:space="preserve">in Romania </w:t>
      </w:r>
      <w:r w:rsidRPr="00037C61">
        <w:rPr>
          <w:lang w:val="en-GB"/>
        </w:rPr>
        <w:t>is between 40% in Timiș and 52% in Satu Mare, which is the single county having a predominantly rural population (</w:t>
      </w:r>
      <w:r w:rsidR="52230E0C" w:rsidRPr="00037C61">
        <w:rPr>
          <w:lang w:val="en-GB"/>
        </w:rPr>
        <w:fldChar w:fldCharType="begin"/>
      </w:r>
      <w:r w:rsidR="52230E0C" w:rsidRPr="00037C61">
        <w:rPr>
          <w:lang w:val="en-GB"/>
        </w:rPr>
        <w:instrText xml:space="preserve"> REF _Ref49858427 \h </w:instrText>
      </w:r>
      <w:r w:rsidR="52230E0C" w:rsidRPr="00037C61">
        <w:rPr>
          <w:lang w:val="en-GB"/>
        </w:rPr>
      </w:r>
      <w:r w:rsidR="52230E0C" w:rsidRPr="00037C61">
        <w:rPr>
          <w:lang w:val="en-GB"/>
        </w:rPr>
        <w:fldChar w:fldCharType="separate"/>
      </w:r>
      <w:r w:rsidR="00AB0DFE" w:rsidRPr="00037C61">
        <w:rPr>
          <w:lang w:val="en-GB"/>
        </w:rPr>
        <w:t xml:space="preserve">Table </w:t>
      </w:r>
      <w:r w:rsidR="00AB0DFE">
        <w:rPr>
          <w:noProof/>
          <w:lang w:val="en-GB"/>
        </w:rPr>
        <w:t>3</w:t>
      </w:r>
      <w:r w:rsidR="52230E0C" w:rsidRPr="00037C61">
        <w:rPr>
          <w:lang w:val="en-GB"/>
        </w:rPr>
        <w:fldChar w:fldCharType="end"/>
      </w:r>
      <w:r w:rsidRPr="00037C61">
        <w:rPr>
          <w:lang w:val="en-GB"/>
        </w:rPr>
        <w:t xml:space="preserve">). </w:t>
      </w:r>
      <w:r w:rsidR="00450ED0" w:rsidRPr="00037C61">
        <w:rPr>
          <w:lang w:val="en-GB"/>
        </w:rPr>
        <w:t xml:space="preserve">This figure ranges between 21% in Hajdu-Bihar and 47% in Szabolcs-Szatmár-Bereg. </w:t>
      </w:r>
    </w:p>
    <w:p w14:paraId="20CC80EE" w14:textId="516157D7" w:rsidR="00921D9C" w:rsidRPr="00037C61" w:rsidRDefault="30EED610" w:rsidP="005E0849">
      <w:pPr>
        <w:rPr>
          <w:lang w:val="en-GB"/>
        </w:rPr>
      </w:pPr>
      <w:r w:rsidRPr="00037C61">
        <w:rPr>
          <w:lang w:val="en-GB"/>
        </w:rPr>
        <w:t xml:space="preserve">In the last 10 years (2009 – 2018) both urban and rural population have decreased in the counties from PA, with two exceptions - Szabolcs-Szatmár-Bereg and Timiș. In these two counties the rural population has increased, in Szabolcs-Szatmár-Bereg with 4,503 persons (0.83% increase) and in Timiș with 32,974 persons (3.1% increase). </w:t>
      </w:r>
      <w:r w:rsidR="00450ED0" w:rsidRPr="00037C61">
        <w:rPr>
          <w:lang w:val="en-GB"/>
        </w:rPr>
        <w:t xml:space="preserve">This high proportion of rural population in Timiș region is due to the </w:t>
      </w:r>
      <w:r w:rsidR="00450ED0" w:rsidRPr="00037C61">
        <w:rPr>
          <w:b/>
          <w:bCs/>
          <w:lang w:val="en-GB"/>
        </w:rPr>
        <w:t>peri-urbanisation phenomenon</w:t>
      </w:r>
      <w:r w:rsidR="00450ED0" w:rsidRPr="00037C61">
        <w:rPr>
          <w:lang w:val="en-GB"/>
        </w:rPr>
        <w:t xml:space="preserve"> supported by the </w:t>
      </w:r>
      <w:r w:rsidR="00450ED0" w:rsidRPr="00037C61">
        <w:rPr>
          <w:b/>
          <w:bCs/>
          <w:lang w:val="en-GB"/>
        </w:rPr>
        <w:t>Growth Pole policy in Romania</w:t>
      </w:r>
      <w:r w:rsidR="00450ED0" w:rsidRPr="00037C61">
        <w:rPr>
          <w:lang w:val="en-GB"/>
        </w:rPr>
        <w:t xml:space="preserve"> which made the development of a metropolitan association mandatory in order to access structural funding, through GD 998/2008). </w:t>
      </w:r>
    </w:p>
    <w:p w14:paraId="607AE700" w14:textId="6E1B7C73" w:rsidR="00921D9C" w:rsidRPr="00037C61" w:rsidRDefault="00921D9C" w:rsidP="00921D9C">
      <w:pPr>
        <w:pStyle w:val="Caption"/>
        <w:jc w:val="both"/>
        <w:rPr>
          <w:lang w:val="en-GB"/>
        </w:rPr>
      </w:pPr>
      <w:bookmarkStart w:id="114" w:name="_Ref49858427"/>
      <w:bookmarkStart w:id="115" w:name="_Toc50584197"/>
      <w:bookmarkStart w:id="116" w:name="_Toc58237626"/>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3</w:t>
      </w:r>
      <w:r w:rsidRPr="00037C61">
        <w:rPr>
          <w:lang w:val="en-GB"/>
        </w:rPr>
        <w:fldChar w:fldCharType="end"/>
      </w:r>
      <w:bookmarkEnd w:id="114"/>
      <w:r w:rsidR="00EA5E72" w:rsidRPr="00037C61">
        <w:rPr>
          <w:lang w:val="en-GB"/>
        </w:rPr>
        <w:t xml:space="preserve"> - </w:t>
      </w:r>
      <w:r w:rsidRPr="00037C61">
        <w:rPr>
          <w:lang w:val="en-GB"/>
        </w:rPr>
        <w:t>Population by degree of urbanisation and urban and rural administrative units</w:t>
      </w:r>
      <w:bookmarkEnd w:id="115"/>
      <w:bookmarkEnd w:id="116"/>
      <w:r w:rsidR="00CA115C">
        <w:rPr>
          <w:lang w:val="en-GB"/>
        </w:rPr>
        <w:t xml:space="preserve"> (2018)</w:t>
      </w:r>
    </w:p>
    <w:p w14:paraId="078ACA08" w14:textId="2CCDB718" w:rsidR="00921D9C" w:rsidRPr="00037C61" w:rsidRDefault="00921D9C" w:rsidP="0097175D">
      <w:pPr>
        <w:pStyle w:val="Caption"/>
        <w:jc w:val="both"/>
        <w:rPr>
          <w:lang w:val="en-GB"/>
        </w:rPr>
      </w:pPr>
    </w:p>
    <w:tbl>
      <w:tblPr>
        <w:tblW w:w="9002"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1615"/>
        <w:gridCol w:w="1260"/>
        <w:gridCol w:w="1219"/>
        <w:gridCol w:w="1218"/>
        <w:gridCol w:w="1253"/>
        <w:gridCol w:w="1219"/>
        <w:gridCol w:w="1218"/>
      </w:tblGrid>
      <w:tr w:rsidR="0097175D" w:rsidRPr="00037C61" w14:paraId="062604BE" w14:textId="440CCA11" w:rsidTr="00204288">
        <w:trPr>
          <w:trHeight w:val="144"/>
        </w:trPr>
        <w:tc>
          <w:tcPr>
            <w:tcW w:w="1615" w:type="dxa"/>
            <w:tcBorders>
              <w:top w:val="single" w:sz="4" w:space="0" w:color="034FA3" w:themeColor="accent1"/>
              <w:left w:val="single" w:sz="4" w:space="0" w:color="034FA3" w:themeColor="accent1"/>
              <w:bottom w:val="nil"/>
              <w:right w:val="nil"/>
            </w:tcBorders>
            <w:shd w:val="clear" w:color="auto" w:fill="034FA3" w:themeFill="accent1"/>
            <w:hideMark/>
          </w:tcPr>
          <w:p w14:paraId="273C5F61" w14:textId="73C7A53C" w:rsidR="0097175D" w:rsidRPr="00037C61" w:rsidRDefault="0097175D" w:rsidP="00204288">
            <w:pPr>
              <w:pStyle w:val="InterregROHUBullet1"/>
              <w:numPr>
                <w:ilvl w:val="0"/>
                <w:numId w:val="0"/>
              </w:numPr>
              <w:spacing w:after="0"/>
              <w:rPr>
                <w:b/>
                <w:bCs w:val="0"/>
                <w:color w:val="FFFFFF" w:themeColor="background1"/>
              </w:rPr>
            </w:pPr>
            <w:r w:rsidRPr="00037C61">
              <w:rPr>
                <w:b/>
                <w:bCs w:val="0"/>
                <w:color w:val="FFFFFF" w:themeColor="background1"/>
              </w:rPr>
              <w:t>County</w:t>
            </w:r>
          </w:p>
        </w:tc>
        <w:tc>
          <w:tcPr>
            <w:tcW w:w="1260" w:type="dxa"/>
            <w:tcBorders>
              <w:top w:val="single" w:sz="4" w:space="0" w:color="034FA3" w:themeColor="accent1"/>
              <w:left w:val="nil"/>
              <w:bottom w:val="nil"/>
              <w:right w:val="nil"/>
            </w:tcBorders>
            <w:shd w:val="clear" w:color="auto" w:fill="034FA3" w:themeFill="accent1"/>
            <w:hideMark/>
          </w:tcPr>
          <w:p w14:paraId="5223E182" w14:textId="1D9A6163"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Urban adm. units</w:t>
            </w:r>
          </w:p>
        </w:tc>
        <w:tc>
          <w:tcPr>
            <w:tcW w:w="1219" w:type="dxa"/>
            <w:tcBorders>
              <w:top w:val="single" w:sz="4" w:space="0" w:color="034FA3" w:themeColor="accent1"/>
              <w:left w:val="nil"/>
              <w:bottom w:val="nil"/>
              <w:right w:val="nil"/>
            </w:tcBorders>
            <w:shd w:val="clear" w:color="auto" w:fill="034FA3" w:themeFill="accent1"/>
            <w:hideMark/>
          </w:tcPr>
          <w:p w14:paraId="458F06D4" w14:textId="237275C4"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Urban population</w:t>
            </w:r>
          </w:p>
        </w:tc>
        <w:tc>
          <w:tcPr>
            <w:tcW w:w="1218" w:type="dxa"/>
            <w:tcBorders>
              <w:top w:val="single" w:sz="4" w:space="0" w:color="034FA3" w:themeColor="accent1"/>
              <w:left w:val="nil"/>
              <w:bottom w:val="nil"/>
              <w:right w:val="nil"/>
            </w:tcBorders>
            <w:shd w:val="clear" w:color="auto" w:fill="034FA3" w:themeFill="accent1"/>
            <w:hideMark/>
          </w:tcPr>
          <w:p w14:paraId="1B05BB40" w14:textId="0926263F"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 of urban population</w:t>
            </w:r>
          </w:p>
        </w:tc>
        <w:tc>
          <w:tcPr>
            <w:tcW w:w="1253" w:type="dxa"/>
            <w:tcBorders>
              <w:top w:val="single" w:sz="4" w:space="0" w:color="034FA3" w:themeColor="accent1"/>
              <w:left w:val="nil"/>
              <w:bottom w:val="nil"/>
              <w:right w:val="nil"/>
            </w:tcBorders>
            <w:shd w:val="clear" w:color="auto" w:fill="034FA3" w:themeFill="accent1"/>
            <w:hideMark/>
          </w:tcPr>
          <w:p w14:paraId="45ED3D9F" w14:textId="6F6880FB"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Rural</w:t>
            </w:r>
          </w:p>
          <w:p w14:paraId="3961DF85" w14:textId="1B3FFFFE"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 xml:space="preserve"> adm. units</w:t>
            </w:r>
          </w:p>
        </w:tc>
        <w:tc>
          <w:tcPr>
            <w:tcW w:w="1219" w:type="dxa"/>
            <w:tcBorders>
              <w:top w:val="single" w:sz="4" w:space="0" w:color="034FA3" w:themeColor="accent1"/>
              <w:left w:val="nil"/>
              <w:bottom w:val="nil"/>
              <w:right w:val="nil"/>
            </w:tcBorders>
            <w:shd w:val="clear" w:color="auto" w:fill="034FA3" w:themeFill="accent1"/>
            <w:hideMark/>
          </w:tcPr>
          <w:p w14:paraId="7AC8B439" w14:textId="6E47A04E"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Rural population</w:t>
            </w:r>
          </w:p>
        </w:tc>
        <w:tc>
          <w:tcPr>
            <w:tcW w:w="1218" w:type="dxa"/>
            <w:tcBorders>
              <w:top w:val="single" w:sz="4" w:space="0" w:color="034FA3" w:themeColor="accent1"/>
              <w:left w:val="nil"/>
              <w:bottom w:val="nil"/>
              <w:right w:val="single" w:sz="4" w:space="0" w:color="034FA3" w:themeColor="accent1"/>
            </w:tcBorders>
            <w:shd w:val="clear" w:color="auto" w:fill="034FA3" w:themeFill="accent1"/>
            <w:hideMark/>
          </w:tcPr>
          <w:p w14:paraId="00B6F6C8" w14:textId="15179070" w:rsidR="0097175D" w:rsidRPr="00037C61" w:rsidRDefault="0097175D" w:rsidP="00204288">
            <w:pPr>
              <w:pStyle w:val="InterregROHUBullet1"/>
              <w:numPr>
                <w:ilvl w:val="0"/>
                <w:numId w:val="0"/>
              </w:numPr>
              <w:spacing w:after="0"/>
              <w:jc w:val="center"/>
              <w:rPr>
                <w:b/>
                <w:bCs w:val="0"/>
                <w:color w:val="FFFFFF" w:themeColor="background1"/>
              </w:rPr>
            </w:pPr>
            <w:r w:rsidRPr="00037C61">
              <w:rPr>
                <w:b/>
                <w:bCs w:val="0"/>
                <w:color w:val="FFFFFF" w:themeColor="background1"/>
              </w:rPr>
              <w:t>% of rural population</w:t>
            </w:r>
          </w:p>
        </w:tc>
      </w:tr>
      <w:tr w:rsidR="0097175D" w:rsidRPr="00037C61" w14:paraId="491C2D3F" w14:textId="163EFC3E"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7B909555" w14:textId="4C3E46E9"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Hajdú-Bihar</w:t>
            </w:r>
          </w:p>
        </w:tc>
        <w:tc>
          <w:tcPr>
            <w:tcW w:w="1260" w:type="dxa"/>
            <w:tcBorders>
              <w:top w:val="single" w:sz="4" w:space="0" w:color="034FA3" w:themeColor="accent1"/>
              <w:left w:val="nil"/>
              <w:bottom w:val="single" w:sz="4" w:space="0" w:color="034FA3" w:themeColor="accent1"/>
              <w:right w:val="nil"/>
            </w:tcBorders>
            <w:hideMark/>
          </w:tcPr>
          <w:p w14:paraId="74BDDEEF" w14:textId="259454A8" w:rsidR="0097175D" w:rsidRPr="00037C61" w:rsidRDefault="0097175D" w:rsidP="00204288">
            <w:pPr>
              <w:pStyle w:val="InterregROHUBullet1"/>
              <w:numPr>
                <w:ilvl w:val="0"/>
                <w:numId w:val="0"/>
              </w:numPr>
              <w:spacing w:after="0"/>
              <w:jc w:val="center"/>
              <w:rPr>
                <w:sz w:val="20"/>
                <w:szCs w:val="20"/>
              </w:rPr>
            </w:pPr>
            <w:r w:rsidRPr="00037C61">
              <w:rPr>
                <w:sz w:val="20"/>
                <w:szCs w:val="20"/>
              </w:rPr>
              <w:t>21</w:t>
            </w:r>
          </w:p>
        </w:tc>
        <w:tc>
          <w:tcPr>
            <w:tcW w:w="1219" w:type="dxa"/>
            <w:tcBorders>
              <w:top w:val="single" w:sz="4" w:space="0" w:color="034FA3" w:themeColor="accent1"/>
              <w:left w:val="nil"/>
              <w:bottom w:val="single" w:sz="4" w:space="0" w:color="034FA3" w:themeColor="accent1"/>
              <w:right w:val="nil"/>
            </w:tcBorders>
            <w:hideMark/>
          </w:tcPr>
          <w:p w14:paraId="331E7DEC" w14:textId="4A821406" w:rsidR="0097175D" w:rsidRPr="00037C61" w:rsidRDefault="0097175D" w:rsidP="00204288">
            <w:pPr>
              <w:pStyle w:val="InterregROHUBullet1"/>
              <w:numPr>
                <w:ilvl w:val="0"/>
                <w:numId w:val="0"/>
              </w:numPr>
              <w:spacing w:after="0"/>
              <w:jc w:val="center"/>
              <w:rPr>
                <w:sz w:val="20"/>
                <w:szCs w:val="20"/>
              </w:rPr>
            </w:pPr>
            <w:r w:rsidRPr="00037C61">
              <w:rPr>
                <w:sz w:val="20"/>
                <w:szCs w:val="20"/>
              </w:rPr>
              <w:t>433148</w:t>
            </w:r>
          </w:p>
        </w:tc>
        <w:tc>
          <w:tcPr>
            <w:tcW w:w="1218" w:type="dxa"/>
            <w:tcBorders>
              <w:top w:val="single" w:sz="4" w:space="0" w:color="034FA3" w:themeColor="accent1"/>
              <w:left w:val="nil"/>
              <w:bottom w:val="single" w:sz="4" w:space="0" w:color="034FA3" w:themeColor="accent1"/>
              <w:right w:val="nil"/>
            </w:tcBorders>
            <w:hideMark/>
          </w:tcPr>
          <w:p w14:paraId="33D18D65" w14:textId="6CCB787F" w:rsidR="0097175D" w:rsidRPr="00037C61" w:rsidRDefault="0097175D" w:rsidP="00204288">
            <w:pPr>
              <w:pStyle w:val="InterregROHUBullet1"/>
              <w:numPr>
                <w:ilvl w:val="0"/>
                <w:numId w:val="0"/>
              </w:numPr>
              <w:spacing w:after="0"/>
              <w:jc w:val="center"/>
              <w:rPr>
                <w:sz w:val="20"/>
                <w:szCs w:val="20"/>
              </w:rPr>
            </w:pPr>
            <w:r w:rsidRPr="00037C61">
              <w:rPr>
                <w:sz w:val="20"/>
                <w:szCs w:val="20"/>
              </w:rPr>
              <w:t>79%</w:t>
            </w:r>
          </w:p>
        </w:tc>
        <w:tc>
          <w:tcPr>
            <w:tcW w:w="1253" w:type="dxa"/>
            <w:tcBorders>
              <w:top w:val="single" w:sz="4" w:space="0" w:color="034FA3" w:themeColor="accent1"/>
              <w:left w:val="nil"/>
              <w:bottom w:val="single" w:sz="4" w:space="0" w:color="034FA3" w:themeColor="accent1"/>
              <w:right w:val="nil"/>
            </w:tcBorders>
            <w:hideMark/>
          </w:tcPr>
          <w:p w14:paraId="092A1A2F" w14:textId="610409D6" w:rsidR="0097175D" w:rsidRPr="00037C61" w:rsidRDefault="0097175D" w:rsidP="00204288">
            <w:pPr>
              <w:pStyle w:val="InterregROHUBullet1"/>
              <w:numPr>
                <w:ilvl w:val="0"/>
                <w:numId w:val="0"/>
              </w:numPr>
              <w:spacing w:after="0"/>
              <w:jc w:val="center"/>
              <w:rPr>
                <w:sz w:val="20"/>
                <w:szCs w:val="20"/>
              </w:rPr>
            </w:pPr>
            <w:r w:rsidRPr="00037C61">
              <w:rPr>
                <w:sz w:val="20"/>
                <w:szCs w:val="20"/>
              </w:rPr>
              <w:t>61</w:t>
            </w:r>
          </w:p>
        </w:tc>
        <w:tc>
          <w:tcPr>
            <w:tcW w:w="1219" w:type="dxa"/>
            <w:tcBorders>
              <w:top w:val="single" w:sz="4" w:space="0" w:color="034FA3" w:themeColor="accent1"/>
              <w:left w:val="nil"/>
              <w:bottom w:val="single" w:sz="4" w:space="0" w:color="034FA3" w:themeColor="accent1"/>
              <w:right w:val="nil"/>
            </w:tcBorders>
            <w:hideMark/>
          </w:tcPr>
          <w:p w14:paraId="2F3B4349" w14:textId="044EA87C" w:rsidR="0097175D" w:rsidRPr="00037C61" w:rsidRDefault="0097175D" w:rsidP="00204288">
            <w:pPr>
              <w:pStyle w:val="InterregROHUBullet1"/>
              <w:numPr>
                <w:ilvl w:val="0"/>
                <w:numId w:val="0"/>
              </w:numPr>
              <w:spacing w:after="0"/>
              <w:jc w:val="center"/>
              <w:rPr>
                <w:sz w:val="20"/>
                <w:szCs w:val="20"/>
              </w:rPr>
            </w:pPr>
            <w:r w:rsidRPr="00037C61">
              <w:rPr>
                <w:sz w:val="20"/>
                <w:szCs w:val="20"/>
              </w:rPr>
              <w:t>111849</w:t>
            </w:r>
          </w:p>
        </w:tc>
        <w:tc>
          <w:tcPr>
            <w:tcW w:w="1218" w:type="dxa"/>
            <w:tcBorders>
              <w:top w:val="single" w:sz="4" w:space="0" w:color="034FA3" w:themeColor="accent1"/>
              <w:left w:val="nil"/>
              <w:bottom w:val="single" w:sz="4" w:space="0" w:color="034FA3" w:themeColor="accent1"/>
              <w:right w:val="single" w:sz="4" w:space="0" w:color="034FA3" w:themeColor="accent1"/>
            </w:tcBorders>
            <w:hideMark/>
          </w:tcPr>
          <w:p w14:paraId="0F910291" w14:textId="658ABB44" w:rsidR="0097175D" w:rsidRPr="00037C61" w:rsidRDefault="0097175D" w:rsidP="00204288">
            <w:pPr>
              <w:pStyle w:val="InterregROHUBullet1"/>
              <w:numPr>
                <w:ilvl w:val="0"/>
                <w:numId w:val="0"/>
              </w:numPr>
              <w:spacing w:after="0"/>
              <w:jc w:val="center"/>
              <w:rPr>
                <w:sz w:val="20"/>
                <w:szCs w:val="20"/>
              </w:rPr>
            </w:pPr>
            <w:r w:rsidRPr="00037C61">
              <w:rPr>
                <w:sz w:val="20"/>
                <w:szCs w:val="20"/>
              </w:rPr>
              <w:t>21%</w:t>
            </w:r>
          </w:p>
        </w:tc>
      </w:tr>
      <w:tr w:rsidR="0097175D" w:rsidRPr="00037C61" w14:paraId="51DCF734" w14:textId="72D136A3" w:rsidTr="00204288">
        <w:trPr>
          <w:trHeight w:val="144"/>
        </w:trPr>
        <w:tc>
          <w:tcPr>
            <w:tcW w:w="1615" w:type="dxa"/>
            <w:tcBorders>
              <w:top w:val="nil"/>
              <w:left w:val="single" w:sz="4" w:space="0" w:color="034FA3" w:themeColor="accent1"/>
              <w:bottom w:val="nil"/>
              <w:right w:val="nil"/>
            </w:tcBorders>
            <w:shd w:val="clear" w:color="auto" w:fill="FFFFFF" w:themeFill="background1"/>
            <w:hideMark/>
          </w:tcPr>
          <w:p w14:paraId="5900A90B" w14:textId="331DFE13"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Szabolcs-Szatmár-Bereg</w:t>
            </w:r>
          </w:p>
        </w:tc>
        <w:tc>
          <w:tcPr>
            <w:tcW w:w="1260" w:type="dxa"/>
            <w:tcBorders>
              <w:top w:val="nil"/>
              <w:left w:val="nil"/>
              <w:bottom w:val="nil"/>
              <w:right w:val="nil"/>
            </w:tcBorders>
            <w:hideMark/>
          </w:tcPr>
          <w:p w14:paraId="0961FF10" w14:textId="0DA33F77" w:rsidR="0097175D" w:rsidRPr="00037C61" w:rsidRDefault="0097175D" w:rsidP="00204288">
            <w:pPr>
              <w:pStyle w:val="InterregROHUBullet1"/>
              <w:numPr>
                <w:ilvl w:val="0"/>
                <w:numId w:val="0"/>
              </w:numPr>
              <w:spacing w:after="0"/>
              <w:jc w:val="center"/>
              <w:rPr>
                <w:sz w:val="20"/>
                <w:szCs w:val="20"/>
              </w:rPr>
            </w:pPr>
            <w:r w:rsidRPr="00037C61">
              <w:rPr>
                <w:sz w:val="20"/>
                <w:szCs w:val="20"/>
              </w:rPr>
              <w:t>28</w:t>
            </w:r>
          </w:p>
        </w:tc>
        <w:tc>
          <w:tcPr>
            <w:tcW w:w="1219" w:type="dxa"/>
            <w:tcBorders>
              <w:top w:val="nil"/>
              <w:left w:val="nil"/>
              <w:bottom w:val="nil"/>
              <w:right w:val="nil"/>
            </w:tcBorders>
            <w:hideMark/>
          </w:tcPr>
          <w:p w14:paraId="0F82CA27" w14:textId="3ADC5C62" w:rsidR="0097175D" w:rsidRPr="00037C61" w:rsidRDefault="0097175D" w:rsidP="00204288">
            <w:pPr>
              <w:pStyle w:val="InterregROHUBullet1"/>
              <w:numPr>
                <w:ilvl w:val="0"/>
                <w:numId w:val="0"/>
              </w:numPr>
              <w:spacing w:after="0"/>
              <w:jc w:val="center"/>
              <w:rPr>
                <w:sz w:val="20"/>
                <w:szCs w:val="20"/>
              </w:rPr>
            </w:pPr>
            <w:r w:rsidRPr="00037C61">
              <w:rPr>
                <w:sz w:val="20"/>
                <w:szCs w:val="20"/>
              </w:rPr>
              <w:t>311540</w:t>
            </w:r>
          </w:p>
        </w:tc>
        <w:tc>
          <w:tcPr>
            <w:tcW w:w="1218" w:type="dxa"/>
            <w:tcBorders>
              <w:top w:val="nil"/>
              <w:left w:val="nil"/>
              <w:bottom w:val="nil"/>
              <w:right w:val="nil"/>
            </w:tcBorders>
            <w:hideMark/>
          </w:tcPr>
          <w:p w14:paraId="2791FCA2" w14:textId="11964D91" w:rsidR="0097175D" w:rsidRPr="00037C61" w:rsidRDefault="0097175D" w:rsidP="00204288">
            <w:pPr>
              <w:pStyle w:val="InterregROHUBullet1"/>
              <w:numPr>
                <w:ilvl w:val="0"/>
                <w:numId w:val="0"/>
              </w:numPr>
              <w:spacing w:after="0"/>
              <w:jc w:val="center"/>
              <w:rPr>
                <w:sz w:val="20"/>
                <w:szCs w:val="20"/>
              </w:rPr>
            </w:pPr>
            <w:r w:rsidRPr="00037C61">
              <w:rPr>
                <w:sz w:val="20"/>
                <w:szCs w:val="20"/>
              </w:rPr>
              <w:t>53%</w:t>
            </w:r>
          </w:p>
        </w:tc>
        <w:tc>
          <w:tcPr>
            <w:tcW w:w="1253" w:type="dxa"/>
            <w:tcBorders>
              <w:top w:val="nil"/>
              <w:left w:val="nil"/>
              <w:bottom w:val="nil"/>
              <w:right w:val="nil"/>
            </w:tcBorders>
            <w:hideMark/>
          </w:tcPr>
          <w:p w14:paraId="26958AC0" w14:textId="4E171A12" w:rsidR="0097175D" w:rsidRPr="00037C61" w:rsidRDefault="0097175D" w:rsidP="00204288">
            <w:pPr>
              <w:pStyle w:val="InterregROHUBullet1"/>
              <w:numPr>
                <w:ilvl w:val="0"/>
                <w:numId w:val="0"/>
              </w:numPr>
              <w:spacing w:after="0"/>
              <w:jc w:val="center"/>
              <w:rPr>
                <w:sz w:val="20"/>
                <w:szCs w:val="20"/>
              </w:rPr>
            </w:pPr>
            <w:r w:rsidRPr="00037C61">
              <w:rPr>
                <w:sz w:val="20"/>
                <w:szCs w:val="20"/>
              </w:rPr>
              <w:t>201</w:t>
            </w:r>
          </w:p>
        </w:tc>
        <w:tc>
          <w:tcPr>
            <w:tcW w:w="1219" w:type="dxa"/>
            <w:tcBorders>
              <w:top w:val="nil"/>
              <w:left w:val="nil"/>
              <w:bottom w:val="nil"/>
              <w:right w:val="nil"/>
            </w:tcBorders>
            <w:hideMark/>
          </w:tcPr>
          <w:p w14:paraId="51F8AE8E" w14:textId="01719157" w:rsidR="0097175D" w:rsidRPr="00037C61" w:rsidRDefault="0097175D" w:rsidP="00204288">
            <w:pPr>
              <w:pStyle w:val="InterregROHUBullet1"/>
              <w:numPr>
                <w:ilvl w:val="0"/>
                <w:numId w:val="0"/>
              </w:numPr>
              <w:spacing w:after="0"/>
              <w:jc w:val="center"/>
              <w:rPr>
                <w:sz w:val="20"/>
                <w:szCs w:val="20"/>
              </w:rPr>
            </w:pPr>
            <w:r w:rsidRPr="00037C61">
              <w:rPr>
                <w:sz w:val="20"/>
                <w:szCs w:val="20"/>
              </w:rPr>
              <w:t>272209</w:t>
            </w:r>
          </w:p>
        </w:tc>
        <w:tc>
          <w:tcPr>
            <w:tcW w:w="1218" w:type="dxa"/>
            <w:tcBorders>
              <w:top w:val="nil"/>
              <w:left w:val="nil"/>
              <w:bottom w:val="nil"/>
              <w:right w:val="single" w:sz="4" w:space="0" w:color="034FA3" w:themeColor="accent1"/>
            </w:tcBorders>
            <w:hideMark/>
          </w:tcPr>
          <w:p w14:paraId="4C4D7060" w14:textId="6C9031BE" w:rsidR="0097175D" w:rsidRPr="00037C61" w:rsidRDefault="0097175D" w:rsidP="00204288">
            <w:pPr>
              <w:pStyle w:val="InterregROHUBullet1"/>
              <w:numPr>
                <w:ilvl w:val="0"/>
                <w:numId w:val="0"/>
              </w:numPr>
              <w:spacing w:after="0"/>
              <w:jc w:val="center"/>
              <w:rPr>
                <w:sz w:val="20"/>
                <w:szCs w:val="20"/>
              </w:rPr>
            </w:pPr>
            <w:r w:rsidRPr="00037C61">
              <w:rPr>
                <w:sz w:val="20"/>
                <w:szCs w:val="20"/>
              </w:rPr>
              <w:t>47%</w:t>
            </w:r>
          </w:p>
        </w:tc>
      </w:tr>
      <w:tr w:rsidR="0097175D" w:rsidRPr="00037C61" w14:paraId="1922B736" w14:textId="1286749D"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2504680C" w14:textId="6B105919"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Békés</w:t>
            </w:r>
          </w:p>
        </w:tc>
        <w:tc>
          <w:tcPr>
            <w:tcW w:w="1260" w:type="dxa"/>
            <w:tcBorders>
              <w:top w:val="single" w:sz="4" w:space="0" w:color="034FA3" w:themeColor="accent1"/>
              <w:left w:val="nil"/>
              <w:bottom w:val="single" w:sz="4" w:space="0" w:color="034FA3" w:themeColor="accent1"/>
              <w:right w:val="nil"/>
            </w:tcBorders>
            <w:hideMark/>
          </w:tcPr>
          <w:p w14:paraId="35186C40" w14:textId="7393B78A" w:rsidR="0097175D" w:rsidRPr="00037C61" w:rsidRDefault="0097175D" w:rsidP="00204288">
            <w:pPr>
              <w:pStyle w:val="InterregROHUBullet1"/>
              <w:numPr>
                <w:ilvl w:val="0"/>
                <w:numId w:val="0"/>
              </w:numPr>
              <w:spacing w:after="0"/>
              <w:jc w:val="center"/>
              <w:rPr>
                <w:sz w:val="20"/>
                <w:szCs w:val="20"/>
              </w:rPr>
            </w:pPr>
            <w:r w:rsidRPr="00037C61">
              <w:rPr>
                <w:sz w:val="20"/>
                <w:szCs w:val="20"/>
              </w:rPr>
              <w:t>22</w:t>
            </w:r>
          </w:p>
        </w:tc>
        <w:tc>
          <w:tcPr>
            <w:tcW w:w="1219" w:type="dxa"/>
            <w:tcBorders>
              <w:top w:val="single" w:sz="4" w:space="0" w:color="034FA3" w:themeColor="accent1"/>
              <w:left w:val="nil"/>
              <w:bottom w:val="single" w:sz="4" w:space="0" w:color="034FA3" w:themeColor="accent1"/>
              <w:right w:val="nil"/>
            </w:tcBorders>
            <w:hideMark/>
          </w:tcPr>
          <w:p w14:paraId="04FDAF91" w14:textId="4A2EB1C9" w:rsidR="0097175D" w:rsidRPr="00037C61" w:rsidRDefault="0097175D" w:rsidP="00204288">
            <w:pPr>
              <w:pStyle w:val="InterregROHUBullet1"/>
              <w:numPr>
                <w:ilvl w:val="0"/>
                <w:numId w:val="0"/>
              </w:numPr>
              <w:spacing w:after="0"/>
              <w:jc w:val="center"/>
              <w:rPr>
                <w:sz w:val="20"/>
                <w:szCs w:val="20"/>
              </w:rPr>
            </w:pPr>
            <w:r w:rsidRPr="00037C61">
              <w:rPr>
                <w:sz w:val="20"/>
                <w:szCs w:val="20"/>
              </w:rPr>
              <w:t>270037</w:t>
            </w:r>
          </w:p>
        </w:tc>
        <w:tc>
          <w:tcPr>
            <w:tcW w:w="1218" w:type="dxa"/>
            <w:tcBorders>
              <w:top w:val="single" w:sz="4" w:space="0" w:color="034FA3" w:themeColor="accent1"/>
              <w:left w:val="nil"/>
              <w:bottom w:val="single" w:sz="4" w:space="0" w:color="034FA3" w:themeColor="accent1"/>
              <w:right w:val="nil"/>
            </w:tcBorders>
            <w:hideMark/>
          </w:tcPr>
          <w:p w14:paraId="1344F8C3" w14:textId="2090FEDD" w:rsidR="0097175D" w:rsidRPr="00037C61" w:rsidRDefault="0097175D" w:rsidP="00204288">
            <w:pPr>
              <w:pStyle w:val="InterregROHUBullet1"/>
              <w:numPr>
                <w:ilvl w:val="0"/>
                <w:numId w:val="0"/>
              </w:numPr>
              <w:spacing w:after="0"/>
              <w:jc w:val="center"/>
              <w:rPr>
                <w:sz w:val="20"/>
                <w:szCs w:val="20"/>
              </w:rPr>
            </w:pPr>
            <w:r w:rsidRPr="00037C61">
              <w:rPr>
                <w:sz w:val="20"/>
                <w:szCs w:val="20"/>
              </w:rPr>
              <w:t>76%</w:t>
            </w:r>
          </w:p>
        </w:tc>
        <w:tc>
          <w:tcPr>
            <w:tcW w:w="1253" w:type="dxa"/>
            <w:tcBorders>
              <w:top w:val="single" w:sz="4" w:space="0" w:color="034FA3" w:themeColor="accent1"/>
              <w:left w:val="nil"/>
              <w:bottom w:val="single" w:sz="4" w:space="0" w:color="034FA3" w:themeColor="accent1"/>
              <w:right w:val="nil"/>
            </w:tcBorders>
            <w:hideMark/>
          </w:tcPr>
          <w:p w14:paraId="58081553" w14:textId="6A460213" w:rsidR="0097175D" w:rsidRPr="00037C61" w:rsidRDefault="0097175D" w:rsidP="00204288">
            <w:pPr>
              <w:pStyle w:val="InterregROHUBullet1"/>
              <w:numPr>
                <w:ilvl w:val="0"/>
                <w:numId w:val="0"/>
              </w:numPr>
              <w:spacing w:after="0"/>
              <w:jc w:val="center"/>
              <w:rPr>
                <w:sz w:val="20"/>
                <w:szCs w:val="20"/>
              </w:rPr>
            </w:pPr>
            <w:r w:rsidRPr="00037C61">
              <w:rPr>
                <w:sz w:val="20"/>
                <w:szCs w:val="20"/>
              </w:rPr>
              <w:t>53</w:t>
            </w:r>
          </w:p>
        </w:tc>
        <w:tc>
          <w:tcPr>
            <w:tcW w:w="1219" w:type="dxa"/>
            <w:tcBorders>
              <w:top w:val="single" w:sz="4" w:space="0" w:color="034FA3" w:themeColor="accent1"/>
              <w:left w:val="nil"/>
              <w:bottom w:val="single" w:sz="4" w:space="0" w:color="034FA3" w:themeColor="accent1"/>
              <w:right w:val="nil"/>
            </w:tcBorders>
            <w:hideMark/>
          </w:tcPr>
          <w:p w14:paraId="4926EBBE" w14:textId="65EAE1F7" w:rsidR="0097175D" w:rsidRPr="00037C61" w:rsidRDefault="0097175D" w:rsidP="00204288">
            <w:pPr>
              <w:pStyle w:val="InterregROHUBullet1"/>
              <w:numPr>
                <w:ilvl w:val="0"/>
                <w:numId w:val="0"/>
              </w:numPr>
              <w:spacing w:after="0"/>
              <w:jc w:val="center"/>
              <w:rPr>
                <w:sz w:val="20"/>
                <w:szCs w:val="20"/>
              </w:rPr>
            </w:pPr>
            <w:r w:rsidRPr="00037C61">
              <w:rPr>
                <w:sz w:val="20"/>
                <w:szCs w:val="20"/>
              </w:rPr>
              <w:t>83225</w:t>
            </w:r>
          </w:p>
        </w:tc>
        <w:tc>
          <w:tcPr>
            <w:tcW w:w="1218" w:type="dxa"/>
            <w:tcBorders>
              <w:top w:val="single" w:sz="4" w:space="0" w:color="034FA3" w:themeColor="accent1"/>
              <w:left w:val="nil"/>
              <w:bottom w:val="single" w:sz="4" w:space="0" w:color="034FA3" w:themeColor="accent1"/>
              <w:right w:val="single" w:sz="4" w:space="0" w:color="034FA3" w:themeColor="accent1"/>
            </w:tcBorders>
            <w:hideMark/>
          </w:tcPr>
          <w:p w14:paraId="752EA2A6" w14:textId="3258C4E6" w:rsidR="0097175D" w:rsidRPr="00037C61" w:rsidRDefault="0097175D" w:rsidP="00204288">
            <w:pPr>
              <w:pStyle w:val="InterregROHUBullet1"/>
              <w:numPr>
                <w:ilvl w:val="0"/>
                <w:numId w:val="0"/>
              </w:numPr>
              <w:spacing w:after="0"/>
              <w:jc w:val="center"/>
              <w:rPr>
                <w:sz w:val="20"/>
                <w:szCs w:val="20"/>
              </w:rPr>
            </w:pPr>
            <w:r w:rsidRPr="00037C61">
              <w:rPr>
                <w:sz w:val="20"/>
                <w:szCs w:val="20"/>
              </w:rPr>
              <w:t>24%</w:t>
            </w:r>
          </w:p>
        </w:tc>
      </w:tr>
      <w:tr w:rsidR="0097175D" w:rsidRPr="00037C61" w14:paraId="412DA53E" w14:textId="25052FBD" w:rsidTr="00204288">
        <w:trPr>
          <w:trHeight w:val="144"/>
        </w:trPr>
        <w:tc>
          <w:tcPr>
            <w:tcW w:w="1615" w:type="dxa"/>
            <w:tcBorders>
              <w:top w:val="nil"/>
              <w:left w:val="single" w:sz="4" w:space="0" w:color="034FA3" w:themeColor="accent1"/>
              <w:bottom w:val="nil"/>
              <w:right w:val="nil"/>
            </w:tcBorders>
            <w:shd w:val="clear" w:color="auto" w:fill="FFFFFF" w:themeFill="background1"/>
            <w:hideMark/>
          </w:tcPr>
          <w:p w14:paraId="63DB64A9" w14:textId="33AD32AB"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Csongrád</w:t>
            </w:r>
          </w:p>
        </w:tc>
        <w:tc>
          <w:tcPr>
            <w:tcW w:w="1260" w:type="dxa"/>
            <w:tcBorders>
              <w:top w:val="nil"/>
              <w:left w:val="nil"/>
              <w:bottom w:val="nil"/>
              <w:right w:val="nil"/>
            </w:tcBorders>
            <w:hideMark/>
          </w:tcPr>
          <w:p w14:paraId="72B1A39F" w14:textId="6A36667F" w:rsidR="0097175D" w:rsidRPr="00037C61" w:rsidRDefault="0097175D" w:rsidP="00204288">
            <w:pPr>
              <w:pStyle w:val="InterregROHUBullet1"/>
              <w:numPr>
                <w:ilvl w:val="0"/>
                <w:numId w:val="0"/>
              </w:numPr>
              <w:spacing w:after="0"/>
              <w:jc w:val="center"/>
              <w:rPr>
                <w:sz w:val="20"/>
                <w:szCs w:val="20"/>
              </w:rPr>
            </w:pPr>
            <w:r w:rsidRPr="00037C61">
              <w:rPr>
                <w:sz w:val="20"/>
                <w:szCs w:val="20"/>
              </w:rPr>
              <w:t>10</w:t>
            </w:r>
          </w:p>
        </w:tc>
        <w:tc>
          <w:tcPr>
            <w:tcW w:w="1219" w:type="dxa"/>
            <w:tcBorders>
              <w:top w:val="nil"/>
              <w:left w:val="nil"/>
              <w:bottom w:val="nil"/>
              <w:right w:val="nil"/>
            </w:tcBorders>
            <w:hideMark/>
          </w:tcPr>
          <w:p w14:paraId="23DF111C" w14:textId="5EA8FC82" w:rsidR="0097175D" w:rsidRPr="00037C61" w:rsidRDefault="0097175D" w:rsidP="00204288">
            <w:pPr>
              <w:pStyle w:val="InterregROHUBullet1"/>
              <w:numPr>
                <w:ilvl w:val="0"/>
                <w:numId w:val="0"/>
              </w:numPr>
              <w:spacing w:after="0"/>
              <w:jc w:val="center"/>
              <w:rPr>
                <w:sz w:val="20"/>
                <w:szCs w:val="20"/>
              </w:rPr>
            </w:pPr>
            <w:r w:rsidRPr="00037C61">
              <w:rPr>
                <w:sz w:val="20"/>
                <w:szCs w:val="20"/>
              </w:rPr>
              <w:t>308505</w:t>
            </w:r>
          </w:p>
        </w:tc>
        <w:tc>
          <w:tcPr>
            <w:tcW w:w="1218" w:type="dxa"/>
            <w:tcBorders>
              <w:top w:val="nil"/>
              <w:left w:val="nil"/>
              <w:bottom w:val="nil"/>
              <w:right w:val="nil"/>
            </w:tcBorders>
            <w:hideMark/>
          </w:tcPr>
          <w:p w14:paraId="3FA02CDF" w14:textId="5F05CE3B" w:rsidR="0097175D" w:rsidRPr="00037C61" w:rsidRDefault="0097175D" w:rsidP="00204288">
            <w:pPr>
              <w:pStyle w:val="InterregROHUBullet1"/>
              <w:numPr>
                <w:ilvl w:val="0"/>
                <w:numId w:val="0"/>
              </w:numPr>
              <w:spacing w:after="0"/>
              <w:jc w:val="center"/>
              <w:rPr>
                <w:sz w:val="20"/>
                <w:szCs w:val="20"/>
              </w:rPr>
            </w:pPr>
            <w:r w:rsidRPr="00037C61">
              <w:rPr>
                <w:sz w:val="20"/>
                <w:szCs w:val="20"/>
              </w:rPr>
              <w:t>75%</w:t>
            </w:r>
          </w:p>
        </w:tc>
        <w:tc>
          <w:tcPr>
            <w:tcW w:w="1253" w:type="dxa"/>
            <w:tcBorders>
              <w:top w:val="nil"/>
              <w:left w:val="nil"/>
              <w:bottom w:val="nil"/>
              <w:right w:val="nil"/>
            </w:tcBorders>
            <w:hideMark/>
          </w:tcPr>
          <w:p w14:paraId="7EE64EB5" w14:textId="4078FEE3" w:rsidR="0097175D" w:rsidRPr="00037C61" w:rsidRDefault="0097175D" w:rsidP="00204288">
            <w:pPr>
              <w:pStyle w:val="InterregROHUBullet1"/>
              <w:numPr>
                <w:ilvl w:val="0"/>
                <w:numId w:val="0"/>
              </w:numPr>
              <w:spacing w:after="0"/>
              <w:jc w:val="center"/>
              <w:rPr>
                <w:sz w:val="20"/>
                <w:szCs w:val="20"/>
              </w:rPr>
            </w:pPr>
            <w:r w:rsidRPr="00037C61">
              <w:rPr>
                <w:sz w:val="20"/>
                <w:szCs w:val="20"/>
              </w:rPr>
              <w:t>50</w:t>
            </w:r>
          </w:p>
        </w:tc>
        <w:tc>
          <w:tcPr>
            <w:tcW w:w="1219" w:type="dxa"/>
            <w:tcBorders>
              <w:top w:val="nil"/>
              <w:left w:val="nil"/>
              <w:bottom w:val="nil"/>
              <w:right w:val="nil"/>
            </w:tcBorders>
            <w:hideMark/>
          </w:tcPr>
          <w:p w14:paraId="646684F1" w14:textId="6464D855" w:rsidR="0097175D" w:rsidRPr="00037C61" w:rsidRDefault="0097175D" w:rsidP="00204288">
            <w:pPr>
              <w:pStyle w:val="InterregROHUBullet1"/>
              <w:numPr>
                <w:ilvl w:val="0"/>
                <w:numId w:val="0"/>
              </w:numPr>
              <w:spacing w:after="0"/>
              <w:jc w:val="center"/>
              <w:rPr>
                <w:sz w:val="20"/>
                <w:szCs w:val="20"/>
              </w:rPr>
            </w:pPr>
            <w:r w:rsidRPr="00037C61">
              <w:rPr>
                <w:sz w:val="20"/>
                <w:szCs w:val="20"/>
              </w:rPr>
              <w:t>104471</w:t>
            </w:r>
          </w:p>
        </w:tc>
        <w:tc>
          <w:tcPr>
            <w:tcW w:w="1218" w:type="dxa"/>
            <w:tcBorders>
              <w:top w:val="nil"/>
              <w:left w:val="nil"/>
              <w:bottom w:val="nil"/>
              <w:right w:val="single" w:sz="4" w:space="0" w:color="034FA3" w:themeColor="accent1"/>
            </w:tcBorders>
            <w:hideMark/>
          </w:tcPr>
          <w:p w14:paraId="4C06EFE3" w14:textId="33AA3D7A" w:rsidR="0097175D" w:rsidRPr="00037C61" w:rsidRDefault="0097175D" w:rsidP="00204288">
            <w:pPr>
              <w:pStyle w:val="InterregROHUBullet1"/>
              <w:numPr>
                <w:ilvl w:val="0"/>
                <w:numId w:val="0"/>
              </w:numPr>
              <w:spacing w:after="0"/>
              <w:jc w:val="center"/>
              <w:rPr>
                <w:sz w:val="20"/>
                <w:szCs w:val="20"/>
              </w:rPr>
            </w:pPr>
            <w:r w:rsidRPr="00037C61">
              <w:rPr>
                <w:sz w:val="20"/>
                <w:szCs w:val="20"/>
              </w:rPr>
              <w:t>25%</w:t>
            </w:r>
          </w:p>
        </w:tc>
      </w:tr>
      <w:tr w:rsidR="0097175D" w:rsidRPr="00037C61" w14:paraId="3D129107" w14:textId="2B8BE78E"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0F2903D5" w14:textId="07657116"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Bihor</w:t>
            </w:r>
          </w:p>
        </w:tc>
        <w:tc>
          <w:tcPr>
            <w:tcW w:w="1260" w:type="dxa"/>
            <w:tcBorders>
              <w:top w:val="single" w:sz="4" w:space="0" w:color="034FA3" w:themeColor="accent1"/>
              <w:left w:val="nil"/>
              <w:bottom w:val="single" w:sz="4" w:space="0" w:color="034FA3" w:themeColor="accent1"/>
              <w:right w:val="nil"/>
            </w:tcBorders>
            <w:hideMark/>
          </w:tcPr>
          <w:p w14:paraId="3384C0B8" w14:textId="5290411E" w:rsidR="0097175D" w:rsidRPr="00037C61" w:rsidRDefault="0097175D" w:rsidP="00204288">
            <w:pPr>
              <w:pStyle w:val="InterregROHUBullet1"/>
              <w:numPr>
                <w:ilvl w:val="0"/>
                <w:numId w:val="0"/>
              </w:numPr>
              <w:spacing w:after="0"/>
              <w:jc w:val="center"/>
              <w:rPr>
                <w:sz w:val="20"/>
                <w:szCs w:val="20"/>
              </w:rPr>
            </w:pPr>
            <w:r w:rsidRPr="00037C61">
              <w:rPr>
                <w:sz w:val="20"/>
                <w:szCs w:val="20"/>
              </w:rPr>
              <w:t>10</w:t>
            </w:r>
          </w:p>
        </w:tc>
        <w:tc>
          <w:tcPr>
            <w:tcW w:w="1219" w:type="dxa"/>
            <w:tcBorders>
              <w:top w:val="single" w:sz="4" w:space="0" w:color="034FA3" w:themeColor="accent1"/>
              <w:left w:val="nil"/>
              <w:bottom w:val="single" w:sz="4" w:space="0" w:color="034FA3" w:themeColor="accent1"/>
              <w:right w:val="nil"/>
            </w:tcBorders>
            <w:hideMark/>
          </w:tcPr>
          <w:p w14:paraId="06E2317B" w14:textId="5AA7C4EA" w:rsidR="0097175D" w:rsidRPr="00037C61" w:rsidRDefault="0097175D" w:rsidP="00204288">
            <w:pPr>
              <w:pStyle w:val="InterregROHUBullet1"/>
              <w:numPr>
                <w:ilvl w:val="0"/>
                <w:numId w:val="0"/>
              </w:numPr>
              <w:spacing w:after="0"/>
              <w:jc w:val="center"/>
              <w:rPr>
                <w:sz w:val="20"/>
                <w:szCs w:val="20"/>
              </w:rPr>
            </w:pPr>
            <w:r w:rsidRPr="00037C61">
              <w:rPr>
                <w:sz w:val="20"/>
                <w:szCs w:val="20"/>
              </w:rPr>
              <w:t>316695</w:t>
            </w:r>
          </w:p>
        </w:tc>
        <w:tc>
          <w:tcPr>
            <w:tcW w:w="1218" w:type="dxa"/>
            <w:tcBorders>
              <w:top w:val="single" w:sz="4" w:space="0" w:color="034FA3" w:themeColor="accent1"/>
              <w:left w:val="nil"/>
              <w:bottom w:val="single" w:sz="4" w:space="0" w:color="034FA3" w:themeColor="accent1"/>
              <w:right w:val="nil"/>
            </w:tcBorders>
            <w:hideMark/>
          </w:tcPr>
          <w:p w14:paraId="2E90FEF8" w14:textId="600B81FE" w:rsidR="0097175D" w:rsidRPr="00037C61" w:rsidRDefault="0097175D" w:rsidP="00204288">
            <w:pPr>
              <w:pStyle w:val="InterregROHUBullet1"/>
              <w:numPr>
                <w:ilvl w:val="0"/>
                <w:numId w:val="0"/>
              </w:numPr>
              <w:spacing w:after="0"/>
              <w:jc w:val="center"/>
              <w:rPr>
                <w:sz w:val="20"/>
                <w:szCs w:val="20"/>
              </w:rPr>
            </w:pPr>
            <w:r w:rsidRPr="00037C61">
              <w:rPr>
                <w:sz w:val="20"/>
                <w:szCs w:val="20"/>
              </w:rPr>
              <w:t>51%</w:t>
            </w:r>
          </w:p>
        </w:tc>
        <w:tc>
          <w:tcPr>
            <w:tcW w:w="1253" w:type="dxa"/>
            <w:tcBorders>
              <w:top w:val="single" w:sz="4" w:space="0" w:color="034FA3" w:themeColor="accent1"/>
              <w:left w:val="nil"/>
              <w:bottom w:val="single" w:sz="4" w:space="0" w:color="034FA3" w:themeColor="accent1"/>
              <w:right w:val="nil"/>
            </w:tcBorders>
            <w:hideMark/>
          </w:tcPr>
          <w:p w14:paraId="0B924E48" w14:textId="31637747" w:rsidR="0097175D" w:rsidRPr="00037C61" w:rsidRDefault="0097175D" w:rsidP="00204288">
            <w:pPr>
              <w:pStyle w:val="InterregROHUBullet1"/>
              <w:numPr>
                <w:ilvl w:val="0"/>
                <w:numId w:val="0"/>
              </w:numPr>
              <w:spacing w:after="0"/>
              <w:jc w:val="center"/>
              <w:rPr>
                <w:sz w:val="20"/>
                <w:szCs w:val="20"/>
              </w:rPr>
            </w:pPr>
            <w:r w:rsidRPr="00037C61">
              <w:rPr>
                <w:sz w:val="20"/>
                <w:szCs w:val="20"/>
              </w:rPr>
              <w:t>91</w:t>
            </w:r>
          </w:p>
        </w:tc>
        <w:tc>
          <w:tcPr>
            <w:tcW w:w="1219" w:type="dxa"/>
            <w:tcBorders>
              <w:top w:val="single" w:sz="4" w:space="0" w:color="034FA3" w:themeColor="accent1"/>
              <w:left w:val="nil"/>
              <w:bottom w:val="single" w:sz="4" w:space="0" w:color="034FA3" w:themeColor="accent1"/>
              <w:right w:val="nil"/>
            </w:tcBorders>
            <w:hideMark/>
          </w:tcPr>
          <w:p w14:paraId="06D1E000" w14:textId="6C7FC3EB" w:rsidR="0097175D" w:rsidRPr="00037C61" w:rsidRDefault="0097175D" w:rsidP="00204288">
            <w:pPr>
              <w:pStyle w:val="InterregROHUBullet1"/>
              <w:numPr>
                <w:ilvl w:val="0"/>
                <w:numId w:val="0"/>
              </w:numPr>
              <w:spacing w:after="0"/>
              <w:jc w:val="center"/>
              <w:rPr>
                <w:sz w:val="20"/>
                <w:szCs w:val="20"/>
              </w:rPr>
            </w:pPr>
            <w:r w:rsidRPr="00037C61">
              <w:rPr>
                <w:sz w:val="20"/>
                <w:szCs w:val="20"/>
              </w:rPr>
              <w:t>301513</w:t>
            </w:r>
          </w:p>
        </w:tc>
        <w:tc>
          <w:tcPr>
            <w:tcW w:w="1218" w:type="dxa"/>
            <w:tcBorders>
              <w:top w:val="single" w:sz="4" w:space="0" w:color="034FA3" w:themeColor="accent1"/>
              <w:left w:val="nil"/>
              <w:bottom w:val="single" w:sz="4" w:space="0" w:color="034FA3" w:themeColor="accent1"/>
              <w:right w:val="single" w:sz="4" w:space="0" w:color="034FA3" w:themeColor="accent1"/>
            </w:tcBorders>
            <w:hideMark/>
          </w:tcPr>
          <w:p w14:paraId="3C8B0A2F" w14:textId="24AD686D" w:rsidR="0097175D" w:rsidRPr="00037C61" w:rsidRDefault="0097175D" w:rsidP="00204288">
            <w:pPr>
              <w:pStyle w:val="InterregROHUBullet1"/>
              <w:numPr>
                <w:ilvl w:val="0"/>
                <w:numId w:val="0"/>
              </w:numPr>
              <w:spacing w:after="0"/>
              <w:jc w:val="center"/>
              <w:rPr>
                <w:sz w:val="20"/>
                <w:szCs w:val="20"/>
              </w:rPr>
            </w:pPr>
            <w:r w:rsidRPr="00037C61">
              <w:rPr>
                <w:sz w:val="20"/>
                <w:szCs w:val="20"/>
              </w:rPr>
              <w:t>49%</w:t>
            </w:r>
          </w:p>
        </w:tc>
      </w:tr>
      <w:tr w:rsidR="0097175D" w:rsidRPr="00037C61" w14:paraId="0EDE3C4C" w14:textId="3E4CD64C" w:rsidTr="00204288">
        <w:trPr>
          <w:trHeight w:val="144"/>
        </w:trPr>
        <w:tc>
          <w:tcPr>
            <w:tcW w:w="1615" w:type="dxa"/>
            <w:tcBorders>
              <w:top w:val="nil"/>
              <w:left w:val="single" w:sz="4" w:space="0" w:color="034FA3" w:themeColor="accent1"/>
              <w:bottom w:val="nil"/>
              <w:right w:val="nil"/>
            </w:tcBorders>
            <w:shd w:val="clear" w:color="auto" w:fill="FFFFFF" w:themeFill="background1"/>
            <w:hideMark/>
          </w:tcPr>
          <w:p w14:paraId="0C529F39" w14:textId="56A7D2FD"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Satu Mare</w:t>
            </w:r>
          </w:p>
        </w:tc>
        <w:tc>
          <w:tcPr>
            <w:tcW w:w="1260" w:type="dxa"/>
            <w:tcBorders>
              <w:top w:val="nil"/>
              <w:left w:val="nil"/>
              <w:bottom w:val="nil"/>
              <w:right w:val="nil"/>
            </w:tcBorders>
            <w:hideMark/>
          </w:tcPr>
          <w:p w14:paraId="58B313D7" w14:textId="26F506E9" w:rsidR="0097175D" w:rsidRPr="00037C61" w:rsidRDefault="0097175D" w:rsidP="00204288">
            <w:pPr>
              <w:pStyle w:val="InterregROHUBullet1"/>
              <w:numPr>
                <w:ilvl w:val="0"/>
                <w:numId w:val="0"/>
              </w:numPr>
              <w:spacing w:after="0"/>
              <w:jc w:val="center"/>
              <w:rPr>
                <w:sz w:val="20"/>
                <w:szCs w:val="20"/>
              </w:rPr>
            </w:pPr>
            <w:r w:rsidRPr="00037C61">
              <w:rPr>
                <w:sz w:val="20"/>
                <w:szCs w:val="20"/>
              </w:rPr>
              <w:t>6</w:t>
            </w:r>
          </w:p>
        </w:tc>
        <w:tc>
          <w:tcPr>
            <w:tcW w:w="1219" w:type="dxa"/>
            <w:tcBorders>
              <w:top w:val="nil"/>
              <w:left w:val="nil"/>
              <w:bottom w:val="nil"/>
              <w:right w:val="nil"/>
            </w:tcBorders>
            <w:hideMark/>
          </w:tcPr>
          <w:p w14:paraId="690CF98B" w14:textId="058CF150" w:rsidR="0097175D" w:rsidRPr="00037C61" w:rsidRDefault="0097175D" w:rsidP="00204288">
            <w:pPr>
              <w:pStyle w:val="InterregROHUBullet1"/>
              <w:numPr>
                <w:ilvl w:val="0"/>
                <w:numId w:val="0"/>
              </w:numPr>
              <w:spacing w:after="0"/>
              <w:jc w:val="center"/>
              <w:rPr>
                <w:sz w:val="20"/>
                <w:szCs w:val="20"/>
              </w:rPr>
            </w:pPr>
            <w:r w:rsidRPr="00037C61">
              <w:rPr>
                <w:sz w:val="20"/>
                <w:szCs w:val="20"/>
              </w:rPr>
              <w:t>186250</w:t>
            </w:r>
          </w:p>
        </w:tc>
        <w:tc>
          <w:tcPr>
            <w:tcW w:w="1218" w:type="dxa"/>
            <w:tcBorders>
              <w:top w:val="nil"/>
              <w:left w:val="nil"/>
              <w:bottom w:val="nil"/>
              <w:right w:val="nil"/>
            </w:tcBorders>
            <w:hideMark/>
          </w:tcPr>
          <w:p w14:paraId="31CE2C8D" w14:textId="5625E4ED" w:rsidR="0097175D" w:rsidRPr="00037C61" w:rsidRDefault="0097175D" w:rsidP="00204288">
            <w:pPr>
              <w:pStyle w:val="InterregROHUBullet1"/>
              <w:numPr>
                <w:ilvl w:val="0"/>
                <w:numId w:val="0"/>
              </w:numPr>
              <w:spacing w:after="0"/>
              <w:jc w:val="center"/>
              <w:rPr>
                <w:sz w:val="20"/>
                <w:szCs w:val="20"/>
              </w:rPr>
            </w:pPr>
            <w:r w:rsidRPr="00037C61">
              <w:rPr>
                <w:sz w:val="20"/>
                <w:szCs w:val="20"/>
              </w:rPr>
              <w:t>48%</w:t>
            </w:r>
          </w:p>
        </w:tc>
        <w:tc>
          <w:tcPr>
            <w:tcW w:w="1253" w:type="dxa"/>
            <w:tcBorders>
              <w:top w:val="nil"/>
              <w:left w:val="nil"/>
              <w:bottom w:val="nil"/>
              <w:right w:val="nil"/>
            </w:tcBorders>
            <w:hideMark/>
          </w:tcPr>
          <w:p w14:paraId="4D8FFC02" w14:textId="614BA560" w:rsidR="0097175D" w:rsidRPr="00037C61" w:rsidRDefault="0097175D" w:rsidP="00204288">
            <w:pPr>
              <w:pStyle w:val="InterregROHUBullet1"/>
              <w:numPr>
                <w:ilvl w:val="0"/>
                <w:numId w:val="0"/>
              </w:numPr>
              <w:spacing w:after="0"/>
              <w:jc w:val="center"/>
              <w:rPr>
                <w:sz w:val="20"/>
                <w:szCs w:val="20"/>
              </w:rPr>
            </w:pPr>
            <w:r w:rsidRPr="00037C61">
              <w:rPr>
                <w:sz w:val="20"/>
                <w:szCs w:val="20"/>
              </w:rPr>
              <w:t>59</w:t>
            </w:r>
          </w:p>
        </w:tc>
        <w:tc>
          <w:tcPr>
            <w:tcW w:w="1219" w:type="dxa"/>
            <w:tcBorders>
              <w:top w:val="nil"/>
              <w:left w:val="nil"/>
              <w:bottom w:val="nil"/>
              <w:right w:val="nil"/>
            </w:tcBorders>
            <w:hideMark/>
          </w:tcPr>
          <w:p w14:paraId="27C3A9F3" w14:textId="5C381CF4" w:rsidR="0097175D" w:rsidRPr="00037C61" w:rsidRDefault="0097175D" w:rsidP="00204288">
            <w:pPr>
              <w:pStyle w:val="InterregROHUBullet1"/>
              <w:numPr>
                <w:ilvl w:val="0"/>
                <w:numId w:val="0"/>
              </w:numPr>
              <w:spacing w:after="0"/>
              <w:jc w:val="center"/>
              <w:rPr>
                <w:sz w:val="20"/>
                <w:szCs w:val="20"/>
              </w:rPr>
            </w:pPr>
            <w:r w:rsidRPr="00037C61">
              <w:rPr>
                <w:sz w:val="20"/>
                <w:szCs w:val="20"/>
              </w:rPr>
              <w:t>202922</w:t>
            </w:r>
          </w:p>
        </w:tc>
        <w:tc>
          <w:tcPr>
            <w:tcW w:w="1218" w:type="dxa"/>
            <w:tcBorders>
              <w:top w:val="nil"/>
              <w:left w:val="nil"/>
              <w:bottom w:val="nil"/>
              <w:right w:val="single" w:sz="4" w:space="0" w:color="034FA3" w:themeColor="accent1"/>
            </w:tcBorders>
            <w:hideMark/>
          </w:tcPr>
          <w:p w14:paraId="185BA539" w14:textId="0E43136C" w:rsidR="0097175D" w:rsidRPr="00037C61" w:rsidRDefault="0097175D" w:rsidP="00204288">
            <w:pPr>
              <w:pStyle w:val="InterregROHUBullet1"/>
              <w:numPr>
                <w:ilvl w:val="0"/>
                <w:numId w:val="0"/>
              </w:numPr>
              <w:spacing w:after="0"/>
              <w:jc w:val="center"/>
              <w:rPr>
                <w:sz w:val="20"/>
                <w:szCs w:val="20"/>
              </w:rPr>
            </w:pPr>
            <w:r w:rsidRPr="00037C61">
              <w:rPr>
                <w:sz w:val="20"/>
                <w:szCs w:val="20"/>
              </w:rPr>
              <w:t>52%</w:t>
            </w:r>
          </w:p>
        </w:tc>
      </w:tr>
      <w:tr w:rsidR="0097175D" w:rsidRPr="00037C61" w14:paraId="7F6E2F99" w14:textId="6917226A"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7EBBF91C" w14:textId="5C09C86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Arad</w:t>
            </w:r>
          </w:p>
        </w:tc>
        <w:tc>
          <w:tcPr>
            <w:tcW w:w="1260" w:type="dxa"/>
            <w:tcBorders>
              <w:top w:val="single" w:sz="4" w:space="0" w:color="034FA3" w:themeColor="accent1"/>
              <w:left w:val="nil"/>
              <w:bottom w:val="single" w:sz="4" w:space="0" w:color="034FA3" w:themeColor="accent1"/>
              <w:right w:val="nil"/>
            </w:tcBorders>
            <w:hideMark/>
          </w:tcPr>
          <w:p w14:paraId="0C50AEA5" w14:textId="5D7A8C46" w:rsidR="0097175D" w:rsidRPr="00037C61" w:rsidRDefault="0097175D" w:rsidP="00204288">
            <w:pPr>
              <w:pStyle w:val="InterregROHUBullet1"/>
              <w:numPr>
                <w:ilvl w:val="0"/>
                <w:numId w:val="0"/>
              </w:numPr>
              <w:spacing w:after="0"/>
              <w:jc w:val="center"/>
              <w:rPr>
                <w:sz w:val="20"/>
                <w:szCs w:val="20"/>
              </w:rPr>
            </w:pPr>
            <w:r w:rsidRPr="00037C61">
              <w:rPr>
                <w:sz w:val="20"/>
                <w:szCs w:val="20"/>
              </w:rPr>
              <w:t>10</w:t>
            </w:r>
          </w:p>
        </w:tc>
        <w:tc>
          <w:tcPr>
            <w:tcW w:w="1219" w:type="dxa"/>
            <w:tcBorders>
              <w:top w:val="single" w:sz="4" w:space="0" w:color="034FA3" w:themeColor="accent1"/>
              <w:left w:val="nil"/>
              <w:bottom w:val="single" w:sz="4" w:space="0" w:color="034FA3" w:themeColor="accent1"/>
              <w:right w:val="nil"/>
            </w:tcBorders>
            <w:hideMark/>
          </w:tcPr>
          <w:p w14:paraId="0E48B301" w14:textId="3E6594D7" w:rsidR="0097175D" w:rsidRPr="00037C61" w:rsidRDefault="0097175D" w:rsidP="00204288">
            <w:pPr>
              <w:pStyle w:val="InterregROHUBullet1"/>
              <w:numPr>
                <w:ilvl w:val="0"/>
                <w:numId w:val="0"/>
              </w:numPr>
              <w:spacing w:after="0"/>
              <w:jc w:val="center"/>
              <w:rPr>
                <w:sz w:val="20"/>
                <w:szCs w:val="20"/>
              </w:rPr>
            </w:pPr>
            <w:r w:rsidRPr="00037C61">
              <w:rPr>
                <w:sz w:val="20"/>
                <w:szCs w:val="20"/>
              </w:rPr>
              <w:t>267858</w:t>
            </w:r>
          </w:p>
        </w:tc>
        <w:tc>
          <w:tcPr>
            <w:tcW w:w="1218" w:type="dxa"/>
            <w:tcBorders>
              <w:top w:val="single" w:sz="4" w:space="0" w:color="034FA3" w:themeColor="accent1"/>
              <w:left w:val="nil"/>
              <w:bottom w:val="single" w:sz="4" w:space="0" w:color="034FA3" w:themeColor="accent1"/>
              <w:right w:val="nil"/>
            </w:tcBorders>
            <w:hideMark/>
          </w:tcPr>
          <w:p w14:paraId="1607F6A5" w14:textId="11104E20" w:rsidR="0097175D" w:rsidRPr="00037C61" w:rsidRDefault="0097175D" w:rsidP="00204288">
            <w:pPr>
              <w:pStyle w:val="InterregROHUBullet1"/>
              <w:numPr>
                <w:ilvl w:val="0"/>
                <w:numId w:val="0"/>
              </w:numPr>
              <w:spacing w:after="0"/>
              <w:jc w:val="center"/>
              <w:rPr>
                <w:sz w:val="20"/>
                <w:szCs w:val="20"/>
              </w:rPr>
            </w:pPr>
            <w:r w:rsidRPr="00037C61">
              <w:rPr>
                <w:sz w:val="20"/>
                <w:szCs w:val="20"/>
              </w:rPr>
              <w:t>57%</w:t>
            </w:r>
          </w:p>
        </w:tc>
        <w:tc>
          <w:tcPr>
            <w:tcW w:w="1253" w:type="dxa"/>
            <w:tcBorders>
              <w:top w:val="single" w:sz="4" w:space="0" w:color="034FA3" w:themeColor="accent1"/>
              <w:left w:val="nil"/>
              <w:bottom w:val="single" w:sz="4" w:space="0" w:color="034FA3" w:themeColor="accent1"/>
              <w:right w:val="nil"/>
            </w:tcBorders>
            <w:hideMark/>
          </w:tcPr>
          <w:p w14:paraId="4A8DE425" w14:textId="2DC2746D" w:rsidR="0097175D" w:rsidRPr="00037C61" w:rsidRDefault="0097175D" w:rsidP="00204288">
            <w:pPr>
              <w:pStyle w:val="InterregROHUBullet1"/>
              <w:numPr>
                <w:ilvl w:val="0"/>
                <w:numId w:val="0"/>
              </w:numPr>
              <w:spacing w:after="0"/>
              <w:jc w:val="center"/>
              <w:rPr>
                <w:sz w:val="20"/>
                <w:szCs w:val="20"/>
              </w:rPr>
            </w:pPr>
            <w:r w:rsidRPr="00037C61">
              <w:rPr>
                <w:sz w:val="20"/>
                <w:szCs w:val="20"/>
              </w:rPr>
              <w:t>68</w:t>
            </w:r>
          </w:p>
        </w:tc>
        <w:tc>
          <w:tcPr>
            <w:tcW w:w="1219" w:type="dxa"/>
            <w:tcBorders>
              <w:top w:val="single" w:sz="4" w:space="0" w:color="034FA3" w:themeColor="accent1"/>
              <w:left w:val="nil"/>
              <w:bottom w:val="single" w:sz="4" w:space="0" w:color="034FA3" w:themeColor="accent1"/>
              <w:right w:val="nil"/>
            </w:tcBorders>
            <w:hideMark/>
          </w:tcPr>
          <w:p w14:paraId="40762EDE" w14:textId="4F372D12" w:rsidR="0097175D" w:rsidRPr="00037C61" w:rsidRDefault="0097175D" w:rsidP="00204288">
            <w:pPr>
              <w:pStyle w:val="InterregROHUBullet1"/>
              <w:numPr>
                <w:ilvl w:val="0"/>
                <w:numId w:val="0"/>
              </w:numPr>
              <w:spacing w:after="0"/>
              <w:jc w:val="center"/>
              <w:rPr>
                <w:sz w:val="20"/>
                <w:szCs w:val="20"/>
              </w:rPr>
            </w:pPr>
            <w:r w:rsidRPr="00037C61">
              <w:rPr>
                <w:sz w:val="20"/>
                <w:szCs w:val="20"/>
              </w:rPr>
              <w:t>204424</w:t>
            </w:r>
          </w:p>
        </w:tc>
        <w:tc>
          <w:tcPr>
            <w:tcW w:w="1218" w:type="dxa"/>
            <w:tcBorders>
              <w:top w:val="single" w:sz="4" w:space="0" w:color="034FA3" w:themeColor="accent1"/>
              <w:left w:val="nil"/>
              <w:bottom w:val="single" w:sz="4" w:space="0" w:color="034FA3" w:themeColor="accent1"/>
              <w:right w:val="single" w:sz="4" w:space="0" w:color="034FA3" w:themeColor="accent1"/>
            </w:tcBorders>
            <w:hideMark/>
          </w:tcPr>
          <w:p w14:paraId="10F0C2CF" w14:textId="41C97841" w:rsidR="0097175D" w:rsidRPr="00037C61" w:rsidRDefault="0097175D" w:rsidP="00204288">
            <w:pPr>
              <w:pStyle w:val="InterregROHUBullet1"/>
              <w:numPr>
                <w:ilvl w:val="0"/>
                <w:numId w:val="0"/>
              </w:numPr>
              <w:spacing w:after="0"/>
              <w:jc w:val="center"/>
              <w:rPr>
                <w:sz w:val="20"/>
                <w:szCs w:val="20"/>
              </w:rPr>
            </w:pPr>
            <w:r w:rsidRPr="00037C61">
              <w:rPr>
                <w:sz w:val="20"/>
                <w:szCs w:val="20"/>
              </w:rPr>
              <w:t>43%</w:t>
            </w:r>
          </w:p>
        </w:tc>
      </w:tr>
      <w:tr w:rsidR="0097175D" w:rsidRPr="00037C61" w14:paraId="32738DAB" w14:textId="7F202DC4" w:rsidTr="00204288">
        <w:trPr>
          <w:trHeight w:val="144"/>
        </w:trPr>
        <w:tc>
          <w:tcPr>
            <w:tcW w:w="1615" w:type="dxa"/>
            <w:tcBorders>
              <w:top w:val="nil"/>
              <w:left w:val="single" w:sz="4" w:space="0" w:color="034FA3" w:themeColor="accent1"/>
              <w:bottom w:val="nil"/>
              <w:right w:val="nil"/>
            </w:tcBorders>
            <w:shd w:val="clear" w:color="auto" w:fill="FFFFFF" w:themeFill="background1"/>
            <w:hideMark/>
          </w:tcPr>
          <w:p w14:paraId="41250DD2" w14:textId="2EC179FA"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Timis</w:t>
            </w:r>
          </w:p>
        </w:tc>
        <w:tc>
          <w:tcPr>
            <w:tcW w:w="1260" w:type="dxa"/>
            <w:tcBorders>
              <w:top w:val="nil"/>
              <w:left w:val="nil"/>
              <w:bottom w:val="nil"/>
              <w:right w:val="nil"/>
            </w:tcBorders>
            <w:hideMark/>
          </w:tcPr>
          <w:p w14:paraId="45901A43" w14:textId="47875632" w:rsidR="0097175D" w:rsidRPr="00037C61" w:rsidRDefault="0097175D" w:rsidP="00204288">
            <w:pPr>
              <w:pStyle w:val="InterregROHUBullet1"/>
              <w:numPr>
                <w:ilvl w:val="0"/>
                <w:numId w:val="0"/>
              </w:numPr>
              <w:spacing w:after="0"/>
              <w:jc w:val="center"/>
              <w:rPr>
                <w:sz w:val="20"/>
                <w:szCs w:val="20"/>
              </w:rPr>
            </w:pPr>
            <w:r w:rsidRPr="00037C61">
              <w:rPr>
                <w:sz w:val="20"/>
                <w:szCs w:val="20"/>
              </w:rPr>
              <w:t>10</w:t>
            </w:r>
          </w:p>
        </w:tc>
        <w:tc>
          <w:tcPr>
            <w:tcW w:w="1219" w:type="dxa"/>
            <w:tcBorders>
              <w:top w:val="nil"/>
              <w:left w:val="nil"/>
              <w:bottom w:val="nil"/>
              <w:right w:val="nil"/>
            </w:tcBorders>
            <w:hideMark/>
          </w:tcPr>
          <w:p w14:paraId="444C6889" w14:textId="34CE4FB3" w:rsidR="0097175D" w:rsidRPr="00037C61" w:rsidRDefault="0097175D" w:rsidP="00204288">
            <w:pPr>
              <w:pStyle w:val="InterregROHUBullet1"/>
              <w:numPr>
                <w:ilvl w:val="0"/>
                <w:numId w:val="0"/>
              </w:numPr>
              <w:spacing w:after="0"/>
              <w:jc w:val="center"/>
              <w:rPr>
                <w:sz w:val="20"/>
                <w:szCs w:val="20"/>
              </w:rPr>
            </w:pPr>
            <w:r w:rsidRPr="00037C61">
              <w:rPr>
                <w:sz w:val="20"/>
                <w:szCs w:val="20"/>
              </w:rPr>
              <w:t>450663</w:t>
            </w:r>
          </w:p>
        </w:tc>
        <w:tc>
          <w:tcPr>
            <w:tcW w:w="1218" w:type="dxa"/>
            <w:tcBorders>
              <w:top w:val="nil"/>
              <w:left w:val="nil"/>
              <w:bottom w:val="nil"/>
              <w:right w:val="nil"/>
            </w:tcBorders>
            <w:hideMark/>
          </w:tcPr>
          <w:p w14:paraId="425334B3" w14:textId="11D94B8F" w:rsidR="0097175D" w:rsidRPr="00037C61" w:rsidRDefault="0097175D" w:rsidP="00204288">
            <w:pPr>
              <w:pStyle w:val="InterregROHUBullet1"/>
              <w:numPr>
                <w:ilvl w:val="0"/>
                <w:numId w:val="0"/>
              </w:numPr>
              <w:spacing w:after="0"/>
              <w:jc w:val="center"/>
              <w:rPr>
                <w:sz w:val="20"/>
                <w:szCs w:val="20"/>
              </w:rPr>
            </w:pPr>
            <w:r w:rsidRPr="00037C61">
              <w:rPr>
                <w:sz w:val="20"/>
                <w:szCs w:val="20"/>
              </w:rPr>
              <w:t>60%</w:t>
            </w:r>
          </w:p>
        </w:tc>
        <w:tc>
          <w:tcPr>
            <w:tcW w:w="1253" w:type="dxa"/>
            <w:tcBorders>
              <w:top w:val="nil"/>
              <w:left w:val="nil"/>
              <w:bottom w:val="nil"/>
              <w:right w:val="nil"/>
            </w:tcBorders>
            <w:hideMark/>
          </w:tcPr>
          <w:p w14:paraId="0D198435" w14:textId="6D2A5E58" w:rsidR="0097175D" w:rsidRPr="00037C61" w:rsidRDefault="0097175D" w:rsidP="00204288">
            <w:pPr>
              <w:pStyle w:val="InterregROHUBullet1"/>
              <w:numPr>
                <w:ilvl w:val="0"/>
                <w:numId w:val="0"/>
              </w:numPr>
              <w:spacing w:after="0"/>
              <w:jc w:val="center"/>
              <w:rPr>
                <w:sz w:val="20"/>
                <w:szCs w:val="20"/>
              </w:rPr>
            </w:pPr>
            <w:r w:rsidRPr="00037C61">
              <w:rPr>
                <w:sz w:val="20"/>
                <w:szCs w:val="20"/>
              </w:rPr>
              <w:t>89</w:t>
            </w:r>
          </w:p>
        </w:tc>
        <w:tc>
          <w:tcPr>
            <w:tcW w:w="1219" w:type="dxa"/>
            <w:tcBorders>
              <w:top w:val="nil"/>
              <w:left w:val="nil"/>
              <w:bottom w:val="nil"/>
              <w:right w:val="nil"/>
            </w:tcBorders>
            <w:hideMark/>
          </w:tcPr>
          <w:p w14:paraId="26F19C2E" w14:textId="73F0E3DE" w:rsidR="0097175D" w:rsidRPr="00037C61" w:rsidRDefault="0097175D" w:rsidP="00204288">
            <w:pPr>
              <w:pStyle w:val="InterregROHUBullet1"/>
              <w:numPr>
                <w:ilvl w:val="0"/>
                <w:numId w:val="0"/>
              </w:numPr>
              <w:spacing w:after="0"/>
              <w:jc w:val="center"/>
              <w:rPr>
                <w:sz w:val="20"/>
                <w:szCs w:val="20"/>
              </w:rPr>
            </w:pPr>
            <w:r w:rsidRPr="00037C61">
              <w:rPr>
                <w:sz w:val="20"/>
                <w:szCs w:val="20"/>
              </w:rPr>
              <w:t>299849</w:t>
            </w:r>
          </w:p>
        </w:tc>
        <w:tc>
          <w:tcPr>
            <w:tcW w:w="1218" w:type="dxa"/>
            <w:tcBorders>
              <w:top w:val="nil"/>
              <w:left w:val="nil"/>
              <w:bottom w:val="nil"/>
              <w:right w:val="single" w:sz="4" w:space="0" w:color="034FA3" w:themeColor="accent1"/>
            </w:tcBorders>
            <w:hideMark/>
          </w:tcPr>
          <w:p w14:paraId="1E0149A9" w14:textId="13DC2265" w:rsidR="0097175D" w:rsidRPr="00037C61" w:rsidRDefault="0097175D" w:rsidP="00204288">
            <w:pPr>
              <w:pStyle w:val="InterregROHUBullet1"/>
              <w:numPr>
                <w:ilvl w:val="0"/>
                <w:numId w:val="0"/>
              </w:numPr>
              <w:spacing w:after="0"/>
              <w:jc w:val="center"/>
              <w:rPr>
                <w:sz w:val="20"/>
                <w:szCs w:val="20"/>
              </w:rPr>
            </w:pPr>
            <w:r w:rsidRPr="00037C61">
              <w:rPr>
                <w:sz w:val="20"/>
                <w:szCs w:val="20"/>
              </w:rPr>
              <w:t>40%</w:t>
            </w:r>
          </w:p>
        </w:tc>
      </w:tr>
      <w:tr w:rsidR="0097175D" w:rsidRPr="00037C61" w14:paraId="10F66ED2" w14:textId="57C6A14C"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160EB895" w14:textId="67F1E148" w:rsidR="0097175D" w:rsidRPr="00037C61" w:rsidRDefault="0097175D" w:rsidP="00204288">
            <w:pPr>
              <w:pStyle w:val="InterregROHUBullet1"/>
              <w:numPr>
                <w:ilvl w:val="0"/>
                <w:numId w:val="0"/>
              </w:numPr>
              <w:spacing w:after="0"/>
              <w:rPr>
                <w:b/>
                <w:sz w:val="20"/>
                <w:szCs w:val="20"/>
              </w:rPr>
            </w:pPr>
            <w:r w:rsidRPr="00037C61">
              <w:rPr>
                <w:b/>
                <w:sz w:val="20"/>
                <w:szCs w:val="20"/>
              </w:rPr>
              <w:t>Total</w:t>
            </w:r>
          </w:p>
        </w:tc>
        <w:tc>
          <w:tcPr>
            <w:tcW w:w="1260" w:type="dxa"/>
            <w:tcBorders>
              <w:top w:val="single" w:sz="4" w:space="0" w:color="034FA3" w:themeColor="accent1"/>
              <w:left w:val="nil"/>
              <w:bottom w:val="single" w:sz="4" w:space="0" w:color="034FA3" w:themeColor="accent1"/>
              <w:right w:val="nil"/>
            </w:tcBorders>
            <w:hideMark/>
          </w:tcPr>
          <w:p w14:paraId="4DCBEF57" w14:textId="084ED6C8" w:rsidR="0097175D" w:rsidRPr="00037C61" w:rsidRDefault="0097175D" w:rsidP="00204288">
            <w:pPr>
              <w:pStyle w:val="InterregROHUBullet1"/>
              <w:numPr>
                <w:ilvl w:val="0"/>
                <w:numId w:val="0"/>
              </w:numPr>
              <w:spacing w:after="0"/>
              <w:jc w:val="center"/>
              <w:rPr>
                <w:b/>
                <w:sz w:val="20"/>
                <w:szCs w:val="20"/>
              </w:rPr>
            </w:pPr>
            <w:r w:rsidRPr="00037C61">
              <w:rPr>
                <w:b/>
                <w:sz w:val="20"/>
                <w:szCs w:val="20"/>
              </w:rPr>
              <w:t>117</w:t>
            </w:r>
          </w:p>
        </w:tc>
        <w:tc>
          <w:tcPr>
            <w:tcW w:w="1219" w:type="dxa"/>
            <w:tcBorders>
              <w:top w:val="single" w:sz="4" w:space="0" w:color="034FA3" w:themeColor="accent1"/>
              <w:left w:val="nil"/>
              <w:bottom w:val="single" w:sz="4" w:space="0" w:color="034FA3" w:themeColor="accent1"/>
              <w:right w:val="nil"/>
            </w:tcBorders>
            <w:hideMark/>
          </w:tcPr>
          <w:p w14:paraId="23A9B3D3" w14:textId="321B563E" w:rsidR="0097175D" w:rsidRPr="00037C61" w:rsidRDefault="0097175D" w:rsidP="00204288">
            <w:pPr>
              <w:pStyle w:val="InterregROHUBullet1"/>
              <w:numPr>
                <w:ilvl w:val="0"/>
                <w:numId w:val="0"/>
              </w:numPr>
              <w:spacing w:after="0"/>
              <w:jc w:val="center"/>
              <w:rPr>
                <w:b/>
                <w:sz w:val="20"/>
                <w:szCs w:val="20"/>
              </w:rPr>
            </w:pPr>
            <w:r w:rsidRPr="00037C61">
              <w:rPr>
                <w:b/>
                <w:sz w:val="20"/>
                <w:szCs w:val="20"/>
              </w:rPr>
              <w:t>2544696</w:t>
            </w:r>
          </w:p>
        </w:tc>
        <w:tc>
          <w:tcPr>
            <w:tcW w:w="1218" w:type="dxa"/>
            <w:tcBorders>
              <w:top w:val="single" w:sz="4" w:space="0" w:color="034FA3" w:themeColor="accent1"/>
              <w:left w:val="nil"/>
              <w:bottom w:val="single" w:sz="4" w:space="0" w:color="034FA3" w:themeColor="accent1"/>
              <w:right w:val="nil"/>
            </w:tcBorders>
            <w:hideMark/>
          </w:tcPr>
          <w:p w14:paraId="4064699D" w14:textId="686D1E3E" w:rsidR="0097175D" w:rsidRPr="00037C61" w:rsidRDefault="0097175D" w:rsidP="00204288">
            <w:pPr>
              <w:pStyle w:val="InterregROHUBullet1"/>
              <w:numPr>
                <w:ilvl w:val="0"/>
                <w:numId w:val="0"/>
              </w:numPr>
              <w:spacing w:after="0"/>
              <w:jc w:val="center"/>
              <w:rPr>
                <w:b/>
                <w:sz w:val="20"/>
                <w:szCs w:val="20"/>
              </w:rPr>
            </w:pPr>
            <w:r w:rsidRPr="00037C61">
              <w:rPr>
                <w:b/>
                <w:sz w:val="20"/>
                <w:szCs w:val="20"/>
              </w:rPr>
              <w:t>62%</w:t>
            </w:r>
          </w:p>
        </w:tc>
        <w:tc>
          <w:tcPr>
            <w:tcW w:w="1253" w:type="dxa"/>
            <w:tcBorders>
              <w:top w:val="single" w:sz="4" w:space="0" w:color="034FA3" w:themeColor="accent1"/>
              <w:left w:val="nil"/>
              <w:bottom w:val="single" w:sz="4" w:space="0" w:color="034FA3" w:themeColor="accent1"/>
              <w:right w:val="nil"/>
            </w:tcBorders>
            <w:hideMark/>
          </w:tcPr>
          <w:p w14:paraId="67347C35" w14:textId="2F6688E0" w:rsidR="0097175D" w:rsidRPr="00037C61" w:rsidRDefault="0097175D" w:rsidP="00204288">
            <w:pPr>
              <w:pStyle w:val="InterregROHUBullet1"/>
              <w:numPr>
                <w:ilvl w:val="0"/>
                <w:numId w:val="0"/>
              </w:numPr>
              <w:spacing w:after="0"/>
              <w:jc w:val="center"/>
              <w:rPr>
                <w:b/>
                <w:sz w:val="20"/>
                <w:szCs w:val="20"/>
              </w:rPr>
            </w:pPr>
            <w:r w:rsidRPr="00037C61">
              <w:rPr>
                <w:b/>
                <w:sz w:val="20"/>
                <w:szCs w:val="20"/>
              </w:rPr>
              <w:t>672</w:t>
            </w:r>
          </w:p>
        </w:tc>
        <w:tc>
          <w:tcPr>
            <w:tcW w:w="1219" w:type="dxa"/>
            <w:tcBorders>
              <w:top w:val="single" w:sz="4" w:space="0" w:color="034FA3" w:themeColor="accent1"/>
              <w:left w:val="nil"/>
              <w:bottom w:val="single" w:sz="4" w:space="0" w:color="034FA3" w:themeColor="accent1"/>
              <w:right w:val="nil"/>
            </w:tcBorders>
            <w:hideMark/>
          </w:tcPr>
          <w:p w14:paraId="638DE4BA" w14:textId="3CDD0345" w:rsidR="0097175D" w:rsidRPr="00037C61" w:rsidRDefault="0097175D" w:rsidP="00204288">
            <w:pPr>
              <w:pStyle w:val="InterregROHUBullet1"/>
              <w:numPr>
                <w:ilvl w:val="0"/>
                <w:numId w:val="0"/>
              </w:numPr>
              <w:spacing w:after="0"/>
              <w:jc w:val="center"/>
              <w:rPr>
                <w:b/>
                <w:sz w:val="20"/>
                <w:szCs w:val="20"/>
              </w:rPr>
            </w:pPr>
            <w:r w:rsidRPr="00037C61">
              <w:rPr>
                <w:b/>
                <w:sz w:val="20"/>
                <w:szCs w:val="20"/>
              </w:rPr>
              <w:t>1580462</w:t>
            </w:r>
          </w:p>
        </w:tc>
        <w:tc>
          <w:tcPr>
            <w:tcW w:w="1218" w:type="dxa"/>
            <w:tcBorders>
              <w:top w:val="single" w:sz="4" w:space="0" w:color="034FA3" w:themeColor="accent1"/>
              <w:left w:val="nil"/>
              <w:bottom w:val="single" w:sz="4" w:space="0" w:color="034FA3" w:themeColor="accent1"/>
              <w:right w:val="single" w:sz="4" w:space="0" w:color="034FA3" w:themeColor="accent1"/>
            </w:tcBorders>
            <w:hideMark/>
          </w:tcPr>
          <w:p w14:paraId="558CADDA" w14:textId="15C23DB9" w:rsidR="0097175D" w:rsidRPr="00037C61" w:rsidRDefault="0097175D" w:rsidP="00204288">
            <w:pPr>
              <w:pStyle w:val="InterregROHUBullet1"/>
              <w:numPr>
                <w:ilvl w:val="0"/>
                <w:numId w:val="0"/>
              </w:numPr>
              <w:spacing w:after="0"/>
              <w:jc w:val="center"/>
              <w:rPr>
                <w:b/>
                <w:sz w:val="20"/>
                <w:szCs w:val="20"/>
              </w:rPr>
            </w:pPr>
            <w:r w:rsidRPr="00037C61">
              <w:rPr>
                <w:b/>
                <w:sz w:val="20"/>
                <w:szCs w:val="20"/>
              </w:rPr>
              <w:t>38%</w:t>
            </w:r>
          </w:p>
        </w:tc>
      </w:tr>
      <w:tr w:rsidR="0097175D" w:rsidRPr="00037C61" w14:paraId="1509E301" w14:textId="36D5AA6C" w:rsidTr="00204288">
        <w:trPr>
          <w:trHeight w:val="144"/>
        </w:trPr>
        <w:tc>
          <w:tcPr>
            <w:tcW w:w="1615" w:type="dxa"/>
            <w:tcBorders>
              <w:top w:val="nil"/>
              <w:left w:val="single" w:sz="4" w:space="0" w:color="034FA3" w:themeColor="accent1"/>
              <w:bottom w:val="nil"/>
              <w:right w:val="nil"/>
            </w:tcBorders>
            <w:shd w:val="clear" w:color="auto" w:fill="FFFFFF" w:themeFill="background1"/>
            <w:hideMark/>
          </w:tcPr>
          <w:p w14:paraId="590633F9" w14:textId="3A756354" w:rsidR="0097175D" w:rsidRPr="00037C61" w:rsidRDefault="0097175D" w:rsidP="00204288">
            <w:pPr>
              <w:pStyle w:val="InterregROHUBullet1"/>
              <w:numPr>
                <w:ilvl w:val="0"/>
                <w:numId w:val="0"/>
              </w:numPr>
              <w:spacing w:after="0"/>
              <w:rPr>
                <w:b/>
                <w:i/>
                <w:iCs/>
                <w:sz w:val="20"/>
                <w:szCs w:val="20"/>
              </w:rPr>
            </w:pPr>
            <w:r w:rsidRPr="00037C61">
              <w:rPr>
                <w:b/>
                <w:i/>
                <w:iCs/>
                <w:sz w:val="20"/>
                <w:szCs w:val="20"/>
              </w:rPr>
              <w:t>Total Hungary counties</w:t>
            </w:r>
          </w:p>
        </w:tc>
        <w:tc>
          <w:tcPr>
            <w:tcW w:w="1260" w:type="dxa"/>
            <w:tcBorders>
              <w:top w:val="nil"/>
              <w:left w:val="nil"/>
              <w:bottom w:val="nil"/>
              <w:right w:val="nil"/>
            </w:tcBorders>
            <w:hideMark/>
          </w:tcPr>
          <w:p w14:paraId="5E04AE73" w14:textId="287051C4"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81</w:t>
            </w:r>
          </w:p>
        </w:tc>
        <w:tc>
          <w:tcPr>
            <w:tcW w:w="1219" w:type="dxa"/>
            <w:tcBorders>
              <w:top w:val="nil"/>
              <w:left w:val="nil"/>
              <w:bottom w:val="nil"/>
              <w:right w:val="nil"/>
            </w:tcBorders>
            <w:hideMark/>
          </w:tcPr>
          <w:p w14:paraId="74A54731" w14:textId="55512E46"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1323230</w:t>
            </w:r>
          </w:p>
        </w:tc>
        <w:tc>
          <w:tcPr>
            <w:tcW w:w="1218" w:type="dxa"/>
            <w:tcBorders>
              <w:top w:val="nil"/>
              <w:left w:val="nil"/>
              <w:bottom w:val="nil"/>
              <w:right w:val="nil"/>
            </w:tcBorders>
            <w:hideMark/>
          </w:tcPr>
          <w:p w14:paraId="03A925B4" w14:textId="2B50B226"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70%</w:t>
            </w:r>
          </w:p>
        </w:tc>
        <w:tc>
          <w:tcPr>
            <w:tcW w:w="1253" w:type="dxa"/>
            <w:tcBorders>
              <w:top w:val="nil"/>
              <w:left w:val="nil"/>
              <w:bottom w:val="nil"/>
              <w:right w:val="nil"/>
            </w:tcBorders>
            <w:hideMark/>
          </w:tcPr>
          <w:p w14:paraId="0B182A75" w14:textId="122AB092"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365</w:t>
            </w:r>
          </w:p>
        </w:tc>
        <w:tc>
          <w:tcPr>
            <w:tcW w:w="1219" w:type="dxa"/>
            <w:tcBorders>
              <w:top w:val="nil"/>
              <w:left w:val="nil"/>
              <w:bottom w:val="nil"/>
              <w:right w:val="nil"/>
            </w:tcBorders>
            <w:hideMark/>
          </w:tcPr>
          <w:p w14:paraId="39218998" w14:textId="2F421774"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571754</w:t>
            </w:r>
          </w:p>
        </w:tc>
        <w:tc>
          <w:tcPr>
            <w:tcW w:w="1218" w:type="dxa"/>
            <w:tcBorders>
              <w:top w:val="nil"/>
              <w:left w:val="nil"/>
              <w:bottom w:val="nil"/>
              <w:right w:val="single" w:sz="4" w:space="0" w:color="034FA3" w:themeColor="accent1"/>
            </w:tcBorders>
            <w:hideMark/>
          </w:tcPr>
          <w:p w14:paraId="56A863CF" w14:textId="01AF22C6"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30%</w:t>
            </w:r>
          </w:p>
        </w:tc>
      </w:tr>
      <w:tr w:rsidR="0097175D" w:rsidRPr="00037C61" w14:paraId="7A5A9CA1" w14:textId="089F5FAA"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375658EF" w14:textId="631A4466" w:rsidR="0097175D" w:rsidRPr="00037C61" w:rsidRDefault="0097175D" w:rsidP="00204288">
            <w:pPr>
              <w:pStyle w:val="InterregROHUBullet1"/>
              <w:numPr>
                <w:ilvl w:val="0"/>
                <w:numId w:val="0"/>
              </w:numPr>
              <w:spacing w:after="0"/>
              <w:rPr>
                <w:b/>
                <w:i/>
                <w:iCs/>
                <w:sz w:val="20"/>
                <w:szCs w:val="20"/>
              </w:rPr>
            </w:pPr>
            <w:r w:rsidRPr="00037C61">
              <w:rPr>
                <w:b/>
                <w:i/>
                <w:iCs/>
                <w:sz w:val="20"/>
                <w:szCs w:val="20"/>
              </w:rPr>
              <w:t>Total Romania counties</w:t>
            </w:r>
          </w:p>
        </w:tc>
        <w:tc>
          <w:tcPr>
            <w:tcW w:w="1260" w:type="dxa"/>
            <w:tcBorders>
              <w:top w:val="single" w:sz="4" w:space="0" w:color="034FA3" w:themeColor="accent1"/>
              <w:left w:val="nil"/>
              <w:bottom w:val="single" w:sz="4" w:space="0" w:color="034FA3" w:themeColor="accent1"/>
              <w:right w:val="nil"/>
            </w:tcBorders>
            <w:hideMark/>
          </w:tcPr>
          <w:p w14:paraId="069E8BD0" w14:textId="14323F3E"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36</w:t>
            </w:r>
          </w:p>
        </w:tc>
        <w:tc>
          <w:tcPr>
            <w:tcW w:w="1219" w:type="dxa"/>
            <w:tcBorders>
              <w:top w:val="single" w:sz="4" w:space="0" w:color="034FA3" w:themeColor="accent1"/>
              <w:left w:val="nil"/>
              <w:bottom w:val="single" w:sz="4" w:space="0" w:color="034FA3" w:themeColor="accent1"/>
              <w:right w:val="nil"/>
            </w:tcBorders>
            <w:hideMark/>
          </w:tcPr>
          <w:p w14:paraId="0B666CE1" w14:textId="2B0AE1CC"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1221466</w:t>
            </w:r>
          </w:p>
        </w:tc>
        <w:tc>
          <w:tcPr>
            <w:tcW w:w="1218" w:type="dxa"/>
            <w:tcBorders>
              <w:top w:val="single" w:sz="4" w:space="0" w:color="034FA3" w:themeColor="accent1"/>
              <w:left w:val="nil"/>
              <w:bottom w:val="single" w:sz="4" w:space="0" w:color="034FA3" w:themeColor="accent1"/>
              <w:right w:val="nil"/>
            </w:tcBorders>
            <w:hideMark/>
          </w:tcPr>
          <w:p w14:paraId="736B9DB2" w14:textId="7CA06B03"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55%</w:t>
            </w:r>
          </w:p>
        </w:tc>
        <w:tc>
          <w:tcPr>
            <w:tcW w:w="1253" w:type="dxa"/>
            <w:tcBorders>
              <w:top w:val="single" w:sz="4" w:space="0" w:color="034FA3" w:themeColor="accent1"/>
              <w:left w:val="nil"/>
              <w:bottom w:val="single" w:sz="4" w:space="0" w:color="034FA3" w:themeColor="accent1"/>
              <w:right w:val="nil"/>
            </w:tcBorders>
            <w:hideMark/>
          </w:tcPr>
          <w:p w14:paraId="028DAB15" w14:textId="0DF9C23C"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307</w:t>
            </w:r>
          </w:p>
        </w:tc>
        <w:tc>
          <w:tcPr>
            <w:tcW w:w="1219" w:type="dxa"/>
            <w:tcBorders>
              <w:top w:val="single" w:sz="4" w:space="0" w:color="034FA3" w:themeColor="accent1"/>
              <w:left w:val="nil"/>
              <w:bottom w:val="single" w:sz="4" w:space="0" w:color="034FA3" w:themeColor="accent1"/>
              <w:right w:val="nil"/>
            </w:tcBorders>
            <w:hideMark/>
          </w:tcPr>
          <w:p w14:paraId="0FE8EA05" w14:textId="4715FCA4"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1008708</w:t>
            </w:r>
          </w:p>
        </w:tc>
        <w:tc>
          <w:tcPr>
            <w:tcW w:w="1218" w:type="dxa"/>
            <w:tcBorders>
              <w:top w:val="single" w:sz="4" w:space="0" w:color="034FA3" w:themeColor="accent1"/>
              <w:left w:val="nil"/>
              <w:bottom w:val="single" w:sz="4" w:space="0" w:color="034FA3" w:themeColor="accent1"/>
              <w:right w:val="single" w:sz="4" w:space="0" w:color="034FA3" w:themeColor="accent1"/>
            </w:tcBorders>
            <w:hideMark/>
          </w:tcPr>
          <w:p w14:paraId="75668DCB" w14:textId="17FE0F58"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45%</w:t>
            </w:r>
          </w:p>
        </w:tc>
      </w:tr>
      <w:tr w:rsidR="0097175D" w:rsidRPr="00037C61" w14:paraId="77816798" w14:textId="34603626"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tcPr>
          <w:p w14:paraId="0137BE4F" w14:textId="72A476EE" w:rsidR="0097175D" w:rsidRPr="00037C61" w:rsidRDefault="0097175D" w:rsidP="00204288">
            <w:pPr>
              <w:pStyle w:val="InterregROHUBullet1"/>
              <w:numPr>
                <w:ilvl w:val="0"/>
                <w:numId w:val="0"/>
              </w:numPr>
              <w:spacing w:after="0"/>
              <w:rPr>
                <w:b/>
                <w:i/>
                <w:iCs/>
                <w:sz w:val="20"/>
                <w:szCs w:val="20"/>
              </w:rPr>
            </w:pPr>
            <w:r w:rsidRPr="00037C61">
              <w:rPr>
                <w:b/>
                <w:i/>
                <w:iCs/>
                <w:sz w:val="20"/>
                <w:szCs w:val="20"/>
              </w:rPr>
              <w:t>Hungary</w:t>
            </w:r>
          </w:p>
        </w:tc>
        <w:tc>
          <w:tcPr>
            <w:tcW w:w="1260" w:type="dxa"/>
            <w:tcBorders>
              <w:top w:val="single" w:sz="4" w:space="0" w:color="034FA3" w:themeColor="accent1"/>
              <w:left w:val="nil"/>
              <w:bottom w:val="single" w:sz="4" w:space="0" w:color="034FA3" w:themeColor="accent1"/>
              <w:right w:val="nil"/>
            </w:tcBorders>
          </w:tcPr>
          <w:p w14:paraId="528C8CE1" w14:textId="2CB93A3B"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346</w:t>
            </w:r>
          </w:p>
        </w:tc>
        <w:tc>
          <w:tcPr>
            <w:tcW w:w="1219" w:type="dxa"/>
            <w:tcBorders>
              <w:top w:val="single" w:sz="4" w:space="0" w:color="034FA3" w:themeColor="accent1"/>
              <w:left w:val="nil"/>
              <w:bottom w:val="single" w:sz="4" w:space="0" w:color="034FA3" w:themeColor="accent1"/>
              <w:right w:val="nil"/>
            </w:tcBorders>
          </w:tcPr>
          <w:p w14:paraId="750565B5" w14:textId="4C17D644"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6917508</w:t>
            </w:r>
          </w:p>
        </w:tc>
        <w:tc>
          <w:tcPr>
            <w:tcW w:w="1218" w:type="dxa"/>
            <w:tcBorders>
              <w:top w:val="single" w:sz="4" w:space="0" w:color="034FA3" w:themeColor="accent1"/>
              <w:left w:val="nil"/>
              <w:bottom w:val="single" w:sz="4" w:space="0" w:color="034FA3" w:themeColor="accent1"/>
              <w:right w:val="nil"/>
            </w:tcBorders>
          </w:tcPr>
          <w:p w14:paraId="6B1BD17A" w14:textId="6215929F"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72%</w:t>
            </w:r>
          </w:p>
        </w:tc>
        <w:tc>
          <w:tcPr>
            <w:tcW w:w="1253" w:type="dxa"/>
            <w:tcBorders>
              <w:top w:val="single" w:sz="4" w:space="0" w:color="034FA3" w:themeColor="accent1"/>
              <w:left w:val="nil"/>
              <w:bottom w:val="single" w:sz="4" w:space="0" w:color="034FA3" w:themeColor="accent1"/>
              <w:right w:val="nil"/>
            </w:tcBorders>
          </w:tcPr>
          <w:p w14:paraId="254037EC" w14:textId="477C7981"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2806</w:t>
            </w:r>
          </w:p>
        </w:tc>
        <w:tc>
          <w:tcPr>
            <w:tcW w:w="1219" w:type="dxa"/>
            <w:tcBorders>
              <w:top w:val="single" w:sz="4" w:space="0" w:color="034FA3" w:themeColor="accent1"/>
              <w:left w:val="nil"/>
              <w:bottom w:val="single" w:sz="4" w:space="0" w:color="034FA3" w:themeColor="accent1"/>
              <w:right w:val="nil"/>
            </w:tcBorders>
          </w:tcPr>
          <w:p w14:paraId="2BAE234A" w14:textId="0A353CA2" w:rsidR="0097175D" w:rsidRPr="00037C61" w:rsidRDefault="0097175D" w:rsidP="00204288">
            <w:pPr>
              <w:jc w:val="center"/>
              <w:rPr>
                <w:b/>
                <w:i/>
                <w:iCs/>
                <w:sz w:val="20"/>
                <w:szCs w:val="20"/>
                <w:lang w:val="en-GB"/>
              </w:rPr>
            </w:pPr>
            <w:r w:rsidRPr="00037C61">
              <w:rPr>
                <w:rFonts w:cs="Calibri"/>
                <w:color w:val="000000"/>
                <w:sz w:val="20"/>
                <w:szCs w:val="20"/>
                <w:lang w:val="en-GB"/>
              </w:rPr>
              <w:t>2767171</w:t>
            </w:r>
          </w:p>
        </w:tc>
        <w:tc>
          <w:tcPr>
            <w:tcW w:w="1218" w:type="dxa"/>
            <w:tcBorders>
              <w:top w:val="single" w:sz="4" w:space="0" w:color="034FA3" w:themeColor="accent1"/>
              <w:left w:val="nil"/>
              <w:bottom w:val="single" w:sz="4" w:space="0" w:color="034FA3" w:themeColor="accent1"/>
              <w:right w:val="single" w:sz="4" w:space="0" w:color="034FA3" w:themeColor="accent1"/>
            </w:tcBorders>
          </w:tcPr>
          <w:p w14:paraId="528C9D75" w14:textId="0C79B6A3" w:rsidR="0097175D" w:rsidRPr="00037C61" w:rsidRDefault="0097175D" w:rsidP="00204288">
            <w:pPr>
              <w:pStyle w:val="InterregROHUBullet1"/>
              <w:numPr>
                <w:ilvl w:val="0"/>
                <w:numId w:val="0"/>
              </w:numPr>
              <w:spacing w:after="0"/>
              <w:jc w:val="center"/>
              <w:rPr>
                <w:b/>
                <w:i/>
                <w:iCs/>
                <w:sz w:val="20"/>
                <w:szCs w:val="20"/>
              </w:rPr>
            </w:pPr>
            <w:r w:rsidRPr="00037C61">
              <w:rPr>
                <w:b/>
                <w:i/>
                <w:iCs/>
                <w:sz w:val="20"/>
                <w:szCs w:val="20"/>
              </w:rPr>
              <w:t>28%</w:t>
            </w:r>
          </w:p>
        </w:tc>
      </w:tr>
      <w:tr w:rsidR="0097175D" w:rsidRPr="00037C61" w14:paraId="0DB6539E" w14:textId="373E61F7" w:rsidTr="00204288">
        <w:trPr>
          <w:trHeight w:val="144"/>
        </w:trPr>
        <w:tc>
          <w:tcPr>
            <w:tcW w:w="1615"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tcPr>
          <w:p w14:paraId="3A70271C" w14:textId="23624B50" w:rsidR="0097175D" w:rsidRPr="00037C61" w:rsidRDefault="0097175D" w:rsidP="00204288">
            <w:pPr>
              <w:pStyle w:val="InterregROHUBullet1"/>
              <w:numPr>
                <w:ilvl w:val="0"/>
                <w:numId w:val="0"/>
              </w:numPr>
              <w:spacing w:after="0"/>
              <w:rPr>
                <w:b/>
                <w:i/>
                <w:iCs/>
              </w:rPr>
            </w:pPr>
            <w:r w:rsidRPr="00037C61">
              <w:rPr>
                <w:b/>
                <w:i/>
                <w:iCs/>
              </w:rPr>
              <w:t>Romania</w:t>
            </w:r>
          </w:p>
        </w:tc>
        <w:tc>
          <w:tcPr>
            <w:tcW w:w="1260" w:type="dxa"/>
            <w:tcBorders>
              <w:top w:val="single" w:sz="4" w:space="0" w:color="034FA3" w:themeColor="accent1"/>
              <w:left w:val="nil"/>
              <w:bottom w:val="single" w:sz="4" w:space="0" w:color="034FA3" w:themeColor="accent1"/>
              <w:right w:val="nil"/>
            </w:tcBorders>
          </w:tcPr>
          <w:p w14:paraId="7B991E6E" w14:textId="6F20CC22" w:rsidR="0097175D" w:rsidRPr="00037C61" w:rsidRDefault="0097175D" w:rsidP="00204288">
            <w:pPr>
              <w:pStyle w:val="InterregROHUBullet1"/>
              <w:numPr>
                <w:ilvl w:val="0"/>
                <w:numId w:val="0"/>
              </w:numPr>
              <w:spacing w:after="0"/>
              <w:jc w:val="center"/>
              <w:rPr>
                <w:b/>
                <w:i/>
                <w:iCs/>
              </w:rPr>
            </w:pPr>
            <w:r w:rsidRPr="00037C61">
              <w:rPr>
                <w:b/>
                <w:i/>
                <w:iCs/>
              </w:rPr>
              <w:t>320</w:t>
            </w:r>
          </w:p>
        </w:tc>
        <w:tc>
          <w:tcPr>
            <w:tcW w:w="1219" w:type="dxa"/>
            <w:tcBorders>
              <w:top w:val="single" w:sz="4" w:space="0" w:color="034FA3" w:themeColor="accent1"/>
              <w:left w:val="nil"/>
              <w:bottom w:val="single" w:sz="4" w:space="0" w:color="034FA3" w:themeColor="accent1"/>
              <w:right w:val="nil"/>
            </w:tcBorders>
          </w:tcPr>
          <w:p w14:paraId="3C316A2E" w14:textId="4AE065EC" w:rsidR="0097175D" w:rsidRPr="00037C61" w:rsidRDefault="0097175D" w:rsidP="0097175D">
            <w:pPr>
              <w:pStyle w:val="InterregROHUBullet1"/>
              <w:spacing w:after="0"/>
              <w:rPr>
                <w:b/>
                <w:i/>
                <w:iCs/>
              </w:rPr>
            </w:pPr>
            <w:r w:rsidRPr="00037C61">
              <w:rPr>
                <w:b/>
                <w:i/>
                <w:iCs/>
              </w:rPr>
              <w:t>12526419</w:t>
            </w:r>
          </w:p>
        </w:tc>
        <w:tc>
          <w:tcPr>
            <w:tcW w:w="1218" w:type="dxa"/>
            <w:tcBorders>
              <w:top w:val="single" w:sz="4" w:space="0" w:color="034FA3" w:themeColor="accent1"/>
              <w:left w:val="nil"/>
              <w:bottom w:val="single" w:sz="4" w:space="0" w:color="034FA3" w:themeColor="accent1"/>
              <w:right w:val="nil"/>
            </w:tcBorders>
          </w:tcPr>
          <w:p w14:paraId="4EC3493E" w14:textId="74A234C9" w:rsidR="0097175D" w:rsidRPr="00037C61" w:rsidRDefault="0097175D" w:rsidP="00204288">
            <w:pPr>
              <w:pStyle w:val="InterregROHUBullet1"/>
              <w:numPr>
                <w:ilvl w:val="0"/>
                <w:numId w:val="0"/>
              </w:numPr>
              <w:spacing w:after="0"/>
              <w:jc w:val="center"/>
              <w:rPr>
                <w:b/>
                <w:i/>
                <w:iCs/>
              </w:rPr>
            </w:pPr>
            <w:r w:rsidRPr="00037C61">
              <w:rPr>
                <w:b/>
                <w:i/>
                <w:iCs/>
              </w:rPr>
              <w:t>56%</w:t>
            </w:r>
          </w:p>
        </w:tc>
        <w:tc>
          <w:tcPr>
            <w:tcW w:w="1253" w:type="dxa"/>
            <w:tcBorders>
              <w:top w:val="single" w:sz="4" w:space="0" w:color="034FA3" w:themeColor="accent1"/>
              <w:left w:val="nil"/>
              <w:bottom w:val="single" w:sz="4" w:space="0" w:color="034FA3" w:themeColor="accent1"/>
              <w:right w:val="nil"/>
            </w:tcBorders>
          </w:tcPr>
          <w:p w14:paraId="34DDA3E5" w14:textId="7ED961BB" w:rsidR="0097175D" w:rsidRPr="00037C61" w:rsidRDefault="0097175D" w:rsidP="00204288">
            <w:pPr>
              <w:pStyle w:val="InterregROHUBullet1"/>
              <w:numPr>
                <w:ilvl w:val="0"/>
                <w:numId w:val="0"/>
              </w:numPr>
              <w:spacing w:after="0"/>
              <w:jc w:val="center"/>
              <w:rPr>
                <w:b/>
                <w:i/>
                <w:iCs/>
              </w:rPr>
            </w:pPr>
            <w:r w:rsidRPr="00037C61">
              <w:rPr>
                <w:b/>
                <w:i/>
                <w:iCs/>
              </w:rPr>
              <w:t>2861</w:t>
            </w:r>
          </w:p>
        </w:tc>
        <w:tc>
          <w:tcPr>
            <w:tcW w:w="1219" w:type="dxa"/>
            <w:tcBorders>
              <w:top w:val="single" w:sz="4" w:space="0" w:color="034FA3" w:themeColor="accent1"/>
              <w:left w:val="nil"/>
              <w:bottom w:val="single" w:sz="4" w:space="0" w:color="034FA3" w:themeColor="accent1"/>
              <w:right w:val="nil"/>
            </w:tcBorders>
          </w:tcPr>
          <w:p w14:paraId="35E54FE6" w14:textId="03A60D5C" w:rsidR="0097175D" w:rsidRPr="00037C61" w:rsidRDefault="0097175D" w:rsidP="0097175D">
            <w:pPr>
              <w:pStyle w:val="InterregROHUBullet1"/>
              <w:spacing w:after="0"/>
              <w:rPr>
                <w:b/>
                <w:i/>
                <w:iCs/>
              </w:rPr>
            </w:pPr>
            <w:r w:rsidRPr="00037C61">
              <w:rPr>
                <w:b/>
                <w:i/>
                <w:iCs/>
              </w:rPr>
              <w:t>9695476</w:t>
            </w:r>
          </w:p>
        </w:tc>
        <w:tc>
          <w:tcPr>
            <w:tcW w:w="1218" w:type="dxa"/>
            <w:tcBorders>
              <w:top w:val="single" w:sz="4" w:space="0" w:color="034FA3" w:themeColor="accent1"/>
              <w:left w:val="nil"/>
              <w:bottom w:val="single" w:sz="4" w:space="0" w:color="034FA3" w:themeColor="accent1"/>
              <w:right w:val="single" w:sz="4" w:space="0" w:color="034FA3" w:themeColor="accent1"/>
            </w:tcBorders>
          </w:tcPr>
          <w:p w14:paraId="3936FDE0" w14:textId="0B437DD1" w:rsidR="0097175D" w:rsidRPr="00037C61" w:rsidRDefault="0097175D" w:rsidP="00204288">
            <w:pPr>
              <w:pStyle w:val="InterregROHUBullet1"/>
              <w:numPr>
                <w:ilvl w:val="0"/>
                <w:numId w:val="0"/>
              </w:numPr>
              <w:spacing w:after="0"/>
              <w:jc w:val="center"/>
              <w:rPr>
                <w:b/>
                <w:i/>
                <w:iCs/>
              </w:rPr>
            </w:pPr>
            <w:r w:rsidRPr="00037C61">
              <w:rPr>
                <w:b/>
                <w:i/>
                <w:iCs/>
              </w:rPr>
              <w:t>44%</w:t>
            </w:r>
          </w:p>
        </w:tc>
      </w:tr>
    </w:tbl>
    <w:p w14:paraId="3C2C517B" w14:textId="7EE7C7E3" w:rsidR="00E87DED" w:rsidRPr="00037C61" w:rsidRDefault="0097175D" w:rsidP="00E87DED">
      <w:pPr>
        <w:rPr>
          <w:i/>
          <w:iCs/>
          <w:color w:val="012751" w:themeColor="text2"/>
          <w:sz w:val="18"/>
          <w:szCs w:val="18"/>
          <w:lang w:val="en-GB"/>
        </w:rPr>
      </w:pPr>
      <w:r w:rsidRPr="00037C61">
        <w:rPr>
          <w:i/>
          <w:iCs/>
          <w:color w:val="012751" w:themeColor="text2"/>
          <w:sz w:val="18"/>
          <w:szCs w:val="18"/>
          <w:lang w:val="en-GB"/>
        </w:rPr>
        <w:t>Source: KSH, INS</w:t>
      </w:r>
    </w:p>
    <w:p w14:paraId="1CA859C4" w14:textId="77777777" w:rsidR="00B31110" w:rsidRPr="00037C61" w:rsidRDefault="00B31110" w:rsidP="005E0849">
      <w:pPr>
        <w:rPr>
          <w:lang w:val="en-GB"/>
        </w:rPr>
      </w:pPr>
    </w:p>
    <w:p w14:paraId="05D2112D" w14:textId="77777777" w:rsidR="00B31110" w:rsidRPr="00037C61" w:rsidRDefault="00B31110" w:rsidP="00B31110">
      <w:pPr>
        <w:rPr>
          <w:lang w:val="en-GB"/>
        </w:rPr>
      </w:pPr>
      <w:r w:rsidRPr="00037C61">
        <w:rPr>
          <w:lang w:val="en-GB"/>
        </w:rPr>
        <w:t xml:space="preserve">Regarding urban and rural population evolution, we can see that there are two major trends: </w:t>
      </w:r>
    </w:p>
    <w:p w14:paraId="66E99A8D" w14:textId="713E8036" w:rsidR="00B31110" w:rsidRPr="00037C61" w:rsidRDefault="00B31110" w:rsidP="00B31110">
      <w:pPr>
        <w:pStyle w:val="InterregROHUBullet1"/>
        <w:ind w:left="709"/>
      </w:pPr>
      <w:r w:rsidRPr="00037C61">
        <w:rPr>
          <w:b/>
          <w:bCs w:val="0"/>
        </w:rPr>
        <w:lastRenderedPageBreak/>
        <w:t>Urban population decreasing steadily for all regions</w:t>
      </w:r>
      <w:r w:rsidRPr="00037C61">
        <w:t xml:space="preserve"> (Békés region has the highest decrease rate of urban population of – 6.81%)</w:t>
      </w:r>
    </w:p>
    <w:p w14:paraId="2ADAFDB3" w14:textId="0A2DF37A" w:rsidR="00B31110" w:rsidRPr="00037C61" w:rsidRDefault="00B31110" w:rsidP="00B31110">
      <w:pPr>
        <w:pStyle w:val="InterregROHUBullet1"/>
        <w:ind w:left="709"/>
      </w:pPr>
      <w:r w:rsidRPr="00037C61">
        <w:rPr>
          <w:b/>
          <w:bCs w:val="0"/>
        </w:rPr>
        <w:t>Rural population dynamic has major discrepancies:</w:t>
      </w:r>
      <w:r w:rsidRPr="00037C61">
        <w:t xml:space="preserve"> Szabolcs-Szatmár-Bereg, Bihor, Satu Mare regions have a slight increase in rural population; Hajdú-Bihar, Csongrád-Csanád, Arad regions have a medium rate decrease in rural population; Békés region has the highest decrease rate in rural population of – 8.80%; major discrepancy - Timiș region which has a 12% increase of its rural population. </w:t>
      </w:r>
    </w:p>
    <w:p w14:paraId="2E4373C7" w14:textId="4BACA622" w:rsidR="00B31110" w:rsidRPr="00037C61" w:rsidRDefault="00B31110" w:rsidP="00B31110">
      <w:pPr>
        <w:rPr>
          <w:lang w:val="en-GB"/>
        </w:rPr>
      </w:pPr>
      <w:r w:rsidRPr="00037C61">
        <w:rPr>
          <w:lang w:val="en-GB"/>
        </w:rPr>
        <w:t>One of the reasons for Timiș major increase in rural population is that its main city Timișoara is a high polarizing city (being one of the major growth poles at national levels), in the last years having a major impact in the development of the surrounding rural settlements (increase in population and built area), generating a</w:t>
      </w:r>
      <w:r w:rsidR="004864E9" w:rsidRPr="00037C61">
        <w:rPr>
          <w:lang w:val="en-GB"/>
        </w:rPr>
        <w:t xml:space="preserve"> sprawling </w:t>
      </w:r>
      <w:r w:rsidRPr="00037C61">
        <w:rPr>
          <w:lang w:val="en-GB"/>
        </w:rPr>
        <w:t>development. Timiș region has major peri-urbanization tendencies, meaning that connectivity at the regional level between the main city Timișoara and its area of influence must be one important focus domain (in order to expand the benefits across the border).</w:t>
      </w:r>
      <w:r w:rsidR="006E55FF" w:rsidRPr="00037C61">
        <w:rPr>
          <w:lang w:val="en-GB"/>
        </w:rPr>
        <w:t xml:space="preserve"> </w:t>
      </w:r>
    </w:p>
    <w:p w14:paraId="6CBD5229" w14:textId="77777777" w:rsidR="00B31110" w:rsidRPr="00037C61" w:rsidRDefault="00B31110" w:rsidP="00B31110">
      <w:pPr>
        <w:spacing w:after="0"/>
        <w:rPr>
          <w:rFonts w:eastAsiaTheme="majorEastAsia" w:cs="Calibri"/>
          <w:sz w:val="24"/>
          <w:szCs w:val="24"/>
          <w:lang w:val="en-GB"/>
        </w:rPr>
      </w:pPr>
    </w:p>
    <w:p w14:paraId="3605E9ED" w14:textId="77777777" w:rsidR="00B31110" w:rsidRPr="00037C61" w:rsidRDefault="00B31110" w:rsidP="00B31110">
      <w:pPr>
        <w:keepNext/>
        <w:spacing w:after="0"/>
        <w:rPr>
          <w:lang w:val="en-GB"/>
        </w:rPr>
      </w:pPr>
      <w:r w:rsidRPr="00037C61">
        <w:rPr>
          <w:noProof/>
          <w:color w:val="0070C0"/>
          <w:lang w:val="ro-RO" w:eastAsia="ro-RO"/>
        </w:rPr>
        <w:drawing>
          <wp:inline distT="0" distB="0" distL="0" distR="0" wp14:anchorId="23D5F187" wp14:editId="63837228">
            <wp:extent cx="5734050" cy="3076575"/>
            <wp:effectExtent l="19050" t="19050" r="19050" b="9525"/>
            <wp:docPr id="1490160173" name="Chart 149016017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BEC0CD4" w14:textId="525D1406" w:rsidR="00B31110" w:rsidRPr="00037C61" w:rsidRDefault="00B31110" w:rsidP="00B31110">
      <w:pPr>
        <w:pStyle w:val="Caption"/>
        <w:jc w:val="both"/>
        <w:rPr>
          <w:lang w:val="en-GB"/>
        </w:rPr>
      </w:pPr>
      <w:bookmarkStart w:id="117" w:name="_Toc6461096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w:t>
      </w:r>
      <w:r w:rsidR="00412697">
        <w:rPr>
          <w:lang w:val="en-GB"/>
        </w:rPr>
        <w:fldChar w:fldCharType="end"/>
      </w:r>
      <w:r w:rsidRPr="00037C61">
        <w:rPr>
          <w:lang w:val="en-GB"/>
        </w:rPr>
        <w:t xml:space="preserve"> - Urban versus rural population evolution 2009 - 2018 (% increase or decrease)</w:t>
      </w:r>
      <w:bookmarkEnd w:id="117"/>
      <w:r w:rsidRPr="00037C61">
        <w:rPr>
          <w:lang w:val="en-GB"/>
        </w:rPr>
        <w:t xml:space="preserve"> </w:t>
      </w:r>
    </w:p>
    <w:p w14:paraId="49B4F1CA" w14:textId="4C8F130C" w:rsidR="00B31110" w:rsidRPr="00037C61" w:rsidRDefault="00B31110" w:rsidP="00B31110">
      <w:pPr>
        <w:pStyle w:val="Caption"/>
        <w:jc w:val="both"/>
        <w:rPr>
          <w:lang w:val="en-GB"/>
        </w:rPr>
      </w:pPr>
      <w:r w:rsidRPr="00037C61">
        <w:rPr>
          <w:lang w:val="en-GB"/>
        </w:rPr>
        <w:t>Source – INS, KSH</w:t>
      </w:r>
    </w:p>
    <w:p w14:paraId="07844266" w14:textId="3DDDDEB7" w:rsidR="00213A6D" w:rsidRPr="00037C61" w:rsidRDefault="00213A6D" w:rsidP="00213A6D">
      <w:pPr>
        <w:spacing w:before="240"/>
        <w:rPr>
          <w:lang w:val="en-GB"/>
        </w:rPr>
      </w:pPr>
      <w:r w:rsidRPr="00037C61">
        <w:rPr>
          <w:lang w:val="en-GB"/>
        </w:rPr>
        <w:t>Based on EUROSTAT classifications (Regional Yearbook 2020, based on population grid 2011), the regions Szabolcs-Szatmár-Bereg, Satu Mare and Bihor are predominantly rural regions (areas where the rural population is 50% or more of total population), while the regions Hajdú-Bihar, Békés, Csongrád-Csanád, Arad, Timiș are considered intermediate regions (rural population is between 20% and 50% of total population).</w:t>
      </w:r>
    </w:p>
    <w:p w14:paraId="27DA949E" w14:textId="77777777" w:rsidR="00213A6D" w:rsidRPr="00037C61" w:rsidRDefault="00213A6D" w:rsidP="005E0849">
      <w:pPr>
        <w:rPr>
          <w:lang w:val="en-GB"/>
        </w:rPr>
      </w:pPr>
    </w:p>
    <w:p w14:paraId="3DACA4E1" w14:textId="08CB578D" w:rsidR="00B31110" w:rsidRPr="00037C61" w:rsidRDefault="00B31110" w:rsidP="00B31110">
      <w:pPr>
        <w:keepNext/>
        <w:spacing w:after="0"/>
        <w:rPr>
          <w:lang w:val="en-GB"/>
        </w:rPr>
      </w:pPr>
      <w:r w:rsidRPr="00037C61">
        <w:rPr>
          <w:rFonts w:ascii="Arial" w:hAnsi="Arial"/>
          <w:b/>
          <w:noProof/>
          <w:color w:val="000000"/>
          <w:sz w:val="20"/>
          <w:lang w:val="ro-RO" w:eastAsia="ro-RO"/>
        </w:rPr>
        <w:lastRenderedPageBreak/>
        <w:drawing>
          <wp:inline distT="0" distB="0" distL="0" distR="0" wp14:anchorId="42E73A39" wp14:editId="44BF413F">
            <wp:extent cx="5732048" cy="2963177"/>
            <wp:effectExtent l="0" t="0" r="2540" b="8890"/>
            <wp:docPr id="1490160174" name="Picture 149016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5732048" cy="2963177"/>
                    </a:xfrm>
                    <a:prstGeom prst="rect">
                      <a:avLst/>
                    </a:prstGeom>
                    <a:ln>
                      <a:noFill/>
                    </a:ln>
                    <a:extLst>
                      <a:ext uri="{53640926-AAD7-44D8-BBD7-CCE9431645EC}">
                        <a14:shadowObscured xmlns:a14="http://schemas.microsoft.com/office/drawing/2010/main"/>
                      </a:ext>
                    </a:extLst>
                  </pic:spPr>
                </pic:pic>
              </a:graphicData>
            </a:graphic>
          </wp:inline>
        </w:drawing>
      </w:r>
    </w:p>
    <w:p w14:paraId="233E250E" w14:textId="53BE942B" w:rsidR="00B31110" w:rsidRPr="00037C61" w:rsidRDefault="00B31110" w:rsidP="00B31110">
      <w:pPr>
        <w:pStyle w:val="Caption"/>
        <w:jc w:val="both"/>
        <w:rPr>
          <w:lang w:val="en-GB"/>
        </w:rPr>
      </w:pPr>
      <w:bookmarkStart w:id="118" w:name="_Ref53860817"/>
      <w:bookmarkStart w:id="119" w:name="_Toc6461096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w:t>
      </w:r>
      <w:r w:rsidR="00412697">
        <w:rPr>
          <w:lang w:val="en-GB"/>
        </w:rPr>
        <w:fldChar w:fldCharType="end"/>
      </w:r>
      <w:bookmarkEnd w:id="118"/>
      <w:r w:rsidRPr="00037C61">
        <w:rPr>
          <w:lang w:val="en-GB"/>
        </w:rPr>
        <w:t xml:space="preserve"> - Urban and rural settlements (left) + NUTS3 region characterisation (right)</w:t>
      </w:r>
      <w:bookmarkEnd w:id="119"/>
    </w:p>
    <w:p w14:paraId="4CDD6CD8" w14:textId="1C3421EE" w:rsidR="00B31110" w:rsidRPr="00037C61" w:rsidRDefault="00B31110" w:rsidP="009332E5">
      <w:pPr>
        <w:pStyle w:val="Caption"/>
        <w:jc w:val="both"/>
        <w:rPr>
          <w:rFonts w:ascii="Arial" w:hAnsi="Arial"/>
          <w:b/>
          <w:color w:val="000000"/>
          <w:sz w:val="20"/>
          <w:lang w:val="en-GB"/>
        </w:rPr>
      </w:pPr>
      <w:r w:rsidRPr="00037C61">
        <w:rPr>
          <w:lang w:val="en-GB"/>
        </w:rPr>
        <w:t xml:space="preserve"> Source – Map right EUROSTAT Statistical Atlas</w:t>
      </w:r>
    </w:p>
    <w:p w14:paraId="5F4CAF2E" w14:textId="30E354AC" w:rsidR="00213A6D" w:rsidRPr="00037C61" w:rsidRDefault="00B31110" w:rsidP="00B31110">
      <w:pPr>
        <w:spacing w:before="240"/>
        <w:rPr>
          <w:lang w:val="en-GB"/>
        </w:rPr>
      </w:pPr>
      <w:r w:rsidRPr="00037C61">
        <w:rPr>
          <w:lang w:val="en-GB"/>
        </w:rPr>
        <w:t xml:space="preserve">The PA’s size, against different terrain and geographical conditions, available resources and territorial connections (internal and cross-border connections), results in different states of settlements development, regarding urban areas coverage (and its influence) and typologies of rural settlements (morphologic, functional). </w:t>
      </w:r>
    </w:p>
    <w:p w14:paraId="45499AAD" w14:textId="77777777" w:rsidR="00B31110" w:rsidRPr="00037C61" w:rsidRDefault="00B31110" w:rsidP="00B31110">
      <w:pPr>
        <w:spacing w:after="0"/>
        <w:rPr>
          <w:rFonts w:eastAsiaTheme="majorEastAsia" w:cs="Calibri"/>
          <w:b/>
          <w:bCs/>
          <w:color w:val="002060"/>
          <w:sz w:val="24"/>
          <w:szCs w:val="24"/>
          <w:lang w:val="en-GB"/>
        </w:rPr>
      </w:pPr>
      <w:r w:rsidRPr="00037C61">
        <w:rPr>
          <w:rFonts w:eastAsiaTheme="majorEastAsia" w:cs="Calibri"/>
          <w:b/>
          <w:bCs/>
          <w:color w:val="002060"/>
          <w:sz w:val="24"/>
          <w:szCs w:val="24"/>
          <w:lang w:val="en-GB"/>
        </w:rPr>
        <w:t xml:space="preserve">Urban settlement network </w:t>
      </w:r>
    </w:p>
    <w:p w14:paraId="587F4C06" w14:textId="2DFD8969" w:rsidR="00EE727E" w:rsidRPr="00037C61" w:rsidRDefault="00B31110" w:rsidP="00B31110">
      <w:pPr>
        <w:rPr>
          <w:lang w:val="en-GB"/>
        </w:rPr>
      </w:pPr>
      <w:r w:rsidRPr="00037C61">
        <w:rPr>
          <w:lang w:val="en-GB"/>
        </w:rPr>
        <w:t>The cross-border region has a total of 117 urban settlements</w:t>
      </w:r>
      <w:r w:rsidR="00EE727E" w:rsidRPr="00037C61">
        <w:rPr>
          <w:lang w:val="en-GB"/>
        </w:rPr>
        <w:t>, 70% of which (</w:t>
      </w:r>
      <w:r w:rsidR="004A0614" w:rsidRPr="00037C61">
        <w:rPr>
          <w:lang w:val="en-GB"/>
        </w:rPr>
        <w:t>81</w:t>
      </w:r>
      <w:r w:rsidR="00EE727E" w:rsidRPr="00037C61">
        <w:rPr>
          <w:lang w:val="en-GB"/>
        </w:rPr>
        <w:t>) in Hungary</w:t>
      </w:r>
      <w:r w:rsidR="00890660" w:rsidRPr="00037C61">
        <w:rPr>
          <w:lang w:val="en-GB"/>
        </w:rPr>
        <w:t xml:space="preserve">, which presents a more balanced size-class distribution compared to Romania, which records a significant gap in size between the county seats and the secondary cities. </w:t>
      </w:r>
    </w:p>
    <w:p w14:paraId="17E0DBBD" w14:textId="77777777" w:rsidR="00890660" w:rsidRPr="00037C61" w:rsidRDefault="00EE727E" w:rsidP="005E0849">
      <w:pPr>
        <w:keepNext/>
        <w:spacing w:after="0"/>
        <w:rPr>
          <w:lang w:val="en-GB"/>
        </w:rPr>
      </w:pPr>
      <w:r w:rsidRPr="00037C61">
        <w:rPr>
          <w:noProof/>
          <w:lang w:val="ro-RO" w:eastAsia="ro-RO"/>
        </w:rPr>
        <w:drawing>
          <wp:inline distT="0" distB="0" distL="0" distR="0" wp14:anchorId="24470277" wp14:editId="7836EA1F">
            <wp:extent cx="5657850" cy="2221230"/>
            <wp:effectExtent l="19050" t="19050" r="19050" b="26670"/>
            <wp:docPr id="6" name="Chart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29D023-2230-415F-A96C-6E9B80532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6A8EB1D" w14:textId="138AD893" w:rsidR="00890660" w:rsidRPr="00037C61" w:rsidRDefault="00890660" w:rsidP="00890660">
      <w:pPr>
        <w:pStyle w:val="Caption"/>
        <w:jc w:val="both"/>
        <w:rPr>
          <w:lang w:val="en-GB"/>
        </w:rPr>
      </w:pPr>
      <w:bookmarkStart w:id="120" w:name="_Toc6461096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w:t>
      </w:r>
      <w:r w:rsidR="00412697">
        <w:rPr>
          <w:lang w:val="en-GB"/>
        </w:rPr>
        <w:fldChar w:fldCharType="end"/>
      </w:r>
      <w:r w:rsidRPr="00037C61">
        <w:rPr>
          <w:lang w:val="en-GB"/>
        </w:rPr>
        <w:t xml:space="preserve"> - Log scale distribution of urban settlements by size, showing a more even distribution on the Hungarian side</w:t>
      </w:r>
      <w:bookmarkEnd w:id="120"/>
    </w:p>
    <w:p w14:paraId="285AABFE" w14:textId="2846C39A" w:rsidR="00890660" w:rsidRPr="00037C61" w:rsidRDefault="00890660" w:rsidP="005E0849">
      <w:pPr>
        <w:pStyle w:val="Caption"/>
        <w:jc w:val="both"/>
        <w:rPr>
          <w:lang w:val="en-GB"/>
        </w:rPr>
      </w:pPr>
      <w:r w:rsidRPr="00037C61">
        <w:rPr>
          <w:lang w:val="en-GB"/>
        </w:rPr>
        <w:t>Source: INS, KSH</w:t>
      </w:r>
    </w:p>
    <w:p w14:paraId="33BFB29E" w14:textId="22953CC5" w:rsidR="00B31110" w:rsidRPr="00037C61" w:rsidRDefault="00B31110" w:rsidP="00B31110">
      <w:pPr>
        <w:rPr>
          <w:lang w:val="en-GB"/>
        </w:rPr>
      </w:pPr>
      <w:r w:rsidRPr="00037C61">
        <w:rPr>
          <w:lang w:val="en-GB"/>
        </w:rPr>
        <w:t xml:space="preserve">The most developed cities of the region are for Romania: Arad, Oradea, Satu Mare, </w:t>
      </w:r>
      <w:r w:rsidR="00890660" w:rsidRPr="00037C61">
        <w:rPr>
          <w:lang w:val="en-GB"/>
        </w:rPr>
        <w:t xml:space="preserve">Timișoara, </w:t>
      </w:r>
      <w:r w:rsidRPr="00037C61">
        <w:rPr>
          <w:lang w:val="en-GB"/>
        </w:rPr>
        <w:t xml:space="preserve">and for Hungary: </w:t>
      </w:r>
      <w:r w:rsidR="00890660" w:rsidRPr="00037C61">
        <w:rPr>
          <w:lang w:val="en-GB"/>
        </w:rPr>
        <w:t xml:space="preserve">Békéscsaba, </w:t>
      </w:r>
      <w:r w:rsidRPr="00037C61">
        <w:rPr>
          <w:lang w:val="en-GB"/>
        </w:rPr>
        <w:t>Debrecen, Nyíregyháza</w:t>
      </w:r>
      <w:r w:rsidR="00890660" w:rsidRPr="00037C61">
        <w:rPr>
          <w:lang w:val="en-GB"/>
        </w:rPr>
        <w:t xml:space="preserve"> and</w:t>
      </w:r>
      <w:r w:rsidR="6E0B2E23" w:rsidRPr="00037C61">
        <w:rPr>
          <w:lang w:val="en-GB"/>
        </w:rPr>
        <w:t xml:space="preserve"> </w:t>
      </w:r>
      <w:r w:rsidRPr="00037C61">
        <w:rPr>
          <w:lang w:val="en-GB"/>
        </w:rPr>
        <w:t>Szeged (</w:t>
      </w:r>
      <w:r w:rsidR="00890660" w:rsidRPr="00037C61">
        <w:rPr>
          <w:lang w:val="en-GB"/>
        </w:rPr>
        <w:fldChar w:fldCharType="begin"/>
      </w:r>
      <w:r w:rsidR="00890660" w:rsidRPr="00037C61">
        <w:rPr>
          <w:lang w:val="en-GB"/>
        </w:rPr>
        <w:instrText xml:space="preserve"> REF _Ref53860817 \h </w:instrText>
      </w:r>
      <w:r w:rsidR="00890660" w:rsidRPr="00037C61">
        <w:rPr>
          <w:lang w:val="en-GB"/>
        </w:rPr>
      </w:r>
      <w:r w:rsidR="00890660" w:rsidRPr="00037C61">
        <w:rPr>
          <w:lang w:val="en-GB"/>
        </w:rPr>
        <w:fldChar w:fldCharType="separate"/>
      </w:r>
      <w:r w:rsidR="00A633B8" w:rsidRPr="00037C61">
        <w:rPr>
          <w:lang w:val="en-GB"/>
        </w:rPr>
        <w:t xml:space="preserve">Figure </w:t>
      </w:r>
      <w:r w:rsidR="00A633B8" w:rsidRPr="00037C61">
        <w:rPr>
          <w:noProof/>
          <w:lang w:val="en-GB"/>
        </w:rPr>
        <w:t>10</w:t>
      </w:r>
      <w:r w:rsidR="00890660" w:rsidRPr="00037C61">
        <w:rPr>
          <w:lang w:val="en-GB"/>
        </w:rPr>
        <w:fldChar w:fldCharType="end"/>
      </w:r>
      <w:r w:rsidRPr="00037C61">
        <w:rPr>
          <w:lang w:val="en-GB"/>
        </w:rPr>
        <w:t>), which correspond to the county seats, or main centres, for each of the eight NUTS 3 counties included in the PA. These settlements have a major role in the defining/ creating the future cross-border functional areas, especially Timișoara, Debrecen, Oradea</w:t>
      </w:r>
      <w:r w:rsidR="00E91209" w:rsidRPr="00037C61">
        <w:rPr>
          <w:lang w:val="en-GB"/>
        </w:rPr>
        <w:t xml:space="preserve"> and Szeged </w:t>
      </w:r>
      <w:r w:rsidRPr="00037C61">
        <w:rPr>
          <w:lang w:val="en-GB"/>
        </w:rPr>
        <w:t xml:space="preserve">as the most populated cities. </w:t>
      </w:r>
    </w:p>
    <w:p w14:paraId="59BEFDEB" w14:textId="251B3322" w:rsidR="00B31110" w:rsidRPr="00037C61" w:rsidRDefault="009B17AF" w:rsidP="005E0849">
      <w:pPr>
        <w:rPr>
          <w:lang w:val="en-GB"/>
        </w:rPr>
      </w:pPr>
      <w:r w:rsidRPr="00037C61">
        <w:rPr>
          <w:noProof/>
          <w:sz w:val="24"/>
          <w:lang w:val="ro-RO" w:eastAsia="ro-RO"/>
        </w:rPr>
        <w:lastRenderedPageBreak/>
        <w:drawing>
          <wp:inline distT="0" distB="0" distL="0" distR="0" wp14:anchorId="5E219B3A" wp14:editId="6DC0981A">
            <wp:extent cx="2778125" cy="2130384"/>
            <wp:effectExtent l="19050" t="19050" r="22225" b="22860"/>
            <wp:docPr id="1490160177" name="Chart 1490160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037C61">
        <w:rPr>
          <w:noProof/>
          <w:sz w:val="16"/>
          <w:szCs w:val="16"/>
          <w:lang w:val="ro-RO" w:eastAsia="ro-RO"/>
        </w:rPr>
        <w:drawing>
          <wp:inline distT="0" distB="0" distL="0" distR="0" wp14:anchorId="1B41991F" wp14:editId="10980C91">
            <wp:extent cx="2769870" cy="2156460"/>
            <wp:effectExtent l="19050" t="19050" r="11430" b="15240"/>
            <wp:docPr id="22" name="Chart 2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F1FF69E" w14:textId="5A1271CE" w:rsidR="00B31110" w:rsidRPr="00037C61" w:rsidRDefault="00B31110" w:rsidP="00B31110">
      <w:pPr>
        <w:pStyle w:val="Caption"/>
        <w:jc w:val="both"/>
        <w:rPr>
          <w:lang w:val="en-GB"/>
        </w:rPr>
      </w:pPr>
      <w:bookmarkStart w:id="121" w:name="_Toc6461096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16</w:t>
      </w:r>
      <w:r w:rsidR="00412697">
        <w:rPr>
          <w:lang w:val="en-GB"/>
        </w:rPr>
        <w:fldChar w:fldCharType="end"/>
      </w:r>
      <w:r w:rsidRPr="00037C61">
        <w:rPr>
          <w:lang w:val="en-GB"/>
        </w:rPr>
        <w:t xml:space="preserve"> - Major cities statistical data comparison</w:t>
      </w:r>
      <w:bookmarkEnd w:id="121"/>
    </w:p>
    <w:p w14:paraId="5844C17F" w14:textId="77777777" w:rsidR="00B31110" w:rsidRPr="00037C61" w:rsidRDefault="00B31110" w:rsidP="00B31110">
      <w:pPr>
        <w:pStyle w:val="Caption"/>
        <w:jc w:val="both"/>
        <w:rPr>
          <w:lang w:val="en-GB"/>
        </w:rPr>
      </w:pPr>
      <w:r w:rsidRPr="00037C61">
        <w:rPr>
          <w:lang w:val="en-GB"/>
        </w:rPr>
        <w:t>Source - INS, KSH</w:t>
      </w:r>
    </w:p>
    <w:p w14:paraId="593E13D9" w14:textId="77777777" w:rsidR="004864E9" w:rsidRPr="00037C61" w:rsidRDefault="004864E9" w:rsidP="00E87DED">
      <w:pPr>
        <w:rPr>
          <w:i/>
          <w:iCs/>
          <w:color w:val="012751" w:themeColor="text2"/>
          <w:sz w:val="18"/>
          <w:szCs w:val="18"/>
          <w:lang w:val="en-GB"/>
        </w:rPr>
      </w:pPr>
    </w:p>
    <w:p w14:paraId="52CB91E4" w14:textId="122355BD" w:rsidR="00890660" w:rsidRPr="00037C61" w:rsidRDefault="30EED610" w:rsidP="005E0849">
      <w:pPr>
        <w:pStyle w:val="Heading4"/>
        <w:rPr>
          <w:lang w:val="en-GB"/>
        </w:rPr>
      </w:pPr>
      <w:r w:rsidRPr="00037C61">
        <w:rPr>
          <w:lang w:val="en-GB"/>
        </w:rPr>
        <w:t>Natural growth rate / decline and trends</w:t>
      </w:r>
    </w:p>
    <w:p w14:paraId="45683914" w14:textId="43E86996" w:rsidR="00B665F5" w:rsidRPr="00037C61" w:rsidRDefault="00B665F5" w:rsidP="005E0849">
      <w:pPr>
        <w:rPr>
          <w:lang w:val="en-GB"/>
        </w:rPr>
      </w:pPr>
      <w:r w:rsidRPr="00037C61">
        <w:rPr>
          <w:rFonts w:eastAsia="Calibri" w:cs="Calibri"/>
          <w:lang w:val="en-GB"/>
        </w:rPr>
        <w:t xml:space="preserve">Like at the national level, </w:t>
      </w:r>
      <w:r w:rsidRPr="00037C61">
        <w:rPr>
          <w:lang w:val="en-GB"/>
        </w:rPr>
        <w:t>the natural change of the population from PA</w:t>
      </w:r>
      <w:r w:rsidRPr="00037C61">
        <w:rPr>
          <w:b/>
          <w:bCs/>
          <w:lang w:val="en-GB"/>
        </w:rPr>
        <w:t xml:space="preserve"> </w:t>
      </w:r>
      <w:r w:rsidRPr="00037C61">
        <w:rPr>
          <w:lang w:val="en-GB"/>
        </w:rPr>
        <w:t xml:space="preserve">is </w:t>
      </w:r>
      <w:r w:rsidRPr="00037C61">
        <w:rPr>
          <w:b/>
          <w:bCs/>
          <w:lang w:val="en-GB"/>
        </w:rPr>
        <w:t>negative in almost all of the counties</w:t>
      </w:r>
      <w:r w:rsidRPr="00037C61">
        <w:rPr>
          <w:lang w:val="en-GB"/>
        </w:rPr>
        <w:t xml:space="preserve">.  </w:t>
      </w:r>
      <w:r w:rsidRPr="00037C61">
        <w:rPr>
          <w:rFonts w:eastAsia="Calibri" w:cs="Calibri"/>
          <w:lang w:val="en-GB"/>
        </w:rPr>
        <w:t>The natural change rate in the Hungarian counties of PA is -3.8‰</w:t>
      </w:r>
      <w:r w:rsidR="00E8500F" w:rsidRPr="00037C61">
        <w:rPr>
          <w:rFonts w:eastAsia="Calibri" w:cs="Calibri"/>
          <w:lang w:val="en-GB"/>
        </w:rPr>
        <w:t>, with</w:t>
      </w:r>
      <w:r w:rsidRPr="00037C61">
        <w:rPr>
          <w:rFonts w:eastAsia="Calibri" w:cs="Calibri"/>
          <w:lang w:val="en-GB"/>
        </w:rPr>
        <w:t xml:space="preserve"> </w:t>
      </w:r>
      <w:r w:rsidR="00E8500F" w:rsidRPr="00037C61">
        <w:rPr>
          <w:rFonts w:eastAsia="Calibri" w:cs="Calibri"/>
          <w:lang w:val="en-GB"/>
        </w:rPr>
        <w:t xml:space="preserve">a </w:t>
      </w:r>
      <w:r w:rsidRPr="00037C61">
        <w:rPr>
          <w:rFonts w:eastAsia="Calibri" w:cs="Calibri"/>
          <w:lang w:val="en-GB"/>
        </w:rPr>
        <w:t xml:space="preserve">birth rate </w:t>
      </w:r>
      <w:r w:rsidR="00E8500F" w:rsidRPr="00037C61">
        <w:rPr>
          <w:rFonts w:eastAsia="Calibri" w:cs="Calibri"/>
          <w:lang w:val="en-GB"/>
        </w:rPr>
        <w:t xml:space="preserve">of </w:t>
      </w:r>
      <w:r w:rsidRPr="00037C61">
        <w:rPr>
          <w:rFonts w:eastAsia="Calibri" w:cs="Calibri"/>
          <w:lang w:val="en-GB"/>
        </w:rPr>
        <w:t xml:space="preserve">10‰ and </w:t>
      </w:r>
      <w:r w:rsidR="00E8500F" w:rsidRPr="00037C61">
        <w:rPr>
          <w:rFonts w:eastAsia="Calibri" w:cs="Calibri"/>
          <w:lang w:val="en-GB"/>
        </w:rPr>
        <w:t xml:space="preserve">a </w:t>
      </w:r>
      <w:r w:rsidRPr="00037C61">
        <w:rPr>
          <w:rFonts w:eastAsia="Calibri" w:cs="Calibri"/>
          <w:lang w:val="en-GB"/>
        </w:rPr>
        <w:t xml:space="preserve">death rate </w:t>
      </w:r>
      <w:r w:rsidR="00E8500F" w:rsidRPr="00037C61">
        <w:rPr>
          <w:rFonts w:eastAsia="Calibri" w:cs="Calibri"/>
          <w:lang w:val="en-GB"/>
        </w:rPr>
        <w:t xml:space="preserve">of </w:t>
      </w:r>
      <w:r w:rsidRPr="00037C61">
        <w:rPr>
          <w:rFonts w:eastAsia="Calibri" w:cs="Calibri"/>
          <w:lang w:val="en-GB"/>
        </w:rPr>
        <w:t xml:space="preserve">13.5‰, similar with the values from the national level. In Romanian counties of the PA, the natural change rate is -1.9‰, lower than the national one (-3.1‰), due to the fact that birth rate is 11‰ (higher that the national birth rate) and death rate is 12.6‰ (lower than the national death rate). </w:t>
      </w:r>
      <w:r w:rsidRPr="00037C61">
        <w:rPr>
          <w:lang w:val="en-GB"/>
        </w:rPr>
        <w:t xml:space="preserve">The natural change rate (per 1000 inhabitants) varies between -7.4 (Békés) and -2.0 (Szabolcs-Szatmár-Bereg). The natural change is positive only in Timiș, albeit registering only a 0.1 positive rate. The rate of natural decrease is higher in Békés (-7.4), Csongrád-Csanád (-5.2) and Arad (-4) counties. The natural change rate is negative (-2.8) at the PA level with a value </w:t>
      </w:r>
      <w:r w:rsidRPr="00037C61">
        <w:rPr>
          <w:b/>
          <w:bCs/>
          <w:lang w:val="en-GB"/>
        </w:rPr>
        <w:t>twice as high in Hungarian counties (-3.8) than in Romanian ones (-1.9)</w:t>
      </w:r>
      <w:r w:rsidRPr="00037C61">
        <w:rPr>
          <w:lang w:val="en-GB"/>
        </w:rPr>
        <w:t>. (</w:t>
      </w:r>
      <w:r w:rsidRPr="00037C61">
        <w:rPr>
          <w:lang w:val="en-GB"/>
        </w:rPr>
        <w:fldChar w:fldCharType="begin"/>
      </w:r>
      <w:r w:rsidRPr="00037C61">
        <w:rPr>
          <w:lang w:val="en-GB"/>
        </w:rPr>
        <w:instrText xml:space="preserve"> REF _Ref50071415 \h </w:instrText>
      </w:r>
      <w:r w:rsidRPr="00037C61">
        <w:rPr>
          <w:lang w:val="en-GB"/>
        </w:rPr>
      </w:r>
      <w:r w:rsidRPr="00037C61">
        <w:rPr>
          <w:lang w:val="en-GB"/>
        </w:rPr>
        <w:fldChar w:fldCharType="separate"/>
      </w:r>
      <w:r w:rsidR="000408CC" w:rsidRPr="00037C61">
        <w:rPr>
          <w:lang w:val="en-GB"/>
        </w:rPr>
        <w:t xml:space="preserve">Table </w:t>
      </w:r>
      <w:r w:rsidR="000408CC">
        <w:rPr>
          <w:noProof/>
          <w:lang w:val="en-GB"/>
        </w:rPr>
        <w:t>4</w:t>
      </w:r>
      <w:r w:rsidRPr="00037C61">
        <w:rPr>
          <w:lang w:val="en-GB"/>
        </w:rPr>
        <w:fldChar w:fldCharType="end"/>
      </w:r>
      <w:r w:rsidRPr="00037C61">
        <w:rPr>
          <w:lang w:val="en-GB"/>
        </w:rPr>
        <w:t>)</w:t>
      </w:r>
    </w:p>
    <w:p w14:paraId="03E8BC22" w14:textId="714C3C07" w:rsidR="00E87DED" w:rsidRPr="00037C61" w:rsidRDefault="00E87DED" w:rsidP="00E87DED">
      <w:pPr>
        <w:pStyle w:val="Caption"/>
        <w:jc w:val="both"/>
        <w:rPr>
          <w:lang w:val="en-GB"/>
        </w:rPr>
      </w:pPr>
      <w:bookmarkStart w:id="122" w:name="_Ref50071415"/>
      <w:bookmarkStart w:id="123" w:name="_Toc50584198"/>
      <w:bookmarkStart w:id="124" w:name="_Toc58237627"/>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w:t>
      </w:r>
      <w:r w:rsidRPr="00037C61">
        <w:rPr>
          <w:lang w:val="en-GB"/>
        </w:rPr>
        <w:fldChar w:fldCharType="end"/>
      </w:r>
      <w:bookmarkEnd w:id="122"/>
      <w:r w:rsidR="00EA5E72" w:rsidRPr="00037C61">
        <w:rPr>
          <w:lang w:val="en-GB"/>
        </w:rPr>
        <w:t xml:space="preserve"> -</w:t>
      </w:r>
      <w:r w:rsidRPr="00037C61">
        <w:rPr>
          <w:lang w:val="en-GB"/>
        </w:rPr>
        <w:t xml:space="preserve"> Natural change of population - live births, deaths (values and rates) in 2018</w:t>
      </w:r>
      <w:bookmarkEnd w:id="123"/>
      <w:bookmarkEnd w:id="124"/>
    </w:p>
    <w:tbl>
      <w:tblPr>
        <w:tblpPr w:leftFromText="180" w:rightFromText="180" w:vertAnchor="text" w:horzAnchor="margin" w:tblpY="44"/>
        <w:tblW w:w="9016"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1482"/>
        <w:gridCol w:w="1257"/>
        <w:gridCol w:w="1157"/>
        <w:gridCol w:w="1257"/>
        <w:gridCol w:w="1295"/>
        <w:gridCol w:w="1284"/>
        <w:gridCol w:w="1284"/>
      </w:tblGrid>
      <w:tr w:rsidR="0097175D" w:rsidRPr="00037C61" w14:paraId="13D7E1C8" w14:textId="77777777" w:rsidTr="0097175D">
        <w:trPr>
          <w:trHeight w:val="144"/>
        </w:trPr>
        <w:tc>
          <w:tcPr>
            <w:tcW w:w="1482" w:type="dxa"/>
            <w:tcBorders>
              <w:top w:val="single" w:sz="4" w:space="0" w:color="034FA3" w:themeColor="accent1"/>
              <w:left w:val="single" w:sz="4" w:space="0" w:color="034FA3" w:themeColor="accent1"/>
              <w:bottom w:val="nil"/>
              <w:right w:val="nil"/>
            </w:tcBorders>
            <w:shd w:val="clear" w:color="auto" w:fill="034FA3" w:themeFill="accent1"/>
            <w:hideMark/>
          </w:tcPr>
          <w:p w14:paraId="55B782E6" w14:textId="77777777" w:rsidR="0097175D" w:rsidRPr="00037C61" w:rsidRDefault="0097175D" w:rsidP="00204288">
            <w:pPr>
              <w:pStyle w:val="InterregROHUBullet1"/>
              <w:numPr>
                <w:ilvl w:val="0"/>
                <w:numId w:val="0"/>
              </w:numPr>
              <w:spacing w:after="0"/>
              <w:rPr>
                <w:b/>
                <w:bCs w:val="0"/>
                <w:color w:val="FFFFFF" w:themeColor="background1"/>
                <w:sz w:val="18"/>
                <w:szCs w:val="18"/>
              </w:rPr>
            </w:pPr>
            <w:r w:rsidRPr="00037C61">
              <w:rPr>
                <w:b/>
                <w:bCs w:val="0"/>
                <w:color w:val="FFFFFF" w:themeColor="background1"/>
                <w:sz w:val="18"/>
                <w:szCs w:val="18"/>
              </w:rPr>
              <w:t>County</w:t>
            </w:r>
          </w:p>
        </w:tc>
        <w:tc>
          <w:tcPr>
            <w:tcW w:w="1257" w:type="dxa"/>
            <w:tcBorders>
              <w:top w:val="single" w:sz="4" w:space="0" w:color="034FA3" w:themeColor="accent1"/>
              <w:left w:val="nil"/>
              <w:bottom w:val="nil"/>
              <w:right w:val="nil"/>
            </w:tcBorders>
            <w:shd w:val="clear" w:color="auto" w:fill="034FA3" w:themeFill="accent1"/>
            <w:hideMark/>
          </w:tcPr>
          <w:p w14:paraId="7C258E16" w14:textId="77777777" w:rsidR="0097175D" w:rsidRPr="00037C61" w:rsidRDefault="0097175D"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Live births</w:t>
            </w:r>
          </w:p>
        </w:tc>
        <w:tc>
          <w:tcPr>
            <w:tcW w:w="1157" w:type="dxa"/>
            <w:tcBorders>
              <w:top w:val="single" w:sz="4" w:space="0" w:color="034FA3" w:themeColor="accent1"/>
              <w:left w:val="nil"/>
              <w:bottom w:val="nil"/>
              <w:right w:val="nil"/>
            </w:tcBorders>
            <w:shd w:val="clear" w:color="auto" w:fill="034FA3" w:themeFill="accent1"/>
            <w:hideMark/>
          </w:tcPr>
          <w:p w14:paraId="47C8EEB5" w14:textId="55419199" w:rsidR="0097175D" w:rsidRPr="00037C61" w:rsidRDefault="0097175D"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Birth rate (</w:t>
            </w:r>
            <w:r w:rsidRPr="00037C61">
              <w:rPr>
                <w:rFonts w:cs="Calibri"/>
                <w:b/>
                <w:bCs w:val="0"/>
                <w:color w:val="FFFFFF" w:themeColor="background1"/>
                <w:sz w:val="18"/>
                <w:szCs w:val="18"/>
              </w:rPr>
              <w:t>‰</w:t>
            </w:r>
            <w:r w:rsidRPr="00037C61">
              <w:rPr>
                <w:b/>
                <w:bCs w:val="0"/>
                <w:color w:val="FFFFFF" w:themeColor="background1"/>
                <w:sz w:val="18"/>
                <w:szCs w:val="18"/>
              </w:rPr>
              <w:t>)</w:t>
            </w:r>
          </w:p>
        </w:tc>
        <w:tc>
          <w:tcPr>
            <w:tcW w:w="1257" w:type="dxa"/>
            <w:tcBorders>
              <w:top w:val="single" w:sz="4" w:space="0" w:color="034FA3" w:themeColor="accent1"/>
              <w:left w:val="nil"/>
              <w:bottom w:val="nil"/>
              <w:right w:val="nil"/>
            </w:tcBorders>
            <w:shd w:val="clear" w:color="auto" w:fill="034FA3" w:themeFill="accent1"/>
            <w:hideMark/>
          </w:tcPr>
          <w:p w14:paraId="027A7464" w14:textId="77777777" w:rsidR="0097175D" w:rsidRPr="00037C61" w:rsidRDefault="0097175D"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Deaths</w:t>
            </w:r>
          </w:p>
        </w:tc>
        <w:tc>
          <w:tcPr>
            <w:tcW w:w="1295" w:type="dxa"/>
            <w:tcBorders>
              <w:top w:val="single" w:sz="4" w:space="0" w:color="034FA3" w:themeColor="accent1"/>
              <w:left w:val="nil"/>
              <w:bottom w:val="nil"/>
              <w:right w:val="nil"/>
            </w:tcBorders>
            <w:shd w:val="clear" w:color="auto" w:fill="034FA3" w:themeFill="accent1"/>
            <w:hideMark/>
          </w:tcPr>
          <w:p w14:paraId="2ECFE39D" w14:textId="4F7B891A" w:rsidR="0097175D" w:rsidRPr="00037C61" w:rsidRDefault="0097175D"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 xml:space="preserve">Death rate </w:t>
            </w:r>
            <w:bookmarkStart w:id="125" w:name="_Hlk53832832"/>
            <w:r w:rsidRPr="00037C61">
              <w:rPr>
                <w:b/>
                <w:bCs w:val="0"/>
                <w:color w:val="FFFFFF" w:themeColor="background1"/>
                <w:sz w:val="18"/>
                <w:szCs w:val="18"/>
              </w:rPr>
              <w:t>(</w:t>
            </w:r>
            <w:r w:rsidRPr="00037C61">
              <w:rPr>
                <w:rFonts w:cs="Calibri"/>
                <w:b/>
                <w:bCs w:val="0"/>
                <w:color w:val="FFFFFF" w:themeColor="background1"/>
                <w:sz w:val="18"/>
                <w:szCs w:val="18"/>
              </w:rPr>
              <w:t>‰</w:t>
            </w:r>
            <w:r w:rsidRPr="00037C61">
              <w:rPr>
                <w:b/>
                <w:bCs w:val="0"/>
                <w:color w:val="FFFFFF" w:themeColor="background1"/>
                <w:sz w:val="18"/>
                <w:szCs w:val="18"/>
              </w:rPr>
              <w:t>)</w:t>
            </w:r>
            <w:bookmarkEnd w:id="125"/>
          </w:p>
        </w:tc>
        <w:tc>
          <w:tcPr>
            <w:tcW w:w="1284" w:type="dxa"/>
            <w:tcBorders>
              <w:top w:val="single" w:sz="4" w:space="0" w:color="034FA3" w:themeColor="accent1"/>
              <w:left w:val="nil"/>
              <w:bottom w:val="nil"/>
              <w:right w:val="nil"/>
            </w:tcBorders>
            <w:shd w:val="clear" w:color="auto" w:fill="034FA3" w:themeFill="accent1"/>
            <w:hideMark/>
          </w:tcPr>
          <w:p w14:paraId="785BDC38" w14:textId="77777777" w:rsidR="0097175D" w:rsidRPr="00037C61" w:rsidRDefault="0097175D"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Natural Change</w:t>
            </w:r>
          </w:p>
        </w:tc>
        <w:tc>
          <w:tcPr>
            <w:tcW w:w="1284" w:type="dxa"/>
            <w:tcBorders>
              <w:top w:val="single" w:sz="4" w:space="0" w:color="034FA3" w:themeColor="accent1"/>
              <w:left w:val="nil"/>
              <w:bottom w:val="nil"/>
              <w:right w:val="single" w:sz="4" w:space="0" w:color="034FA3" w:themeColor="accent1"/>
            </w:tcBorders>
            <w:shd w:val="clear" w:color="auto" w:fill="034FA3" w:themeFill="accent1"/>
            <w:hideMark/>
          </w:tcPr>
          <w:p w14:paraId="28B6B578" w14:textId="77777777" w:rsidR="0097175D" w:rsidRPr="00037C61" w:rsidRDefault="0097175D"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Natural change rate</w:t>
            </w:r>
          </w:p>
          <w:p w14:paraId="771C4D8C" w14:textId="69030546" w:rsidR="004A0614" w:rsidRPr="00037C61" w:rsidRDefault="004A0614" w:rsidP="00204288">
            <w:pPr>
              <w:pStyle w:val="InterregROHUBullet1"/>
              <w:numPr>
                <w:ilvl w:val="0"/>
                <w:numId w:val="0"/>
              </w:numPr>
              <w:spacing w:after="0"/>
              <w:jc w:val="center"/>
              <w:rPr>
                <w:b/>
                <w:bCs w:val="0"/>
                <w:color w:val="FFFFFF" w:themeColor="background1"/>
                <w:sz w:val="18"/>
                <w:szCs w:val="18"/>
              </w:rPr>
            </w:pPr>
            <w:r w:rsidRPr="00037C61">
              <w:rPr>
                <w:b/>
                <w:bCs w:val="0"/>
                <w:color w:val="FFFFFF" w:themeColor="background1"/>
                <w:sz w:val="18"/>
                <w:szCs w:val="18"/>
              </w:rPr>
              <w:t>(</w:t>
            </w:r>
            <w:r w:rsidRPr="00037C61">
              <w:rPr>
                <w:rFonts w:cs="Calibri"/>
                <w:b/>
                <w:bCs w:val="0"/>
                <w:color w:val="FFFFFF" w:themeColor="background1"/>
                <w:sz w:val="18"/>
                <w:szCs w:val="18"/>
              </w:rPr>
              <w:t>‰</w:t>
            </w:r>
            <w:r w:rsidRPr="00037C61">
              <w:rPr>
                <w:b/>
                <w:bCs w:val="0"/>
                <w:color w:val="FFFFFF" w:themeColor="background1"/>
                <w:sz w:val="18"/>
                <w:szCs w:val="18"/>
              </w:rPr>
              <w:t>)</w:t>
            </w:r>
          </w:p>
        </w:tc>
      </w:tr>
      <w:tr w:rsidR="0097175D" w:rsidRPr="00037C61" w14:paraId="6923D2A1"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5BFD7B1D"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Hajdú-Bihar</w:t>
            </w:r>
          </w:p>
        </w:tc>
        <w:tc>
          <w:tcPr>
            <w:tcW w:w="1257" w:type="dxa"/>
            <w:tcBorders>
              <w:top w:val="single" w:sz="4" w:space="0" w:color="034FA3" w:themeColor="accent1"/>
              <w:left w:val="nil"/>
              <w:bottom w:val="single" w:sz="4" w:space="0" w:color="034FA3" w:themeColor="accent1"/>
              <w:right w:val="nil"/>
            </w:tcBorders>
            <w:hideMark/>
          </w:tcPr>
          <w:p w14:paraId="2668EFFD"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5625</w:t>
            </w:r>
          </w:p>
        </w:tc>
        <w:tc>
          <w:tcPr>
            <w:tcW w:w="1157" w:type="dxa"/>
            <w:tcBorders>
              <w:top w:val="single" w:sz="4" w:space="0" w:color="034FA3" w:themeColor="accent1"/>
              <w:left w:val="nil"/>
              <w:bottom w:val="single" w:sz="4" w:space="0" w:color="034FA3" w:themeColor="accent1"/>
              <w:right w:val="nil"/>
            </w:tcBorders>
            <w:hideMark/>
          </w:tcPr>
          <w:p w14:paraId="22CB7855"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10.6</w:t>
            </w:r>
          </w:p>
        </w:tc>
        <w:tc>
          <w:tcPr>
            <w:tcW w:w="1257" w:type="dxa"/>
            <w:tcBorders>
              <w:top w:val="single" w:sz="4" w:space="0" w:color="034FA3" w:themeColor="accent1"/>
              <w:left w:val="nil"/>
              <w:bottom w:val="single" w:sz="4" w:space="0" w:color="034FA3" w:themeColor="accent1"/>
              <w:right w:val="nil"/>
            </w:tcBorders>
            <w:hideMark/>
          </w:tcPr>
          <w:p w14:paraId="72D409ED"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6800</w:t>
            </w:r>
          </w:p>
        </w:tc>
        <w:tc>
          <w:tcPr>
            <w:tcW w:w="1295" w:type="dxa"/>
            <w:tcBorders>
              <w:top w:val="single" w:sz="4" w:space="0" w:color="034FA3" w:themeColor="accent1"/>
              <w:left w:val="nil"/>
              <w:bottom w:val="single" w:sz="4" w:space="0" w:color="034FA3" w:themeColor="accent1"/>
              <w:right w:val="nil"/>
            </w:tcBorders>
            <w:hideMark/>
          </w:tcPr>
          <w:p w14:paraId="4B8DBA04"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12.8</w:t>
            </w:r>
          </w:p>
        </w:tc>
        <w:tc>
          <w:tcPr>
            <w:tcW w:w="1284" w:type="dxa"/>
            <w:tcBorders>
              <w:top w:val="single" w:sz="4" w:space="0" w:color="034FA3" w:themeColor="accent1"/>
              <w:left w:val="nil"/>
              <w:bottom w:val="single" w:sz="4" w:space="0" w:color="034FA3" w:themeColor="accent1"/>
              <w:right w:val="nil"/>
            </w:tcBorders>
            <w:hideMark/>
          </w:tcPr>
          <w:p w14:paraId="1725FB1B"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-1175</w:t>
            </w:r>
          </w:p>
        </w:tc>
        <w:tc>
          <w:tcPr>
            <w:tcW w:w="1284" w:type="dxa"/>
            <w:tcBorders>
              <w:top w:val="single" w:sz="4" w:space="0" w:color="034FA3" w:themeColor="accent1"/>
              <w:left w:val="nil"/>
              <w:bottom w:val="single" w:sz="4" w:space="0" w:color="034FA3" w:themeColor="accent1"/>
              <w:right w:val="single" w:sz="4" w:space="0" w:color="034FA3" w:themeColor="accent1"/>
            </w:tcBorders>
            <w:hideMark/>
          </w:tcPr>
          <w:p w14:paraId="271EF182"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-2.2</w:t>
            </w:r>
          </w:p>
        </w:tc>
      </w:tr>
      <w:tr w:rsidR="0097175D" w:rsidRPr="00037C61" w14:paraId="60825EC3" w14:textId="77777777" w:rsidTr="0097175D">
        <w:trPr>
          <w:trHeight w:val="144"/>
        </w:trPr>
        <w:tc>
          <w:tcPr>
            <w:tcW w:w="1482" w:type="dxa"/>
            <w:tcBorders>
              <w:top w:val="nil"/>
              <w:left w:val="single" w:sz="4" w:space="0" w:color="034FA3" w:themeColor="accent1"/>
              <w:bottom w:val="nil"/>
              <w:right w:val="nil"/>
            </w:tcBorders>
            <w:shd w:val="clear" w:color="auto" w:fill="FFFFFF" w:themeFill="background1"/>
            <w:hideMark/>
          </w:tcPr>
          <w:p w14:paraId="1E54527E"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Szabolcs-Szatmár-Bereg</w:t>
            </w:r>
          </w:p>
        </w:tc>
        <w:tc>
          <w:tcPr>
            <w:tcW w:w="1257" w:type="dxa"/>
            <w:tcBorders>
              <w:top w:val="nil"/>
              <w:left w:val="nil"/>
              <w:bottom w:val="nil"/>
              <w:right w:val="nil"/>
            </w:tcBorders>
            <w:hideMark/>
          </w:tcPr>
          <w:p w14:paraId="23ED63BF"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5886</w:t>
            </w:r>
          </w:p>
        </w:tc>
        <w:tc>
          <w:tcPr>
            <w:tcW w:w="1157" w:type="dxa"/>
            <w:tcBorders>
              <w:top w:val="nil"/>
              <w:left w:val="nil"/>
              <w:bottom w:val="nil"/>
              <w:right w:val="nil"/>
            </w:tcBorders>
            <w:hideMark/>
          </w:tcPr>
          <w:p w14:paraId="65186429"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10.6</w:t>
            </w:r>
          </w:p>
        </w:tc>
        <w:tc>
          <w:tcPr>
            <w:tcW w:w="1257" w:type="dxa"/>
            <w:tcBorders>
              <w:top w:val="nil"/>
              <w:left w:val="nil"/>
              <w:bottom w:val="nil"/>
              <w:right w:val="nil"/>
            </w:tcBorders>
            <w:hideMark/>
          </w:tcPr>
          <w:p w14:paraId="73C76790"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7019</w:t>
            </w:r>
          </w:p>
        </w:tc>
        <w:tc>
          <w:tcPr>
            <w:tcW w:w="1295" w:type="dxa"/>
            <w:tcBorders>
              <w:top w:val="nil"/>
              <w:left w:val="nil"/>
              <w:bottom w:val="nil"/>
              <w:right w:val="nil"/>
            </w:tcBorders>
            <w:hideMark/>
          </w:tcPr>
          <w:p w14:paraId="43DCE404"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12.6</w:t>
            </w:r>
          </w:p>
        </w:tc>
        <w:tc>
          <w:tcPr>
            <w:tcW w:w="1284" w:type="dxa"/>
            <w:tcBorders>
              <w:top w:val="nil"/>
              <w:left w:val="nil"/>
              <w:bottom w:val="nil"/>
              <w:right w:val="nil"/>
            </w:tcBorders>
            <w:hideMark/>
          </w:tcPr>
          <w:p w14:paraId="0C244C17"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-1133</w:t>
            </w:r>
          </w:p>
        </w:tc>
        <w:tc>
          <w:tcPr>
            <w:tcW w:w="1284" w:type="dxa"/>
            <w:tcBorders>
              <w:top w:val="nil"/>
              <w:left w:val="nil"/>
              <w:bottom w:val="nil"/>
              <w:right w:val="single" w:sz="4" w:space="0" w:color="034FA3" w:themeColor="accent1"/>
            </w:tcBorders>
            <w:hideMark/>
          </w:tcPr>
          <w:p w14:paraId="6787D1A4"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-2.0</w:t>
            </w:r>
          </w:p>
        </w:tc>
      </w:tr>
      <w:tr w:rsidR="0097175D" w:rsidRPr="00037C61" w14:paraId="0591D9DE"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047A450C"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Békés</w:t>
            </w:r>
          </w:p>
        </w:tc>
        <w:tc>
          <w:tcPr>
            <w:tcW w:w="1257" w:type="dxa"/>
            <w:tcBorders>
              <w:top w:val="single" w:sz="4" w:space="0" w:color="034FA3" w:themeColor="accent1"/>
              <w:left w:val="nil"/>
              <w:bottom w:val="single" w:sz="4" w:space="0" w:color="034FA3" w:themeColor="accent1"/>
              <w:right w:val="nil"/>
            </w:tcBorders>
            <w:hideMark/>
          </w:tcPr>
          <w:p w14:paraId="61B7878B"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2844</w:t>
            </w:r>
          </w:p>
        </w:tc>
        <w:tc>
          <w:tcPr>
            <w:tcW w:w="1157" w:type="dxa"/>
            <w:tcBorders>
              <w:top w:val="single" w:sz="4" w:space="0" w:color="034FA3" w:themeColor="accent1"/>
              <w:left w:val="nil"/>
              <w:bottom w:val="single" w:sz="4" w:space="0" w:color="034FA3" w:themeColor="accent1"/>
              <w:right w:val="nil"/>
            </w:tcBorders>
            <w:hideMark/>
          </w:tcPr>
          <w:p w14:paraId="58D7C373"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8.5</w:t>
            </w:r>
          </w:p>
        </w:tc>
        <w:tc>
          <w:tcPr>
            <w:tcW w:w="1257" w:type="dxa"/>
            <w:tcBorders>
              <w:top w:val="single" w:sz="4" w:space="0" w:color="034FA3" w:themeColor="accent1"/>
              <w:left w:val="nil"/>
              <w:bottom w:val="single" w:sz="4" w:space="0" w:color="034FA3" w:themeColor="accent1"/>
              <w:right w:val="nil"/>
            </w:tcBorders>
            <w:hideMark/>
          </w:tcPr>
          <w:p w14:paraId="6871F874"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5338</w:t>
            </w:r>
          </w:p>
        </w:tc>
        <w:tc>
          <w:tcPr>
            <w:tcW w:w="1295" w:type="dxa"/>
            <w:tcBorders>
              <w:top w:val="single" w:sz="4" w:space="0" w:color="034FA3" w:themeColor="accent1"/>
              <w:left w:val="nil"/>
              <w:bottom w:val="single" w:sz="4" w:space="0" w:color="034FA3" w:themeColor="accent1"/>
              <w:right w:val="nil"/>
            </w:tcBorders>
            <w:hideMark/>
          </w:tcPr>
          <w:p w14:paraId="775566A2"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15.9</w:t>
            </w:r>
          </w:p>
        </w:tc>
        <w:tc>
          <w:tcPr>
            <w:tcW w:w="1284" w:type="dxa"/>
            <w:tcBorders>
              <w:top w:val="single" w:sz="4" w:space="0" w:color="034FA3" w:themeColor="accent1"/>
              <w:left w:val="nil"/>
              <w:bottom w:val="single" w:sz="4" w:space="0" w:color="034FA3" w:themeColor="accent1"/>
              <w:right w:val="nil"/>
            </w:tcBorders>
            <w:hideMark/>
          </w:tcPr>
          <w:p w14:paraId="224F55A8"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-2494</w:t>
            </w:r>
          </w:p>
        </w:tc>
        <w:tc>
          <w:tcPr>
            <w:tcW w:w="1284" w:type="dxa"/>
            <w:tcBorders>
              <w:top w:val="single" w:sz="4" w:space="0" w:color="034FA3" w:themeColor="accent1"/>
              <w:left w:val="nil"/>
              <w:bottom w:val="single" w:sz="4" w:space="0" w:color="034FA3" w:themeColor="accent1"/>
              <w:right w:val="single" w:sz="4" w:space="0" w:color="034FA3" w:themeColor="accent1"/>
            </w:tcBorders>
            <w:hideMark/>
          </w:tcPr>
          <w:p w14:paraId="5895CACC"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-7.4</w:t>
            </w:r>
          </w:p>
        </w:tc>
      </w:tr>
      <w:tr w:rsidR="0097175D" w:rsidRPr="00037C61" w14:paraId="0AF675FF" w14:textId="77777777" w:rsidTr="0097175D">
        <w:trPr>
          <w:trHeight w:val="144"/>
        </w:trPr>
        <w:tc>
          <w:tcPr>
            <w:tcW w:w="1482" w:type="dxa"/>
            <w:tcBorders>
              <w:top w:val="nil"/>
              <w:left w:val="single" w:sz="4" w:space="0" w:color="034FA3" w:themeColor="accent1"/>
              <w:bottom w:val="nil"/>
              <w:right w:val="nil"/>
            </w:tcBorders>
            <w:shd w:val="clear" w:color="auto" w:fill="FFFFFF" w:themeFill="background1"/>
            <w:hideMark/>
          </w:tcPr>
          <w:p w14:paraId="475FC063"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Csongrád</w:t>
            </w:r>
          </w:p>
        </w:tc>
        <w:tc>
          <w:tcPr>
            <w:tcW w:w="1257" w:type="dxa"/>
            <w:tcBorders>
              <w:top w:val="nil"/>
              <w:left w:val="nil"/>
              <w:bottom w:val="nil"/>
              <w:right w:val="nil"/>
            </w:tcBorders>
            <w:hideMark/>
          </w:tcPr>
          <w:p w14:paraId="3F646C48"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3422</w:t>
            </w:r>
          </w:p>
        </w:tc>
        <w:tc>
          <w:tcPr>
            <w:tcW w:w="1157" w:type="dxa"/>
            <w:tcBorders>
              <w:top w:val="nil"/>
              <w:left w:val="nil"/>
              <w:bottom w:val="nil"/>
              <w:right w:val="nil"/>
            </w:tcBorders>
            <w:hideMark/>
          </w:tcPr>
          <w:p w14:paraId="0A9AE997"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8.6</w:t>
            </w:r>
          </w:p>
        </w:tc>
        <w:tc>
          <w:tcPr>
            <w:tcW w:w="1257" w:type="dxa"/>
            <w:tcBorders>
              <w:top w:val="nil"/>
              <w:left w:val="nil"/>
              <w:bottom w:val="nil"/>
              <w:right w:val="nil"/>
            </w:tcBorders>
            <w:hideMark/>
          </w:tcPr>
          <w:p w14:paraId="73FFFAC1"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5499</w:t>
            </w:r>
          </w:p>
        </w:tc>
        <w:tc>
          <w:tcPr>
            <w:tcW w:w="1295" w:type="dxa"/>
            <w:tcBorders>
              <w:top w:val="nil"/>
              <w:left w:val="nil"/>
              <w:bottom w:val="nil"/>
              <w:right w:val="nil"/>
            </w:tcBorders>
            <w:hideMark/>
          </w:tcPr>
          <w:p w14:paraId="3E43A118"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13.8</w:t>
            </w:r>
          </w:p>
        </w:tc>
        <w:tc>
          <w:tcPr>
            <w:tcW w:w="1284" w:type="dxa"/>
            <w:tcBorders>
              <w:top w:val="nil"/>
              <w:left w:val="nil"/>
              <w:bottom w:val="nil"/>
              <w:right w:val="nil"/>
            </w:tcBorders>
            <w:hideMark/>
          </w:tcPr>
          <w:p w14:paraId="4387ED9C"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-2077</w:t>
            </w:r>
          </w:p>
        </w:tc>
        <w:tc>
          <w:tcPr>
            <w:tcW w:w="1284" w:type="dxa"/>
            <w:tcBorders>
              <w:top w:val="nil"/>
              <w:left w:val="nil"/>
              <w:bottom w:val="nil"/>
              <w:right w:val="single" w:sz="4" w:space="0" w:color="034FA3" w:themeColor="accent1"/>
            </w:tcBorders>
            <w:hideMark/>
          </w:tcPr>
          <w:p w14:paraId="50B355FC"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-5.2</w:t>
            </w:r>
          </w:p>
        </w:tc>
      </w:tr>
      <w:tr w:rsidR="0097175D" w:rsidRPr="00037C61" w14:paraId="15C68F89"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2C197C1F"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Bihor</w:t>
            </w:r>
          </w:p>
        </w:tc>
        <w:tc>
          <w:tcPr>
            <w:tcW w:w="1257" w:type="dxa"/>
            <w:tcBorders>
              <w:top w:val="single" w:sz="4" w:space="0" w:color="034FA3" w:themeColor="accent1"/>
              <w:left w:val="nil"/>
              <w:bottom w:val="single" w:sz="4" w:space="0" w:color="034FA3" w:themeColor="accent1"/>
              <w:right w:val="nil"/>
            </w:tcBorders>
            <w:hideMark/>
          </w:tcPr>
          <w:p w14:paraId="68BB8BD9"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6090</w:t>
            </w:r>
          </w:p>
        </w:tc>
        <w:tc>
          <w:tcPr>
            <w:tcW w:w="1157" w:type="dxa"/>
            <w:tcBorders>
              <w:top w:val="single" w:sz="4" w:space="0" w:color="034FA3" w:themeColor="accent1"/>
              <w:left w:val="nil"/>
              <w:bottom w:val="single" w:sz="4" w:space="0" w:color="034FA3" w:themeColor="accent1"/>
              <w:right w:val="nil"/>
            </w:tcBorders>
            <w:hideMark/>
          </w:tcPr>
          <w:p w14:paraId="7DF0F4D2"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10.8</w:t>
            </w:r>
          </w:p>
        </w:tc>
        <w:tc>
          <w:tcPr>
            <w:tcW w:w="1257" w:type="dxa"/>
            <w:tcBorders>
              <w:top w:val="single" w:sz="4" w:space="0" w:color="034FA3" w:themeColor="accent1"/>
              <w:left w:val="nil"/>
              <w:bottom w:val="single" w:sz="4" w:space="0" w:color="034FA3" w:themeColor="accent1"/>
              <w:right w:val="nil"/>
            </w:tcBorders>
            <w:hideMark/>
          </w:tcPr>
          <w:p w14:paraId="1FED1932"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7513</w:t>
            </w:r>
          </w:p>
        </w:tc>
        <w:tc>
          <w:tcPr>
            <w:tcW w:w="1295" w:type="dxa"/>
            <w:tcBorders>
              <w:top w:val="single" w:sz="4" w:space="0" w:color="034FA3" w:themeColor="accent1"/>
              <w:left w:val="nil"/>
              <w:bottom w:val="single" w:sz="4" w:space="0" w:color="034FA3" w:themeColor="accent1"/>
              <w:right w:val="nil"/>
            </w:tcBorders>
            <w:hideMark/>
          </w:tcPr>
          <w:p w14:paraId="65EC6535"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13.4</w:t>
            </w:r>
          </w:p>
        </w:tc>
        <w:tc>
          <w:tcPr>
            <w:tcW w:w="1284" w:type="dxa"/>
            <w:tcBorders>
              <w:top w:val="single" w:sz="4" w:space="0" w:color="034FA3" w:themeColor="accent1"/>
              <w:left w:val="nil"/>
              <w:bottom w:val="single" w:sz="4" w:space="0" w:color="034FA3" w:themeColor="accent1"/>
              <w:right w:val="nil"/>
            </w:tcBorders>
            <w:hideMark/>
          </w:tcPr>
          <w:p w14:paraId="38F39E7C"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-1423</w:t>
            </w:r>
          </w:p>
        </w:tc>
        <w:tc>
          <w:tcPr>
            <w:tcW w:w="1284" w:type="dxa"/>
            <w:tcBorders>
              <w:top w:val="single" w:sz="4" w:space="0" w:color="034FA3" w:themeColor="accent1"/>
              <w:left w:val="nil"/>
              <w:bottom w:val="single" w:sz="4" w:space="0" w:color="034FA3" w:themeColor="accent1"/>
              <w:right w:val="single" w:sz="4" w:space="0" w:color="034FA3" w:themeColor="accent1"/>
            </w:tcBorders>
            <w:hideMark/>
          </w:tcPr>
          <w:p w14:paraId="7513DB07"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-2.5</w:t>
            </w:r>
          </w:p>
        </w:tc>
      </w:tr>
      <w:tr w:rsidR="0097175D" w:rsidRPr="00037C61" w14:paraId="07691464" w14:textId="77777777" w:rsidTr="0097175D">
        <w:trPr>
          <w:trHeight w:val="144"/>
        </w:trPr>
        <w:tc>
          <w:tcPr>
            <w:tcW w:w="1482" w:type="dxa"/>
            <w:tcBorders>
              <w:top w:val="nil"/>
              <w:left w:val="single" w:sz="4" w:space="0" w:color="034FA3" w:themeColor="accent1"/>
              <w:bottom w:val="nil"/>
              <w:right w:val="nil"/>
            </w:tcBorders>
            <w:shd w:val="clear" w:color="auto" w:fill="FFFFFF" w:themeFill="background1"/>
            <w:hideMark/>
          </w:tcPr>
          <w:p w14:paraId="7D7D3523"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Satu Mare</w:t>
            </w:r>
          </w:p>
        </w:tc>
        <w:tc>
          <w:tcPr>
            <w:tcW w:w="1257" w:type="dxa"/>
            <w:tcBorders>
              <w:top w:val="nil"/>
              <w:left w:val="nil"/>
              <w:bottom w:val="nil"/>
              <w:right w:val="nil"/>
            </w:tcBorders>
            <w:hideMark/>
          </w:tcPr>
          <w:p w14:paraId="476C6CA9"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3548</w:t>
            </w:r>
          </w:p>
        </w:tc>
        <w:tc>
          <w:tcPr>
            <w:tcW w:w="1157" w:type="dxa"/>
            <w:tcBorders>
              <w:top w:val="nil"/>
              <w:left w:val="nil"/>
              <w:bottom w:val="nil"/>
              <w:right w:val="nil"/>
            </w:tcBorders>
            <w:hideMark/>
          </w:tcPr>
          <w:p w14:paraId="25916D6E"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10.6</w:t>
            </w:r>
          </w:p>
        </w:tc>
        <w:tc>
          <w:tcPr>
            <w:tcW w:w="1257" w:type="dxa"/>
            <w:tcBorders>
              <w:top w:val="nil"/>
              <w:left w:val="nil"/>
              <w:bottom w:val="nil"/>
              <w:right w:val="nil"/>
            </w:tcBorders>
            <w:hideMark/>
          </w:tcPr>
          <w:p w14:paraId="571FED3A"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4448</w:t>
            </w:r>
          </w:p>
        </w:tc>
        <w:tc>
          <w:tcPr>
            <w:tcW w:w="1295" w:type="dxa"/>
            <w:tcBorders>
              <w:top w:val="nil"/>
              <w:left w:val="nil"/>
              <w:bottom w:val="nil"/>
              <w:right w:val="nil"/>
            </w:tcBorders>
            <w:hideMark/>
          </w:tcPr>
          <w:p w14:paraId="7EDCA2DB"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13.3</w:t>
            </w:r>
          </w:p>
        </w:tc>
        <w:tc>
          <w:tcPr>
            <w:tcW w:w="1284" w:type="dxa"/>
            <w:tcBorders>
              <w:top w:val="nil"/>
              <w:left w:val="nil"/>
              <w:bottom w:val="nil"/>
              <w:right w:val="nil"/>
            </w:tcBorders>
            <w:hideMark/>
          </w:tcPr>
          <w:p w14:paraId="7160B520"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-900</w:t>
            </w:r>
          </w:p>
        </w:tc>
        <w:tc>
          <w:tcPr>
            <w:tcW w:w="1284" w:type="dxa"/>
            <w:tcBorders>
              <w:top w:val="nil"/>
              <w:left w:val="nil"/>
              <w:bottom w:val="nil"/>
              <w:right w:val="single" w:sz="4" w:space="0" w:color="034FA3" w:themeColor="accent1"/>
            </w:tcBorders>
            <w:hideMark/>
          </w:tcPr>
          <w:p w14:paraId="26117959"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-2.7</w:t>
            </w:r>
          </w:p>
        </w:tc>
      </w:tr>
      <w:tr w:rsidR="0097175D" w:rsidRPr="00037C61" w14:paraId="40D78296"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653FF7A0" w14:textId="77777777" w:rsidR="0097175D" w:rsidRPr="00037C61" w:rsidRDefault="0097175D" w:rsidP="00204288">
            <w:pPr>
              <w:pStyle w:val="InterregROHUBullet1"/>
              <w:numPr>
                <w:ilvl w:val="0"/>
                <w:numId w:val="0"/>
              </w:numPr>
              <w:spacing w:after="0"/>
              <w:rPr>
                <w:b/>
                <w:bCs w:val="0"/>
                <w:sz w:val="20"/>
                <w:szCs w:val="20"/>
              </w:rPr>
            </w:pPr>
            <w:r w:rsidRPr="00037C61">
              <w:rPr>
                <w:bCs w:val="0"/>
                <w:sz w:val="20"/>
                <w:szCs w:val="20"/>
              </w:rPr>
              <w:t>Arad</w:t>
            </w:r>
          </w:p>
        </w:tc>
        <w:tc>
          <w:tcPr>
            <w:tcW w:w="1257" w:type="dxa"/>
            <w:tcBorders>
              <w:top w:val="single" w:sz="4" w:space="0" w:color="034FA3" w:themeColor="accent1"/>
              <w:left w:val="nil"/>
              <w:bottom w:val="single" w:sz="4" w:space="0" w:color="034FA3" w:themeColor="accent1"/>
              <w:right w:val="nil"/>
            </w:tcBorders>
            <w:hideMark/>
          </w:tcPr>
          <w:p w14:paraId="620B90E9"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4242</w:t>
            </w:r>
          </w:p>
        </w:tc>
        <w:tc>
          <w:tcPr>
            <w:tcW w:w="1157" w:type="dxa"/>
            <w:tcBorders>
              <w:top w:val="single" w:sz="4" w:space="0" w:color="034FA3" w:themeColor="accent1"/>
              <w:left w:val="nil"/>
              <w:bottom w:val="single" w:sz="4" w:space="0" w:color="034FA3" w:themeColor="accent1"/>
              <w:right w:val="nil"/>
            </w:tcBorders>
            <w:hideMark/>
          </w:tcPr>
          <w:p w14:paraId="70C3280A"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10.1</w:t>
            </w:r>
          </w:p>
        </w:tc>
        <w:tc>
          <w:tcPr>
            <w:tcW w:w="1257" w:type="dxa"/>
            <w:tcBorders>
              <w:top w:val="single" w:sz="4" w:space="0" w:color="034FA3" w:themeColor="accent1"/>
              <w:left w:val="nil"/>
              <w:bottom w:val="single" w:sz="4" w:space="0" w:color="034FA3" w:themeColor="accent1"/>
              <w:right w:val="nil"/>
            </w:tcBorders>
            <w:hideMark/>
          </w:tcPr>
          <w:p w14:paraId="09E3E8F8" w14:textId="77777777" w:rsidR="0097175D" w:rsidRPr="00037C61" w:rsidRDefault="0097175D" w:rsidP="00204288">
            <w:pPr>
              <w:pStyle w:val="InterregROHUBullet1"/>
              <w:numPr>
                <w:ilvl w:val="0"/>
                <w:numId w:val="0"/>
              </w:numPr>
              <w:spacing w:after="0"/>
              <w:jc w:val="center"/>
              <w:rPr>
                <w:sz w:val="20"/>
                <w:szCs w:val="20"/>
              </w:rPr>
            </w:pPr>
            <w:r w:rsidRPr="00037C61">
              <w:rPr>
                <w:sz w:val="20"/>
                <w:szCs w:val="20"/>
              </w:rPr>
              <w:t>5898</w:t>
            </w:r>
          </w:p>
        </w:tc>
        <w:tc>
          <w:tcPr>
            <w:tcW w:w="1295" w:type="dxa"/>
            <w:tcBorders>
              <w:top w:val="single" w:sz="4" w:space="0" w:color="034FA3" w:themeColor="accent1"/>
              <w:left w:val="nil"/>
              <w:bottom w:val="single" w:sz="4" w:space="0" w:color="034FA3" w:themeColor="accent1"/>
              <w:right w:val="nil"/>
            </w:tcBorders>
            <w:hideMark/>
          </w:tcPr>
          <w:p w14:paraId="076D23C6"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14.1</w:t>
            </w:r>
          </w:p>
        </w:tc>
        <w:tc>
          <w:tcPr>
            <w:tcW w:w="1284" w:type="dxa"/>
            <w:tcBorders>
              <w:top w:val="single" w:sz="4" w:space="0" w:color="034FA3" w:themeColor="accent1"/>
              <w:left w:val="nil"/>
              <w:bottom w:val="single" w:sz="4" w:space="0" w:color="034FA3" w:themeColor="accent1"/>
              <w:right w:val="nil"/>
            </w:tcBorders>
            <w:hideMark/>
          </w:tcPr>
          <w:p w14:paraId="010226D2"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-1656</w:t>
            </w:r>
          </w:p>
        </w:tc>
        <w:tc>
          <w:tcPr>
            <w:tcW w:w="1284" w:type="dxa"/>
            <w:tcBorders>
              <w:top w:val="single" w:sz="4" w:space="0" w:color="034FA3" w:themeColor="accent1"/>
              <w:left w:val="nil"/>
              <w:bottom w:val="single" w:sz="4" w:space="0" w:color="034FA3" w:themeColor="accent1"/>
              <w:right w:val="single" w:sz="4" w:space="0" w:color="034FA3" w:themeColor="accent1"/>
            </w:tcBorders>
            <w:hideMark/>
          </w:tcPr>
          <w:p w14:paraId="4A97E921" w14:textId="77777777" w:rsidR="0097175D" w:rsidRPr="00037C61" w:rsidRDefault="0097175D" w:rsidP="00204288">
            <w:pPr>
              <w:pStyle w:val="InterregROHUBullet1"/>
              <w:numPr>
                <w:ilvl w:val="0"/>
                <w:numId w:val="0"/>
              </w:numPr>
              <w:spacing w:after="0"/>
              <w:jc w:val="center"/>
              <w:rPr>
                <w:sz w:val="20"/>
                <w:szCs w:val="20"/>
              </w:rPr>
            </w:pPr>
            <w:r w:rsidRPr="00037C61">
              <w:rPr>
                <w:rFonts w:ascii="Arial" w:hAnsi="Arial" w:cs="Arial"/>
                <w:sz w:val="20"/>
                <w:szCs w:val="20"/>
              </w:rPr>
              <w:t>-4.0</w:t>
            </w:r>
          </w:p>
        </w:tc>
      </w:tr>
      <w:tr w:rsidR="00405B6F" w:rsidRPr="00037C61" w14:paraId="4CCEB112" w14:textId="77777777" w:rsidTr="0097175D">
        <w:trPr>
          <w:trHeight w:val="144"/>
        </w:trPr>
        <w:tc>
          <w:tcPr>
            <w:tcW w:w="1482" w:type="dxa"/>
            <w:tcBorders>
              <w:top w:val="nil"/>
              <w:left w:val="single" w:sz="4" w:space="0" w:color="034FA3" w:themeColor="accent1"/>
              <w:bottom w:val="nil"/>
              <w:right w:val="nil"/>
            </w:tcBorders>
            <w:shd w:val="clear" w:color="auto" w:fill="FFFFFF" w:themeFill="background1"/>
            <w:hideMark/>
          </w:tcPr>
          <w:p w14:paraId="26B99381" w14:textId="47E3264E" w:rsidR="00405B6F" w:rsidRPr="00037C61" w:rsidRDefault="00405B6F" w:rsidP="00405B6F">
            <w:pPr>
              <w:pStyle w:val="InterregROHUBullet1"/>
              <w:numPr>
                <w:ilvl w:val="0"/>
                <w:numId w:val="0"/>
              </w:numPr>
              <w:spacing w:after="0"/>
              <w:rPr>
                <w:b/>
                <w:bCs w:val="0"/>
                <w:sz w:val="20"/>
                <w:szCs w:val="20"/>
              </w:rPr>
            </w:pPr>
            <w:r w:rsidRPr="00037C61">
              <w:rPr>
                <w:bCs w:val="0"/>
                <w:sz w:val="20"/>
                <w:szCs w:val="20"/>
              </w:rPr>
              <w:t>Timis</w:t>
            </w:r>
          </w:p>
        </w:tc>
        <w:tc>
          <w:tcPr>
            <w:tcW w:w="1257" w:type="dxa"/>
            <w:tcBorders>
              <w:top w:val="nil"/>
              <w:left w:val="nil"/>
              <w:bottom w:val="nil"/>
              <w:right w:val="nil"/>
            </w:tcBorders>
            <w:hideMark/>
          </w:tcPr>
          <w:p w14:paraId="385C7BA1" w14:textId="1702DAF6" w:rsidR="00405B6F" w:rsidRPr="00037C61" w:rsidRDefault="00405B6F" w:rsidP="00405B6F">
            <w:pPr>
              <w:pStyle w:val="InterregROHUBullet1"/>
              <w:numPr>
                <w:ilvl w:val="0"/>
                <w:numId w:val="0"/>
              </w:numPr>
              <w:spacing w:after="0"/>
              <w:jc w:val="center"/>
              <w:rPr>
                <w:sz w:val="20"/>
                <w:szCs w:val="20"/>
              </w:rPr>
            </w:pPr>
            <w:r w:rsidRPr="00037C61">
              <w:rPr>
                <w:sz w:val="20"/>
                <w:szCs w:val="20"/>
              </w:rPr>
              <w:t>7616</w:t>
            </w:r>
          </w:p>
        </w:tc>
        <w:tc>
          <w:tcPr>
            <w:tcW w:w="1157" w:type="dxa"/>
            <w:tcBorders>
              <w:top w:val="nil"/>
              <w:left w:val="nil"/>
              <w:bottom w:val="nil"/>
              <w:right w:val="nil"/>
            </w:tcBorders>
            <w:hideMark/>
          </w:tcPr>
          <w:p w14:paraId="4EFF9911" w14:textId="2A8CA0D5" w:rsidR="00405B6F" w:rsidRPr="00037C61" w:rsidRDefault="00405B6F" w:rsidP="00405B6F">
            <w:pPr>
              <w:pStyle w:val="InterregROHUBullet1"/>
              <w:numPr>
                <w:ilvl w:val="0"/>
                <w:numId w:val="0"/>
              </w:numPr>
              <w:spacing w:after="0"/>
              <w:jc w:val="center"/>
              <w:rPr>
                <w:sz w:val="20"/>
                <w:szCs w:val="20"/>
              </w:rPr>
            </w:pPr>
            <w:r w:rsidRPr="00037C61">
              <w:rPr>
                <w:rFonts w:ascii="Arial" w:hAnsi="Arial" w:cs="Arial"/>
                <w:sz w:val="20"/>
                <w:szCs w:val="20"/>
              </w:rPr>
              <w:t>10.8</w:t>
            </w:r>
          </w:p>
        </w:tc>
        <w:tc>
          <w:tcPr>
            <w:tcW w:w="1257" w:type="dxa"/>
            <w:tcBorders>
              <w:top w:val="nil"/>
              <w:left w:val="nil"/>
              <w:bottom w:val="nil"/>
              <w:right w:val="nil"/>
            </w:tcBorders>
            <w:hideMark/>
          </w:tcPr>
          <w:p w14:paraId="3EA00940" w14:textId="35D6586B" w:rsidR="00405B6F" w:rsidRPr="00037C61" w:rsidRDefault="00405B6F" w:rsidP="00405B6F">
            <w:pPr>
              <w:pStyle w:val="InterregROHUBullet1"/>
              <w:numPr>
                <w:ilvl w:val="0"/>
                <w:numId w:val="0"/>
              </w:numPr>
              <w:spacing w:after="0"/>
              <w:jc w:val="center"/>
              <w:rPr>
                <w:sz w:val="20"/>
                <w:szCs w:val="20"/>
              </w:rPr>
            </w:pPr>
            <w:r w:rsidRPr="00037C61">
              <w:rPr>
                <w:sz w:val="20"/>
                <w:szCs w:val="20"/>
              </w:rPr>
              <w:t>7573</w:t>
            </w:r>
          </w:p>
        </w:tc>
        <w:tc>
          <w:tcPr>
            <w:tcW w:w="1295" w:type="dxa"/>
            <w:tcBorders>
              <w:top w:val="nil"/>
              <w:left w:val="nil"/>
              <w:bottom w:val="nil"/>
              <w:right w:val="nil"/>
            </w:tcBorders>
            <w:hideMark/>
          </w:tcPr>
          <w:p w14:paraId="1C8FC18E" w14:textId="6A97C83C" w:rsidR="00405B6F" w:rsidRPr="00037C61" w:rsidRDefault="00405B6F" w:rsidP="00405B6F">
            <w:pPr>
              <w:pStyle w:val="InterregROHUBullet1"/>
              <w:numPr>
                <w:ilvl w:val="0"/>
                <w:numId w:val="0"/>
              </w:numPr>
              <w:spacing w:after="0"/>
              <w:jc w:val="center"/>
              <w:rPr>
                <w:sz w:val="20"/>
                <w:szCs w:val="20"/>
              </w:rPr>
            </w:pPr>
            <w:r w:rsidRPr="00037C61">
              <w:rPr>
                <w:rFonts w:ascii="Arial" w:hAnsi="Arial" w:cs="Arial"/>
                <w:sz w:val="20"/>
                <w:szCs w:val="20"/>
              </w:rPr>
              <w:t>10.8</w:t>
            </w:r>
          </w:p>
        </w:tc>
        <w:tc>
          <w:tcPr>
            <w:tcW w:w="1284" w:type="dxa"/>
            <w:tcBorders>
              <w:top w:val="nil"/>
              <w:left w:val="nil"/>
              <w:bottom w:val="nil"/>
              <w:right w:val="nil"/>
            </w:tcBorders>
            <w:hideMark/>
          </w:tcPr>
          <w:p w14:paraId="52012E3D" w14:textId="2BDD3355" w:rsidR="00405B6F" w:rsidRPr="00037C61" w:rsidRDefault="00405B6F" w:rsidP="00405B6F">
            <w:pPr>
              <w:pStyle w:val="InterregROHUBullet1"/>
              <w:numPr>
                <w:ilvl w:val="0"/>
                <w:numId w:val="0"/>
              </w:numPr>
              <w:spacing w:after="0"/>
              <w:jc w:val="center"/>
              <w:rPr>
                <w:sz w:val="20"/>
                <w:szCs w:val="20"/>
              </w:rPr>
            </w:pPr>
            <w:r w:rsidRPr="00037C61">
              <w:rPr>
                <w:rFonts w:ascii="Arial" w:hAnsi="Arial" w:cs="Arial"/>
                <w:sz w:val="20"/>
                <w:szCs w:val="20"/>
              </w:rPr>
              <w:t>43</w:t>
            </w:r>
          </w:p>
        </w:tc>
        <w:tc>
          <w:tcPr>
            <w:tcW w:w="1284" w:type="dxa"/>
            <w:tcBorders>
              <w:top w:val="nil"/>
              <w:left w:val="nil"/>
              <w:bottom w:val="nil"/>
              <w:right w:val="single" w:sz="4" w:space="0" w:color="034FA3" w:themeColor="accent1"/>
            </w:tcBorders>
            <w:hideMark/>
          </w:tcPr>
          <w:p w14:paraId="1257C935" w14:textId="081DDAC9" w:rsidR="00405B6F" w:rsidRPr="00037C61" w:rsidRDefault="00405B6F" w:rsidP="00405B6F">
            <w:pPr>
              <w:pStyle w:val="InterregROHUBullet1"/>
              <w:numPr>
                <w:ilvl w:val="0"/>
                <w:numId w:val="0"/>
              </w:numPr>
              <w:spacing w:after="0"/>
              <w:jc w:val="center"/>
              <w:rPr>
                <w:sz w:val="20"/>
                <w:szCs w:val="20"/>
              </w:rPr>
            </w:pPr>
            <w:r w:rsidRPr="00037C61">
              <w:rPr>
                <w:rFonts w:ascii="Arial" w:hAnsi="Arial" w:cs="Arial"/>
                <w:sz w:val="20"/>
                <w:szCs w:val="20"/>
              </w:rPr>
              <w:t>0.1</w:t>
            </w:r>
          </w:p>
        </w:tc>
      </w:tr>
      <w:tr w:rsidR="00405B6F" w:rsidRPr="00037C61" w14:paraId="15CC4338"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306BEFEF" w14:textId="61DAE939" w:rsidR="00405B6F" w:rsidRPr="00037C61" w:rsidRDefault="00405B6F" w:rsidP="00405B6F">
            <w:pPr>
              <w:pStyle w:val="InterregROHUBullet1"/>
              <w:numPr>
                <w:ilvl w:val="0"/>
                <w:numId w:val="0"/>
              </w:numPr>
              <w:spacing w:after="0"/>
              <w:rPr>
                <w:b/>
                <w:sz w:val="20"/>
                <w:szCs w:val="20"/>
              </w:rPr>
            </w:pPr>
            <w:r w:rsidRPr="00037C61">
              <w:rPr>
                <w:b/>
                <w:bCs w:val="0"/>
                <w:sz w:val="20"/>
                <w:szCs w:val="20"/>
              </w:rPr>
              <w:t>Total</w:t>
            </w:r>
          </w:p>
        </w:tc>
        <w:tc>
          <w:tcPr>
            <w:tcW w:w="1257" w:type="dxa"/>
            <w:tcBorders>
              <w:top w:val="single" w:sz="4" w:space="0" w:color="034FA3" w:themeColor="accent1"/>
              <w:left w:val="nil"/>
              <w:bottom w:val="single" w:sz="4" w:space="0" w:color="034FA3" w:themeColor="accent1"/>
              <w:right w:val="nil"/>
            </w:tcBorders>
            <w:hideMark/>
          </w:tcPr>
          <w:p w14:paraId="37E068FC" w14:textId="6D0BDED5" w:rsidR="00405B6F" w:rsidRPr="00037C61" w:rsidRDefault="00405B6F" w:rsidP="00405B6F">
            <w:pPr>
              <w:pStyle w:val="InterregROHUBullet1"/>
              <w:numPr>
                <w:ilvl w:val="0"/>
                <w:numId w:val="0"/>
              </w:numPr>
              <w:spacing w:after="0"/>
              <w:jc w:val="center"/>
              <w:rPr>
                <w:b/>
                <w:sz w:val="20"/>
                <w:szCs w:val="20"/>
              </w:rPr>
            </w:pPr>
            <w:r w:rsidRPr="00037C61">
              <w:rPr>
                <w:b/>
                <w:sz w:val="20"/>
                <w:szCs w:val="20"/>
              </w:rPr>
              <w:t>39273</w:t>
            </w:r>
          </w:p>
        </w:tc>
        <w:tc>
          <w:tcPr>
            <w:tcW w:w="1157" w:type="dxa"/>
            <w:tcBorders>
              <w:top w:val="single" w:sz="4" w:space="0" w:color="034FA3" w:themeColor="accent1"/>
              <w:left w:val="nil"/>
              <w:bottom w:val="single" w:sz="4" w:space="0" w:color="034FA3" w:themeColor="accent1"/>
              <w:right w:val="nil"/>
            </w:tcBorders>
          </w:tcPr>
          <w:p w14:paraId="37285820" w14:textId="7B708CEF" w:rsidR="00405B6F" w:rsidRPr="00037C61" w:rsidRDefault="00405B6F" w:rsidP="00405B6F">
            <w:pPr>
              <w:pStyle w:val="InterregROHUBullet1"/>
              <w:numPr>
                <w:ilvl w:val="0"/>
                <w:numId w:val="0"/>
              </w:numPr>
              <w:spacing w:after="0"/>
              <w:jc w:val="center"/>
              <w:rPr>
                <w:b/>
                <w:sz w:val="20"/>
                <w:szCs w:val="20"/>
              </w:rPr>
            </w:pPr>
            <w:r w:rsidRPr="00037C61">
              <w:rPr>
                <w:b/>
                <w:sz w:val="20"/>
                <w:szCs w:val="20"/>
              </w:rPr>
              <w:t>10</w:t>
            </w:r>
          </w:p>
        </w:tc>
        <w:tc>
          <w:tcPr>
            <w:tcW w:w="1257" w:type="dxa"/>
            <w:tcBorders>
              <w:top w:val="single" w:sz="4" w:space="0" w:color="034FA3" w:themeColor="accent1"/>
              <w:left w:val="nil"/>
              <w:bottom w:val="single" w:sz="4" w:space="0" w:color="034FA3" w:themeColor="accent1"/>
              <w:right w:val="nil"/>
            </w:tcBorders>
            <w:hideMark/>
          </w:tcPr>
          <w:p w14:paraId="21C98F88" w14:textId="2ED21697" w:rsidR="00405B6F" w:rsidRPr="00037C61" w:rsidRDefault="00405B6F" w:rsidP="00405B6F">
            <w:pPr>
              <w:pStyle w:val="InterregROHUBullet1"/>
              <w:numPr>
                <w:ilvl w:val="0"/>
                <w:numId w:val="0"/>
              </w:numPr>
              <w:spacing w:after="0"/>
              <w:jc w:val="center"/>
              <w:rPr>
                <w:b/>
                <w:sz w:val="20"/>
                <w:szCs w:val="20"/>
              </w:rPr>
            </w:pPr>
            <w:r w:rsidRPr="00037C61">
              <w:rPr>
                <w:b/>
                <w:sz w:val="20"/>
                <w:szCs w:val="20"/>
              </w:rPr>
              <w:t>50088</w:t>
            </w:r>
          </w:p>
        </w:tc>
        <w:tc>
          <w:tcPr>
            <w:tcW w:w="1295" w:type="dxa"/>
            <w:tcBorders>
              <w:top w:val="single" w:sz="4" w:space="0" w:color="034FA3" w:themeColor="accent1"/>
              <w:left w:val="nil"/>
              <w:bottom w:val="single" w:sz="4" w:space="0" w:color="034FA3" w:themeColor="accent1"/>
              <w:right w:val="nil"/>
            </w:tcBorders>
          </w:tcPr>
          <w:p w14:paraId="4C9407F5" w14:textId="4CB958B3" w:rsidR="00405B6F" w:rsidRPr="00037C61" w:rsidRDefault="00405B6F" w:rsidP="00405B6F">
            <w:pPr>
              <w:pStyle w:val="InterregROHUBullet1"/>
              <w:numPr>
                <w:ilvl w:val="0"/>
                <w:numId w:val="0"/>
              </w:numPr>
              <w:spacing w:after="0"/>
              <w:jc w:val="center"/>
              <w:rPr>
                <w:b/>
                <w:sz w:val="20"/>
                <w:szCs w:val="20"/>
              </w:rPr>
            </w:pPr>
            <w:r w:rsidRPr="00037C61">
              <w:rPr>
                <w:b/>
                <w:sz w:val="20"/>
                <w:szCs w:val="20"/>
              </w:rPr>
              <w:t>13</w:t>
            </w:r>
          </w:p>
        </w:tc>
        <w:tc>
          <w:tcPr>
            <w:tcW w:w="1284" w:type="dxa"/>
            <w:tcBorders>
              <w:top w:val="single" w:sz="4" w:space="0" w:color="034FA3" w:themeColor="accent1"/>
              <w:left w:val="nil"/>
              <w:bottom w:val="single" w:sz="4" w:space="0" w:color="034FA3" w:themeColor="accent1"/>
              <w:right w:val="nil"/>
            </w:tcBorders>
            <w:hideMark/>
          </w:tcPr>
          <w:p w14:paraId="66021AA4" w14:textId="18EB1B52" w:rsidR="00405B6F" w:rsidRPr="00037C61" w:rsidRDefault="00405B6F" w:rsidP="00405B6F">
            <w:pPr>
              <w:pStyle w:val="InterregROHUBullet1"/>
              <w:numPr>
                <w:ilvl w:val="0"/>
                <w:numId w:val="0"/>
              </w:numPr>
              <w:spacing w:after="0"/>
              <w:jc w:val="center"/>
              <w:rPr>
                <w:b/>
                <w:sz w:val="20"/>
                <w:szCs w:val="20"/>
              </w:rPr>
            </w:pPr>
            <w:r w:rsidRPr="00037C61">
              <w:rPr>
                <w:b/>
                <w:sz w:val="20"/>
                <w:szCs w:val="20"/>
              </w:rPr>
              <w:t>-10815</w:t>
            </w:r>
          </w:p>
        </w:tc>
        <w:tc>
          <w:tcPr>
            <w:tcW w:w="1284" w:type="dxa"/>
            <w:tcBorders>
              <w:top w:val="single" w:sz="4" w:space="0" w:color="034FA3" w:themeColor="accent1"/>
              <w:left w:val="nil"/>
              <w:bottom w:val="single" w:sz="4" w:space="0" w:color="034FA3" w:themeColor="accent1"/>
              <w:right w:val="single" w:sz="4" w:space="0" w:color="034FA3" w:themeColor="accent1"/>
            </w:tcBorders>
          </w:tcPr>
          <w:p w14:paraId="79C50135" w14:textId="0E83E0A6" w:rsidR="00405B6F" w:rsidRPr="00037C61" w:rsidRDefault="00405B6F" w:rsidP="00405B6F">
            <w:pPr>
              <w:pStyle w:val="InterregROHUBullet1"/>
              <w:numPr>
                <w:ilvl w:val="0"/>
                <w:numId w:val="0"/>
              </w:numPr>
              <w:spacing w:after="0"/>
              <w:jc w:val="center"/>
              <w:rPr>
                <w:b/>
                <w:sz w:val="20"/>
                <w:szCs w:val="20"/>
              </w:rPr>
            </w:pPr>
            <w:r w:rsidRPr="00037C61">
              <w:rPr>
                <w:b/>
                <w:sz w:val="20"/>
                <w:szCs w:val="20"/>
              </w:rPr>
              <w:t>-2.8</w:t>
            </w:r>
          </w:p>
        </w:tc>
      </w:tr>
      <w:tr w:rsidR="00405B6F" w:rsidRPr="00037C61" w14:paraId="02A9B2A1" w14:textId="77777777" w:rsidTr="0097175D">
        <w:trPr>
          <w:trHeight w:val="144"/>
        </w:trPr>
        <w:tc>
          <w:tcPr>
            <w:tcW w:w="1482" w:type="dxa"/>
            <w:tcBorders>
              <w:top w:val="nil"/>
              <w:left w:val="single" w:sz="4" w:space="0" w:color="034FA3" w:themeColor="accent1"/>
              <w:bottom w:val="nil"/>
              <w:right w:val="nil"/>
            </w:tcBorders>
            <w:shd w:val="clear" w:color="auto" w:fill="FFFFFF" w:themeFill="background1"/>
            <w:hideMark/>
          </w:tcPr>
          <w:p w14:paraId="583B83A6" w14:textId="6EAAA486" w:rsidR="00405B6F" w:rsidRPr="00037C61" w:rsidRDefault="00405B6F" w:rsidP="00405B6F">
            <w:pPr>
              <w:pStyle w:val="InterregROHUBullet1"/>
              <w:numPr>
                <w:ilvl w:val="0"/>
                <w:numId w:val="0"/>
              </w:numPr>
              <w:spacing w:after="0"/>
              <w:rPr>
                <w:b/>
                <w:i/>
                <w:iCs/>
                <w:sz w:val="20"/>
                <w:szCs w:val="20"/>
              </w:rPr>
            </w:pPr>
            <w:r w:rsidRPr="00037C61">
              <w:rPr>
                <w:b/>
                <w:bCs w:val="0"/>
                <w:i/>
                <w:iCs/>
                <w:sz w:val="20"/>
                <w:szCs w:val="20"/>
              </w:rPr>
              <w:t>Total Hungary counties</w:t>
            </w:r>
          </w:p>
        </w:tc>
        <w:tc>
          <w:tcPr>
            <w:tcW w:w="1257" w:type="dxa"/>
            <w:tcBorders>
              <w:top w:val="nil"/>
              <w:left w:val="nil"/>
              <w:bottom w:val="nil"/>
              <w:right w:val="nil"/>
            </w:tcBorders>
            <w:hideMark/>
          </w:tcPr>
          <w:p w14:paraId="7E365C01" w14:textId="16852287"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17777</w:t>
            </w:r>
          </w:p>
        </w:tc>
        <w:tc>
          <w:tcPr>
            <w:tcW w:w="1157" w:type="dxa"/>
            <w:tcBorders>
              <w:top w:val="nil"/>
              <w:left w:val="nil"/>
              <w:bottom w:val="nil"/>
              <w:right w:val="nil"/>
            </w:tcBorders>
          </w:tcPr>
          <w:p w14:paraId="0674975D" w14:textId="0C8A6046"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10</w:t>
            </w:r>
          </w:p>
        </w:tc>
        <w:tc>
          <w:tcPr>
            <w:tcW w:w="1257" w:type="dxa"/>
            <w:tcBorders>
              <w:top w:val="nil"/>
              <w:left w:val="nil"/>
              <w:bottom w:val="nil"/>
              <w:right w:val="nil"/>
            </w:tcBorders>
            <w:hideMark/>
          </w:tcPr>
          <w:p w14:paraId="41DF8E25" w14:textId="075DCDA5"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24656</w:t>
            </w:r>
          </w:p>
        </w:tc>
        <w:tc>
          <w:tcPr>
            <w:tcW w:w="1295" w:type="dxa"/>
            <w:tcBorders>
              <w:top w:val="nil"/>
              <w:left w:val="nil"/>
              <w:bottom w:val="nil"/>
              <w:right w:val="nil"/>
            </w:tcBorders>
          </w:tcPr>
          <w:p w14:paraId="385D0698" w14:textId="34A6DE7A"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13.5</w:t>
            </w:r>
          </w:p>
        </w:tc>
        <w:tc>
          <w:tcPr>
            <w:tcW w:w="1284" w:type="dxa"/>
            <w:tcBorders>
              <w:top w:val="nil"/>
              <w:left w:val="nil"/>
              <w:bottom w:val="nil"/>
              <w:right w:val="nil"/>
            </w:tcBorders>
            <w:hideMark/>
          </w:tcPr>
          <w:p w14:paraId="63D2D74C" w14:textId="3CA99D7A"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-6879</w:t>
            </w:r>
          </w:p>
        </w:tc>
        <w:tc>
          <w:tcPr>
            <w:tcW w:w="1284" w:type="dxa"/>
            <w:tcBorders>
              <w:top w:val="nil"/>
              <w:left w:val="nil"/>
              <w:bottom w:val="nil"/>
              <w:right w:val="single" w:sz="4" w:space="0" w:color="034FA3" w:themeColor="accent1"/>
            </w:tcBorders>
          </w:tcPr>
          <w:p w14:paraId="2A9A75E6" w14:textId="520B1E32" w:rsidR="00405B6F" w:rsidRPr="00037C61" w:rsidRDefault="00405B6F" w:rsidP="00405B6F">
            <w:pPr>
              <w:pStyle w:val="InterregROHUBullet1"/>
              <w:numPr>
                <w:ilvl w:val="0"/>
                <w:numId w:val="0"/>
              </w:numPr>
              <w:spacing w:after="0"/>
              <w:jc w:val="center"/>
              <w:rPr>
                <w:b/>
                <w:sz w:val="20"/>
                <w:szCs w:val="20"/>
              </w:rPr>
            </w:pPr>
            <w:r w:rsidRPr="00037C61">
              <w:rPr>
                <w:b/>
                <w:sz w:val="20"/>
                <w:szCs w:val="20"/>
              </w:rPr>
              <w:t>-3.8</w:t>
            </w:r>
          </w:p>
        </w:tc>
      </w:tr>
      <w:tr w:rsidR="00405B6F" w:rsidRPr="00037C61" w14:paraId="3D3FEFF1"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43367533" w14:textId="7C2FF231" w:rsidR="00405B6F" w:rsidRPr="00037C61" w:rsidRDefault="00405B6F" w:rsidP="00405B6F">
            <w:pPr>
              <w:pStyle w:val="InterregROHUBullet1"/>
              <w:numPr>
                <w:ilvl w:val="0"/>
                <w:numId w:val="0"/>
              </w:numPr>
              <w:spacing w:after="0"/>
              <w:rPr>
                <w:b/>
                <w:i/>
                <w:iCs/>
                <w:sz w:val="20"/>
                <w:szCs w:val="20"/>
              </w:rPr>
            </w:pPr>
            <w:r w:rsidRPr="00037C61">
              <w:rPr>
                <w:b/>
                <w:bCs w:val="0"/>
                <w:i/>
                <w:iCs/>
                <w:sz w:val="20"/>
                <w:szCs w:val="20"/>
              </w:rPr>
              <w:t>Total Romania counties</w:t>
            </w:r>
          </w:p>
        </w:tc>
        <w:tc>
          <w:tcPr>
            <w:tcW w:w="1257" w:type="dxa"/>
            <w:tcBorders>
              <w:top w:val="single" w:sz="4" w:space="0" w:color="034FA3" w:themeColor="accent1"/>
              <w:left w:val="nil"/>
              <w:bottom w:val="single" w:sz="4" w:space="0" w:color="034FA3" w:themeColor="accent1"/>
              <w:right w:val="nil"/>
            </w:tcBorders>
            <w:hideMark/>
          </w:tcPr>
          <w:p w14:paraId="1B3AED8A" w14:textId="695A6E5B"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21496</w:t>
            </w:r>
          </w:p>
        </w:tc>
        <w:tc>
          <w:tcPr>
            <w:tcW w:w="1157" w:type="dxa"/>
            <w:tcBorders>
              <w:top w:val="single" w:sz="4" w:space="0" w:color="034FA3" w:themeColor="accent1"/>
              <w:left w:val="nil"/>
              <w:bottom w:val="single" w:sz="4" w:space="0" w:color="034FA3" w:themeColor="accent1"/>
              <w:right w:val="nil"/>
            </w:tcBorders>
          </w:tcPr>
          <w:p w14:paraId="3EB7809A" w14:textId="4D48869A"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11</w:t>
            </w:r>
          </w:p>
        </w:tc>
        <w:tc>
          <w:tcPr>
            <w:tcW w:w="1257" w:type="dxa"/>
            <w:tcBorders>
              <w:top w:val="single" w:sz="4" w:space="0" w:color="034FA3" w:themeColor="accent1"/>
              <w:left w:val="nil"/>
              <w:bottom w:val="single" w:sz="4" w:space="0" w:color="034FA3" w:themeColor="accent1"/>
              <w:right w:val="nil"/>
            </w:tcBorders>
            <w:hideMark/>
          </w:tcPr>
          <w:p w14:paraId="20CD7A00" w14:textId="027B5AB5"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25432</w:t>
            </w:r>
          </w:p>
        </w:tc>
        <w:tc>
          <w:tcPr>
            <w:tcW w:w="1295" w:type="dxa"/>
            <w:tcBorders>
              <w:top w:val="single" w:sz="4" w:space="0" w:color="034FA3" w:themeColor="accent1"/>
              <w:left w:val="nil"/>
              <w:bottom w:val="single" w:sz="4" w:space="0" w:color="034FA3" w:themeColor="accent1"/>
              <w:right w:val="nil"/>
            </w:tcBorders>
          </w:tcPr>
          <w:p w14:paraId="05CE149D" w14:textId="51538F6B"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12.6</w:t>
            </w:r>
          </w:p>
        </w:tc>
        <w:tc>
          <w:tcPr>
            <w:tcW w:w="1284" w:type="dxa"/>
            <w:tcBorders>
              <w:top w:val="single" w:sz="4" w:space="0" w:color="034FA3" w:themeColor="accent1"/>
              <w:left w:val="nil"/>
              <w:bottom w:val="single" w:sz="4" w:space="0" w:color="034FA3" w:themeColor="accent1"/>
              <w:right w:val="nil"/>
            </w:tcBorders>
            <w:hideMark/>
          </w:tcPr>
          <w:p w14:paraId="4DF990DE" w14:textId="7D320F54"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-3936</w:t>
            </w:r>
          </w:p>
        </w:tc>
        <w:tc>
          <w:tcPr>
            <w:tcW w:w="1284" w:type="dxa"/>
            <w:tcBorders>
              <w:top w:val="single" w:sz="4" w:space="0" w:color="034FA3" w:themeColor="accent1"/>
              <w:left w:val="nil"/>
              <w:bottom w:val="single" w:sz="4" w:space="0" w:color="034FA3" w:themeColor="accent1"/>
              <w:right w:val="single" w:sz="4" w:space="0" w:color="034FA3" w:themeColor="accent1"/>
            </w:tcBorders>
          </w:tcPr>
          <w:p w14:paraId="7A377993" w14:textId="048301A1" w:rsidR="00405B6F" w:rsidRPr="00037C61" w:rsidRDefault="00405B6F" w:rsidP="00405B6F">
            <w:pPr>
              <w:pStyle w:val="InterregROHUBullet1"/>
              <w:numPr>
                <w:ilvl w:val="0"/>
                <w:numId w:val="0"/>
              </w:numPr>
              <w:spacing w:after="0"/>
              <w:jc w:val="center"/>
              <w:rPr>
                <w:b/>
                <w:sz w:val="20"/>
                <w:szCs w:val="20"/>
              </w:rPr>
            </w:pPr>
            <w:r w:rsidRPr="00037C61">
              <w:rPr>
                <w:b/>
                <w:sz w:val="20"/>
                <w:szCs w:val="20"/>
              </w:rPr>
              <w:t>-1.9</w:t>
            </w:r>
          </w:p>
        </w:tc>
      </w:tr>
      <w:tr w:rsidR="00405B6F" w:rsidRPr="00037C61" w14:paraId="766079CE"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tcPr>
          <w:p w14:paraId="58E4CDFC" w14:textId="717A3A05" w:rsidR="00405B6F" w:rsidRPr="00037C61" w:rsidRDefault="00405B6F" w:rsidP="00405B6F">
            <w:pPr>
              <w:pStyle w:val="InterregROHUBullet1"/>
              <w:numPr>
                <w:ilvl w:val="0"/>
                <w:numId w:val="0"/>
              </w:numPr>
              <w:spacing w:after="0"/>
              <w:rPr>
                <w:b/>
                <w:bCs w:val="0"/>
                <w:i/>
                <w:iCs/>
                <w:sz w:val="20"/>
                <w:szCs w:val="20"/>
              </w:rPr>
            </w:pPr>
            <w:r w:rsidRPr="00037C61">
              <w:rPr>
                <w:b/>
                <w:bCs w:val="0"/>
                <w:i/>
                <w:iCs/>
                <w:sz w:val="20"/>
                <w:szCs w:val="20"/>
              </w:rPr>
              <w:t>Total Hungary</w:t>
            </w:r>
          </w:p>
        </w:tc>
        <w:tc>
          <w:tcPr>
            <w:tcW w:w="1257" w:type="dxa"/>
            <w:tcBorders>
              <w:top w:val="single" w:sz="4" w:space="0" w:color="034FA3" w:themeColor="accent1"/>
              <w:left w:val="nil"/>
              <w:bottom w:val="single" w:sz="4" w:space="0" w:color="034FA3" w:themeColor="accent1"/>
              <w:right w:val="nil"/>
            </w:tcBorders>
          </w:tcPr>
          <w:p w14:paraId="5CBF29CA" w14:textId="12A9BA59"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93467</w:t>
            </w:r>
          </w:p>
        </w:tc>
        <w:tc>
          <w:tcPr>
            <w:tcW w:w="1157" w:type="dxa"/>
            <w:tcBorders>
              <w:top w:val="single" w:sz="4" w:space="0" w:color="034FA3" w:themeColor="accent1"/>
              <w:left w:val="nil"/>
              <w:bottom w:val="single" w:sz="4" w:space="0" w:color="034FA3" w:themeColor="accent1"/>
              <w:right w:val="nil"/>
            </w:tcBorders>
          </w:tcPr>
          <w:p w14:paraId="2CB32425" w14:textId="0B0AF734"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9.6</w:t>
            </w:r>
          </w:p>
        </w:tc>
        <w:tc>
          <w:tcPr>
            <w:tcW w:w="1257" w:type="dxa"/>
            <w:tcBorders>
              <w:top w:val="single" w:sz="4" w:space="0" w:color="034FA3" w:themeColor="accent1"/>
              <w:left w:val="nil"/>
              <w:bottom w:val="single" w:sz="4" w:space="0" w:color="034FA3" w:themeColor="accent1"/>
              <w:right w:val="nil"/>
            </w:tcBorders>
          </w:tcPr>
          <w:p w14:paraId="6F7E5949" w14:textId="0B6B037A"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131247</w:t>
            </w:r>
          </w:p>
        </w:tc>
        <w:tc>
          <w:tcPr>
            <w:tcW w:w="1295" w:type="dxa"/>
            <w:tcBorders>
              <w:top w:val="single" w:sz="4" w:space="0" w:color="034FA3" w:themeColor="accent1"/>
              <w:left w:val="nil"/>
              <w:bottom w:val="single" w:sz="4" w:space="0" w:color="034FA3" w:themeColor="accent1"/>
              <w:right w:val="nil"/>
            </w:tcBorders>
          </w:tcPr>
          <w:p w14:paraId="5D34280C" w14:textId="4389322E"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13.4</w:t>
            </w:r>
          </w:p>
        </w:tc>
        <w:tc>
          <w:tcPr>
            <w:tcW w:w="1284" w:type="dxa"/>
            <w:tcBorders>
              <w:top w:val="single" w:sz="4" w:space="0" w:color="034FA3" w:themeColor="accent1"/>
              <w:left w:val="nil"/>
              <w:bottom w:val="single" w:sz="4" w:space="0" w:color="034FA3" w:themeColor="accent1"/>
              <w:right w:val="nil"/>
            </w:tcBorders>
          </w:tcPr>
          <w:p w14:paraId="34F14F2B" w14:textId="7C1352B0" w:rsidR="00405B6F" w:rsidRPr="00037C61" w:rsidRDefault="00405B6F" w:rsidP="00405B6F">
            <w:pPr>
              <w:pStyle w:val="InterregROHUBullet1"/>
              <w:spacing w:after="0"/>
              <w:rPr>
                <w:b/>
                <w:i/>
                <w:iCs/>
                <w:sz w:val="20"/>
                <w:szCs w:val="20"/>
              </w:rPr>
            </w:pPr>
            <w:r w:rsidRPr="00037C61">
              <w:rPr>
                <w:b/>
                <w:i/>
                <w:iCs/>
                <w:sz w:val="20"/>
                <w:szCs w:val="20"/>
              </w:rPr>
              <w:t>-37,780</w:t>
            </w:r>
          </w:p>
        </w:tc>
        <w:tc>
          <w:tcPr>
            <w:tcW w:w="1284" w:type="dxa"/>
            <w:tcBorders>
              <w:top w:val="single" w:sz="4" w:space="0" w:color="034FA3" w:themeColor="accent1"/>
              <w:left w:val="nil"/>
              <w:bottom w:val="single" w:sz="4" w:space="0" w:color="034FA3" w:themeColor="accent1"/>
              <w:right w:val="single" w:sz="4" w:space="0" w:color="034FA3" w:themeColor="accent1"/>
            </w:tcBorders>
          </w:tcPr>
          <w:p w14:paraId="2876F34C" w14:textId="2BEB54A9" w:rsidR="00405B6F" w:rsidRPr="00037C61" w:rsidRDefault="00405B6F" w:rsidP="00405B6F">
            <w:pPr>
              <w:pStyle w:val="InterregROHUBullet1"/>
              <w:numPr>
                <w:ilvl w:val="0"/>
                <w:numId w:val="0"/>
              </w:numPr>
              <w:spacing w:after="0"/>
              <w:jc w:val="center"/>
              <w:rPr>
                <w:b/>
                <w:sz w:val="20"/>
                <w:szCs w:val="20"/>
              </w:rPr>
            </w:pPr>
            <w:r w:rsidRPr="00037C61">
              <w:rPr>
                <w:b/>
                <w:sz w:val="20"/>
                <w:szCs w:val="20"/>
              </w:rPr>
              <w:t>-3.9</w:t>
            </w:r>
          </w:p>
        </w:tc>
      </w:tr>
      <w:tr w:rsidR="00405B6F" w:rsidRPr="00037C61" w14:paraId="71868F83" w14:textId="77777777" w:rsidTr="0097175D">
        <w:trPr>
          <w:trHeight w:val="144"/>
        </w:trPr>
        <w:tc>
          <w:tcPr>
            <w:tcW w:w="1482"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tcPr>
          <w:p w14:paraId="6E2DD3D0" w14:textId="0590D1D0" w:rsidR="00405B6F" w:rsidRPr="00037C61" w:rsidRDefault="00405B6F" w:rsidP="00405B6F">
            <w:pPr>
              <w:pStyle w:val="InterregROHUBullet1"/>
              <w:numPr>
                <w:ilvl w:val="0"/>
                <w:numId w:val="0"/>
              </w:numPr>
              <w:spacing w:after="0"/>
              <w:rPr>
                <w:b/>
                <w:bCs w:val="0"/>
                <w:i/>
                <w:iCs/>
                <w:sz w:val="20"/>
                <w:szCs w:val="20"/>
              </w:rPr>
            </w:pPr>
            <w:r w:rsidRPr="00037C61">
              <w:rPr>
                <w:b/>
                <w:bCs w:val="0"/>
                <w:i/>
                <w:iCs/>
                <w:sz w:val="20"/>
                <w:szCs w:val="20"/>
              </w:rPr>
              <w:t>Total Romania</w:t>
            </w:r>
          </w:p>
        </w:tc>
        <w:tc>
          <w:tcPr>
            <w:tcW w:w="1257" w:type="dxa"/>
            <w:tcBorders>
              <w:top w:val="single" w:sz="4" w:space="0" w:color="034FA3" w:themeColor="accent1"/>
              <w:left w:val="nil"/>
              <w:bottom w:val="single" w:sz="4" w:space="0" w:color="034FA3" w:themeColor="accent1"/>
              <w:right w:val="nil"/>
            </w:tcBorders>
          </w:tcPr>
          <w:p w14:paraId="6F23B5B1" w14:textId="3375C030"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202744</w:t>
            </w:r>
          </w:p>
        </w:tc>
        <w:tc>
          <w:tcPr>
            <w:tcW w:w="1157" w:type="dxa"/>
            <w:tcBorders>
              <w:top w:val="single" w:sz="4" w:space="0" w:color="034FA3" w:themeColor="accent1"/>
              <w:left w:val="nil"/>
              <w:bottom w:val="single" w:sz="4" w:space="0" w:color="034FA3" w:themeColor="accent1"/>
              <w:right w:val="nil"/>
            </w:tcBorders>
          </w:tcPr>
          <w:p w14:paraId="47FE2D21" w14:textId="7F524A30"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10.4</w:t>
            </w:r>
          </w:p>
        </w:tc>
        <w:tc>
          <w:tcPr>
            <w:tcW w:w="1257" w:type="dxa"/>
            <w:tcBorders>
              <w:top w:val="single" w:sz="4" w:space="0" w:color="034FA3" w:themeColor="accent1"/>
              <w:left w:val="nil"/>
              <w:bottom w:val="single" w:sz="4" w:space="0" w:color="034FA3" w:themeColor="accent1"/>
              <w:right w:val="nil"/>
            </w:tcBorders>
          </w:tcPr>
          <w:p w14:paraId="7D161F21" w14:textId="5F3309FF"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263911</w:t>
            </w:r>
          </w:p>
        </w:tc>
        <w:tc>
          <w:tcPr>
            <w:tcW w:w="1295" w:type="dxa"/>
            <w:tcBorders>
              <w:top w:val="single" w:sz="4" w:space="0" w:color="034FA3" w:themeColor="accent1"/>
              <w:left w:val="nil"/>
              <w:bottom w:val="single" w:sz="4" w:space="0" w:color="034FA3" w:themeColor="accent1"/>
              <w:right w:val="nil"/>
            </w:tcBorders>
          </w:tcPr>
          <w:p w14:paraId="54B53484" w14:textId="361ECB58" w:rsidR="00405B6F" w:rsidRPr="00037C61" w:rsidRDefault="00405B6F" w:rsidP="00405B6F">
            <w:pPr>
              <w:pStyle w:val="InterregROHUBullet1"/>
              <w:numPr>
                <w:ilvl w:val="0"/>
                <w:numId w:val="0"/>
              </w:numPr>
              <w:spacing w:after="0"/>
              <w:jc w:val="center"/>
              <w:rPr>
                <w:b/>
                <w:i/>
                <w:iCs/>
                <w:sz w:val="20"/>
                <w:szCs w:val="20"/>
              </w:rPr>
            </w:pPr>
            <w:r w:rsidRPr="00037C61">
              <w:rPr>
                <w:b/>
                <w:i/>
                <w:iCs/>
                <w:sz w:val="20"/>
                <w:szCs w:val="20"/>
              </w:rPr>
              <w:t>13.6</w:t>
            </w:r>
          </w:p>
        </w:tc>
        <w:tc>
          <w:tcPr>
            <w:tcW w:w="1284" w:type="dxa"/>
            <w:tcBorders>
              <w:top w:val="single" w:sz="4" w:space="0" w:color="034FA3" w:themeColor="accent1"/>
              <w:left w:val="nil"/>
              <w:bottom w:val="single" w:sz="4" w:space="0" w:color="034FA3" w:themeColor="accent1"/>
              <w:right w:val="nil"/>
            </w:tcBorders>
          </w:tcPr>
          <w:p w14:paraId="46AC8BC9" w14:textId="7FF51F84" w:rsidR="00405B6F" w:rsidRPr="00037C61" w:rsidRDefault="00405B6F" w:rsidP="00405B6F">
            <w:pPr>
              <w:pStyle w:val="InterregROHUBullet1"/>
              <w:spacing w:after="0"/>
              <w:rPr>
                <w:b/>
                <w:i/>
                <w:iCs/>
                <w:sz w:val="20"/>
                <w:szCs w:val="20"/>
              </w:rPr>
            </w:pPr>
            <w:r w:rsidRPr="00037C61">
              <w:rPr>
                <w:b/>
                <w:i/>
                <w:iCs/>
                <w:sz w:val="20"/>
                <w:szCs w:val="20"/>
              </w:rPr>
              <w:t>-61,167</w:t>
            </w:r>
          </w:p>
        </w:tc>
        <w:tc>
          <w:tcPr>
            <w:tcW w:w="1284" w:type="dxa"/>
            <w:tcBorders>
              <w:top w:val="single" w:sz="4" w:space="0" w:color="034FA3" w:themeColor="accent1"/>
              <w:left w:val="nil"/>
              <w:bottom w:val="single" w:sz="4" w:space="0" w:color="034FA3" w:themeColor="accent1"/>
              <w:right w:val="single" w:sz="4" w:space="0" w:color="034FA3" w:themeColor="accent1"/>
            </w:tcBorders>
          </w:tcPr>
          <w:p w14:paraId="647B8412" w14:textId="61494EA1" w:rsidR="00405B6F" w:rsidRPr="00037C61" w:rsidRDefault="00405B6F" w:rsidP="00405B6F">
            <w:pPr>
              <w:pStyle w:val="InterregROHUBullet1"/>
              <w:numPr>
                <w:ilvl w:val="0"/>
                <w:numId w:val="0"/>
              </w:numPr>
              <w:spacing w:after="0"/>
              <w:jc w:val="center"/>
              <w:rPr>
                <w:b/>
                <w:sz w:val="20"/>
                <w:szCs w:val="20"/>
              </w:rPr>
            </w:pPr>
            <w:r w:rsidRPr="00037C61">
              <w:rPr>
                <w:b/>
                <w:sz w:val="20"/>
                <w:szCs w:val="20"/>
              </w:rPr>
              <w:t>-3.1</w:t>
            </w:r>
          </w:p>
        </w:tc>
      </w:tr>
    </w:tbl>
    <w:p w14:paraId="23C69DE0" w14:textId="2A41990C" w:rsidR="30EED610" w:rsidRPr="00037C61" w:rsidRDefault="30EED610" w:rsidP="009F6717">
      <w:pPr>
        <w:pStyle w:val="InterregROHUBullet1"/>
        <w:numPr>
          <w:ilvl w:val="0"/>
          <w:numId w:val="0"/>
        </w:numPr>
        <w:rPr>
          <w:rFonts w:cstheme="minorBidi"/>
          <w:i/>
          <w:iCs/>
          <w:color w:val="012751" w:themeColor="text2"/>
          <w:sz w:val="18"/>
          <w:szCs w:val="18"/>
        </w:rPr>
      </w:pPr>
      <w:r w:rsidRPr="00037C61">
        <w:rPr>
          <w:rFonts w:cstheme="minorBidi"/>
          <w:i/>
          <w:iCs/>
          <w:color w:val="012751" w:themeColor="accent1" w:themeShade="80"/>
          <w:sz w:val="18"/>
          <w:szCs w:val="18"/>
        </w:rPr>
        <w:t>Source: EUROSTAT, Population change - Demographic balance and crude rates at regional level (NUTS 3) [demo_r_gind3</w:t>
      </w:r>
      <w:r w:rsidR="00E8500F" w:rsidRPr="00037C61">
        <w:rPr>
          <w:rFonts w:cstheme="minorBidi"/>
          <w:i/>
          <w:iCs/>
          <w:color w:val="012751" w:themeColor="accent1" w:themeShade="80"/>
          <w:sz w:val="18"/>
          <w:szCs w:val="18"/>
        </w:rPr>
        <w:t>]</w:t>
      </w:r>
    </w:p>
    <w:p w14:paraId="56EAEDEB" w14:textId="327FC560" w:rsidR="30EED610" w:rsidRPr="00037C61" w:rsidRDefault="3F413C9B" w:rsidP="00B665F5">
      <w:pPr>
        <w:rPr>
          <w:lang w:val="en-GB"/>
        </w:rPr>
      </w:pPr>
      <w:r w:rsidRPr="00037C61">
        <w:rPr>
          <w:lang w:val="en-GB"/>
        </w:rPr>
        <w:lastRenderedPageBreak/>
        <w:t>The natural change rate has important implication on the public services needed in the PA’s counties and is relevant for the process of aging. It is clear that, with the exception of Timiș, all counties are facing a process of deep ageing of the population, which will involve a reconsideration of the public and private services needed by the population and a special emphasis on services for the elderly (social services, home care, health, etc.).</w:t>
      </w:r>
    </w:p>
    <w:p w14:paraId="1B05BC04" w14:textId="6FB41762" w:rsidR="30EED610" w:rsidRPr="00037C61" w:rsidRDefault="30EED610" w:rsidP="005E0849">
      <w:pPr>
        <w:rPr>
          <w:highlight w:val="yellow"/>
          <w:lang w:val="en-GB"/>
        </w:rPr>
      </w:pPr>
      <w:r w:rsidRPr="00037C61">
        <w:rPr>
          <w:lang w:val="en-GB"/>
        </w:rPr>
        <w:t>At LAU2 level</w:t>
      </w:r>
      <w:r w:rsidR="00ED03AE" w:rsidRPr="00037C61">
        <w:rPr>
          <w:lang w:val="en-GB"/>
        </w:rPr>
        <w:t xml:space="preserve"> (Figure </w:t>
      </w:r>
      <w:r w:rsidR="00582CBE">
        <w:rPr>
          <w:lang w:val="en-GB"/>
        </w:rPr>
        <w:t>17</w:t>
      </w:r>
      <w:r w:rsidR="00ED03AE" w:rsidRPr="00037C61">
        <w:rPr>
          <w:lang w:val="en-GB"/>
        </w:rPr>
        <w:t>)</w:t>
      </w:r>
      <w:r w:rsidRPr="00037C61">
        <w:rPr>
          <w:lang w:val="en-GB"/>
        </w:rPr>
        <w:t xml:space="preserve"> it can be observed that the trends of the natural growth rate is between -40 and -5 in 113 communities (79 in PA’s Hungarian counties and 34 in PA’s Romanian counties), between -5 and 0 in 247 communities (135 in PA’s Hungarian counties and 112 in PA’s Romanian counties), between 0 and 5 in 280 communities (142 in PA’s Hungarian counties and 138 in PA’s Romanian counties), between 5 and 15 in 130 communities (78 in PA’s Hungarian counties and 52 in PA’s Romanian counties) and more than 15 in 17 communities (12 in PA’s Hungarian counties and 5 in PA’s Romanian counties). </w:t>
      </w:r>
    </w:p>
    <w:p w14:paraId="4E400C90" w14:textId="11DD72E1" w:rsidR="00ED03AE" w:rsidRPr="008204BD" w:rsidRDefault="00ED03AE" w:rsidP="00DB74BF">
      <w:pPr>
        <w:rPr>
          <w:lang w:val="en-GB"/>
        </w:rPr>
      </w:pPr>
      <w:r w:rsidRPr="00037C61">
        <w:rPr>
          <w:noProof/>
          <w:lang w:val="ro-RO" w:eastAsia="ro-RO"/>
        </w:rPr>
        <w:drawing>
          <wp:anchor distT="0" distB="0" distL="114300" distR="114300" simplePos="0" relativeHeight="251633152" behindDoc="0" locked="0" layoutInCell="1" allowOverlap="1" wp14:anchorId="010A194F" wp14:editId="3426D88A">
            <wp:simplePos x="0" y="0"/>
            <wp:positionH relativeFrom="margin">
              <wp:posOffset>2392680</wp:posOffset>
            </wp:positionH>
            <wp:positionV relativeFrom="paragraph">
              <wp:posOffset>55245</wp:posOffset>
            </wp:positionV>
            <wp:extent cx="3340100" cy="4321810"/>
            <wp:effectExtent l="0" t="0" r="0" b="254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51" cstate="print">
                      <a:extLst>
                        <a:ext uri="{28A0092B-C50C-407E-A947-70E740481C1C}">
                          <a14:useLocalDpi xmlns:a14="http://schemas.microsoft.com/office/drawing/2010/main"/>
                        </a:ext>
                      </a:extLst>
                    </a:blip>
                    <a:stretch>
                      <a:fillRect/>
                    </a:stretch>
                  </pic:blipFill>
                  <pic:spPr>
                    <a:xfrm>
                      <a:off x="0" y="0"/>
                      <a:ext cx="3340100" cy="4321810"/>
                    </a:xfrm>
                    <a:prstGeom prst="rect">
                      <a:avLst/>
                    </a:prstGeom>
                  </pic:spPr>
                </pic:pic>
              </a:graphicData>
            </a:graphic>
            <wp14:sizeRelH relativeFrom="margin">
              <wp14:pctWidth>0</wp14:pctWidth>
            </wp14:sizeRelH>
            <wp14:sizeRelV relativeFrom="margin">
              <wp14:pctHeight>0</wp14:pctHeight>
            </wp14:sizeRelV>
          </wp:anchor>
        </w:drawing>
      </w:r>
    </w:p>
    <w:p w14:paraId="559B1B54" w14:textId="0AA688DE" w:rsidR="007D6014" w:rsidRPr="008204BD" w:rsidRDefault="00994EE8" w:rsidP="00DB74BF">
      <w:pPr>
        <w:pStyle w:val="Caption"/>
        <w:jc w:val="both"/>
        <w:rPr>
          <w:lang w:val="en-GB"/>
        </w:rPr>
      </w:pPr>
      <w:r w:rsidRPr="00DB74BF">
        <w:rPr>
          <w:rFonts w:cstheme="minorHAnsi"/>
          <w:bCs/>
          <w:i w:val="0"/>
          <w:iCs w:val="0"/>
          <w:color w:val="auto"/>
          <w:sz w:val="22"/>
          <w:szCs w:val="22"/>
          <w:lang w:val="en-GB"/>
        </w:rPr>
        <w:t>The difference between the number of live births and the number of deaths has varied between 2009 and 2018 in all the counties from the programming period.</w:t>
      </w:r>
      <w:r w:rsidRPr="00037C61">
        <w:rPr>
          <w:lang w:val="en-GB"/>
        </w:rPr>
        <w:t xml:space="preserve">  </w:t>
      </w:r>
    </w:p>
    <w:p w14:paraId="682DB2E8" w14:textId="7864FF17" w:rsidR="00994EE8" w:rsidRPr="00037C61" w:rsidRDefault="00994EE8" w:rsidP="00994EE8">
      <w:pPr>
        <w:pStyle w:val="InterregROHUBullet1"/>
        <w:numPr>
          <w:ilvl w:val="0"/>
          <w:numId w:val="0"/>
        </w:numPr>
      </w:pPr>
      <w:r w:rsidRPr="00037C61">
        <w:t>The evolution of the natural change rate was positive between 2011 and 2014 in all counties, followed by negative trends in 2015 and after 2016. In Hajdú-Bihar, Szabolcs-Szatmár-Bereg and Csongrád-Csanád the evolution of the natural change rate was negative after 2016. This is also the case of Bihor and Satu Mare. Consistent with the positive natural change rate, Timiș is also the only county with a positive evolution of the natural change rate between 2015 and 2018.</w:t>
      </w:r>
    </w:p>
    <w:p w14:paraId="0058C296" w14:textId="3C3553E3" w:rsidR="00994EE8" w:rsidRPr="00037C61" w:rsidRDefault="00994EE8" w:rsidP="00ED03AE">
      <w:pPr>
        <w:pStyle w:val="Caption"/>
        <w:jc w:val="both"/>
        <w:rPr>
          <w:lang w:val="en-GB"/>
        </w:rPr>
      </w:pPr>
    </w:p>
    <w:p w14:paraId="64DFF904" w14:textId="7F60E837" w:rsidR="00994EE8" w:rsidRPr="00037C61" w:rsidRDefault="00994EE8" w:rsidP="00994EE8">
      <w:pPr>
        <w:rPr>
          <w:lang w:val="en-GB"/>
        </w:rPr>
      </w:pPr>
    </w:p>
    <w:p w14:paraId="7EAA011C" w14:textId="77777777" w:rsidR="00994EE8" w:rsidRPr="00037C61" w:rsidRDefault="00994EE8" w:rsidP="005E0849">
      <w:pPr>
        <w:rPr>
          <w:lang w:val="en-GB"/>
        </w:rPr>
      </w:pPr>
    </w:p>
    <w:p w14:paraId="0CF818C9" w14:textId="31DD69B7" w:rsidR="00994EE8" w:rsidRPr="00037C61" w:rsidRDefault="00ED03AE" w:rsidP="00E2141B">
      <w:pPr>
        <w:pStyle w:val="Caption"/>
        <w:jc w:val="right"/>
        <w:rPr>
          <w:lang w:val="en-GB"/>
        </w:rPr>
      </w:pPr>
      <w:bookmarkStart w:id="126" w:name="_Toc6461096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17</w:t>
      </w:r>
      <w:r w:rsidR="00412697">
        <w:rPr>
          <w:lang w:val="en-GB"/>
        </w:rPr>
        <w:fldChar w:fldCharType="end"/>
      </w:r>
      <w:r w:rsidR="009332E5" w:rsidRPr="00037C61">
        <w:rPr>
          <w:lang w:val="en-GB"/>
        </w:rPr>
        <w:t xml:space="preserve"> - </w:t>
      </w:r>
      <w:r w:rsidRPr="00037C61">
        <w:rPr>
          <w:lang w:val="en-GB"/>
        </w:rPr>
        <w:t>Natural growth rate at LAU2 level 2009/2018. Source: KSH, INS</w:t>
      </w:r>
      <w:bookmarkEnd w:id="126"/>
    </w:p>
    <w:p w14:paraId="252A025B" w14:textId="0DA28882" w:rsidR="00921D9C" w:rsidRPr="00037C61" w:rsidRDefault="00921D9C" w:rsidP="00921D9C">
      <w:pPr>
        <w:pStyle w:val="Caption"/>
        <w:keepNext/>
        <w:jc w:val="both"/>
        <w:rPr>
          <w:lang w:val="en-GB"/>
        </w:rPr>
      </w:pPr>
      <w:r w:rsidRPr="00037C61">
        <w:rPr>
          <w:noProof/>
          <w:lang w:val="ro-RO" w:eastAsia="ro-RO"/>
        </w:rPr>
        <w:lastRenderedPageBreak/>
        <w:drawing>
          <wp:inline distT="0" distB="0" distL="0" distR="0" wp14:anchorId="09D89C9A" wp14:editId="514DF302">
            <wp:extent cx="2823210" cy="3288030"/>
            <wp:effectExtent l="19050" t="19050" r="15240" b="26670"/>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9B17AF" w:rsidRPr="00037C61">
        <w:rPr>
          <w:noProof/>
          <w:lang w:val="ro-RO" w:eastAsia="ro-RO"/>
        </w:rPr>
        <w:drawing>
          <wp:inline distT="0" distB="0" distL="0" distR="0" wp14:anchorId="2F5BA53D" wp14:editId="36707B81">
            <wp:extent cx="2827020" cy="3299460"/>
            <wp:effectExtent l="19050" t="19050" r="11430" b="15240"/>
            <wp:docPr id="1490160157" name="Chart 1490160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7A935D9" w14:textId="29C9C417" w:rsidR="00921D9C" w:rsidRPr="00037C61" w:rsidRDefault="52230E0C" w:rsidP="00921D9C">
      <w:pPr>
        <w:pStyle w:val="Caption"/>
        <w:jc w:val="both"/>
        <w:rPr>
          <w:lang w:val="en-GB"/>
        </w:rPr>
      </w:pPr>
      <w:bookmarkStart w:id="127" w:name="_Toc50657527"/>
      <w:bookmarkStart w:id="128" w:name="_Toc6461096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18</w:t>
      </w:r>
      <w:r w:rsidR="00412697">
        <w:rPr>
          <w:lang w:val="en-GB"/>
        </w:rPr>
        <w:fldChar w:fldCharType="end"/>
      </w:r>
      <w:r w:rsidRPr="00037C61">
        <w:rPr>
          <w:lang w:val="en-GB"/>
        </w:rPr>
        <w:t xml:space="preserve"> </w:t>
      </w:r>
      <w:r w:rsidR="00E2141B" w:rsidRPr="00037C61">
        <w:rPr>
          <w:lang w:val="en-GB"/>
        </w:rPr>
        <w:t xml:space="preserve">– </w:t>
      </w:r>
      <w:r w:rsidRPr="00037C61">
        <w:rPr>
          <w:lang w:val="en-GB"/>
        </w:rPr>
        <w:t>The natural change rate evolution in Hungarian</w:t>
      </w:r>
      <w:r w:rsidR="009B17AF" w:rsidRPr="00037C61">
        <w:rPr>
          <w:lang w:val="en-GB"/>
        </w:rPr>
        <w:t xml:space="preserve"> (left) and Romanian (right)</w:t>
      </w:r>
      <w:r w:rsidRPr="00037C61">
        <w:rPr>
          <w:lang w:val="en-GB"/>
        </w:rPr>
        <w:t xml:space="preserve"> counties of the PA</w:t>
      </w:r>
      <w:r w:rsidR="00E2141B" w:rsidRPr="00037C61">
        <w:rPr>
          <w:lang w:val="en-GB"/>
        </w:rPr>
        <w:t>,</w:t>
      </w:r>
      <w:r w:rsidRPr="00037C61">
        <w:rPr>
          <w:lang w:val="en-GB"/>
        </w:rPr>
        <w:t xml:space="preserve"> 2009 – 2018</w:t>
      </w:r>
      <w:bookmarkEnd w:id="127"/>
      <w:bookmarkEnd w:id="128"/>
    </w:p>
    <w:p w14:paraId="1183A90A" w14:textId="5CD5E54B" w:rsidR="00921D9C" w:rsidRPr="00037C61" w:rsidRDefault="00921D9C" w:rsidP="00921D9C">
      <w:pPr>
        <w:pStyle w:val="Caption"/>
        <w:jc w:val="both"/>
        <w:rPr>
          <w:lang w:val="en-GB"/>
        </w:rPr>
      </w:pPr>
      <w:r w:rsidRPr="00037C61">
        <w:rPr>
          <w:lang w:val="en-GB"/>
        </w:rPr>
        <w:t>Source: EUROSTAT, Population change - Demographic balance and crude rates at regional level (NUTS 3) [demo_r_gind3]</w:t>
      </w:r>
      <w:bookmarkStart w:id="129" w:name="_Ref50071928"/>
    </w:p>
    <w:bookmarkEnd w:id="129"/>
    <w:p w14:paraId="4984E34F" w14:textId="176AAE4A" w:rsidR="00921D9C" w:rsidRPr="00037C61" w:rsidRDefault="00921D9C" w:rsidP="005E0849">
      <w:pPr>
        <w:pStyle w:val="InterregROHUBullet1"/>
        <w:keepNext/>
        <w:numPr>
          <w:ilvl w:val="0"/>
          <w:numId w:val="0"/>
        </w:numPr>
        <w:spacing w:after="0"/>
        <w:rPr>
          <w:rFonts w:cstheme="minorBidi"/>
          <w:bCs w:val="0"/>
          <w:i/>
          <w:iCs/>
          <w:color w:val="012751" w:themeColor="text2"/>
          <w:sz w:val="18"/>
          <w:szCs w:val="18"/>
        </w:rPr>
      </w:pPr>
    </w:p>
    <w:p w14:paraId="0A111E40" w14:textId="587B060F" w:rsidR="00921D9C" w:rsidRPr="00037C61" w:rsidRDefault="00921D9C" w:rsidP="00921D9C">
      <w:pPr>
        <w:pStyle w:val="InterregROHUBullet1"/>
        <w:numPr>
          <w:ilvl w:val="0"/>
          <w:numId w:val="0"/>
        </w:numPr>
      </w:pPr>
      <w:r w:rsidRPr="00037C61">
        <w:rPr>
          <w:rFonts w:cs="Calibri"/>
          <w:color w:val="000000"/>
        </w:rPr>
        <w:t xml:space="preserve">Between 2009 and 2018 all counties of the PA except </w:t>
      </w:r>
      <w:r w:rsidR="008B32DD" w:rsidRPr="00037C61">
        <w:rPr>
          <w:rFonts w:cs="Calibri"/>
          <w:color w:val="000000"/>
        </w:rPr>
        <w:t>Timiș</w:t>
      </w:r>
      <w:r w:rsidRPr="00037C61">
        <w:rPr>
          <w:rFonts w:cs="Calibri"/>
          <w:color w:val="000000"/>
        </w:rPr>
        <w:t xml:space="preserve"> and </w:t>
      </w:r>
      <w:r w:rsidRPr="00037C61">
        <w:t>Békés</w:t>
      </w:r>
      <w:r w:rsidRPr="00037C61">
        <w:rPr>
          <w:rFonts w:cs="Calibri"/>
          <w:color w:val="000000"/>
        </w:rPr>
        <w:t xml:space="preserve"> observed a negative evolution of the total population change rate, which includes natural change rate and net migration rate (</w:t>
      </w:r>
      <w:r w:rsidR="00E2141B" w:rsidRPr="00037C61">
        <w:rPr>
          <w:rFonts w:cs="Calibri"/>
          <w:color w:val="000000"/>
        </w:rPr>
        <w:fldChar w:fldCharType="begin"/>
      </w:r>
      <w:r w:rsidR="00E2141B" w:rsidRPr="00037C61">
        <w:rPr>
          <w:rFonts w:cs="Calibri"/>
          <w:color w:val="000000"/>
        </w:rPr>
        <w:instrText xml:space="preserve"> REF _Ref53861303 \h </w:instrText>
      </w:r>
      <w:r w:rsidR="00E2141B" w:rsidRPr="00037C61">
        <w:rPr>
          <w:rFonts w:cs="Calibri"/>
          <w:color w:val="000000"/>
        </w:rPr>
      </w:r>
      <w:r w:rsidR="00E2141B" w:rsidRPr="00037C61">
        <w:rPr>
          <w:rFonts w:cs="Calibri"/>
          <w:color w:val="000000"/>
        </w:rPr>
        <w:fldChar w:fldCharType="separate"/>
      </w:r>
      <w:r w:rsidR="00582CBE" w:rsidRPr="00037C61">
        <w:t xml:space="preserve">Figure </w:t>
      </w:r>
      <w:r w:rsidR="00582CBE">
        <w:rPr>
          <w:noProof/>
        </w:rPr>
        <w:t>19</w:t>
      </w:r>
      <w:r w:rsidR="00E2141B" w:rsidRPr="00037C61">
        <w:rPr>
          <w:rFonts w:cs="Calibri"/>
          <w:color w:val="000000"/>
        </w:rPr>
        <w:fldChar w:fldCharType="end"/>
      </w:r>
      <w:r w:rsidR="00E2141B" w:rsidRPr="00037C61">
        <w:rPr>
          <w:rFonts w:cs="Calibri"/>
          <w:color w:val="000000"/>
        </w:rPr>
        <w:t xml:space="preserve">). </w:t>
      </w:r>
      <w:r w:rsidRPr="00037C61">
        <w:rPr>
          <w:rFonts w:cs="Calibri"/>
          <w:color w:val="000000"/>
        </w:rPr>
        <w:t xml:space="preserve">The negative evolution was especially high in Satu Mare and Bihor, with a 3.8%, respectively 3.7 fall on a </w:t>
      </w:r>
      <w:r w:rsidR="009332E5" w:rsidRPr="00037C61">
        <w:rPr>
          <w:rFonts w:cs="Calibri"/>
          <w:color w:val="000000"/>
        </w:rPr>
        <w:t>ten-year</w:t>
      </w:r>
      <w:r w:rsidRPr="00037C61">
        <w:rPr>
          <w:rFonts w:cs="Calibri"/>
          <w:color w:val="000000"/>
        </w:rPr>
        <w:t xml:space="preserve"> comparison, but also </w:t>
      </w:r>
      <w:r w:rsidRPr="00037C61">
        <w:t xml:space="preserve">Hajdú-Bihar </w:t>
      </w:r>
      <w:r w:rsidRPr="00037C61">
        <w:rPr>
          <w:rFonts w:cs="Calibri"/>
          <w:color w:val="000000"/>
        </w:rPr>
        <w:t xml:space="preserve">suffered significant setbacks. On the other hand, the population of </w:t>
      </w:r>
      <w:r w:rsidR="0007064A" w:rsidRPr="00037C61">
        <w:rPr>
          <w:rFonts w:cs="Calibri"/>
          <w:color w:val="000000"/>
        </w:rPr>
        <w:t>Timiș</w:t>
      </w:r>
      <w:r w:rsidRPr="00037C61">
        <w:rPr>
          <w:rFonts w:cs="Calibri"/>
          <w:color w:val="000000"/>
        </w:rPr>
        <w:t xml:space="preserve"> has risen by 1.5%: it was the only positive example out of the eight countries, an outlier for both the </w:t>
      </w:r>
      <w:r w:rsidR="005171E7" w:rsidRPr="00037C61">
        <w:rPr>
          <w:rFonts w:cs="Calibri"/>
          <w:color w:val="000000"/>
        </w:rPr>
        <w:t>programme area</w:t>
      </w:r>
      <w:r w:rsidRPr="00037C61">
        <w:rPr>
          <w:rFonts w:cs="Calibri"/>
          <w:color w:val="000000"/>
        </w:rPr>
        <w:t xml:space="preserve"> as well as Romania, mainly due to the attractiveness and polarisation effect of the main city of Timișoara. </w:t>
      </w:r>
    </w:p>
    <w:p w14:paraId="4DC23AD7" w14:textId="5B9662AC" w:rsidR="00921D9C" w:rsidRPr="00037C61" w:rsidRDefault="00921D9C" w:rsidP="00921D9C">
      <w:pPr>
        <w:pStyle w:val="InterregROHUBullet1"/>
        <w:keepNext/>
        <w:numPr>
          <w:ilvl w:val="0"/>
          <w:numId w:val="0"/>
        </w:numPr>
        <w:spacing w:after="0"/>
      </w:pPr>
      <w:r w:rsidRPr="00037C61">
        <w:rPr>
          <w:noProof/>
          <w:lang w:val="ro-RO" w:eastAsia="ro-RO"/>
        </w:rPr>
        <w:drawing>
          <wp:inline distT="0" distB="0" distL="0" distR="0" wp14:anchorId="0A6A286E" wp14:editId="143ECD4C">
            <wp:extent cx="5772150" cy="2849880"/>
            <wp:effectExtent l="0" t="0" r="0" b="7620"/>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F582FC9" w14:textId="02A45275" w:rsidR="00921D9C" w:rsidRPr="00037C61" w:rsidRDefault="00921D9C" w:rsidP="00921D9C">
      <w:pPr>
        <w:pStyle w:val="Caption"/>
        <w:jc w:val="both"/>
        <w:rPr>
          <w:lang w:val="en-GB"/>
        </w:rPr>
      </w:pPr>
      <w:bookmarkStart w:id="130" w:name="_Ref53861303"/>
      <w:bookmarkStart w:id="131" w:name="_Toc50657529"/>
      <w:bookmarkStart w:id="132" w:name="_Toc6461096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19</w:t>
      </w:r>
      <w:r w:rsidR="00412697">
        <w:rPr>
          <w:lang w:val="en-GB"/>
        </w:rPr>
        <w:fldChar w:fldCharType="end"/>
      </w:r>
      <w:bookmarkEnd w:id="130"/>
      <w:r w:rsidRPr="00037C61">
        <w:rPr>
          <w:lang w:val="en-GB"/>
        </w:rPr>
        <w:t xml:space="preserve"> - Total population change rate, net migration rate and natural population change rate evolution 2009 - 2018</w:t>
      </w:r>
      <w:bookmarkEnd w:id="131"/>
      <w:bookmarkEnd w:id="132"/>
    </w:p>
    <w:p w14:paraId="652DF827" w14:textId="77777777" w:rsidR="00921D9C" w:rsidRPr="00037C61" w:rsidRDefault="00921D9C" w:rsidP="00921D9C">
      <w:pPr>
        <w:pStyle w:val="Caption"/>
        <w:jc w:val="both"/>
        <w:rPr>
          <w:lang w:val="en-GB"/>
        </w:rPr>
      </w:pPr>
      <w:r w:rsidRPr="00037C61">
        <w:rPr>
          <w:lang w:val="en-GB"/>
        </w:rPr>
        <w:t>Source: EUROSTAT, Population change - Demographic balance and crude rates at regional level (NUTS 3) [demo_r_gind3]</w:t>
      </w:r>
    </w:p>
    <w:p w14:paraId="2F95CA9C" w14:textId="77777777" w:rsidR="00921D9C" w:rsidRPr="00037C61" w:rsidRDefault="00921D9C" w:rsidP="00921D9C">
      <w:pPr>
        <w:pStyle w:val="InterregROHUBullet1"/>
        <w:numPr>
          <w:ilvl w:val="0"/>
          <w:numId w:val="0"/>
        </w:numPr>
        <w:rPr>
          <w:rFonts w:cs="Calibri"/>
          <w:color w:val="000000"/>
        </w:rPr>
      </w:pPr>
    </w:p>
    <w:p w14:paraId="208A7F5E" w14:textId="38831AC5" w:rsidR="00921D9C" w:rsidRPr="00037C61" w:rsidRDefault="30EED610" w:rsidP="00921D9C">
      <w:pPr>
        <w:pStyle w:val="InterregROHUBullet1"/>
        <w:numPr>
          <w:ilvl w:val="0"/>
          <w:numId w:val="0"/>
        </w:numPr>
      </w:pPr>
      <w:r w:rsidRPr="00037C61">
        <w:rPr>
          <w:rFonts w:cs="Calibri"/>
          <w:color w:val="000000" w:themeColor="text1"/>
        </w:rPr>
        <w:lastRenderedPageBreak/>
        <w:t>Even though the total population change rate values fluctuated in Timi</w:t>
      </w:r>
      <w:r w:rsidRPr="00037C61">
        <w:rPr>
          <w:color w:val="000000" w:themeColor="text1"/>
        </w:rPr>
        <w:t>ș</w:t>
      </w:r>
      <w:r w:rsidRPr="00037C61">
        <w:rPr>
          <w:rFonts w:cs="Calibri"/>
          <w:color w:val="000000" w:themeColor="text1"/>
        </w:rPr>
        <w:t xml:space="preserve"> between 2009 - 2018, they were positive in all years except 2010, when the effects of the global economic crisis were felt most strongly across the territory. In 2018, the highest negative rate of total change of population is in </w:t>
      </w:r>
      <w:r w:rsidRPr="00037C61">
        <w:t>Békés (-11.2</w:t>
      </w:r>
      <w:r w:rsidRPr="00037C61">
        <w:rPr>
          <w:rFonts w:cs="Calibri"/>
        </w:rPr>
        <w:t>‰</w:t>
      </w:r>
      <w:r w:rsidRPr="00037C61">
        <w:t>), followed by Szabolcs-Szatmár-Bereg (-9.4</w:t>
      </w:r>
      <w:r w:rsidRPr="00037C61">
        <w:rPr>
          <w:rFonts w:cs="Calibri"/>
        </w:rPr>
        <w:t>‰</w:t>
      </w:r>
      <w:r w:rsidRPr="00037C61">
        <w:t>) and Satu Mare (-6.3</w:t>
      </w:r>
      <w:r w:rsidRPr="00037C61">
        <w:rPr>
          <w:rFonts w:cs="Calibri"/>
        </w:rPr>
        <w:t>‰</w:t>
      </w:r>
      <w:r w:rsidRPr="00037C61">
        <w:t xml:space="preserve">). </w:t>
      </w:r>
      <w:r w:rsidRPr="00037C61">
        <w:rPr>
          <w:rFonts w:cs="Calibri"/>
          <w:color w:val="000000" w:themeColor="text1"/>
        </w:rPr>
        <w:t xml:space="preserve">A dramatic increase of the negative rate of total change population was registered in the peripheral region of </w:t>
      </w:r>
      <w:r w:rsidRPr="00037C61">
        <w:t>Szabolcs-Szatmár-Bereg, which recorded</w:t>
      </w:r>
      <w:r w:rsidR="2461E16F" w:rsidRPr="00037C61">
        <w:t xml:space="preserve"> </w:t>
      </w:r>
      <w:r w:rsidR="2D707456" w:rsidRPr="00037C61">
        <w:t>an</w:t>
      </w:r>
      <w:r w:rsidRPr="00037C61">
        <w:t xml:space="preserve"> 11 points fall in four years, after 2015. (</w:t>
      </w:r>
      <w:r w:rsidRPr="00037C61">
        <w:fldChar w:fldCharType="begin"/>
      </w:r>
      <w:r w:rsidRPr="00037C61">
        <w:instrText xml:space="preserve"> REF _Ref53861395 \h </w:instrText>
      </w:r>
      <w:r w:rsidRPr="00037C61">
        <w:fldChar w:fldCharType="separate"/>
      </w:r>
      <w:r w:rsidR="00582CBE" w:rsidRPr="00037C61">
        <w:t xml:space="preserve">Figure </w:t>
      </w:r>
      <w:r w:rsidR="00582CBE">
        <w:rPr>
          <w:noProof/>
        </w:rPr>
        <w:t>20</w:t>
      </w:r>
      <w:r w:rsidRPr="00037C61">
        <w:fldChar w:fldCharType="end"/>
      </w:r>
      <w:r w:rsidRPr="00037C61">
        <w:t>)</w:t>
      </w:r>
    </w:p>
    <w:p w14:paraId="7C44F191" w14:textId="28304456" w:rsidR="00921D9C" w:rsidRPr="00037C61" w:rsidRDefault="00921D9C" w:rsidP="00921D9C">
      <w:pPr>
        <w:pStyle w:val="InterregROHUBullet1"/>
        <w:keepNext/>
        <w:numPr>
          <w:ilvl w:val="0"/>
          <w:numId w:val="0"/>
        </w:numPr>
        <w:spacing w:after="0"/>
      </w:pPr>
      <w:r w:rsidRPr="00037C61">
        <w:rPr>
          <w:noProof/>
          <w:lang w:val="ro-RO" w:eastAsia="ro-RO"/>
        </w:rPr>
        <w:drawing>
          <wp:inline distT="0" distB="0" distL="0" distR="0" wp14:anchorId="44FEDE82" wp14:editId="48569062">
            <wp:extent cx="5745480" cy="2103120"/>
            <wp:effectExtent l="0" t="0" r="7620" b="1143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BF43F42" w14:textId="18A6B8C2" w:rsidR="00921D9C" w:rsidRPr="00037C61" w:rsidRDefault="00921D9C" w:rsidP="00921D9C">
      <w:pPr>
        <w:pStyle w:val="Caption"/>
        <w:jc w:val="both"/>
        <w:rPr>
          <w:lang w:val="en-GB"/>
        </w:rPr>
      </w:pPr>
      <w:bookmarkStart w:id="133" w:name="_Ref53861395"/>
      <w:bookmarkStart w:id="134" w:name="_Toc50657530"/>
      <w:bookmarkStart w:id="135" w:name="_Toc6461096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20</w:t>
      </w:r>
      <w:r w:rsidR="00412697">
        <w:rPr>
          <w:lang w:val="en-GB"/>
        </w:rPr>
        <w:fldChar w:fldCharType="end"/>
      </w:r>
      <w:bookmarkEnd w:id="133"/>
      <w:r w:rsidRPr="00037C61">
        <w:rPr>
          <w:lang w:val="en-GB"/>
        </w:rPr>
        <w:t xml:space="preserve"> - Total population change rate evolution between 2009 - 2018</w:t>
      </w:r>
      <w:bookmarkEnd w:id="134"/>
      <w:bookmarkEnd w:id="135"/>
    </w:p>
    <w:p w14:paraId="642BC348" w14:textId="3472A876" w:rsidR="00921D9C" w:rsidRPr="00037C61" w:rsidRDefault="00921D9C" w:rsidP="00921D9C">
      <w:pPr>
        <w:pStyle w:val="Caption"/>
        <w:jc w:val="both"/>
        <w:rPr>
          <w:lang w:val="en-GB"/>
        </w:rPr>
      </w:pPr>
      <w:r w:rsidRPr="00037C61">
        <w:rPr>
          <w:lang w:val="en-GB"/>
        </w:rPr>
        <w:t>Source: EUROSTAT, Population change - Demographic balance and crude rates at regional level (NUTS 3) [demo_r_gind3]</w:t>
      </w:r>
    </w:p>
    <w:p w14:paraId="7CB25D7C" w14:textId="312927F0" w:rsidR="00921D9C" w:rsidRPr="00037C61" w:rsidRDefault="00E2141B" w:rsidP="005E0849">
      <w:pPr>
        <w:pStyle w:val="InterregROHUBullet1"/>
        <w:numPr>
          <w:ilvl w:val="0"/>
          <w:numId w:val="0"/>
        </w:numPr>
        <w:spacing w:before="240"/>
      </w:pPr>
      <w:r w:rsidRPr="00037C61">
        <w:rPr>
          <w:bCs w:val="0"/>
          <w:noProof/>
          <w:lang w:val="ro-RO" w:eastAsia="ro-RO"/>
        </w:rPr>
        <w:drawing>
          <wp:anchor distT="0" distB="0" distL="114300" distR="114300" simplePos="0" relativeHeight="251634176" behindDoc="0" locked="0" layoutInCell="1" allowOverlap="1" wp14:anchorId="3C243DE1" wp14:editId="3BEDED26">
            <wp:simplePos x="0" y="0"/>
            <wp:positionH relativeFrom="margin">
              <wp:align>right</wp:align>
            </wp:positionH>
            <wp:positionV relativeFrom="paragraph">
              <wp:posOffset>90170</wp:posOffset>
            </wp:positionV>
            <wp:extent cx="3419475" cy="4427220"/>
            <wp:effectExtent l="0" t="0" r="9525"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ic:nvPicPr>
                  <pic:blipFill>
                    <a:blip r:embed="rId56" cstate="print">
                      <a:extLst>
                        <a:ext uri="{28A0092B-C50C-407E-A947-70E740481C1C}">
                          <a14:useLocalDpi xmlns:a14="http://schemas.microsoft.com/office/drawing/2010/main"/>
                        </a:ext>
                      </a:extLst>
                    </a:blip>
                    <a:stretch>
                      <a:fillRect/>
                    </a:stretch>
                  </pic:blipFill>
                  <pic:spPr>
                    <a:xfrm>
                      <a:off x="0" y="0"/>
                      <a:ext cx="3419475" cy="4427220"/>
                    </a:xfrm>
                    <a:prstGeom prst="rect">
                      <a:avLst/>
                    </a:prstGeom>
                  </pic:spPr>
                </pic:pic>
              </a:graphicData>
            </a:graphic>
            <wp14:sizeRelH relativeFrom="margin">
              <wp14:pctWidth>0</wp14:pctWidth>
            </wp14:sizeRelH>
            <wp14:sizeRelV relativeFrom="margin">
              <wp14:pctHeight>0</wp14:pctHeight>
            </wp14:sizeRelV>
          </wp:anchor>
        </w:drawing>
      </w:r>
      <w:r w:rsidR="30EED610" w:rsidRPr="00037C61">
        <w:t xml:space="preserve">At municipality level (LAU 2), these trends further translate into </w:t>
      </w:r>
      <w:r w:rsidR="30EED610" w:rsidRPr="00037C61">
        <w:rPr>
          <w:b/>
        </w:rPr>
        <w:t>a divide between the Hungarian counties, especially in the southern part of the area, and the Romanian ones</w:t>
      </w:r>
      <w:r w:rsidR="30EED610" w:rsidRPr="00037C61">
        <w:t xml:space="preserve">. Sustained growth has not been distributed equally in the counties which record a positive or higher-than-average population change, but has rather clustered either at the border with Ukraine (Szabolcs-Szatmár-Bereg) or around the large cities in the region, a result of </w:t>
      </w:r>
      <w:r w:rsidR="30EED610" w:rsidRPr="00037C61">
        <w:rPr>
          <w:b/>
        </w:rPr>
        <w:t>peri-urbanisation</w:t>
      </w:r>
      <w:r w:rsidR="30EED610" w:rsidRPr="00037C61">
        <w:t xml:space="preserve">: more strongly around Timișoara and Oradea, and to a lesser, albeit significant degree around </w:t>
      </w:r>
      <w:bookmarkStart w:id="136" w:name="_Hlk53835416"/>
      <w:r w:rsidR="30EED610" w:rsidRPr="00037C61">
        <w:t>Szeged, Arad and Satu Mare</w:t>
      </w:r>
      <w:bookmarkEnd w:id="136"/>
      <w:r w:rsidR="30EED610" w:rsidRPr="00037C61">
        <w:t xml:space="preserve">, a common phenomenon which, if further accentuating on both sides of the border, can represent a shared challenge impacting urban and periurban environmental quality and access to infrastructure. </w:t>
      </w:r>
    </w:p>
    <w:p w14:paraId="61B94A2B" w14:textId="3B293F58" w:rsidR="00921D9C" w:rsidRPr="00037C61" w:rsidRDefault="00921D9C" w:rsidP="00921D9C">
      <w:pPr>
        <w:pStyle w:val="Caption"/>
        <w:jc w:val="both"/>
        <w:rPr>
          <w:lang w:val="en-GB"/>
        </w:rPr>
      </w:pPr>
      <w:bookmarkStart w:id="137" w:name="_Ref50584673"/>
      <w:bookmarkStart w:id="138" w:name="_Toc50657531"/>
      <w:bookmarkStart w:id="139" w:name="_Toc6461096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21</w:t>
      </w:r>
      <w:r w:rsidR="00412697">
        <w:rPr>
          <w:lang w:val="en-GB"/>
        </w:rPr>
        <w:fldChar w:fldCharType="end"/>
      </w:r>
      <w:bookmarkEnd w:id="137"/>
      <w:r w:rsidRPr="00037C61">
        <w:rPr>
          <w:lang w:val="en-GB"/>
        </w:rPr>
        <w:t xml:space="preserve"> - Population dynamic at LAU 2 level between 2009-2018.</w:t>
      </w:r>
      <w:bookmarkEnd w:id="138"/>
      <w:bookmarkEnd w:id="139"/>
      <w:r w:rsidRPr="00037C61">
        <w:rPr>
          <w:lang w:val="en-GB"/>
        </w:rPr>
        <w:t xml:space="preserve"> </w:t>
      </w:r>
    </w:p>
    <w:p w14:paraId="0B00D24D" w14:textId="509618DA" w:rsidR="00921D9C" w:rsidRPr="00037C61" w:rsidRDefault="00921D9C" w:rsidP="00F60720">
      <w:pPr>
        <w:pStyle w:val="Caption"/>
        <w:spacing w:after="240"/>
        <w:jc w:val="both"/>
        <w:rPr>
          <w:lang w:val="en-GB"/>
        </w:rPr>
      </w:pPr>
      <w:r w:rsidRPr="00037C61">
        <w:rPr>
          <w:i w:val="0"/>
          <w:iCs w:val="0"/>
          <w:lang w:val="en-GB"/>
        </w:rPr>
        <w:t>Source: KSH, INS</w:t>
      </w:r>
    </w:p>
    <w:p w14:paraId="39908666" w14:textId="3A3A944B" w:rsidR="00921D9C" w:rsidRPr="00037C61" w:rsidRDefault="00921D9C" w:rsidP="00921D9C">
      <w:pPr>
        <w:rPr>
          <w:lang w:val="en-GB"/>
        </w:rPr>
      </w:pPr>
      <w:r w:rsidRPr="00037C61">
        <w:rPr>
          <w:lang w:val="en-GB"/>
        </w:rPr>
        <w:t xml:space="preserve">Putting these trends into perspective, the analysed PA faces significant challenges in terms of ensuring population sustainability in the upcoming </w:t>
      </w:r>
      <w:r w:rsidR="6446A0E8" w:rsidRPr="00037C61">
        <w:rPr>
          <w:lang w:val="en-GB"/>
        </w:rPr>
        <w:t>decades and</w:t>
      </w:r>
      <w:r w:rsidRPr="00037C61">
        <w:rPr>
          <w:lang w:val="en-GB"/>
        </w:rPr>
        <w:t xml:space="preserve"> can be considered in large part a </w:t>
      </w:r>
      <w:r w:rsidRPr="00037C61">
        <w:rPr>
          <w:lang w:val="en-GB"/>
        </w:rPr>
        <w:lastRenderedPageBreak/>
        <w:t xml:space="preserve">demographically </w:t>
      </w:r>
      <w:r w:rsidR="003579A7" w:rsidRPr="00037C61">
        <w:rPr>
          <w:lang w:val="en-GB"/>
        </w:rPr>
        <w:t>shrinking</w:t>
      </w:r>
      <w:r w:rsidR="0007064A" w:rsidRPr="00037C61">
        <w:rPr>
          <w:lang w:val="en-GB"/>
        </w:rPr>
        <w:t xml:space="preserve"> </w:t>
      </w:r>
      <w:r w:rsidRPr="00037C61">
        <w:rPr>
          <w:lang w:val="en-GB"/>
        </w:rPr>
        <w:t xml:space="preserve">territory. Recent ESPON studies (ESCAPE, 2019) analysing the future demographic change across Europe for the immediate period covering at least one generation (2017-2023) identify characteristics of shrinkage in seven out of the eight counties within the </w:t>
      </w:r>
      <w:r w:rsidR="007F50BC" w:rsidRPr="00037C61">
        <w:rPr>
          <w:lang w:val="en-GB"/>
        </w:rPr>
        <w:t>programme area</w:t>
      </w:r>
      <w:r w:rsidRPr="00037C61">
        <w:rPr>
          <w:lang w:val="en-GB"/>
        </w:rPr>
        <w:t>, in other words all of the intermediate and rural NUTS3 regions. Shrinkage is a significantly higher issue on the Hungarian side (Békés and Szabolcs-Szatmár-Bereg), while the Romanian counties are projected to witness shrinkage to a lower degree, both compared to their Hungarian counterparts as well as to other regions in Romania, more specifically in the southern and eastern parts (</w:t>
      </w:r>
      <w:r w:rsidRPr="00037C61">
        <w:rPr>
          <w:lang w:val="en-GB"/>
        </w:rPr>
        <w:fldChar w:fldCharType="begin"/>
      </w:r>
      <w:r w:rsidRPr="00037C61">
        <w:rPr>
          <w:lang w:val="en-GB"/>
        </w:rPr>
        <w:instrText xml:space="preserve"> REF _Ref50120367 \h </w:instrText>
      </w:r>
      <w:r w:rsidR="00BF017C" w:rsidRPr="00037C61">
        <w:rPr>
          <w:lang w:val="en-GB"/>
        </w:rPr>
        <w:instrText xml:space="preserve"> \* MERGEFORMAT </w:instrText>
      </w:r>
      <w:r w:rsidRPr="00037C61">
        <w:rPr>
          <w:lang w:val="en-GB"/>
        </w:rPr>
      </w:r>
      <w:r w:rsidRPr="00037C61">
        <w:rPr>
          <w:lang w:val="en-GB"/>
        </w:rPr>
        <w:fldChar w:fldCharType="separate"/>
      </w:r>
      <w:r w:rsidR="00582CBE" w:rsidRPr="00037C61">
        <w:rPr>
          <w:lang w:val="en-GB"/>
        </w:rPr>
        <w:t xml:space="preserve">Figure </w:t>
      </w:r>
      <w:r w:rsidR="00582CBE">
        <w:rPr>
          <w:lang w:val="en-GB"/>
        </w:rPr>
        <w:t>22</w:t>
      </w:r>
      <w:r w:rsidRPr="00037C61">
        <w:rPr>
          <w:lang w:val="en-GB"/>
        </w:rPr>
        <w:fldChar w:fldCharType="end"/>
      </w:r>
      <w:r w:rsidR="6446A0E8" w:rsidRPr="00037C61">
        <w:rPr>
          <w:lang w:val="en-GB"/>
        </w:rPr>
        <w:t>).</w:t>
      </w:r>
    </w:p>
    <w:p w14:paraId="7880DA42" w14:textId="3AFAA652" w:rsidR="00921D9C" w:rsidRPr="00037C61" w:rsidRDefault="00921D9C" w:rsidP="00715B98">
      <w:pPr>
        <w:pStyle w:val="InterregROHUBullet1"/>
        <w:keepNext/>
        <w:numPr>
          <w:ilvl w:val="0"/>
          <w:numId w:val="0"/>
        </w:numPr>
        <w:spacing w:after="0"/>
      </w:pPr>
      <w:r w:rsidRPr="00037C61">
        <w:rPr>
          <w:noProof/>
          <w:lang w:val="ro-RO" w:eastAsia="ro-RO"/>
        </w:rPr>
        <w:drawing>
          <wp:inline distT="0" distB="0" distL="0" distR="0" wp14:anchorId="7F3D1748" wp14:editId="2B768FB0">
            <wp:extent cx="5772150" cy="5059274"/>
            <wp:effectExtent l="0" t="0" r="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57">
                      <a:extLst>
                        <a:ext uri="{28A0092B-C50C-407E-A947-70E740481C1C}">
                          <a14:useLocalDpi xmlns:a14="http://schemas.microsoft.com/office/drawing/2010/main"/>
                        </a:ext>
                      </a:extLst>
                    </a:blip>
                    <a:stretch>
                      <a:fillRect/>
                    </a:stretch>
                  </pic:blipFill>
                  <pic:spPr>
                    <a:xfrm>
                      <a:off x="0" y="0"/>
                      <a:ext cx="5772150" cy="5059274"/>
                    </a:xfrm>
                    <a:prstGeom prst="rect">
                      <a:avLst/>
                    </a:prstGeom>
                  </pic:spPr>
                </pic:pic>
              </a:graphicData>
            </a:graphic>
          </wp:inline>
        </w:drawing>
      </w:r>
    </w:p>
    <w:p w14:paraId="024202B4" w14:textId="7457CC3F" w:rsidR="00921D9C" w:rsidRPr="00037C61" w:rsidRDefault="00921D9C" w:rsidP="00921D9C">
      <w:pPr>
        <w:pStyle w:val="Caption"/>
        <w:jc w:val="both"/>
        <w:rPr>
          <w:lang w:val="en-GB"/>
        </w:rPr>
      </w:pPr>
      <w:bookmarkStart w:id="140" w:name="_Ref50120367"/>
      <w:bookmarkStart w:id="141" w:name="_Ref52192080"/>
      <w:bookmarkStart w:id="142" w:name="_Toc50657532"/>
      <w:bookmarkStart w:id="143" w:name="_Toc6461097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22</w:t>
      </w:r>
      <w:r w:rsidR="00412697">
        <w:rPr>
          <w:lang w:val="en-GB"/>
        </w:rPr>
        <w:fldChar w:fldCharType="end"/>
      </w:r>
      <w:bookmarkEnd w:id="140"/>
      <w:r w:rsidRPr="00037C61">
        <w:rPr>
          <w:lang w:val="en-GB"/>
        </w:rPr>
        <w:t xml:space="preserve"> - Future demographic trends 2017-2032 in shrinking intermediate and rural regions (NUTS3).</w:t>
      </w:r>
      <w:bookmarkEnd w:id="141"/>
      <w:bookmarkEnd w:id="142"/>
      <w:bookmarkEnd w:id="143"/>
      <w:r w:rsidRPr="00037C61">
        <w:rPr>
          <w:lang w:val="en-GB"/>
        </w:rPr>
        <w:t xml:space="preserve"> </w:t>
      </w:r>
    </w:p>
    <w:p w14:paraId="396E5615" w14:textId="77777777" w:rsidR="00921D9C" w:rsidRPr="00037C61" w:rsidRDefault="00921D9C" w:rsidP="00921D9C">
      <w:pPr>
        <w:pStyle w:val="Caption"/>
        <w:jc w:val="both"/>
        <w:rPr>
          <w:lang w:val="en-GB"/>
        </w:rPr>
      </w:pPr>
      <w:r w:rsidRPr="00037C61">
        <w:rPr>
          <w:lang w:val="en-GB"/>
        </w:rPr>
        <w:t>Source: ESPON ESCAPE interim report (2019)</w:t>
      </w:r>
    </w:p>
    <w:p w14:paraId="58E9414A" w14:textId="77777777" w:rsidR="00921D9C" w:rsidRPr="00037C61" w:rsidRDefault="00921D9C" w:rsidP="00921D9C">
      <w:pPr>
        <w:pStyle w:val="InterregROHUBullet1"/>
        <w:numPr>
          <w:ilvl w:val="0"/>
          <w:numId w:val="0"/>
        </w:numPr>
        <w:rPr>
          <w:i/>
        </w:rPr>
      </w:pPr>
    </w:p>
    <w:p w14:paraId="077AA6AD" w14:textId="77777777" w:rsidR="00921D9C" w:rsidRPr="00037C61" w:rsidRDefault="00921D9C" w:rsidP="00921D9C">
      <w:pPr>
        <w:pStyle w:val="Heading4"/>
        <w:rPr>
          <w:lang w:val="en-GB"/>
        </w:rPr>
      </w:pPr>
      <w:r w:rsidRPr="00037C61">
        <w:rPr>
          <w:lang w:val="en-GB"/>
        </w:rPr>
        <w:t xml:space="preserve">Population age groups – distribution, dynamics, specificities at local level </w:t>
      </w:r>
    </w:p>
    <w:p w14:paraId="0758F8D1" w14:textId="12D14721" w:rsidR="00921D9C" w:rsidRPr="00037C61" w:rsidRDefault="3F413C9B" w:rsidP="00921D9C">
      <w:pPr>
        <w:pStyle w:val="InterregROHUBullet1"/>
        <w:numPr>
          <w:ilvl w:val="0"/>
          <w:numId w:val="0"/>
        </w:numPr>
      </w:pPr>
      <w:r w:rsidRPr="00037C61">
        <w:t xml:space="preserve">Similarities in the distribution of population according to </w:t>
      </w:r>
      <w:r w:rsidR="00E2141B" w:rsidRPr="00037C61">
        <w:t>main</w:t>
      </w:r>
      <w:r w:rsidRPr="00037C61">
        <w:t xml:space="preserve"> age groups can be observed between the counties of the PA, with the structure being relatively homogenous</w:t>
      </w:r>
      <w:r w:rsidR="00E2141B" w:rsidRPr="00037C61">
        <w:t xml:space="preserve"> (</w:t>
      </w:r>
      <w:r w:rsidRPr="00037C61">
        <w:fldChar w:fldCharType="begin"/>
      </w:r>
      <w:r w:rsidRPr="00037C61">
        <w:instrText xml:space="preserve"> REF _Ref53861526 \h </w:instrText>
      </w:r>
      <w:r w:rsidRPr="00037C61">
        <w:fldChar w:fldCharType="separate"/>
      </w:r>
      <w:r w:rsidR="00582CBE" w:rsidRPr="00037C61">
        <w:t xml:space="preserve">Figure </w:t>
      </w:r>
      <w:r w:rsidR="00582CBE">
        <w:rPr>
          <w:noProof/>
        </w:rPr>
        <w:t>23</w:t>
      </w:r>
      <w:r w:rsidRPr="00037C61">
        <w:fldChar w:fldCharType="end"/>
      </w:r>
      <w:r w:rsidR="00E2141B" w:rsidRPr="00037C61">
        <w:t>)</w:t>
      </w:r>
      <w:r w:rsidRPr="00037C61">
        <w:t>. The proportion of children (population between 0-14 years old) out of the total population ranges between 13% in Békés and 17% in Satu Mare</w:t>
      </w:r>
      <w:r w:rsidR="00E2141B" w:rsidRPr="00037C61">
        <w:t>, figures coherent with the European average (15.2%)</w:t>
      </w:r>
      <w:r w:rsidRPr="00037C61">
        <w:t xml:space="preserve">. </w:t>
      </w:r>
      <w:r w:rsidRPr="00037C61">
        <w:rPr>
          <w:b/>
        </w:rPr>
        <w:t xml:space="preserve">The proportion of </w:t>
      </w:r>
      <w:r w:rsidR="00E2141B" w:rsidRPr="00037C61">
        <w:rPr>
          <w:b/>
        </w:rPr>
        <w:t>working-age population is higher than the European average</w:t>
      </w:r>
      <w:r w:rsidR="00E2141B" w:rsidRPr="00037C61">
        <w:t xml:space="preserve"> (64.6% in 2018), in the case of Timișoara reaching 70%.</w:t>
      </w:r>
      <w:r w:rsidRPr="00037C61">
        <w:t xml:space="preserve"> The elderly population was separated in 2 age groups: 65 – 84 years old (third age) and 85+ (fourth age), in order to highlight the </w:t>
      </w:r>
      <w:r w:rsidRPr="00037C61">
        <w:rPr>
          <w:b/>
        </w:rPr>
        <w:t>significant increase in the proportion of fourth-aged population</w:t>
      </w:r>
      <w:r w:rsidRPr="00037C61">
        <w:t xml:space="preserve"> during the last 10 years, a phenomenon otherwise recorded across all EU countries. This </w:t>
      </w:r>
      <w:r w:rsidRPr="00037C61">
        <w:lastRenderedPageBreak/>
        <w:t>proportion of the third and fourth age population is very important for the health and social protection policy measures.</w:t>
      </w:r>
      <w:r w:rsidR="00E2141B" w:rsidRPr="00037C61">
        <w:t xml:space="preserve"> However, it is still l</w:t>
      </w:r>
      <w:r w:rsidR="00B36706" w:rsidRPr="00037C61">
        <w:t xml:space="preserve">ess than the EU-27 average (20.2% in 2018) in all counties except Békés and Csongrád-Csanád.  </w:t>
      </w:r>
    </w:p>
    <w:p w14:paraId="7B4E25B7" w14:textId="49FF32CB" w:rsidR="00921D9C" w:rsidRPr="00037C61" w:rsidRDefault="00921D9C" w:rsidP="00921D9C">
      <w:pPr>
        <w:pStyle w:val="InterregROHUBullet1"/>
        <w:keepNext/>
        <w:numPr>
          <w:ilvl w:val="0"/>
          <w:numId w:val="0"/>
        </w:numPr>
        <w:spacing w:after="0"/>
      </w:pPr>
      <w:r w:rsidRPr="00037C61">
        <w:rPr>
          <w:noProof/>
          <w:lang w:val="ro-RO" w:eastAsia="ro-RO"/>
        </w:rPr>
        <w:drawing>
          <wp:inline distT="0" distB="0" distL="0" distR="0" wp14:anchorId="0752EEF6" wp14:editId="37C27CD7">
            <wp:extent cx="5743575" cy="2541181"/>
            <wp:effectExtent l="19050" t="19050" r="9525" b="1206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009DBBD" w14:textId="01A26BF9" w:rsidR="00921D9C" w:rsidRPr="00037C61" w:rsidRDefault="52230E0C" w:rsidP="00921D9C">
      <w:pPr>
        <w:pStyle w:val="Caption"/>
        <w:jc w:val="both"/>
        <w:rPr>
          <w:lang w:val="en-GB"/>
        </w:rPr>
      </w:pPr>
      <w:bookmarkStart w:id="144" w:name="_Ref53861526"/>
      <w:bookmarkStart w:id="145" w:name="_Toc50657533"/>
      <w:bookmarkStart w:id="146" w:name="_Ref52192195"/>
      <w:bookmarkStart w:id="147" w:name="_Toc6461097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23</w:t>
      </w:r>
      <w:r w:rsidR="00412697">
        <w:rPr>
          <w:lang w:val="en-GB"/>
        </w:rPr>
        <w:fldChar w:fldCharType="end"/>
      </w:r>
      <w:bookmarkEnd w:id="144"/>
      <w:r w:rsidRPr="00037C61">
        <w:rPr>
          <w:lang w:val="en-GB"/>
        </w:rPr>
        <w:t xml:space="preserve"> - Population age groups in PA in 2018</w:t>
      </w:r>
      <w:bookmarkEnd w:id="145"/>
      <w:bookmarkEnd w:id="146"/>
      <w:bookmarkEnd w:id="147"/>
    </w:p>
    <w:p w14:paraId="153F97B0" w14:textId="40B4C44C" w:rsidR="00921D9C" w:rsidRPr="00037C61" w:rsidRDefault="00921D9C" w:rsidP="00921D9C">
      <w:pPr>
        <w:pStyle w:val="Caption"/>
        <w:jc w:val="both"/>
        <w:rPr>
          <w:lang w:val="en-GB"/>
        </w:rPr>
      </w:pPr>
      <w:r w:rsidRPr="00037C61">
        <w:rPr>
          <w:lang w:val="en-GB"/>
        </w:rPr>
        <w:t>Source: EUROSTAT, Population: Structure indicators by NUTS 3 region [demo_r_pjanind3]</w:t>
      </w:r>
    </w:p>
    <w:p w14:paraId="71DB5F63" w14:textId="07E7599F" w:rsidR="00B36706" w:rsidRPr="00037C61" w:rsidRDefault="00B36706" w:rsidP="00B36706">
      <w:pPr>
        <w:rPr>
          <w:lang w:val="en-GB"/>
        </w:rPr>
      </w:pPr>
    </w:p>
    <w:p w14:paraId="5165D797" w14:textId="3FDCDC8C" w:rsidR="00B36706" w:rsidRPr="00037C61" w:rsidRDefault="00B36706" w:rsidP="005E0849">
      <w:pPr>
        <w:pStyle w:val="InterregROHUBullet1"/>
        <w:numPr>
          <w:ilvl w:val="0"/>
          <w:numId w:val="0"/>
        </w:numPr>
        <w:spacing w:before="240" w:after="120"/>
      </w:pPr>
      <w:r w:rsidRPr="00037C61">
        <w:t xml:space="preserve">The </w:t>
      </w:r>
      <w:r w:rsidRPr="00037C61">
        <w:rPr>
          <w:b/>
          <w:bCs w:val="0"/>
        </w:rPr>
        <w:t>median age of population</w:t>
      </w:r>
      <w:r w:rsidRPr="00037C61">
        <w:t xml:space="preserve"> is an important indicator for the ageing process in an area. In the last six years, the median age of population increased in all the counties from the PA. This increase is mainly due to the low number of live births and migration. The highest median age of population is registered in Békés (45.4), followed by Csongrád-Csanád (43.5). The lowest value is in Timiș (39.8).</w:t>
      </w:r>
    </w:p>
    <w:p w14:paraId="54657FAA" w14:textId="77777777" w:rsidR="00B36706" w:rsidRPr="00037C61" w:rsidRDefault="00B36706" w:rsidP="00921D9C">
      <w:pPr>
        <w:pStyle w:val="InterregROHUBullet1"/>
        <w:numPr>
          <w:ilvl w:val="0"/>
          <w:numId w:val="0"/>
        </w:numPr>
        <w:spacing w:before="240" w:after="120"/>
      </w:pPr>
      <w:r w:rsidRPr="00037C61">
        <w:rPr>
          <w:noProof/>
          <w:lang w:val="ro-RO" w:eastAsia="ro-RO"/>
        </w:rPr>
        <w:drawing>
          <wp:inline distT="0" distB="0" distL="0" distR="0" wp14:anchorId="23C436B9" wp14:editId="3B3C2823">
            <wp:extent cx="5743575" cy="2506980"/>
            <wp:effectExtent l="19050" t="19050" r="9525" b="26670"/>
            <wp:docPr id="153" name="Chart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E7D2FCB" w14:textId="7D70BEA5" w:rsidR="00B36706" w:rsidRPr="00037C61" w:rsidRDefault="00B36706" w:rsidP="00B36706">
      <w:pPr>
        <w:pStyle w:val="Caption"/>
        <w:jc w:val="both"/>
        <w:rPr>
          <w:lang w:val="en-GB"/>
        </w:rPr>
      </w:pPr>
      <w:bookmarkStart w:id="148" w:name="_Toc6461097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24</w:t>
      </w:r>
      <w:r w:rsidR="00412697">
        <w:rPr>
          <w:lang w:val="en-GB"/>
        </w:rPr>
        <w:fldChar w:fldCharType="end"/>
      </w:r>
      <w:r w:rsidRPr="00037C61">
        <w:rPr>
          <w:lang w:val="en-GB"/>
        </w:rPr>
        <w:t xml:space="preserve"> - The median age of population between 2014 - 2019</w:t>
      </w:r>
      <w:bookmarkEnd w:id="148"/>
    </w:p>
    <w:p w14:paraId="039F7643" w14:textId="77777777" w:rsidR="00B36706" w:rsidRPr="00037C61" w:rsidRDefault="00B36706" w:rsidP="00B36706">
      <w:pPr>
        <w:pStyle w:val="Caption"/>
        <w:jc w:val="both"/>
        <w:rPr>
          <w:lang w:val="en-GB"/>
        </w:rPr>
      </w:pPr>
      <w:r w:rsidRPr="00037C61">
        <w:rPr>
          <w:lang w:val="en-GB"/>
        </w:rPr>
        <w:t>Source: EUROSTAT, Population: Structure indicators by NUTS 3 region [demo_r_pjanind3]</w:t>
      </w:r>
    </w:p>
    <w:p w14:paraId="4EB8AAEA" w14:textId="77777777" w:rsidR="00994EE8" w:rsidRPr="00037C61" w:rsidRDefault="00994EE8" w:rsidP="009F6717">
      <w:pPr>
        <w:rPr>
          <w:lang w:val="en-GB"/>
        </w:rPr>
      </w:pPr>
    </w:p>
    <w:p w14:paraId="15887336" w14:textId="7A41B70B" w:rsidR="00994EE8" w:rsidRPr="00037C61" w:rsidRDefault="00994EE8" w:rsidP="009F6717">
      <w:pPr>
        <w:rPr>
          <w:lang w:val="en-GB"/>
        </w:rPr>
      </w:pPr>
      <w:r w:rsidRPr="00037C61">
        <w:rPr>
          <w:noProof/>
          <w:lang w:val="ro-RO" w:eastAsia="ro-RO"/>
        </w:rPr>
        <w:lastRenderedPageBreak/>
        <w:drawing>
          <wp:anchor distT="0" distB="0" distL="114300" distR="114300" simplePos="0" relativeHeight="251635200" behindDoc="0" locked="0" layoutInCell="1" allowOverlap="1" wp14:anchorId="39740CB5" wp14:editId="4EBAE68F">
            <wp:simplePos x="0" y="0"/>
            <wp:positionH relativeFrom="margin">
              <wp:align>left</wp:align>
            </wp:positionH>
            <wp:positionV relativeFrom="paragraph">
              <wp:posOffset>122464</wp:posOffset>
            </wp:positionV>
            <wp:extent cx="3169920" cy="403987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60" cstate="print">
                      <a:extLst>
                        <a:ext uri="{28A0092B-C50C-407E-A947-70E740481C1C}">
                          <a14:useLocalDpi xmlns:a14="http://schemas.microsoft.com/office/drawing/2010/main"/>
                        </a:ext>
                      </a:extLst>
                    </a:blip>
                    <a:stretch>
                      <a:fillRect/>
                    </a:stretch>
                  </pic:blipFill>
                  <pic:spPr>
                    <a:xfrm>
                      <a:off x="0" y="0"/>
                      <a:ext cx="3172623" cy="4043889"/>
                    </a:xfrm>
                    <a:prstGeom prst="rect">
                      <a:avLst/>
                    </a:prstGeom>
                  </pic:spPr>
                </pic:pic>
              </a:graphicData>
            </a:graphic>
            <wp14:sizeRelH relativeFrom="margin">
              <wp14:pctWidth>0</wp14:pctWidth>
            </wp14:sizeRelH>
            <wp14:sizeRelV relativeFrom="margin">
              <wp14:pctHeight>0</wp14:pctHeight>
            </wp14:sizeRelV>
          </wp:anchor>
        </w:drawing>
      </w:r>
    </w:p>
    <w:p w14:paraId="2FC960E2" w14:textId="52F3DBD1" w:rsidR="00AC79ED" w:rsidRPr="00037C61" w:rsidRDefault="00921D9C" w:rsidP="009F6717">
      <w:pPr>
        <w:rPr>
          <w:lang w:val="en-GB"/>
        </w:rPr>
      </w:pPr>
      <w:r w:rsidRPr="00037C61">
        <w:rPr>
          <w:b/>
          <w:bCs/>
          <w:lang w:val="en-GB"/>
        </w:rPr>
        <w:t>Put into European perspective</w:t>
      </w:r>
      <w:r w:rsidRPr="00037C61">
        <w:rPr>
          <w:lang w:val="en-GB"/>
        </w:rPr>
        <w:t xml:space="preserve">, the data regarding the median age in the eligible area shows a </w:t>
      </w:r>
      <w:r w:rsidRPr="00037C61">
        <w:rPr>
          <w:b/>
          <w:bCs/>
          <w:lang w:val="en-GB"/>
        </w:rPr>
        <w:t>relatively younger population</w:t>
      </w:r>
      <w:r w:rsidRPr="00037C61">
        <w:rPr>
          <w:lang w:val="en-GB"/>
        </w:rPr>
        <w:t xml:space="preserve"> not only compared to regions in the western Europe, but also with the Mediterranean, which can be a potential competitive advantage.</w:t>
      </w:r>
      <w:r w:rsidR="00BF3C07" w:rsidRPr="00037C61">
        <w:rPr>
          <w:lang w:val="en-GB"/>
        </w:rPr>
        <w:t xml:space="preserve"> (</w:t>
      </w:r>
      <w:r w:rsidR="00B36706" w:rsidRPr="00037C61">
        <w:rPr>
          <w:lang w:val="en-GB"/>
        </w:rPr>
        <w:fldChar w:fldCharType="begin"/>
      </w:r>
      <w:r w:rsidR="00B36706" w:rsidRPr="00037C61">
        <w:rPr>
          <w:lang w:val="en-GB"/>
        </w:rPr>
        <w:instrText xml:space="preserve"> REF _Ref52365771 \h </w:instrText>
      </w:r>
      <w:r w:rsidR="00B36706" w:rsidRPr="00037C61">
        <w:rPr>
          <w:lang w:val="en-GB"/>
        </w:rPr>
      </w:r>
      <w:r w:rsidR="00B36706" w:rsidRPr="00037C61">
        <w:rPr>
          <w:lang w:val="en-GB"/>
        </w:rPr>
        <w:fldChar w:fldCharType="separate"/>
      </w:r>
      <w:r w:rsidR="00582CBE" w:rsidRPr="00037C61">
        <w:rPr>
          <w:lang w:val="en-GB"/>
        </w:rPr>
        <w:t xml:space="preserve">Figure </w:t>
      </w:r>
      <w:r w:rsidR="00582CBE">
        <w:rPr>
          <w:noProof/>
          <w:lang w:val="en-GB"/>
        </w:rPr>
        <w:t>25</w:t>
      </w:r>
      <w:r w:rsidR="00582CBE" w:rsidRPr="00037C61">
        <w:rPr>
          <w:lang w:val="en-GB"/>
        </w:rPr>
        <w:t xml:space="preserve"> - Median age at NUTS3 level in Europe (2017) and the delineation of the PA (blue). </w:t>
      </w:r>
      <w:r w:rsidR="00B36706" w:rsidRPr="00037C61">
        <w:rPr>
          <w:lang w:val="en-GB"/>
        </w:rPr>
        <w:fldChar w:fldCharType="end"/>
      </w:r>
      <w:r w:rsidR="00BF3C07" w:rsidRPr="00037C61">
        <w:rPr>
          <w:lang w:val="en-GB"/>
        </w:rPr>
        <w:t xml:space="preserve">). </w:t>
      </w:r>
    </w:p>
    <w:p w14:paraId="35C89470" w14:textId="622FB78E" w:rsidR="009F6717" w:rsidRPr="00037C61" w:rsidRDefault="00BF3C07" w:rsidP="009F6717">
      <w:pPr>
        <w:rPr>
          <w:lang w:val="en-GB"/>
        </w:rPr>
      </w:pPr>
      <w:r w:rsidRPr="00037C61">
        <w:rPr>
          <w:lang w:val="en-GB"/>
        </w:rPr>
        <w:t xml:space="preserve">However, this does not </w:t>
      </w:r>
      <w:r w:rsidR="00AC79ED" w:rsidRPr="00037C61">
        <w:rPr>
          <w:lang w:val="en-GB"/>
        </w:rPr>
        <w:t>invalidate</w:t>
      </w:r>
      <w:r w:rsidRPr="00037C61">
        <w:rPr>
          <w:lang w:val="en-GB"/>
        </w:rPr>
        <w:t xml:space="preserve"> the </w:t>
      </w:r>
      <w:r w:rsidR="00AC79ED" w:rsidRPr="00037C61">
        <w:rPr>
          <w:lang w:val="en-GB"/>
        </w:rPr>
        <w:t>relevance</w:t>
      </w:r>
      <w:r w:rsidRPr="00037C61">
        <w:rPr>
          <w:lang w:val="en-GB"/>
        </w:rPr>
        <w:t xml:space="preserve"> of a </w:t>
      </w:r>
      <w:r w:rsidRPr="00037C61">
        <w:rPr>
          <w:b/>
          <w:bCs/>
          <w:lang w:val="en-GB"/>
        </w:rPr>
        <w:t>strong aging trend</w:t>
      </w:r>
      <w:r w:rsidRPr="00037C61">
        <w:rPr>
          <w:lang w:val="en-GB"/>
        </w:rPr>
        <w:t xml:space="preserve">, which will have wide-ranging implications in the local economy and provision of public services, especially health services.  </w:t>
      </w:r>
    </w:p>
    <w:p w14:paraId="77598CAD" w14:textId="54439DA3" w:rsidR="00921D9C" w:rsidRPr="00037C61" w:rsidRDefault="00921D9C" w:rsidP="009F6717">
      <w:pPr>
        <w:jc w:val="center"/>
        <w:rPr>
          <w:lang w:val="en-GB"/>
        </w:rPr>
      </w:pPr>
    </w:p>
    <w:p w14:paraId="6AF725C4" w14:textId="3D0D25A3" w:rsidR="00994EE8" w:rsidRPr="00037C61" w:rsidRDefault="00994EE8" w:rsidP="005E0849">
      <w:pPr>
        <w:rPr>
          <w:lang w:val="en-GB"/>
        </w:rPr>
      </w:pPr>
    </w:p>
    <w:p w14:paraId="3C699FED" w14:textId="77777777" w:rsidR="00994EE8" w:rsidRPr="00037C61" w:rsidRDefault="00994EE8" w:rsidP="009F6717">
      <w:pPr>
        <w:jc w:val="center"/>
        <w:rPr>
          <w:lang w:val="en-GB"/>
        </w:rPr>
      </w:pPr>
    </w:p>
    <w:p w14:paraId="4176CD3F" w14:textId="7044D570" w:rsidR="00921D9C" w:rsidRPr="00037C61" w:rsidRDefault="52230E0C" w:rsidP="00921D9C">
      <w:pPr>
        <w:pStyle w:val="Caption"/>
        <w:jc w:val="both"/>
        <w:rPr>
          <w:lang w:val="en-GB"/>
        </w:rPr>
      </w:pPr>
      <w:bookmarkStart w:id="149" w:name="_Toc50657535"/>
      <w:bookmarkStart w:id="150" w:name="_Toc64610973"/>
      <w:bookmarkStart w:id="151" w:name="_Ref5236577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25</w:t>
      </w:r>
      <w:r w:rsidR="00412697">
        <w:rPr>
          <w:lang w:val="en-GB"/>
        </w:rPr>
        <w:fldChar w:fldCharType="end"/>
      </w:r>
      <w:r w:rsidRPr="00037C61">
        <w:rPr>
          <w:lang w:val="en-GB"/>
        </w:rPr>
        <w:t xml:space="preserve"> - Median age at NUTS3 level in Europe (2017) and the delineation of the PA (blue).</w:t>
      </w:r>
      <w:bookmarkEnd w:id="149"/>
      <w:bookmarkEnd w:id="150"/>
      <w:r w:rsidRPr="00037C61">
        <w:rPr>
          <w:lang w:val="en-GB"/>
        </w:rPr>
        <w:t xml:space="preserve"> </w:t>
      </w:r>
      <w:bookmarkEnd w:id="151"/>
    </w:p>
    <w:p w14:paraId="05ACC23B" w14:textId="77777777" w:rsidR="00921D9C" w:rsidRPr="00037C61" w:rsidRDefault="00921D9C" w:rsidP="00921D9C">
      <w:pPr>
        <w:pStyle w:val="Caption"/>
        <w:jc w:val="both"/>
        <w:rPr>
          <w:lang w:val="en-GB"/>
        </w:rPr>
      </w:pPr>
      <w:r w:rsidRPr="00037C61">
        <w:rPr>
          <w:lang w:val="en-GB"/>
        </w:rPr>
        <w:t xml:space="preserve">Source: Eurostat Regional Yearbook 2018 </w:t>
      </w:r>
    </w:p>
    <w:p w14:paraId="4FA40AD4" w14:textId="77777777" w:rsidR="00921D9C" w:rsidRPr="00037C61" w:rsidRDefault="00921D9C" w:rsidP="00921D9C">
      <w:pPr>
        <w:pStyle w:val="InterregROHUBullet1"/>
        <w:numPr>
          <w:ilvl w:val="0"/>
          <w:numId w:val="0"/>
        </w:numPr>
        <w:spacing w:after="120"/>
      </w:pPr>
    </w:p>
    <w:p w14:paraId="63404619" w14:textId="2880A7F6" w:rsidR="00921D9C" w:rsidRPr="00037C61" w:rsidRDefault="52230E0C" w:rsidP="00921D9C">
      <w:pPr>
        <w:pStyle w:val="InterregROHUBullet1"/>
        <w:numPr>
          <w:ilvl w:val="0"/>
          <w:numId w:val="0"/>
        </w:numPr>
        <w:spacing w:after="120"/>
      </w:pPr>
      <w:r w:rsidRPr="00037C61">
        <w:t xml:space="preserve">The analysis of the </w:t>
      </w:r>
      <w:r w:rsidRPr="00037C61">
        <w:rPr>
          <w:b/>
          <w:bCs w:val="0"/>
        </w:rPr>
        <w:t>evolution of the age group distribution</w:t>
      </w:r>
      <w:r w:rsidRPr="00037C61">
        <w:t xml:space="preserve"> between 2009 and 2018 shows a decrease in all the counties of the PA for children (0-14 years old) and young people (15 – 19 and 20 – 29 years old). In the case of young people, the </w:t>
      </w:r>
      <w:r w:rsidRPr="00037C61">
        <w:rPr>
          <w:b/>
          <w:bCs w:val="0"/>
        </w:rPr>
        <w:t>decrease is higher in the 15-19 years group</w:t>
      </w:r>
      <w:r w:rsidRPr="00037C61">
        <w:t xml:space="preserve"> and varies between -24% in Békés, Satu Mare and Timiș and -18 in Szabolcs-Szatmár-Bereg</w:t>
      </w:r>
      <w:r w:rsidR="00AC79ED" w:rsidRPr="00037C61">
        <w:t xml:space="preserve"> and is expected to have an impact on the higher education sector and the local economy in the PA</w:t>
      </w:r>
      <w:r w:rsidRPr="00037C61">
        <w:t>. In all the countries of the PA, an increase of the percent of population between 40 and 49 years old can be observed. In the Romanian counties the increase for this age group is higher than in Hungarian ones because these are the people born 1970s as a result of the birth control policy that banned abortion. It can be observed an increase of the number of old population that varies from 8% in Békés and 20% in Timiș. Because the proportion of people between 60 and 64 years old increased in the last ten years, in the following years the elderly population will increase, which will change the demand in public services, most significantly healthcare and social services. (</w:t>
      </w:r>
      <w:r w:rsidR="00921D9C" w:rsidRPr="00037C61">
        <w:fldChar w:fldCharType="begin"/>
      </w:r>
      <w:r w:rsidR="00921D9C" w:rsidRPr="00037C61">
        <w:instrText xml:space="preserve"> REF _Ref50078019 \h </w:instrText>
      </w:r>
      <w:r w:rsidR="00921D9C" w:rsidRPr="00037C61">
        <w:fldChar w:fldCharType="separate"/>
      </w:r>
      <w:r w:rsidR="00582CBE" w:rsidRPr="00037C61">
        <w:t xml:space="preserve">Table </w:t>
      </w:r>
      <w:r w:rsidR="00582CBE">
        <w:rPr>
          <w:noProof/>
        </w:rPr>
        <w:t>5</w:t>
      </w:r>
      <w:r w:rsidR="00921D9C" w:rsidRPr="00037C61">
        <w:fldChar w:fldCharType="end"/>
      </w:r>
      <w:r w:rsidRPr="00037C61">
        <w:t>)</w:t>
      </w:r>
    </w:p>
    <w:p w14:paraId="33CE1A2E" w14:textId="4EED7DD7" w:rsidR="00921D9C" w:rsidRPr="00037C61" w:rsidRDefault="00921D9C" w:rsidP="00921D9C">
      <w:pPr>
        <w:pStyle w:val="Caption"/>
        <w:jc w:val="both"/>
        <w:rPr>
          <w:lang w:val="en-GB"/>
        </w:rPr>
      </w:pPr>
      <w:bookmarkStart w:id="152" w:name="_Ref50078019"/>
      <w:bookmarkStart w:id="153" w:name="_Toc50584199"/>
      <w:bookmarkStart w:id="154" w:name="_Toc58237628"/>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5</w:t>
      </w:r>
      <w:r w:rsidR="00552808" w:rsidRPr="00037C61">
        <w:rPr>
          <w:lang w:val="en-GB"/>
        </w:rPr>
        <w:fldChar w:fldCharType="end"/>
      </w:r>
      <w:bookmarkEnd w:id="152"/>
      <w:r w:rsidR="00407D22" w:rsidRPr="00037C61">
        <w:rPr>
          <w:lang w:val="en-GB"/>
        </w:rPr>
        <w:t xml:space="preserve"> -</w:t>
      </w:r>
      <w:r w:rsidRPr="00037C61">
        <w:rPr>
          <w:lang w:val="en-GB"/>
        </w:rPr>
        <w:t xml:space="preserve"> Trends in age groups distribution between 2009-2018 (% increase or decrease)</w:t>
      </w:r>
      <w:bookmarkEnd w:id="153"/>
      <w:bookmarkEnd w:id="154"/>
    </w:p>
    <w:tbl>
      <w:tblPr>
        <w:tblW w:w="8905"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1978"/>
        <w:gridCol w:w="757"/>
        <w:gridCol w:w="871"/>
        <w:gridCol w:w="871"/>
        <w:gridCol w:w="871"/>
        <w:gridCol w:w="871"/>
        <w:gridCol w:w="871"/>
        <w:gridCol w:w="871"/>
        <w:gridCol w:w="944"/>
      </w:tblGrid>
      <w:tr w:rsidR="00921D9C" w:rsidRPr="00037C61" w14:paraId="614FA7C8" w14:textId="77777777" w:rsidTr="3C1461C6">
        <w:trPr>
          <w:trHeight w:val="485"/>
        </w:trPr>
        <w:tc>
          <w:tcPr>
            <w:tcW w:w="6" w:type="dxa"/>
            <w:tcBorders>
              <w:top w:val="single" w:sz="4" w:space="0" w:color="034FA3" w:themeColor="accent1"/>
              <w:left w:val="single" w:sz="4" w:space="0" w:color="034FA3" w:themeColor="accent1"/>
              <w:bottom w:val="nil"/>
              <w:right w:val="nil"/>
            </w:tcBorders>
            <w:shd w:val="clear" w:color="auto" w:fill="034FA3" w:themeFill="accent1"/>
            <w:noWrap/>
            <w:hideMark/>
          </w:tcPr>
          <w:p w14:paraId="04CF1C2C" w14:textId="77777777" w:rsidR="00921D9C" w:rsidRPr="00037C61" w:rsidRDefault="00921D9C">
            <w:pPr>
              <w:spacing w:after="0" w:line="240" w:lineRule="auto"/>
              <w:jc w:val="left"/>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Counties</w:t>
            </w:r>
          </w:p>
        </w:tc>
        <w:tc>
          <w:tcPr>
            <w:tcW w:w="6" w:type="dxa"/>
            <w:tcBorders>
              <w:top w:val="single" w:sz="4" w:space="0" w:color="034FA3" w:themeColor="accent1"/>
              <w:left w:val="nil"/>
              <w:bottom w:val="nil"/>
              <w:right w:val="nil"/>
            </w:tcBorders>
            <w:shd w:val="clear" w:color="auto" w:fill="034FA3" w:themeFill="accent1"/>
            <w:noWrap/>
            <w:hideMark/>
          </w:tcPr>
          <w:p w14:paraId="18788613"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0-14</w:t>
            </w:r>
          </w:p>
        </w:tc>
        <w:tc>
          <w:tcPr>
            <w:tcW w:w="6" w:type="dxa"/>
            <w:tcBorders>
              <w:top w:val="single" w:sz="4" w:space="0" w:color="034FA3" w:themeColor="accent1"/>
              <w:left w:val="nil"/>
              <w:bottom w:val="nil"/>
              <w:right w:val="nil"/>
            </w:tcBorders>
            <w:shd w:val="clear" w:color="auto" w:fill="034FA3" w:themeFill="accent1"/>
            <w:noWrap/>
            <w:hideMark/>
          </w:tcPr>
          <w:p w14:paraId="62BC4252"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15-19</w:t>
            </w:r>
          </w:p>
        </w:tc>
        <w:tc>
          <w:tcPr>
            <w:tcW w:w="6" w:type="dxa"/>
            <w:tcBorders>
              <w:top w:val="single" w:sz="4" w:space="0" w:color="034FA3" w:themeColor="accent1"/>
              <w:left w:val="nil"/>
              <w:bottom w:val="nil"/>
              <w:right w:val="nil"/>
            </w:tcBorders>
            <w:shd w:val="clear" w:color="auto" w:fill="034FA3" w:themeFill="accent1"/>
            <w:noWrap/>
            <w:hideMark/>
          </w:tcPr>
          <w:p w14:paraId="6B491F33"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20-29</w:t>
            </w:r>
          </w:p>
        </w:tc>
        <w:tc>
          <w:tcPr>
            <w:tcW w:w="6" w:type="dxa"/>
            <w:tcBorders>
              <w:top w:val="single" w:sz="4" w:space="0" w:color="034FA3" w:themeColor="accent1"/>
              <w:left w:val="nil"/>
              <w:bottom w:val="nil"/>
              <w:right w:val="nil"/>
            </w:tcBorders>
            <w:shd w:val="clear" w:color="auto" w:fill="034FA3" w:themeFill="accent1"/>
            <w:noWrap/>
            <w:hideMark/>
          </w:tcPr>
          <w:p w14:paraId="6F3ED871"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30-39</w:t>
            </w:r>
          </w:p>
        </w:tc>
        <w:tc>
          <w:tcPr>
            <w:tcW w:w="6" w:type="dxa"/>
            <w:tcBorders>
              <w:top w:val="single" w:sz="4" w:space="0" w:color="034FA3" w:themeColor="accent1"/>
              <w:left w:val="nil"/>
              <w:bottom w:val="nil"/>
              <w:right w:val="nil"/>
            </w:tcBorders>
            <w:shd w:val="clear" w:color="auto" w:fill="034FA3" w:themeFill="accent1"/>
            <w:noWrap/>
            <w:hideMark/>
          </w:tcPr>
          <w:p w14:paraId="59025D10"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40-49</w:t>
            </w:r>
          </w:p>
        </w:tc>
        <w:tc>
          <w:tcPr>
            <w:tcW w:w="6" w:type="dxa"/>
            <w:tcBorders>
              <w:top w:val="single" w:sz="4" w:space="0" w:color="034FA3" w:themeColor="accent1"/>
              <w:left w:val="nil"/>
              <w:bottom w:val="nil"/>
              <w:right w:val="nil"/>
            </w:tcBorders>
            <w:shd w:val="clear" w:color="auto" w:fill="034FA3" w:themeFill="accent1"/>
            <w:noWrap/>
            <w:hideMark/>
          </w:tcPr>
          <w:p w14:paraId="4AB90BF3"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50-59</w:t>
            </w:r>
          </w:p>
        </w:tc>
        <w:tc>
          <w:tcPr>
            <w:tcW w:w="6" w:type="dxa"/>
            <w:tcBorders>
              <w:top w:val="single" w:sz="4" w:space="0" w:color="034FA3" w:themeColor="accent1"/>
              <w:left w:val="nil"/>
              <w:bottom w:val="nil"/>
              <w:right w:val="nil"/>
            </w:tcBorders>
            <w:shd w:val="clear" w:color="auto" w:fill="034FA3" w:themeFill="accent1"/>
            <w:noWrap/>
            <w:hideMark/>
          </w:tcPr>
          <w:p w14:paraId="380C3AA6"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60-64</w:t>
            </w:r>
          </w:p>
        </w:tc>
        <w:tc>
          <w:tcPr>
            <w:tcW w:w="6" w:type="dxa"/>
            <w:tcBorders>
              <w:top w:val="single" w:sz="4" w:space="0" w:color="034FA3" w:themeColor="accent1"/>
              <w:left w:val="nil"/>
              <w:bottom w:val="nil"/>
              <w:right w:val="single" w:sz="4" w:space="0" w:color="034FA3" w:themeColor="accent1"/>
            </w:tcBorders>
            <w:shd w:val="clear" w:color="auto" w:fill="034FA3" w:themeFill="accent1"/>
            <w:noWrap/>
            <w:hideMark/>
          </w:tcPr>
          <w:p w14:paraId="4832D62F" w14:textId="77777777" w:rsidR="00921D9C" w:rsidRPr="00037C61" w:rsidRDefault="00921D9C">
            <w:pPr>
              <w:spacing w:after="0" w:line="240" w:lineRule="auto"/>
              <w:jc w:val="center"/>
              <w:rPr>
                <w:rFonts w:eastAsia="Times New Roman" w:cs="Calibri"/>
                <w:b/>
                <w:bCs/>
                <w:color w:val="FFFFFF" w:themeColor="background1"/>
                <w:lang w:val="en-GB" w:eastAsia="ro-RO"/>
              </w:rPr>
            </w:pPr>
            <w:r w:rsidRPr="00037C61">
              <w:rPr>
                <w:rFonts w:eastAsia="Times New Roman" w:cs="Calibri"/>
                <w:b/>
                <w:bCs/>
                <w:color w:val="FFFFFF" w:themeColor="background1"/>
                <w:lang w:val="en-GB" w:eastAsia="ro-RO"/>
              </w:rPr>
              <w:t>65+</w:t>
            </w:r>
          </w:p>
        </w:tc>
      </w:tr>
      <w:tr w:rsidR="00921D9C" w:rsidRPr="00037C61" w14:paraId="598374B1" w14:textId="77777777" w:rsidTr="3C1461C6">
        <w:trPr>
          <w:trHeight w:val="300"/>
        </w:trPr>
        <w:tc>
          <w:tcPr>
            <w:tcW w:w="6"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47E49446" w14:textId="77777777" w:rsidR="00921D9C" w:rsidRPr="00037C61" w:rsidRDefault="00921D9C">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t>Hajdú-Bihar</w:t>
            </w:r>
          </w:p>
        </w:tc>
        <w:tc>
          <w:tcPr>
            <w:tcW w:w="6" w:type="dxa"/>
            <w:tcBorders>
              <w:top w:val="single" w:sz="4" w:space="0" w:color="034FA3" w:themeColor="accent1"/>
              <w:left w:val="nil"/>
              <w:bottom w:val="single" w:sz="4" w:space="0" w:color="034FA3" w:themeColor="accent1"/>
              <w:right w:val="nil"/>
            </w:tcBorders>
            <w:noWrap/>
            <w:hideMark/>
          </w:tcPr>
          <w:p w14:paraId="27191B7F" w14:textId="7E16A2A6"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-8</w:t>
            </w:r>
          </w:p>
        </w:tc>
        <w:tc>
          <w:tcPr>
            <w:tcW w:w="6" w:type="dxa"/>
            <w:tcBorders>
              <w:top w:val="single" w:sz="4" w:space="0" w:color="034FA3" w:themeColor="accent1"/>
              <w:left w:val="nil"/>
              <w:bottom w:val="single" w:sz="4" w:space="0" w:color="034FA3" w:themeColor="accent1"/>
              <w:right w:val="nil"/>
            </w:tcBorders>
            <w:noWrap/>
            <w:hideMark/>
          </w:tcPr>
          <w:p w14:paraId="0940975B"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-20</w:t>
            </w:r>
          </w:p>
        </w:tc>
        <w:tc>
          <w:tcPr>
            <w:tcW w:w="6" w:type="dxa"/>
            <w:tcBorders>
              <w:top w:val="single" w:sz="4" w:space="0" w:color="034FA3" w:themeColor="accent1"/>
              <w:left w:val="nil"/>
              <w:bottom w:val="single" w:sz="4" w:space="0" w:color="034FA3" w:themeColor="accent1"/>
              <w:right w:val="nil"/>
            </w:tcBorders>
            <w:noWrap/>
            <w:hideMark/>
          </w:tcPr>
          <w:p w14:paraId="0DFB24BA"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-9</w:t>
            </w:r>
          </w:p>
        </w:tc>
        <w:tc>
          <w:tcPr>
            <w:tcW w:w="6" w:type="dxa"/>
            <w:tcBorders>
              <w:top w:val="single" w:sz="4" w:space="0" w:color="034FA3" w:themeColor="accent1"/>
              <w:left w:val="nil"/>
              <w:bottom w:val="single" w:sz="4" w:space="0" w:color="034FA3" w:themeColor="accent1"/>
              <w:right w:val="nil"/>
            </w:tcBorders>
            <w:noWrap/>
            <w:hideMark/>
          </w:tcPr>
          <w:p w14:paraId="76BC9C8E"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-14</w:t>
            </w:r>
          </w:p>
        </w:tc>
        <w:tc>
          <w:tcPr>
            <w:tcW w:w="6" w:type="dxa"/>
            <w:tcBorders>
              <w:top w:val="single" w:sz="4" w:space="0" w:color="034FA3" w:themeColor="accent1"/>
              <w:left w:val="nil"/>
              <w:bottom w:val="single" w:sz="4" w:space="0" w:color="034FA3" w:themeColor="accent1"/>
              <w:right w:val="nil"/>
            </w:tcBorders>
            <w:noWrap/>
            <w:hideMark/>
          </w:tcPr>
          <w:p w14:paraId="3CCEDB2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17</w:t>
            </w:r>
          </w:p>
        </w:tc>
        <w:tc>
          <w:tcPr>
            <w:tcW w:w="6" w:type="dxa"/>
            <w:tcBorders>
              <w:top w:val="single" w:sz="4" w:space="0" w:color="034FA3" w:themeColor="accent1"/>
              <w:left w:val="nil"/>
              <w:bottom w:val="single" w:sz="4" w:space="0" w:color="034FA3" w:themeColor="accent1"/>
              <w:right w:val="nil"/>
            </w:tcBorders>
            <w:noWrap/>
            <w:hideMark/>
          </w:tcPr>
          <w:p w14:paraId="66B9A8C0"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-13</w:t>
            </w:r>
          </w:p>
        </w:tc>
        <w:tc>
          <w:tcPr>
            <w:tcW w:w="6" w:type="dxa"/>
            <w:tcBorders>
              <w:top w:val="single" w:sz="4" w:space="0" w:color="034FA3" w:themeColor="accent1"/>
              <w:left w:val="nil"/>
              <w:bottom w:val="single" w:sz="4" w:space="0" w:color="034FA3" w:themeColor="accent1"/>
              <w:right w:val="nil"/>
            </w:tcBorders>
            <w:noWrap/>
            <w:hideMark/>
          </w:tcPr>
          <w:p w14:paraId="7B8BC22F"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27</w:t>
            </w:r>
          </w:p>
        </w:tc>
        <w:tc>
          <w:tcPr>
            <w:tcW w:w="6" w:type="dxa"/>
            <w:tcBorders>
              <w:top w:val="single" w:sz="4" w:space="0" w:color="034FA3" w:themeColor="accent1"/>
              <w:left w:val="nil"/>
              <w:bottom w:val="single" w:sz="4" w:space="0" w:color="034FA3" w:themeColor="accent1"/>
              <w:right w:val="single" w:sz="4" w:space="0" w:color="034FA3" w:themeColor="accent1"/>
            </w:tcBorders>
            <w:noWrap/>
            <w:hideMark/>
          </w:tcPr>
          <w:p w14:paraId="3BA58F9E"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15</w:t>
            </w:r>
          </w:p>
        </w:tc>
      </w:tr>
      <w:tr w:rsidR="00921D9C" w:rsidRPr="00037C61" w14:paraId="035EDD50" w14:textId="77777777" w:rsidTr="3C1461C6">
        <w:trPr>
          <w:trHeight w:val="300"/>
        </w:trPr>
        <w:tc>
          <w:tcPr>
            <w:tcW w:w="6" w:type="dxa"/>
            <w:tcBorders>
              <w:top w:val="nil"/>
              <w:left w:val="single" w:sz="4" w:space="0" w:color="034FA3" w:themeColor="accent1"/>
              <w:bottom w:val="nil"/>
              <w:right w:val="nil"/>
            </w:tcBorders>
            <w:shd w:val="clear" w:color="auto" w:fill="FFFFFF" w:themeFill="background1"/>
            <w:hideMark/>
          </w:tcPr>
          <w:p w14:paraId="23209167" w14:textId="77777777" w:rsidR="00921D9C" w:rsidRPr="00037C61" w:rsidRDefault="00921D9C">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t>Szabolcs-Szatmár-Bereg</w:t>
            </w:r>
          </w:p>
        </w:tc>
        <w:tc>
          <w:tcPr>
            <w:tcW w:w="6" w:type="dxa"/>
            <w:tcBorders>
              <w:top w:val="nil"/>
              <w:left w:val="nil"/>
              <w:bottom w:val="nil"/>
              <w:right w:val="nil"/>
            </w:tcBorders>
            <w:noWrap/>
            <w:hideMark/>
          </w:tcPr>
          <w:p w14:paraId="3376F3DC"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-10</w:t>
            </w:r>
          </w:p>
        </w:tc>
        <w:tc>
          <w:tcPr>
            <w:tcW w:w="6" w:type="dxa"/>
            <w:tcBorders>
              <w:top w:val="nil"/>
              <w:left w:val="nil"/>
              <w:bottom w:val="nil"/>
              <w:right w:val="nil"/>
            </w:tcBorders>
            <w:noWrap/>
            <w:hideMark/>
          </w:tcPr>
          <w:p w14:paraId="757617C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-18</w:t>
            </w:r>
          </w:p>
        </w:tc>
        <w:tc>
          <w:tcPr>
            <w:tcW w:w="6" w:type="dxa"/>
            <w:tcBorders>
              <w:top w:val="nil"/>
              <w:left w:val="nil"/>
              <w:bottom w:val="nil"/>
              <w:right w:val="nil"/>
            </w:tcBorders>
            <w:noWrap/>
            <w:hideMark/>
          </w:tcPr>
          <w:p w14:paraId="4E7B6431"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-4</w:t>
            </w:r>
          </w:p>
        </w:tc>
        <w:tc>
          <w:tcPr>
            <w:tcW w:w="6" w:type="dxa"/>
            <w:tcBorders>
              <w:top w:val="nil"/>
              <w:left w:val="nil"/>
              <w:bottom w:val="nil"/>
              <w:right w:val="nil"/>
            </w:tcBorders>
            <w:noWrap/>
            <w:hideMark/>
          </w:tcPr>
          <w:p w14:paraId="6EBF947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-12</w:t>
            </w:r>
          </w:p>
        </w:tc>
        <w:tc>
          <w:tcPr>
            <w:tcW w:w="6" w:type="dxa"/>
            <w:tcBorders>
              <w:top w:val="nil"/>
              <w:left w:val="nil"/>
              <w:bottom w:val="nil"/>
              <w:right w:val="nil"/>
            </w:tcBorders>
            <w:noWrap/>
            <w:hideMark/>
          </w:tcPr>
          <w:p w14:paraId="46AFDCA5"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18</w:t>
            </w:r>
          </w:p>
        </w:tc>
        <w:tc>
          <w:tcPr>
            <w:tcW w:w="6" w:type="dxa"/>
            <w:tcBorders>
              <w:top w:val="nil"/>
              <w:left w:val="nil"/>
              <w:bottom w:val="nil"/>
              <w:right w:val="nil"/>
            </w:tcBorders>
            <w:noWrap/>
            <w:hideMark/>
          </w:tcPr>
          <w:p w14:paraId="63B074FD"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-11</w:t>
            </w:r>
          </w:p>
        </w:tc>
        <w:tc>
          <w:tcPr>
            <w:tcW w:w="6" w:type="dxa"/>
            <w:tcBorders>
              <w:top w:val="nil"/>
              <w:left w:val="nil"/>
              <w:bottom w:val="nil"/>
              <w:right w:val="nil"/>
            </w:tcBorders>
            <w:noWrap/>
            <w:hideMark/>
          </w:tcPr>
          <w:p w14:paraId="0384FFF4"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34</w:t>
            </w:r>
          </w:p>
        </w:tc>
        <w:tc>
          <w:tcPr>
            <w:tcW w:w="6" w:type="dxa"/>
            <w:tcBorders>
              <w:top w:val="nil"/>
              <w:left w:val="nil"/>
              <w:bottom w:val="nil"/>
              <w:right w:val="single" w:sz="4" w:space="0" w:color="034FA3" w:themeColor="accent1"/>
            </w:tcBorders>
            <w:noWrap/>
            <w:hideMark/>
          </w:tcPr>
          <w:p w14:paraId="205BF8A7"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17</w:t>
            </w:r>
          </w:p>
        </w:tc>
      </w:tr>
      <w:tr w:rsidR="00921D9C" w:rsidRPr="00037C61" w14:paraId="50740955" w14:textId="77777777" w:rsidTr="3C1461C6">
        <w:trPr>
          <w:trHeight w:val="300"/>
        </w:trPr>
        <w:tc>
          <w:tcPr>
            <w:tcW w:w="6"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695CF3D7" w14:textId="77777777" w:rsidR="00921D9C" w:rsidRPr="00037C61" w:rsidRDefault="00921D9C">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t>Békés</w:t>
            </w:r>
          </w:p>
        </w:tc>
        <w:tc>
          <w:tcPr>
            <w:tcW w:w="6" w:type="dxa"/>
            <w:tcBorders>
              <w:top w:val="single" w:sz="4" w:space="0" w:color="034FA3" w:themeColor="accent1"/>
              <w:left w:val="nil"/>
              <w:bottom w:val="single" w:sz="4" w:space="0" w:color="034FA3" w:themeColor="accent1"/>
              <w:right w:val="nil"/>
            </w:tcBorders>
            <w:noWrap/>
            <w:hideMark/>
          </w:tcPr>
          <w:p w14:paraId="2E037EA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-13</w:t>
            </w:r>
          </w:p>
        </w:tc>
        <w:tc>
          <w:tcPr>
            <w:tcW w:w="6" w:type="dxa"/>
            <w:tcBorders>
              <w:top w:val="single" w:sz="4" w:space="0" w:color="034FA3" w:themeColor="accent1"/>
              <w:left w:val="nil"/>
              <w:bottom w:val="single" w:sz="4" w:space="0" w:color="034FA3" w:themeColor="accent1"/>
              <w:right w:val="nil"/>
            </w:tcBorders>
            <w:noWrap/>
            <w:hideMark/>
          </w:tcPr>
          <w:p w14:paraId="571DEC8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-24</w:t>
            </w:r>
          </w:p>
        </w:tc>
        <w:tc>
          <w:tcPr>
            <w:tcW w:w="6" w:type="dxa"/>
            <w:tcBorders>
              <w:top w:val="single" w:sz="4" w:space="0" w:color="034FA3" w:themeColor="accent1"/>
              <w:left w:val="nil"/>
              <w:bottom w:val="single" w:sz="4" w:space="0" w:color="034FA3" w:themeColor="accent1"/>
              <w:right w:val="nil"/>
            </w:tcBorders>
            <w:noWrap/>
            <w:hideMark/>
          </w:tcPr>
          <w:p w14:paraId="32081BE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-13</w:t>
            </w:r>
          </w:p>
        </w:tc>
        <w:tc>
          <w:tcPr>
            <w:tcW w:w="6" w:type="dxa"/>
            <w:tcBorders>
              <w:top w:val="single" w:sz="4" w:space="0" w:color="034FA3" w:themeColor="accent1"/>
              <w:left w:val="nil"/>
              <w:bottom w:val="single" w:sz="4" w:space="0" w:color="034FA3" w:themeColor="accent1"/>
              <w:right w:val="nil"/>
            </w:tcBorders>
            <w:noWrap/>
            <w:hideMark/>
          </w:tcPr>
          <w:p w14:paraId="7C229E51"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-22</w:t>
            </w:r>
          </w:p>
        </w:tc>
        <w:tc>
          <w:tcPr>
            <w:tcW w:w="6" w:type="dxa"/>
            <w:tcBorders>
              <w:top w:val="single" w:sz="4" w:space="0" w:color="034FA3" w:themeColor="accent1"/>
              <w:left w:val="nil"/>
              <w:bottom w:val="single" w:sz="4" w:space="0" w:color="034FA3" w:themeColor="accent1"/>
              <w:right w:val="nil"/>
            </w:tcBorders>
            <w:noWrap/>
            <w:hideMark/>
          </w:tcPr>
          <w:p w14:paraId="572074DF"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14</w:t>
            </w:r>
          </w:p>
        </w:tc>
        <w:tc>
          <w:tcPr>
            <w:tcW w:w="6" w:type="dxa"/>
            <w:tcBorders>
              <w:top w:val="single" w:sz="4" w:space="0" w:color="034FA3" w:themeColor="accent1"/>
              <w:left w:val="nil"/>
              <w:bottom w:val="single" w:sz="4" w:space="0" w:color="034FA3" w:themeColor="accent1"/>
              <w:right w:val="nil"/>
            </w:tcBorders>
            <w:noWrap/>
            <w:hideMark/>
          </w:tcPr>
          <w:p w14:paraId="13307B2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-21</w:t>
            </w:r>
          </w:p>
        </w:tc>
        <w:tc>
          <w:tcPr>
            <w:tcW w:w="6" w:type="dxa"/>
            <w:tcBorders>
              <w:top w:val="single" w:sz="4" w:space="0" w:color="034FA3" w:themeColor="accent1"/>
              <w:left w:val="nil"/>
              <w:bottom w:val="single" w:sz="4" w:space="0" w:color="034FA3" w:themeColor="accent1"/>
              <w:right w:val="nil"/>
            </w:tcBorders>
            <w:noWrap/>
            <w:hideMark/>
          </w:tcPr>
          <w:p w14:paraId="45F0A550"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17</w:t>
            </w:r>
          </w:p>
        </w:tc>
        <w:tc>
          <w:tcPr>
            <w:tcW w:w="6" w:type="dxa"/>
            <w:tcBorders>
              <w:top w:val="single" w:sz="4" w:space="0" w:color="034FA3" w:themeColor="accent1"/>
              <w:left w:val="nil"/>
              <w:bottom w:val="single" w:sz="4" w:space="0" w:color="034FA3" w:themeColor="accent1"/>
              <w:right w:val="single" w:sz="4" w:space="0" w:color="034FA3" w:themeColor="accent1"/>
            </w:tcBorders>
            <w:noWrap/>
            <w:hideMark/>
          </w:tcPr>
          <w:p w14:paraId="3C02BF5C"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8</w:t>
            </w:r>
          </w:p>
        </w:tc>
      </w:tr>
      <w:tr w:rsidR="00921D9C" w:rsidRPr="00037C61" w14:paraId="622CB691" w14:textId="77777777" w:rsidTr="3C1461C6">
        <w:trPr>
          <w:trHeight w:val="300"/>
        </w:trPr>
        <w:tc>
          <w:tcPr>
            <w:tcW w:w="6" w:type="dxa"/>
            <w:tcBorders>
              <w:top w:val="nil"/>
              <w:left w:val="single" w:sz="4" w:space="0" w:color="034FA3" w:themeColor="accent1"/>
              <w:bottom w:val="nil"/>
              <w:right w:val="nil"/>
            </w:tcBorders>
            <w:shd w:val="clear" w:color="auto" w:fill="FFFFFF" w:themeFill="background1"/>
            <w:hideMark/>
          </w:tcPr>
          <w:p w14:paraId="0E96E4B6" w14:textId="72FE079E" w:rsidR="00921D9C" w:rsidRPr="00037C61" w:rsidRDefault="6446A0E8" w:rsidP="6446A0E8">
            <w:pPr>
              <w:spacing w:after="0" w:line="240" w:lineRule="auto"/>
              <w:jc w:val="left"/>
              <w:rPr>
                <w:rFonts w:ascii="Arial" w:eastAsia="Times New Roman" w:hAnsi="Arial" w:cs="Arial"/>
                <w:color w:val="000000"/>
                <w:sz w:val="20"/>
                <w:szCs w:val="20"/>
                <w:lang w:val="en-GB" w:eastAsia="ro-RO"/>
              </w:rPr>
            </w:pPr>
            <w:r w:rsidRPr="00037C61">
              <w:rPr>
                <w:rFonts w:ascii="Arial" w:eastAsia="Times New Roman" w:hAnsi="Arial" w:cs="Arial"/>
                <w:color w:val="000000" w:themeColor="text1"/>
                <w:sz w:val="20"/>
                <w:szCs w:val="20"/>
                <w:lang w:val="en-GB" w:eastAsia="ro-RO"/>
              </w:rPr>
              <w:t>Csongrád-Csanád</w:t>
            </w:r>
          </w:p>
        </w:tc>
        <w:tc>
          <w:tcPr>
            <w:tcW w:w="6" w:type="dxa"/>
            <w:tcBorders>
              <w:top w:val="nil"/>
              <w:left w:val="nil"/>
              <w:bottom w:val="nil"/>
              <w:right w:val="nil"/>
            </w:tcBorders>
            <w:noWrap/>
            <w:hideMark/>
          </w:tcPr>
          <w:p w14:paraId="4DD0E3FF"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-7</w:t>
            </w:r>
          </w:p>
        </w:tc>
        <w:tc>
          <w:tcPr>
            <w:tcW w:w="6" w:type="dxa"/>
            <w:tcBorders>
              <w:top w:val="nil"/>
              <w:left w:val="nil"/>
              <w:bottom w:val="nil"/>
              <w:right w:val="nil"/>
            </w:tcBorders>
            <w:noWrap/>
            <w:hideMark/>
          </w:tcPr>
          <w:p w14:paraId="61C78B38"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-22</w:t>
            </w:r>
          </w:p>
        </w:tc>
        <w:tc>
          <w:tcPr>
            <w:tcW w:w="6" w:type="dxa"/>
            <w:tcBorders>
              <w:top w:val="nil"/>
              <w:left w:val="nil"/>
              <w:bottom w:val="nil"/>
              <w:right w:val="nil"/>
            </w:tcBorders>
            <w:noWrap/>
            <w:hideMark/>
          </w:tcPr>
          <w:p w14:paraId="3F34DE87"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-9</w:t>
            </w:r>
          </w:p>
        </w:tc>
        <w:tc>
          <w:tcPr>
            <w:tcW w:w="6" w:type="dxa"/>
            <w:tcBorders>
              <w:top w:val="nil"/>
              <w:left w:val="nil"/>
              <w:bottom w:val="nil"/>
              <w:right w:val="nil"/>
            </w:tcBorders>
            <w:noWrap/>
            <w:hideMark/>
          </w:tcPr>
          <w:p w14:paraId="6A49AC32"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-19</w:t>
            </w:r>
          </w:p>
        </w:tc>
        <w:tc>
          <w:tcPr>
            <w:tcW w:w="6" w:type="dxa"/>
            <w:tcBorders>
              <w:top w:val="nil"/>
              <w:left w:val="nil"/>
              <w:bottom w:val="nil"/>
              <w:right w:val="nil"/>
            </w:tcBorders>
            <w:noWrap/>
            <w:hideMark/>
          </w:tcPr>
          <w:p w14:paraId="275FDB20"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22</w:t>
            </w:r>
          </w:p>
        </w:tc>
        <w:tc>
          <w:tcPr>
            <w:tcW w:w="6" w:type="dxa"/>
            <w:tcBorders>
              <w:top w:val="nil"/>
              <w:left w:val="nil"/>
              <w:bottom w:val="nil"/>
              <w:right w:val="nil"/>
            </w:tcBorders>
            <w:noWrap/>
            <w:hideMark/>
          </w:tcPr>
          <w:p w14:paraId="23660FC0"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-18</w:t>
            </w:r>
          </w:p>
        </w:tc>
        <w:tc>
          <w:tcPr>
            <w:tcW w:w="6" w:type="dxa"/>
            <w:tcBorders>
              <w:top w:val="nil"/>
              <w:left w:val="nil"/>
              <w:bottom w:val="nil"/>
              <w:right w:val="nil"/>
            </w:tcBorders>
            <w:noWrap/>
            <w:hideMark/>
          </w:tcPr>
          <w:p w14:paraId="1D770A46"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14</w:t>
            </w:r>
          </w:p>
        </w:tc>
        <w:tc>
          <w:tcPr>
            <w:tcW w:w="6" w:type="dxa"/>
            <w:tcBorders>
              <w:top w:val="nil"/>
              <w:left w:val="nil"/>
              <w:bottom w:val="nil"/>
              <w:right w:val="single" w:sz="4" w:space="0" w:color="034FA3" w:themeColor="accent1"/>
            </w:tcBorders>
            <w:noWrap/>
            <w:hideMark/>
          </w:tcPr>
          <w:p w14:paraId="7AD1EAE1"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14</w:t>
            </w:r>
          </w:p>
        </w:tc>
      </w:tr>
      <w:tr w:rsidR="00921D9C" w:rsidRPr="00037C61" w14:paraId="25A555B8" w14:textId="77777777" w:rsidTr="3C1461C6">
        <w:trPr>
          <w:trHeight w:val="300"/>
        </w:trPr>
        <w:tc>
          <w:tcPr>
            <w:tcW w:w="6"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6864CA31" w14:textId="77777777" w:rsidR="00921D9C" w:rsidRPr="00037C61" w:rsidRDefault="00921D9C">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t>Bihor</w:t>
            </w:r>
          </w:p>
        </w:tc>
        <w:tc>
          <w:tcPr>
            <w:tcW w:w="6" w:type="dxa"/>
            <w:tcBorders>
              <w:top w:val="single" w:sz="4" w:space="0" w:color="034FA3" w:themeColor="accent1"/>
              <w:left w:val="nil"/>
              <w:bottom w:val="single" w:sz="4" w:space="0" w:color="034FA3" w:themeColor="accent1"/>
              <w:right w:val="nil"/>
            </w:tcBorders>
            <w:noWrap/>
            <w:hideMark/>
          </w:tcPr>
          <w:p w14:paraId="7DAD9AC1"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-3</w:t>
            </w:r>
          </w:p>
        </w:tc>
        <w:tc>
          <w:tcPr>
            <w:tcW w:w="6" w:type="dxa"/>
            <w:tcBorders>
              <w:top w:val="single" w:sz="4" w:space="0" w:color="034FA3" w:themeColor="accent1"/>
              <w:left w:val="nil"/>
              <w:bottom w:val="single" w:sz="4" w:space="0" w:color="034FA3" w:themeColor="accent1"/>
              <w:right w:val="nil"/>
            </w:tcBorders>
            <w:noWrap/>
            <w:hideMark/>
          </w:tcPr>
          <w:p w14:paraId="0816DFF8"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-19</w:t>
            </w:r>
          </w:p>
        </w:tc>
        <w:tc>
          <w:tcPr>
            <w:tcW w:w="6" w:type="dxa"/>
            <w:tcBorders>
              <w:top w:val="single" w:sz="4" w:space="0" w:color="034FA3" w:themeColor="accent1"/>
              <w:left w:val="nil"/>
              <w:bottom w:val="single" w:sz="4" w:space="0" w:color="034FA3" w:themeColor="accent1"/>
              <w:right w:val="nil"/>
            </w:tcBorders>
            <w:noWrap/>
            <w:hideMark/>
          </w:tcPr>
          <w:p w14:paraId="709AD85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-20</w:t>
            </w:r>
          </w:p>
        </w:tc>
        <w:tc>
          <w:tcPr>
            <w:tcW w:w="6" w:type="dxa"/>
            <w:tcBorders>
              <w:top w:val="single" w:sz="4" w:space="0" w:color="034FA3" w:themeColor="accent1"/>
              <w:left w:val="nil"/>
              <w:bottom w:val="single" w:sz="4" w:space="0" w:color="034FA3" w:themeColor="accent1"/>
              <w:right w:val="nil"/>
            </w:tcBorders>
            <w:noWrap/>
            <w:hideMark/>
          </w:tcPr>
          <w:p w14:paraId="7F69E0EF"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-7</w:t>
            </w:r>
          </w:p>
        </w:tc>
        <w:tc>
          <w:tcPr>
            <w:tcW w:w="6" w:type="dxa"/>
            <w:tcBorders>
              <w:top w:val="single" w:sz="4" w:space="0" w:color="034FA3" w:themeColor="accent1"/>
              <w:left w:val="nil"/>
              <w:bottom w:val="single" w:sz="4" w:space="0" w:color="034FA3" w:themeColor="accent1"/>
              <w:right w:val="nil"/>
            </w:tcBorders>
            <w:noWrap/>
            <w:hideMark/>
          </w:tcPr>
          <w:p w14:paraId="1BE7298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28</w:t>
            </w:r>
          </w:p>
        </w:tc>
        <w:tc>
          <w:tcPr>
            <w:tcW w:w="6" w:type="dxa"/>
            <w:tcBorders>
              <w:top w:val="single" w:sz="4" w:space="0" w:color="034FA3" w:themeColor="accent1"/>
              <w:left w:val="nil"/>
              <w:bottom w:val="single" w:sz="4" w:space="0" w:color="034FA3" w:themeColor="accent1"/>
              <w:right w:val="nil"/>
            </w:tcBorders>
            <w:noWrap/>
            <w:hideMark/>
          </w:tcPr>
          <w:p w14:paraId="0E31383A"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-13</w:t>
            </w:r>
          </w:p>
        </w:tc>
        <w:tc>
          <w:tcPr>
            <w:tcW w:w="6" w:type="dxa"/>
            <w:tcBorders>
              <w:top w:val="single" w:sz="4" w:space="0" w:color="034FA3" w:themeColor="accent1"/>
              <w:left w:val="nil"/>
              <w:bottom w:val="single" w:sz="4" w:space="0" w:color="034FA3" w:themeColor="accent1"/>
              <w:right w:val="nil"/>
            </w:tcBorders>
            <w:noWrap/>
            <w:hideMark/>
          </w:tcPr>
          <w:p w14:paraId="1146B92D"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28</w:t>
            </w:r>
          </w:p>
        </w:tc>
        <w:tc>
          <w:tcPr>
            <w:tcW w:w="6" w:type="dxa"/>
            <w:tcBorders>
              <w:top w:val="single" w:sz="4" w:space="0" w:color="034FA3" w:themeColor="accent1"/>
              <w:left w:val="nil"/>
              <w:bottom w:val="single" w:sz="4" w:space="0" w:color="034FA3" w:themeColor="accent1"/>
              <w:right w:val="single" w:sz="4" w:space="0" w:color="034FA3" w:themeColor="accent1"/>
            </w:tcBorders>
            <w:noWrap/>
            <w:hideMark/>
          </w:tcPr>
          <w:p w14:paraId="613ABE5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11</w:t>
            </w:r>
          </w:p>
        </w:tc>
      </w:tr>
      <w:tr w:rsidR="00921D9C" w:rsidRPr="00037C61" w14:paraId="30787DA1" w14:textId="77777777" w:rsidTr="3C1461C6">
        <w:trPr>
          <w:trHeight w:val="300"/>
        </w:trPr>
        <w:tc>
          <w:tcPr>
            <w:tcW w:w="6" w:type="dxa"/>
            <w:tcBorders>
              <w:top w:val="nil"/>
              <w:left w:val="single" w:sz="4" w:space="0" w:color="034FA3" w:themeColor="accent1"/>
              <w:bottom w:val="nil"/>
              <w:right w:val="nil"/>
            </w:tcBorders>
            <w:shd w:val="clear" w:color="auto" w:fill="FFFFFF" w:themeFill="background1"/>
            <w:hideMark/>
          </w:tcPr>
          <w:p w14:paraId="52D63136" w14:textId="77777777" w:rsidR="00921D9C" w:rsidRPr="00037C61" w:rsidRDefault="00921D9C">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t>Satu Mare</w:t>
            </w:r>
          </w:p>
        </w:tc>
        <w:tc>
          <w:tcPr>
            <w:tcW w:w="6" w:type="dxa"/>
            <w:tcBorders>
              <w:top w:val="nil"/>
              <w:left w:val="nil"/>
              <w:bottom w:val="nil"/>
              <w:right w:val="nil"/>
            </w:tcBorders>
            <w:noWrap/>
            <w:hideMark/>
          </w:tcPr>
          <w:p w14:paraId="7E2AB56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-5</w:t>
            </w:r>
          </w:p>
        </w:tc>
        <w:tc>
          <w:tcPr>
            <w:tcW w:w="6" w:type="dxa"/>
            <w:tcBorders>
              <w:top w:val="nil"/>
              <w:left w:val="nil"/>
              <w:bottom w:val="nil"/>
              <w:right w:val="nil"/>
            </w:tcBorders>
            <w:noWrap/>
            <w:hideMark/>
          </w:tcPr>
          <w:p w14:paraId="477D8FD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-24</w:t>
            </w:r>
          </w:p>
        </w:tc>
        <w:tc>
          <w:tcPr>
            <w:tcW w:w="6" w:type="dxa"/>
            <w:tcBorders>
              <w:top w:val="nil"/>
              <w:left w:val="nil"/>
              <w:bottom w:val="nil"/>
              <w:right w:val="nil"/>
            </w:tcBorders>
            <w:noWrap/>
            <w:hideMark/>
          </w:tcPr>
          <w:p w14:paraId="37036B0B"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-22</w:t>
            </w:r>
          </w:p>
        </w:tc>
        <w:tc>
          <w:tcPr>
            <w:tcW w:w="6" w:type="dxa"/>
            <w:tcBorders>
              <w:top w:val="nil"/>
              <w:left w:val="nil"/>
              <w:bottom w:val="nil"/>
              <w:right w:val="nil"/>
            </w:tcBorders>
            <w:noWrap/>
            <w:hideMark/>
          </w:tcPr>
          <w:p w14:paraId="192E533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-8</w:t>
            </w:r>
          </w:p>
        </w:tc>
        <w:tc>
          <w:tcPr>
            <w:tcW w:w="6" w:type="dxa"/>
            <w:tcBorders>
              <w:top w:val="nil"/>
              <w:left w:val="nil"/>
              <w:bottom w:val="nil"/>
              <w:right w:val="nil"/>
            </w:tcBorders>
            <w:noWrap/>
            <w:hideMark/>
          </w:tcPr>
          <w:p w14:paraId="213B7D76"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24</w:t>
            </w:r>
          </w:p>
        </w:tc>
        <w:tc>
          <w:tcPr>
            <w:tcW w:w="6" w:type="dxa"/>
            <w:tcBorders>
              <w:top w:val="nil"/>
              <w:left w:val="nil"/>
              <w:bottom w:val="nil"/>
              <w:right w:val="nil"/>
            </w:tcBorders>
            <w:noWrap/>
            <w:hideMark/>
          </w:tcPr>
          <w:p w14:paraId="0248E3D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-6</w:t>
            </w:r>
          </w:p>
        </w:tc>
        <w:tc>
          <w:tcPr>
            <w:tcW w:w="6" w:type="dxa"/>
            <w:tcBorders>
              <w:top w:val="nil"/>
              <w:left w:val="nil"/>
              <w:bottom w:val="nil"/>
              <w:right w:val="nil"/>
            </w:tcBorders>
            <w:noWrap/>
            <w:hideMark/>
          </w:tcPr>
          <w:p w14:paraId="4159B65A"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29</w:t>
            </w:r>
          </w:p>
        </w:tc>
        <w:tc>
          <w:tcPr>
            <w:tcW w:w="6" w:type="dxa"/>
            <w:tcBorders>
              <w:top w:val="nil"/>
              <w:left w:val="nil"/>
              <w:bottom w:val="nil"/>
              <w:right w:val="single" w:sz="4" w:space="0" w:color="034FA3" w:themeColor="accent1"/>
            </w:tcBorders>
            <w:noWrap/>
            <w:hideMark/>
          </w:tcPr>
          <w:p w14:paraId="29B56F38"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16</w:t>
            </w:r>
          </w:p>
        </w:tc>
      </w:tr>
      <w:tr w:rsidR="00921D9C" w:rsidRPr="00037C61" w14:paraId="16413B67" w14:textId="77777777" w:rsidTr="3C1461C6">
        <w:trPr>
          <w:trHeight w:val="300"/>
        </w:trPr>
        <w:tc>
          <w:tcPr>
            <w:tcW w:w="6"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19784B81" w14:textId="77777777" w:rsidR="00921D9C" w:rsidRPr="00037C61" w:rsidRDefault="00921D9C">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t>Arad</w:t>
            </w:r>
          </w:p>
        </w:tc>
        <w:tc>
          <w:tcPr>
            <w:tcW w:w="6" w:type="dxa"/>
            <w:tcBorders>
              <w:top w:val="single" w:sz="4" w:space="0" w:color="034FA3" w:themeColor="accent1"/>
              <w:left w:val="nil"/>
              <w:bottom w:val="single" w:sz="4" w:space="0" w:color="034FA3" w:themeColor="accent1"/>
              <w:right w:val="nil"/>
            </w:tcBorders>
            <w:noWrap/>
            <w:hideMark/>
          </w:tcPr>
          <w:p w14:paraId="36F54850"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-5</w:t>
            </w:r>
          </w:p>
        </w:tc>
        <w:tc>
          <w:tcPr>
            <w:tcW w:w="6" w:type="dxa"/>
            <w:tcBorders>
              <w:top w:val="single" w:sz="4" w:space="0" w:color="034FA3" w:themeColor="accent1"/>
              <w:left w:val="nil"/>
              <w:bottom w:val="single" w:sz="4" w:space="0" w:color="034FA3" w:themeColor="accent1"/>
              <w:right w:val="nil"/>
            </w:tcBorders>
            <w:noWrap/>
            <w:hideMark/>
          </w:tcPr>
          <w:p w14:paraId="7AE40498"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-20</w:t>
            </w:r>
          </w:p>
        </w:tc>
        <w:tc>
          <w:tcPr>
            <w:tcW w:w="6" w:type="dxa"/>
            <w:tcBorders>
              <w:top w:val="single" w:sz="4" w:space="0" w:color="034FA3" w:themeColor="accent1"/>
              <w:left w:val="nil"/>
              <w:bottom w:val="single" w:sz="4" w:space="0" w:color="034FA3" w:themeColor="accent1"/>
              <w:right w:val="nil"/>
            </w:tcBorders>
            <w:noWrap/>
            <w:hideMark/>
          </w:tcPr>
          <w:p w14:paraId="18912BC4"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-18</w:t>
            </w:r>
          </w:p>
        </w:tc>
        <w:tc>
          <w:tcPr>
            <w:tcW w:w="6" w:type="dxa"/>
            <w:tcBorders>
              <w:top w:val="single" w:sz="4" w:space="0" w:color="034FA3" w:themeColor="accent1"/>
              <w:left w:val="nil"/>
              <w:bottom w:val="single" w:sz="4" w:space="0" w:color="034FA3" w:themeColor="accent1"/>
              <w:right w:val="nil"/>
            </w:tcBorders>
            <w:noWrap/>
            <w:hideMark/>
          </w:tcPr>
          <w:p w14:paraId="1448AB17"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-12</w:t>
            </w:r>
          </w:p>
        </w:tc>
        <w:tc>
          <w:tcPr>
            <w:tcW w:w="6" w:type="dxa"/>
            <w:tcBorders>
              <w:top w:val="single" w:sz="4" w:space="0" w:color="034FA3" w:themeColor="accent1"/>
              <w:left w:val="nil"/>
              <w:bottom w:val="single" w:sz="4" w:space="0" w:color="034FA3" w:themeColor="accent1"/>
              <w:right w:val="nil"/>
            </w:tcBorders>
            <w:noWrap/>
            <w:hideMark/>
          </w:tcPr>
          <w:p w14:paraId="42D83D43"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30</w:t>
            </w:r>
          </w:p>
        </w:tc>
        <w:tc>
          <w:tcPr>
            <w:tcW w:w="6" w:type="dxa"/>
            <w:tcBorders>
              <w:top w:val="single" w:sz="4" w:space="0" w:color="034FA3" w:themeColor="accent1"/>
              <w:left w:val="nil"/>
              <w:bottom w:val="single" w:sz="4" w:space="0" w:color="034FA3" w:themeColor="accent1"/>
              <w:right w:val="nil"/>
            </w:tcBorders>
            <w:noWrap/>
            <w:hideMark/>
          </w:tcPr>
          <w:p w14:paraId="7CB31E1C"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-16</w:t>
            </w:r>
          </w:p>
        </w:tc>
        <w:tc>
          <w:tcPr>
            <w:tcW w:w="6" w:type="dxa"/>
            <w:tcBorders>
              <w:top w:val="single" w:sz="4" w:space="0" w:color="034FA3" w:themeColor="accent1"/>
              <w:left w:val="nil"/>
              <w:bottom w:val="single" w:sz="4" w:space="0" w:color="034FA3" w:themeColor="accent1"/>
              <w:right w:val="nil"/>
            </w:tcBorders>
            <w:noWrap/>
            <w:hideMark/>
          </w:tcPr>
          <w:p w14:paraId="7E971227"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31</w:t>
            </w:r>
          </w:p>
        </w:tc>
        <w:tc>
          <w:tcPr>
            <w:tcW w:w="6" w:type="dxa"/>
            <w:tcBorders>
              <w:top w:val="single" w:sz="4" w:space="0" w:color="034FA3" w:themeColor="accent1"/>
              <w:left w:val="nil"/>
              <w:bottom w:val="single" w:sz="4" w:space="0" w:color="034FA3" w:themeColor="accent1"/>
              <w:right w:val="single" w:sz="4" w:space="0" w:color="034FA3" w:themeColor="accent1"/>
            </w:tcBorders>
            <w:noWrap/>
            <w:hideMark/>
          </w:tcPr>
          <w:p w14:paraId="04A05749"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9</w:t>
            </w:r>
          </w:p>
        </w:tc>
      </w:tr>
      <w:tr w:rsidR="00921D9C" w:rsidRPr="00037C61" w14:paraId="7E10C95F" w14:textId="77777777" w:rsidTr="3C1461C6">
        <w:trPr>
          <w:trHeight w:val="300"/>
        </w:trPr>
        <w:tc>
          <w:tcPr>
            <w:tcW w:w="6" w:type="dxa"/>
            <w:tcBorders>
              <w:top w:val="nil"/>
              <w:left w:val="single" w:sz="4" w:space="0" w:color="034FA3" w:themeColor="accent1"/>
              <w:bottom w:val="single" w:sz="4" w:space="0" w:color="034FA3" w:themeColor="accent1"/>
              <w:right w:val="nil"/>
            </w:tcBorders>
            <w:shd w:val="clear" w:color="auto" w:fill="FFFFFF" w:themeFill="background1"/>
            <w:hideMark/>
          </w:tcPr>
          <w:p w14:paraId="5F909484" w14:textId="167727D2" w:rsidR="00921D9C" w:rsidRPr="00037C61" w:rsidRDefault="008B32DD">
            <w:pPr>
              <w:spacing w:after="0" w:line="240" w:lineRule="auto"/>
              <w:jc w:val="left"/>
              <w:rPr>
                <w:rFonts w:ascii="Arial" w:eastAsia="Times New Roman" w:hAnsi="Arial" w:cs="Arial"/>
                <w:bCs/>
                <w:color w:val="000000"/>
                <w:sz w:val="20"/>
                <w:szCs w:val="20"/>
                <w:lang w:val="en-GB" w:eastAsia="ro-RO"/>
              </w:rPr>
            </w:pPr>
            <w:r w:rsidRPr="00037C61">
              <w:rPr>
                <w:rFonts w:ascii="Arial" w:eastAsia="Times New Roman" w:hAnsi="Arial" w:cs="Arial"/>
                <w:bCs/>
                <w:color w:val="000000"/>
                <w:sz w:val="20"/>
                <w:szCs w:val="20"/>
                <w:lang w:val="en-GB" w:eastAsia="ro-RO"/>
              </w:rPr>
              <w:lastRenderedPageBreak/>
              <w:t>Timiș</w:t>
            </w:r>
          </w:p>
        </w:tc>
        <w:tc>
          <w:tcPr>
            <w:tcW w:w="6" w:type="dxa"/>
            <w:tcBorders>
              <w:top w:val="nil"/>
              <w:left w:val="nil"/>
              <w:bottom w:val="single" w:sz="4" w:space="0" w:color="034FA3" w:themeColor="accent1"/>
              <w:right w:val="nil"/>
            </w:tcBorders>
            <w:noWrap/>
            <w:hideMark/>
          </w:tcPr>
          <w:p w14:paraId="489E6B56"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7</w:t>
            </w:r>
          </w:p>
        </w:tc>
        <w:tc>
          <w:tcPr>
            <w:tcW w:w="6" w:type="dxa"/>
            <w:tcBorders>
              <w:top w:val="nil"/>
              <w:left w:val="nil"/>
              <w:bottom w:val="single" w:sz="4" w:space="0" w:color="034FA3" w:themeColor="accent1"/>
              <w:right w:val="nil"/>
            </w:tcBorders>
            <w:noWrap/>
            <w:hideMark/>
          </w:tcPr>
          <w:p w14:paraId="0088A4DA"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-24</w:t>
            </w:r>
          </w:p>
        </w:tc>
        <w:tc>
          <w:tcPr>
            <w:tcW w:w="6" w:type="dxa"/>
            <w:tcBorders>
              <w:top w:val="nil"/>
              <w:left w:val="nil"/>
              <w:bottom w:val="single" w:sz="4" w:space="0" w:color="034FA3" w:themeColor="accent1"/>
              <w:right w:val="nil"/>
            </w:tcBorders>
            <w:noWrap/>
            <w:hideMark/>
          </w:tcPr>
          <w:p w14:paraId="1528F42C"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-21</w:t>
            </w:r>
          </w:p>
        </w:tc>
        <w:tc>
          <w:tcPr>
            <w:tcW w:w="6" w:type="dxa"/>
            <w:tcBorders>
              <w:top w:val="nil"/>
              <w:left w:val="nil"/>
              <w:bottom w:val="single" w:sz="4" w:space="0" w:color="034FA3" w:themeColor="accent1"/>
              <w:right w:val="nil"/>
            </w:tcBorders>
            <w:noWrap/>
            <w:hideMark/>
          </w:tcPr>
          <w:p w14:paraId="5F2BFF92"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5</w:t>
            </w:r>
          </w:p>
        </w:tc>
        <w:tc>
          <w:tcPr>
            <w:tcW w:w="6" w:type="dxa"/>
            <w:tcBorders>
              <w:top w:val="nil"/>
              <w:left w:val="nil"/>
              <w:bottom w:val="single" w:sz="4" w:space="0" w:color="034FA3" w:themeColor="accent1"/>
              <w:right w:val="nil"/>
            </w:tcBorders>
            <w:noWrap/>
            <w:hideMark/>
          </w:tcPr>
          <w:p w14:paraId="35F8633D"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27</w:t>
            </w:r>
          </w:p>
        </w:tc>
        <w:tc>
          <w:tcPr>
            <w:tcW w:w="6" w:type="dxa"/>
            <w:tcBorders>
              <w:top w:val="nil"/>
              <w:left w:val="nil"/>
              <w:bottom w:val="single" w:sz="4" w:space="0" w:color="034FA3" w:themeColor="accent1"/>
              <w:right w:val="nil"/>
            </w:tcBorders>
            <w:noWrap/>
            <w:hideMark/>
          </w:tcPr>
          <w:p w14:paraId="1503D934"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-13</w:t>
            </w:r>
          </w:p>
        </w:tc>
        <w:tc>
          <w:tcPr>
            <w:tcW w:w="6" w:type="dxa"/>
            <w:tcBorders>
              <w:top w:val="nil"/>
              <w:left w:val="nil"/>
              <w:bottom w:val="single" w:sz="4" w:space="0" w:color="034FA3" w:themeColor="accent1"/>
              <w:right w:val="nil"/>
            </w:tcBorders>
            <w:noWrap/>
            <w:hideMark/>
          </w:tcPr>
          <w:p w14:paraId="4FB062A7"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47</w:t>
            </w:r>
          </w:p>
        </w:tc>
        <w:tc>
          <w:tcPr>
            <w:tcW w:w="6" w:type="dxa"/>
            <w:tcBorders>
              <w:top w:val="nil"/>
              <w:left w:val="nil"/>
              <w:bottom w:val="single" w:sz="4" w:space="0" w:color="034FA3" w:themeColor="accent1"/>
              <w:right w:val="single" w:sz="4" w:space="0" w:color="034FA3" w:themeColor="accent1"/>
            </w:tcBorders>
            <w:noWrap/>
            <w:hideMark/>
          </w:tcPr>
          <w:p w14:paraId="3CC57470" w14:textId="77777777" w:rsidR="00921D9C" w:rsidRPr="00037C61" w:rsidRDefault="00921D9C">
            <w:pPr>
              <w:spacing w:after="0" w:line="240" w:lineRule="auto"/>
              <w:jc w:val="center"/>
              <w:rPr>
                <w:rFonts w:eastAsia="Times New Roman" w:cs="Calibri"/>
                <w:color w:val="000000"/>
                <w:lang w:val="en-GB" w:eastAsia="ro-RO"/>
              </w:rPr>
            </w:pPr>
            <w:r w:rsidRPr="00037C61">
              <w:rPr>
                <w:rFonts w:eastAsia="Times New Roman" w:cs="Calibri"/>
                <w:color w:val="000000"/>
                <w:lang w:val="en-GB" w:eastAsia="ro-RO"/>
              </w:rPr>
              <w:t>20</w:t>
            </w:r>
          </w:p>
        </w:tc>
      </w:tr>
    </w:tbl>
    <w:p w14:paraId="650A35CC" w14:textId="48C5D45D" w:rsidR="00921D9C" w:rsidRPr="00037C61" w:rsidRDefault="00921D9C" w:rsidP="00921D9C">
      <w:pPr>
        <w:pStyle w:val="Caption"/>
        <w:jc w:val="both"/>
        <w:rPr>
          <w:lang w:val="en-GB"/>
        </w:rPr>
      </w:pPr>
      <w:r w:rsidRPr="00037C61">
        <w:rPr>
          <w:lang w:val="en-GB"/>
        </w:rPr>
        <w:t>Source: EUROSTAT, Population: Structure indicators by NUTS 3 region [demo_r_pjanind3]</w:t>
      </w:r>
    </w:p>
    <w:p w14:paraId="0C2D3D01" w14:textId="77777777" w:rsidR="002E4788" w:rsidRDefault="002E4788" w:rsidP="00BF017C">
      <w:pPr>
        <w:rPr>
          <w:b/>
          <w:bCs/>
          <w:lang w:val="en-GB"/>
        </w:rPr>
      </w:pPr>
    </w:p>
    <w:p w14:paraId="17D49CF2" w14:textId="3B6EE187" w:rsidR="00BF017C" w:rsidRPr="00037C61" w:rsidRDefault="00BF017C" w:rsidP="00BF017C">
      <w:pPr>
        <w:rPr>
          <w:lang w:val="en-GB"/>
        </w:rPr>
      </w:pPr>
      <w:r w:rsidRPr="00037C61">
        <w:rPr>
          <w:b/>
          <w:bCs/>
          <w:lang w:val="en-GB"/>
        </w:rPr>
        <w:t>The age pyramids</w:t>
      </w:r>
      <w:r w:rsidRPr="00037C61">
        <w:rPr>
          <w:lang w:val="en-GB"/>
        </w:rPr>
        <w:t xml:space="preserve"> for the Hungarian counties indicate in 2018 a higher number of population between 40 – 44 and 45 – 49 years old, both for females and males. Starting with the age group of 55-59 the number of females is higher than males and the gap between them is higher after 65 years old. More women than men there are at third and fourth age in the counties from the Hungarian part of the PA. In Békés the differences between the number of females and males are smaller than in the other three counties. (</w:t>
      </w:r>
      <w:r w:rsidRPr="00037C61">
        <w:rPr>
          <w:lang w:val="en-GB"/>
        </w:rPr>
        <w:fldChar w:fldCharType="begin"/>
      </w:r>
      <w:r w:rsidRPr="00037C61">
        <w:rPr>
          <w:lang w:val="en-GB"/>
        </w:rPr>
        <w:instrText xml:space="preserve"> REF _Ref52360128 \h </w:instrText>
      </w:r>
      <w:r w:rsidRPr="00037C61">
        <w:rPr>
          <w:lang w:val="en-GB"/>
        </w:rPr>
      </w:r>
      <w:r w:rsidRPr="00037C61">
        <w:rPr>
          <w:lang w:val="en-GB"/>
        </w:rPr>
        <w:fldChar w:fldCharType="separate"/>
      </w:r>
      <w:r w:rsidR="002E4788" w:rsidRPr="00037C61">
        <w:rPr>
          <w:lang w:val="en-GB"/>
        </w:rPr>
        <w:t xml:space="preserve">Figure </w:t>
      </w:r>
      <w:r w:rsidR="002E4788">
        <w:rPr>
          <w:noProof/>
          <w:lang w:val="en-GB"/>
        </w:rPr>
        <w:t>26</w:t>
      </w:r>
      <w:r w:rsidRPr="00037C61">
        <w:rPr>
          <w:lang w:val="en-GB"/>
        </w:rPr>
        <w:fldChar w:fldCharType="end"/>
      </w:r>
      <w:r w:rsidRPr="00037C61">
        <w:rPr>
          <w:lang w:val="en-GB"/>
        </w:rPr>
        <w:t>)</w:t>
      </w:r>
    </w:p>
    <w:tbl>
      <w:tblPr>
        <w:tblStyle w:val="TableGridLight1"/>
        <w:tblW w:w="0" w:type="auto"/>
        <w:tblLook w:val="04A0" w:firstRow="1" w:lastRow="0" w:firstColumn="1" w:lastColumn="0" w:noHBand="0" w:noVBand="1"/>
      </w:tblPr>
      <w:tblGrid>
        <w:gridCol w:w="4551"/>
        <w:gridCol w:w="4465"/>
      </w:tblGrid>
      <w:tr w:rsidR="00BF017C" w:rsidRPr="00037C61" w14:paraId="4D42CAF4" w14:textId="77777777" w:rsidTr="74CEAA85">
        <w:tc>
          <w:tcPr>
            <w:tcW w:w="4508" w:type="dxa"/>
          </w:tcPr>
          <w:p w14:paraId="5295A87C" w14:textId="77777777" w:rsidR="00BF017C" w:rsidRPr="00037C61" w:rsidRDefault="00BF017C" w:rsidP="00BF017C">
            <w:pPr>
              <w:rPr>
                <w:lang w:val="en-GB"/>
              </w:rPr>
            </w:pPr>
            <w:r w:rsidRPr="00037C61">
              <w:rPr>
                <w:noProof/>
                <w:lang w:val="ro-RO" w:eastAsia="ro-RO"/>
              </w:rPr>
              <w:drawing>
                <wp:inline distT="0" distB="0" distL="0" distR="0" wp14:anchorId="4F604EE4" wp14:editId="0B7E50AB">
                  <wp:extent cx="2705100" cy="20427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1">
                            <a:extLst>
                              <a:ext uri="{28A0092B-C50C-407E-A947-70E740481C1C}">
                                <a14:useLocalDpi xmlns:a14="http://schemas.microsoft.com/office/drawing/2010/main"/>
                              </a:ext>
                            </a:extLst>
                          </a:blip>
                          <a:stretch>
                            <a:fillRect/>
                          </a:stretch>
                        </pic:blipFill>
                        <pic:spPr>
                          <a:xfrm>
                            <a:off x="0" y="0"/>
                            <a:ext cx="2705100" cy="2042795"/>
                          </a:xfrm>
                          <a:prstGeom prst="rect">
                            <a:avLst/>
                          </a:prstGeom>
                        </pic:spPr>
                      </pic:pic>
                    </a:graphicData>
                  </a:graphic>
                </wp:inline>
              </w:drawing>
            </w:r>
          </w:p>
        </w:tc>
        <w:tc>
          <w:tcPr>
            <w:tcW w:w="4508" w:type="dxa"/>
          </w:tcPr>
          <w:p w14:paraId="526D7C34" w14:textId="77777777" w:rsidR="00BF017C" w:rsidRPr="00037C61" w:rsidRDefault="00BF017C" w:rsidP="00BF017C">
            <w:pPr>
              <w:rPr>
                <w:lang w:val="en-GB"/>
              </w:rPr>
            </w:pPr>
            <w:r w:rsidRPr="00037C61">
              <w:rPr>
                <w:noProof/>
                <w:lang w:val="ro-RO" w:eastAsia="ro-RO"/>
              </w:rPr>
              <w:drawing>
                <wp:inline distT="0" distB="0" distL="0" distR="0" wp14:anchorId="7865AC3F" wp14:editId="6CCEC10F">
                  <wp:extent cx="2695575" cy="204258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62">
                            <a:extLst>
                              <a:ext uri="{28A0092B-C50C-407E-A947-70E740481C1C}">
                                <a14:useLocalDpi xmlns:a14="http://schemas.microsoft.com/office/drawing/2010/main"/>
                              </a:ext>
                            </a:extLst>
                          </a:blip>
                          <a:stretch>
                            <a:fillRect/>
                          </a:stretch>
                        </pic:blipFill>
                        <pic:spPr>
                          <a:xfrm>
                            <a:off x="0" y="0"/>
                            <a:ext cx="2695575" cy="2042583"/>
                          </a:xfrm>
                          <a:prstGeom prst="rect">
                            <a:avLst/>
                          </a:prstGeom>
                        </pic:spPr>
                      </pic:pic>
                    </a:graphicData>
                  </a:graphic>
                </wp:inline>
              </w:drawing>
            </w:r>
          </w:p>
        </w:tc>
      </w:tr>
      <w:tr w:rsidR="00BF017C" w:rsidRPr="00037C61" w14:paraId="63036E38" w14:textId="77777777" w:rsidTr="74CEAA85">
        <w:tc>
          <w:tcPr>
            <w:tcW w:w="4508" w:type="dxa"/>
          </w:tcPr>
          <w:p w14:paraId="1670DA58" w14:textId="77777777" w:rsidR="00BF017C" w:rsidRPr="00037C61" w:rsidRDefault="00BF017C" w:rsidP="00BF017C">
            <w:pPr>
              <w:rPr>
                <w:lang w:val="en-GB"/>
              </w:rPr>
            </w:pPr>
            <w:r w:rsidRPr="00037C61">
              <w:rPr>
                <w:noProof/>
                <w:lang w:val="ro-RO" w:eastAsia="ro-RO"/>
              </w:rPr>
              <w:drawing>
                <wp:inline distT="0" distB="0" distL="0" distR="0" wp14:anchorId="02A88B2B" wp14:editId="007F8E27">
                  <wp:extent cx="2752725" cy="2189568"/>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63">
                            <a:extLst>
                              <a:ext uri="{28A0092B-C50C-407E-A947-70E740481C1C}">
                                <a14:useLocalDpi xmlns:a14="http://schemas.microsoft.com/office/drawing/2010/main"/>
                              </a:ext>
                            </a:extLst>
                          </a:blip>
                          <a:stretch>
                            <a:fillRect/>
                          </a:stretch>
                        </pic:blipFill>
                        <pic:spPr>
                          <a:xfrm>
                            <a:off x="0" y="0"/>
                            <a:ext cx="2752725" cy="2189568"/>
                          </a:xfrm>
                          <a:prstGeom prst="rect">
                            <a:avLst/>
                          </a:prstGeom>
                        </pic:spPr>
                      </pic:pic>
                    </a:graphicData>
                  </a:graphic>
                </wp:inline>
              </w:drawing>
            </w:r>
          </w:p>
        </w:tc>
        <w:tc>
          <w:tcPr>
            <w:tcW w:w="4508" w:type="dxa"/>
          </w:tcPr>
          <w:p w14:paraId="0275246F" w14:textId="77777777" w:rsidR="00BF017C" w:rsidRPr="00037C61" w:rsidRDefault="00BF017C" w:rsidP="00BF017C">
            <w:pPr>
              <w:rPr>
                <w:lang w:val="en-GB"/>
              </w:rPr>
            </w:pPr>
            <w:r w:rsidRPr="00037C61">
              <w:rPr>
                <w:noProof/>
                <w:lang w:val="ro-RO" w:eastAsia="ro-RO"/>
              </w:rPr>
              <w:drawing>
                <wp:inline distT="0" distB="0" distL="0" distR="0" wp14:anchorId="2C0A708F" wp14:editId="65952C62">
                  <wp:extent cx="2686050" cy="218320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64">
                            <a:extLst>
                              <a:ext uri="{28A0092B-C50C-407E-A947-70E740481C1C}">
                                <a14:useLocalDpi xmlns:a14="http://schemas.microsoft.com/office/drawing/2010/main"/>
                              </a:ext>
                            </a:extLst>
                          </a:blip>
                          <a:stretch>
                            <a:fillRect/>
                          </a:stretch>
                        </pic:blipFill>
                        <pic:spPr>
                          <a:xfrm>
                            <a:off x="0" y="0"/>
                            <a:ext cx="2686050" cy="2183200"/>
                          </a:xfrm>
                          <a:prstGeom prst="rect">
                            <a:avLst/>
                          </a:prstGeom>
                        </pic:spPr>
                      </pic:pic>
                    </a:graphicData>
                  </a:graphic>
                </wp:inline>
              </w:drawing>
            </w:r>
          </w:p>
        </w:tc>
      </w:tr>
    </w:tbl>
    <w:p w14:paraId="15A84785" w14:textId="27CEBA6E" w:rsidR="00BF017C" w:rsidRPr="00037C61" w:rsidRDefault="00BF017C" w:rsidP="00BF017C">
      <w:pPr>
        <w:pStyle w:val="Caption"/>
        <w:rPr>
          <w:lang w:val="en-GB"/>
        </w:rPr>
      </w:pPr>
      <w:bookmarkStart w:id="155" w:name="_Ref52360128"/>
      <w:bookmarkStart w:id="156" w:name="_Toc6461097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26</w:t>
      </w:r>
      <w:r w:rsidR="00412697">
        <w:rPr>
          <w:lang w:val="en-GB"/>
        </w:rPr>
        <w:fldChar w:fldCharType="end"/>
      </w:r>
      <w:bookmarkEnd w:id="155"/>
      <w:r w:rsidR="00407D22" w:rsidRPr="00037C61">
        <w:rPr>
          <w:lang w:val="en-GB"/>
        </w:rPr>
        <w:t xml:space="preserve"> -</w:t>
      </w:r>
      <w:r w:rsidR="00AC79ED" w:rsidRPr="00037C61">
        <w:rPr>
          <w:lang w:val="en-GB"/>
        </w:rPr>
        <w:t xml:space="preserve"> </w:t>
      </w:r>
      <w:r w:rsidRPr="00037C61">
        <w:rPr>
          <w:lang w:val="en-GB"/>
        </w:rPr>
        <w:t>Age pyramids in Hungarian counties for 2018</w:t>
      </w:r>
      <w:bookmarkEnd w:id="156"/>
    </w:p>
    <w:p w14:paraId="73CC7661" w14:textId="77777777" w:rsidR="00BF017C" w:rsidRPr="00037C61" w:rsidRDefault="00BF017C" w:rsidP="00BF017C">
      <w:pPr>
        <w:rPr>
          <w:lang w:val="en-GB"/>
        </w:rPr>
      </w:pPr>
    </w:p>
    <w:p w14:paraId="05E668DE" w14:textId="781E293C" w:rsidR="00BF017C" w:rsidRPr="00037C61" w:rsidRDefault="00BF017C" w:rsidP="00BF017C">
      <w:pPr>
        <w:rPr>
          <w:lang w:val="en-GB"/>
        </w:rPr>
      </w:pPr>
      <w:r w:rsidRPr="00037C61">
        <w:rPr>
          <w:lang w:val="en-GB"/>
        </w:rPr>
        <w:t>For the Romanian counties</w:t>
      </w:r>
      <w:r w:rsidR="00BB1B56" w:rsidRPr="00037C61">
        <w:rPr>
          <w:lang w:val="en-GB"/>
        </w:rPr>
        <w:t>,</w:t>
      </w:r>
      <w:r w:rsidRPr="00037C61">
        <w:rPr>
          <w:lang w:val="en-GB"/>
        </w:rPr>
        <w:t xml:space="preserve"> the highest number of people are in the age groups 40-44 and 45-49 years old, except Timiș county where the highest number of people are in the age group 30-34 and 25-29 years old.  The number of females is higher than males starting with 65-69 age group and the gap is deeper at fo</w:t>
      </w:r>
      <w:r w:rsidR="00407D22" w:rsidRPr="00037C61">
        <w:rPr>
          <w:lang w:val="en-GB"/>
        </w:rPr>
        <w:t>u</w:t>
      </w:r>
      <w:r w:rsidRPr="00037C61">
        <w:rPr>
          <w:lang w:val="en-GB"/>
        </w:rPr>
        <w:t>rth age. (</w:t>
      </w:r>
      <w:r w:rsidRPr="00037C61">
        <w:rPr>
          <w:lang w:val="en-GB"/>
        </w:rPr>
        <w:fldChar w:fldCharType="begin"/>
      </w:r>
      <w:r w:rsidRPr="00037C61">
        <w:rPr>
          <w:lang w:val="en-GB"/>
        </w:rPr>
        <w:instrText xml:space="preserve"> REF _Ref52361684 \h </w:instrText>
      </w:r>
      <w:r w:rsidRPr="00037C61">
        <w:rPr>
          <w:lang w:val="en-GB"/>
        </w:rPr>
      </w:r>
      <w:r w:rsidRPr="00037C61">
        <w:rPr>
          <w:lang w:val="en-GB"/>
        </w:rPr>
        <w:fldChar w:fldCharType="separate"/>
      </w:r>
      <w:r w:rsidR="002E4788" w:rsidRPr="00037C61">
        <w:rPr>
          <w:lang w:val="en-GB"/>
        </w:rPr>
        <w:t xml:space="preserve">Figure </w:t>
      </w:r>
      <w:r w:rsidR="002E4788">
        <w:rPr>
          <w:noProof/>
          <w:lang w:val="en-GB"/>
        </w:rPr>
        <w:t>27</w:t>
      </w:r>
      <w:r w:rsidRPr="00037C61">
        <w:rPr>
          <w:lang w:val="en-GB"/>
        </w:rPr>
        <w:fldChar w:fldCharType="end"/>
      </w:r>
      <w:r w:rsidRPr="00037C61">
        <w:rPr>
          <w:lang w:val="en-GB"/>
        </w:rPr>
        <w:t>)</w:t>
      </w:r>
    </w:p>
    <w:tbl>
      <w:tblPr>
        <w:tblStyle w:val="ListTable3-Accent11"/>
        <w:tblW w:w="915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996"/>
        <w:gridCol w:w="4570"/>
      </w:tblGrid>
      <w:tr w:rsidR="00BF017C" w:rsidRPr="00037C61" w14:paraId="1DD75098" w14:textId="77777777" w:rsidTr="74CEAA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shd w:val="clear" w:color="auto" w:fill="auto"/>
          </w:tcPr>
          <w:p w14:paraId="7351C96A" w14:textId="631D580E" w:rsidR="00BF017C" w:rsidRPr="00037C61" w:rsidRDefault="00BF017C" w:rsidP="00BF017C">
            <w:pPr>
              <w:rPr>
                <w:lang w:val="en-GB"/>
              </w:rPr>
            </w:pPr>
            <w:r w:rsidRPr="00037C61">
              <w:rPr>
                <w:noProof/>
                <w:lang w:val="ro-RO" w:eastAsia="ro-RO"/>
              </w:rPr>
              <w:lastRenderedPageBreak/>
              <w:drawing>
                <wp:inline distT="0" distB="0" distL="0" distR="0" wp14:anchorId="270BFD55" wp14:editId="7F2BC81A">
                  <wp:extent cx="2762250" cy="1898015"/>
                  <wp:effectExtent l="0" t="0" r="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pic:nvPicPr>
                        <pic:blipFill>
                          <a:blip r:embed="rId65">
                            <a:extLst>
                              <a:ext uri="{28A0092B-C50C-407E-A947-70E740481C1C}">
                                <a14:useLocalDpi xmlns:a14="http://schemas.microsoft.com/office/drawing/2010/main"/>
                              </a:ext>
                            </a:extLst>
                          </a:blip>
                          <a:stretch>
                            <a:fillRect/>
                          </a:stretch>
                        </pic:blipFill>
                        <pic:spPr>
                          <a:xfrm>
                            <a:off x="0" y="0"/>
                            <a:ext cx="2762250" cy="1898015"/>
                          </a:xfrm>
                          <a:prstGeom prst="rect">
                            <a:avLst/>
                          </a:prstGeom>
                        </pic:spPr>
                      </pic:pic>
                    </a:graphicData>
                  </a:graphic>
                </wp:inline>
              </w:drawing>
            </w:r>
          </w:p>
        </w:tc>
        <w:tc>
          <w:tcPr>
            <w:tcW w:w="0" w:type="dxa"/>
            <w:shd w:val="clear" w:color="auto" w:fill="auto"/>
          </w:tcPr>
          <w:p w14:paraId="23A8CD43" w14:textId="5D1AFB8D" w:rsidR="00BF017C" w:rsidRPr="00037C61" w:rsidRDefault="00BF017C" w:rsidP="00F60720">
            <w:pPr>
              <w:ind w:left="-287"/>
              <w:cnfStyle w:val="100000000000" w:firstRow="1" w:lastRow="0" w:firstColumn="0" w:lastColumn="0" w:oddVBand="0" w:evenVBand="0" w:oddHBand="0" w:evenHBand="0" w:firstRowFirstColumn="0" w:firstRowLastColumn="0" w:lastRowFirstColumn="0" w:lastRowLastColumn="0"/>
              <w:rPr>
                <w:lang w:val="en-GB"/>
              </w:rPr>
            </w:pPr>
            <w:r w:rsidRPr="00037C61">
              <w:rPr>
                <w:noProof/>
                <w:lang w:val="ro-RO" w:eastAsia="ro-RO"/>
              </w:rPr>
              <w:drawing>
                <wp:inline distT="0" distB="0" distL="0" distR="0" wp14:anchorId="57D38B43" wp14:editId="45C33BC2">
                  <wp:extent cx="2742488" cy="1885950"/>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66">
                            <a:extLst>
                              <a:ext uri="{28A0092B-C50C-407E-A947-70E740481C1C}">
                                <a14:useLocalDpi xmlns:a14="http://schemas.microsoft.com/office/drawing/2010/main"/>
                              </a:ext>
                            </a:extLst>
                          </a:blip>
                          <a:stretch>
                            <a:fillRect/>
                          </a:stretch>
                        </pic:blipFill>
                        <pic:spPr>
                          <a:xfrm>
                            <a:off x="0" y="0"/>
                            <a:ext cx="2742488" cy="1885950"/>
                          </a:xfrm>
                          <a:prstGeom prst="rect">
                            <a:avLst/>
                          </a:prstGeom>
                        </pic:spPr>
                      </pic:pic>
                    </a:graphicData>
                  </a:graphic>
                </wp:inline>
              </w:drawing>
            </w:r>
          </w:p>
        </w:tc>
      </w:tr>
      <w:tr w:rsidR="00BF017C" w:rsidRPr="00037C61" w14:paraId="77035B6E" w14:textId="77777777" w:rsidTr="74CEAA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683B951B" w14:textId="77777777" w:rsidR="00BF017C" w:rsidRPr="00037C61" w:rsidRDefault="00BF017C" w:rsidP="00BF017C">
            <w:pPr>
              <w:rPr>
                <w:lang w:val="en-GB"/>
              </w:rPr>
            </w:pPr>
            <w:r w:rsidRPr="00037C61">
              <w:rPr>
                <w:noProof/>
                <w:lang w:val="ro-RO" w:eastAsia="ro-RO"/>
              </w:rPr>
              <w:drawing>
                <wp:inline distT="0" distB="0" distL="0" distR="0" wp14:anchorId="18163472" wp14:editId="7087F979">
                  <wp:extent cx="3035799" cy="220027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67">
                            <a:extLst>
                              <a:ext uri="{28A0092B-C50C-407E-A947-70E740481C1C}">
                                <a14:useLocalDpi xmlns:a14="http://schemas.microsoft.com/office/drawing/2010/main"/>
                              </a:ext>
                            </a:extLst>
                          </a:blip>
                          <a:stretch>
                            <a:fillRect/>
                          </a:stretch>
                        </pic:blipFill>
                        <pic:spPr>
                          <a:xfrm>
                            <a:off x="0" y="0"/>
                            <a:ext cx="3035799" cy="2200275"/>
                          </a:xfrm>
                          <a:prstGeom prst="rect">
                            <a:avLst/>
                          </a:prstGeom>
                        </pic:spPr>
                      </pic:pic>
                    </a:graphicData>
                  </a:graphic>
                </wp:inline>
              </w:drawing>
            </w:r>
          </w:p>
        </w:tc>
        <w:tc>
          <w:tcPr>
            <w:tcW w:w="0" w:type="dxa"/>
            <w:shd w:val="clear" w:color="auto" w:fill="auto"/>
          </w:tcPr>
          <w:p w14:paraId="50D42E5C" w14:textId="0046DBE7" w:rsidR="00BF017C" w:rsidRPr="00037C61" w:rsidRDefault="00BF017C" w:rsidP="00BF017C">
            <w:pPr>
              <w:cnfStyle w:val="000000100000" w:firstRow="0" w:lastRow="0" w:firstColumn="0" w:lastColumn="0" w:oddVBand="0" w:evenVBand="0" w:oddHBand="1" w:evenHBand="0" w:firstRowFirstColumn="0" w:firstRowLastColumn="0" w:lastRowFirstColumn="0" w:lastRowLastColumn="0"/>
              <w:rPr>
                <w:lang w:val="en-GB"/>
              </w:rPr>
            </w:pPr>
            <w:r w:rsidRPr="00037C61">
              <w:rPr>
                <w:noProof/>
                <w:lang w:val="ro-RO" w:eastAsia="ro-RO"/>
              </w:rPr>
              <w:drawing>
                <wp:inline distT="0" distB="0" distL="0" distR="0" wp14:anchorId="487E92FE" wp14:editId="328AC5A9">
                  <wp:extent cx="2765146" cy="2209893"/>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68">
                            <a:extLst>
                              <a:ext uri="{28A0092B-C50C-407E-A947-70E740481C1C}">
                                <a14:useLocalDpi xmlns:a14="http://schemas.microsoft.com/office/drawing/2010/main"/>
                              </a:ext>
                            </a:extLst>
                          </a:blip>
                          <a:stretch>
                            <a:fillRect/>
                          </a:stretch>
                        </pic:blipFill>
                        <pic:spPr>
                          <a:xfrm>
                            <a:off x="0" y="0"/>
                            <a:ext cx="2765146" cy="2209893"/>
                          </a:xfrm>
                          <a:prstGeom prst="rect">
                            <a:avLst/>
                          </a:prstGeom>
                        </pic:spPr>
                      </pic:pic>
                    </a:graphicData>
                  </a:graphic>
                </wp:inline>
              </w:drawing>
            </w:r>
          </w:p>
        </w:tc>
      </w:tr>
    </w:tbl>
    <w:p w14:paraId="055E4153" w14:textId="015653BC" w:rsidR="3C1461C6" w:rsidRPr="00037C61" w:rsidRDefault="3C1461C6">
      <w:pPr>
        <w:rPr>
          <w:lang w:val="en-GB"/>
        </w:rPr>
      </w:pPr>
    </w:p>
    <w:p w14:paraId="56D78D43" w14:textId="3820E759" w:rsidR="00BF017C" w:rsidRPr="00037C61" w:rsidRDefault="00BF017C" w:rsidP="009F6717">
      <w:pPr>
        <w:pStyle w:val="Caption"/>
        <w:jc w:val="left"/>
        <w:rPr>
          <w:lang w:val="en-GB"/>
        </w:rPr>
      </w:pPr>
      <w:bookmarkStart w:id="157" w:name="_Ref52361684"/>
      <w:bookmarkStart w:id="158" w:name="_Toc6461097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27</w:t>
      </w:r>
      <w:r w:rsidR="00412697">
        <w:rPr>
          <w:lang w:val="en-GB"/>
        </w:rPr>
        <w:fldChar w:fldCharType="end"/>
      </w:r>
      <w:bookmarkEnd w:id="157"/>
      <w:r w:rsidR="00407D22" w:rsidRPr="00037C61">
        <w:rPr>
          <w:lang w:val="en-GB"/>
        </w:rPr>
        <w:t xml:space="preserve"> -</w:t>
      </w:r>
      <w:r w:rsidR="00AC79ED" w:rsidRPr="00037C61">
        <w:rPr>
          <w:lang w:val="en-GB"/>
        </w:rPr>
        <w:t xml:space="preserve"> </w:t>
      </w:r>
      <w:r w:rsidRPr="00037C61">
        <w:rPr>
          <w:lang w:val="en-GB"/>
        </w:rPr>
        <w:t>Age pyramids in Romanian counties for 2018</w:t>
      </w:r>
      <w:bookmarkEnd w:id="158"/>
    </w:p>
    <w:p w14:paraId="1674BF1E" w14:textId="77777777" w:rsidR="00BF017C" w:rsidRPr="00037C61" w:rsidRDefault="00BF017C" w:rsidP="000A6CA8">
      <w:pPr>
        <w:rPr>
          <w:lang w:val="en-GB"/>
        </w:rPr>
      </w:pPr>
    </w:p>
    <w:p w14:paraId="53BECFB7" w14:textId="40CEDBCA" w:rsidR="00921D9C" w:rsidRPr="00037C61" w:rsidRDefault="00921D9C" w:rsidP="000301D9">
      <w:pPr>
        <w:pStyle w:val="Heading4"/>
        <w:rPr>
          <w:lang w:val="en-GB"/>
        </w:rPr>
      </w:pPr>
      <w:r w:rsidRPr="00037C61">
        <w:rPr>
          <w:lang w:val="en-GB"/>
        </w:rPr>
        <w:t>Ageing index and dependency ratio: specific factors in the area</w:t>
      </w:r>
    </w:p>
    <w:p w14:paraId="16F1C211" w14:textId="5F581D33" w:rsidR="000A6CA8" w:rsidRPr="00037C61" w:rsidRDefault="00897AF6" w:rsidP="005E0849">
      <w:pPr>
        <w:pStyle w:val="InterregROHUBullet1"/>
        <w:numPr>
          <w:ilvl w:val="0"/>
          <w:numId w:val="0"/>
        </w:numPr>
      </w:pPr>
      <w:r w:rsidRPr="00037C61">
        <w:rPr>
          <w:bCs w:val="0"/>
          <w:noProof/>
          <w:lang w:val="ro-RO" w:eastAsia="ro-RO"/>
        </w:rPr>
        <w:drawing>
          <wp:anchor distT="0" distB="0" distL="114300" distR="114300" simplePos="0" relativeHeight="251687424" behindDoc="0" locked="0" layoutInCell="1" allowOverlap="1" wp14:anchorId="668EF9E3" wp14:editId="51AF91EE">
            <wp:simplePos x="0" y="0"/>
            <wp:positionH relativeFrom="margin">
              <wp:align>right</wp:align>
            </wp:positionH>
            <wp:positionV relativeFrom="paragraph">
              <wp:posOffset>10160</wp:posOffset>
            </wp:positionV>
            <wp:extent cx="2706370" cy="3535680"/>
            <wp:effectExtent l="0" t="0" r="0" b="762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2706370" cy="353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79ED" w:rsidRPr="00037C61">
        <w:t>Due to the local population dynamics exposed above,</w:t>
      </w:r>
      <w:r w:rsidR="00AC79ED" w:rsidRPr="00037C61">
        <w:rPr>
          <w:b/>
        </w:rPr>
        <w:t xml:space="preserve"> a</w:t>
      </w:r>
      <w:r w:rsidR="52230E0C" w:rsidRPr="00037C61">
        <w:rPr>
          <w:b/>
        </w:rPr>
        <w:t>ge dependency ratio</w:t>
      </w:r>
      <w:r w:rsidR="52230E0C" w:rsidRPr="00037C61">
        <w:t xml:space="preserve"> (population aged 0-14 and 65 and more to population aged 15-64) has constantly increased in the last six years in all the counties from the PA.  In 2019, the highest values were registered in Békés (53.2%), Csongrád-Csanád (51.5%) and Arad (50.5%), while the lowest were in Timiș (43.6%). </w:t>
      </w:r>
      <w:r w:rsidR="52230E0C" w:rsidRPr="00037C61">
        <w:rPr>
          <w:b/>
        </w:rPr>
        <w:t xml:space="preserve">This increase in age dependency ration puts pressure on the </w:t>
      </w:r>
      <w:r w:rsidR="007445F1" w:rsidRPr="00037C61">
        <w:rPr>
          <w:b/>
        </w:rPr>
        <w:t>socio-</w:t>
      </w:r>
      <w:r w:rsidR="00921D9C" w:rsidRPr="00037C61">
        <w:rPr>
          <w:b/>
        </w:rPr>
        <w:t>economic</w:t>
      </w:r>
      <w:r w:rsidR="52230E0C" w:rsidRPr="00037C61">
        <w:rPr>
          <w:b/>
        </w:rPr>
        <w:t xml:space="preserve"> policy measures in the PA</w:t>
      </w:r>
      <w:r w:rsidR="52230E0C" w:rsidRPr="00037C61">
        <w:t xml:space="preserve">. </w:t>
      </w:r>
    </w:p>
    <w:p w14:paraId="1C98BCD3" w14:textId="52650BB6" w:rsidR="00897AF6" w:rsidRPr="00037C61" w:rsidRDefault="00DB5277" w:rsidP="002E4788">
      <w:pPr>
        <w:rPr>
          <w:lang w:val="en-GB"/>
        </w:rPr>
      </w:pPr>
      <w:r w:rsidRPr="00037C61">
        <w:rPr>
          <w:lang w:val="en-GB"/>
        </w:rPr>
        <w:t xml:space="preserve">A higher dependency ratio of the population can be observed at LAU 2 level in the </w:t>
      </w:r>
      <w:r w:rsidRPr="00037C61">
        <w:rPr>
          <w:b/>
          <w:bCs/>
          <w:lang w:val="en-GB"/>
        </w:rPr>
        <w:t>more rural or remote areas</w:t>
      </w:r>
      <w:r w:rsidRPr="00037C61">
        <w:rPr>
          <w:lang w:val="en-GB"/>
        </w:rPr>
        <w:t>, specifically in Bihor, Arad and B</w:t>
      </w:r>
      <w:r w:rsidR="00897140" w:rsidRPr="00037C61">
        <w:rPr>
          <w:lang w:val="en-GB"/>
        </w:rPr>
        <w:t>é</w:t>
      </w:r>
      <w:r w:rsidRPr="00037C61">
        <w:rPr>
          <w:lang w:val="en-GB"/>
        </w:rPr>
        <w:t>k</w:t>
      </w:r>
      <w:r w:rsidR="00897140" w:rsidRPr="00037C61">
        <w:rPr>
          <w:lang w:val="en-GB"/>
        </w:rPr>
        <w:t>é</w:t>
      </w:r>
      <w:r w:rsidRPr="00037C61">
        <w:rPr>
          <w:lang w:val="en-GB"/>
        </w:rPr>
        <w:t>s</w:t>
      </w:r>
      <w:r w:rsidR="00C86781" w:rsidRPr="00037C61">
        <w:rPr>
          <w:lang w:val="en-GB"/>
        </w:rPr>
        <w:t xml:space="preserve"> (areas with density of under 100 inhabitants / km</w:t>
      </w:r>
      <w:r w:rsidR="00C86781" w:rsidRPr="00037C61">
        <w:rPr>
          <w:vertAlign w:val="superscript"/>
          <w:lang w:val="en-GB"/>
        </w:rPr>
        <w:t xml:space="preserve">2 </w:t>
      </w:r>
      <w:r w:rsidR="00C86781" w:rsidRPr="00037C61">
        <w:rPr>
          <w:lang w:val="en-GB"/>
        </w:rPr>
        <w:t xml:space="preserve">as illustrated in Figure </w:t>
      </w:r>
      <w:r w:rsidR="002E4788">
        <w:rPr>
          <w:lang w:val="en-GB"/>
        </w:rPr>
        <w:t>28</w:t>
      </w:r>
      <w:r w:rsidR="00C86781" w:rsidRPr="00037C61">
        <w:rPr>
          <w:lang w:val="en-GB"/>
        </w:rPr>
        <w:t>)</w:t>
      </w:r>
      <w:r w:rsidR="00897AF6" w:rsidRPr="00037C61">
        <w:rPr>
          <w:lang w:val="en-GB"/>
        </w:rPr>
        <w:t>.</w:t>
      </w:r>
      <w:r w:rsidRPr="00037C61">
        <w:rPr>
          <w:lang w:val="en-GB"/>
        </w:rPr>
        <w:t xml:space="preserve"> </w:t>
      </w:r>
    </w:p>
    <w:p w14:paraId="09866DF8" w14:textId="77777777" w:rsidR="00897AF6" w:rsidRPr="00037C61" w:rsidRDefault="00897AF6" w:rsidP="00897AF6">
      <w:pPr>
        <w:keepNext/>
        <w:spacing w:after="0"/>
        <w:rPr>
          <w:lang w:val="en-GB"/>
        </w:rPr>
      </w:pPr>
    </w:p>
    <w:p w14:paraId="2A90BD73" w14:textId="097F2B53" w:rsidR="00897AF6" w:rsidRPr="00037C61" w:rsidRDefault="00897AF6" w:rsidP="00897AF6">
      <w:pPr>
        <w:pStyle w:val="Caption"/>
        <w:jc w:val="both"/>
        <w:rPr>
          <w:lang w:val="en-GB"/>
        </w:rPr>
      </w:pPr>
      <w:bookmarkStart w:id="159" w:name="_Toc6461097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28</w:t>
      </w:r>
      <w:r w:rsidR="00412697">
        <w:rPr>
          <w:lang w:val="en-GB"/>
        </w:rPr>
        <w:fldChar w:fldCharType="end"/>
      </w:r>
      <w:r w:rsidRPr="00037C61">
        <w:rPr>
          <w:lang w:val="en-GB"/>
        </w:rPr>
        <w:t xml:space="preserve"> - Age dependency ratio (population aged 0-14 and 65 and more to pop. aged 15-64)</w:t>
      </w:r>
      <w:bookmarkEnd w:id="159"/>
    </w:p>
    <w:p w14:paraId="0DC0BF1B" w14:textId="77777777" w:rsidR="00897AF6" w:rsidRPr="00037C61" w:rsidRDefault="00897AF6" w:rsidP="00897AF6">
      <w:pPr>
        <w:pStyle w:val="Caption"/>
        <w:jc w:val="both"/>
        <w:rPr>
          <w:lang w:val="en-GB"/>
        </w:rPr>
      </w:pPr>
      <w:r w:rsidRPr="00037C61">
        <w:rPr>
          <w:lang w:val="en-GB"/>
        </w:rPr>
        <w:t>Source: EUROSTAT, Population: Structure indicators by NUTS 3 region [demo_r_pjanind3]</w:t>
      </w:r>
    </w:p>
    <w:p w14:paraId="35E27B79" w14:textId="3670343B" w:rsidR="00897AF6" w:rsidRPr="00037C61" w:rsidRDefault="00897AF6" w:rsidP="00DB5277">
      <w:pPr>
        <w:rPr>
          <w:lang w:val="en-GB"/>
        </w:rPr>
      </w:pPr>
    </w:p>
    <w:p w14:paraId="163189F9" w14:textId="791BB110" w:rsidR="00897AF6" w:rsidRPr="00037C61" w:rsidRDefault="00DB5277" w:rsidP="00555B8D">
      <w:pPr>
        <w:rPr>
          <w:lang w:val="en-GB"/>
        </w:rPr>
      </w:pPr>
      <w:r w:rsidRPr="00037C61">
        <w:rPr>
          <w:lang w:val="en-GB"/>
        </w:rPr>
        <w:t xml:space="preserve">By contrast, the high-growth urban clusters of Timișoara and Arad, as well as the northern part of the area </w:t>
      </w:r>
      <w:r w:rsidR="00D00FFB" w:rsidRPr="00037C61">
        <w:rPr>
          <w:lang w:val="en-GB"/>
        </w:rPr>
        <w:t xml:space="preserve">on both sides of the border </w:t>
      </w:r>
      <w:r w:rsidRPr="00037C61">
        <w:rPr>
          <w:lang w:val="en-GB"/>
        </w:rPr>
        <w:t>feature relativ</w:t>
      </w:r>
      <w:r w:rsidR="00897140" w:rsidRPr="00037C61">
        <w:rPr>
          <w:lang w:val="en-GB"/>
        </w:rPr>
        <w:t>e</w:t>
      </w:r>
      <w:r w:rsidRPr="00037C61">
        <w:rPr>
          <w:lang w:val="en-GB"/>
        </w:rPr>
        <w:t>ly</w:t>
      </w:r>
      <w:r w:rsidR="00BF017C" w:rsidRPr="00037C61">
        <w:rPr>
          <w:lang w:val="en-GB"/>
        </w:rPr>
        <w:t xml:space="preserve"> </w:t>
      </w:r>
      <w:r w:rsidRPr="00037C61">
        <w:rPr>
          <w:lang w:val="en-GB"/>
        </w:rPr>
        <w:t xml:space="preserve">lower values for the dependency ratio. </w:t>
      </w:r>
    </w:p>
    <w:p w14:paraId="0392124E" w14:textId="6F2B591D" w:rsidR="00DB5277" w:rsidRPr="00037C61" w:rsidRDefault="00897AF6" w:rsidP="00DB5277">
      <w:pPr>
        <w:keepNext/>
        <w:spacing w:after="0"/>
        <w:rPr>
          <w:lang w:val="en-GB"/>
        </w:rPr>
      </w:pPr>
      <w:r w:rsidRPr="00037C61">
        <w:rPr>
          <w:noProof/>
          <w:lang w:val="ro-RO" w:eastAsia="ro-RO"/>
        </w:rPr>
        <w:drawing>
          <wp:anchor distT="0" distB="0" distL="114300" distR="114300" simplePos="0" relativeHeight="251639296" behindDoc="0" locked="0" layoutInCell="1" allowOverlap="1" wp14:anchorId="36549893" wp14:editId="587F0D47">
            <wp:simplePos x="0" y="0"/>
            <wp:positionH relativeFrom="column">
              <wp:posOffset>3078480</wp:posOffset>
            </wp:positionH>
            <wp:positionV relativeFrom="paragraph">
              <wp:posOffset>169545</wp:posOffset>
            </wp:positionV>
            <wp:extent cx="2731770" cy="3535680"/>
            <wp:effectExtent l="0" t="0" r="0" b="7620"/>
            <wp:wrapSquare wrapText="bothSides"/>
            <wp:docPr id="1490160149" name="Picture 149016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70">
                      <a:extLst>
                        <a:ext uri="{28A0092B-C50C-407E-A947-70E740481C1C}">
                          <a14:useLocalDpi xmlns:a14="http://schemas.microsoft.com/office/drawing/2010/main"/>
                        </a:ext>
                      </a:extLst>
                    </a:blip>
                    <a:stretch>
                      <a:fillRect/>
                    </a:stretch>
                  </pic:blipFill>
                  <pic:spPr>
                    <a:xfrm>
                      <a:off x="0" y="0"/>
                      <a:ext cx="2731770" cy="3535680"/>
                    </a:xfrm>
                    <a:prstGeom prst="rect">
                      <a:avLst/>
                    </a:prstGeom>
                  </pic:spPr>
                </pic:pic>
              </a:graphicData>
            </a:graphic>
            <wp14:sizeRelH relativeFrom="margin">
              <wp14:pctWidth>0</wp14:pctWidth>
            </wp14:sizeRelH>
            <wp14:sizeRelV relativeFrom="margin">
              <wp14:pctHeight>0</wp14:pctHeight>
            </wp14:sizeRelV>
          </wp:anchor>
        </w:drawing>
      </w:r>
    </w:p>
    <w:p w14:paraId="7C5A6973" w14:textId="77777777" w:rsidR="00897AF6" w:rsidRPr="00037C61" w:rsidRDefault="52230E0C" w:rsidP="00DB5277">
      <w:pPr>
        <w:pStyle w:val="InterregROHUBullet1"/>
        <w:numPr>
          <w:ilvl w:val="0"/>
          <w:numId w:val="0"/>
        </w:numPr>
      </w:pPr>
      <w:r w:rsidRPr="00037C61">
        <w:rPr>
          <w:b/>
          <w:bCs w:val="0"/>
        </w:rPr>
        <w:t>Old age dependency ratio</w:t>
      </w:r>
      <w:r w:rsidRPr="00037C61">
        <w:t xml:space="preserve"> (the ratio of population aged 65 and over to the working age population of 15 to 64 years) has increased in the last six years in all the counties of the PA. The increase of this indicator has impact over the labour force, health and social protection public policies. </w:t>
      </w:r>
    </w:p>
    <w:p w14:paraId="17A8E697" w14:textId="629FF100" w:rsidR="00DB5277" w:rsidRPr="00037C61" w:rsidRDefault="52230E0C" w:rsidP="00DB5277">
      <w:pPr>
        <w:pStyle w:val="InterregROHUBullet1"/>
        <w:numPr>
          <w:ilvl w:val="0"/>
          <w:numId w:val="0"/>
        </w:numPr>
      </w:pPr>
      <w:r w:rsidRPr="00037C61">
        <w:t>The old age dependency ratio is higher in Békés (33.5%), Csongrád-Csanád (31.2%), Arad (27.7%) and Hajdú-Bihar (27%). The lowest values have been registered in Timiș (22.4%), Satu Mare (23.8%) and Szabolcs-Szatmár-Bereg (24%). (</w:t>
      </w:r>
      <w:r w:rsidR="00C847F8">
        <w:fldChar w:fldCharType="begin"/>
      </w:r>
      <w:r w:rsidR="00C847F8">
        <w:instrText xml:space="preserve"> REF _Ref64609365 \h </w:instrText>
      </w:r>
      <w:r w:rsidR="00C847F8">
        <w:fldChar w:fldCharType="separate"/>
      </w:r>
      <w:r w:rsidR="00C847F8" w:rsidRPr="00037C61">
        <w:t xml:space="preserve">Figure </w:t>
      </w:r>
      <w:r w:rsidR="00C847F8">
        <w:rPr>
          <w:noProof/>
        </w:rPr>
        <w:t>28</w:t>
      </w:r>
      <w:r w:rsidR="00C847F8">
        <w:fldChar w:fldCharType="end"/>
      </w:r>
      <w:r w:rsidRPr="00037C61">
        <w:t>)</w:t>
      </w:r>
    </w:p>
    <w:p w14:paraId="466E6442" w14:textId="75F3F012" w:rsidR="00897AF6" w:rsidRPr="00037C61" w:rsidRDefault="00897AF6" w:rsidP="00DB5277">
      <w:pPr>
        <w:pStyle w:val="InterregROHUBullet1"/>
        <w:numPr>
          <w:ilvl w:val="0"/>
          <w:numId w:val="0"/>
        </w:numPr>
      </w:pPr>
    </w:p>
    <w:p w14:paraId="2A4DDC26" w14:textId="77777777" w:rsidR="00897AF6" w:rsidRPr="00037C61" w:rsidRDefault="00897AF6" w:rsidP="00DB5277">
      <w:pPr>
        <w:pStyle w:val="InterregROHUBullet1"/>
        <w:numPr>
          <w:ilvl w:val="0"/>
          <w:numId w:val="0"/>
        </w:numPr>
      </w:pPr>
    </w:p>
    <w:p w14:paraId="6D09AEFA" w14:textId="3C32123B" w:rsidR="00C86781" w:rsidRPr="00037C61" w:rsidRDefault="00C86781" w:rsidP="00C86781">
      <w:pPr>
        <w:pStyle w:val="Caption"/>
        <w:rPr>
          <w:lang w:val="en-GB"/>
        </w:rPr>
      </w:pPr>
    </w:p>
    <w:p w14:paraId="0AC6356F" w14:textId="2CED687D" w:rsidR="00C847F8" w:rsidRDefault="006127E0" w:rsidP="006127E0">
      <w:pPr>
        <w:pStyle w:val="Caption"/>
        <w:jc w:val="both"/>
        <w:rPr>
          <w:lang w:val="en-GB"/>
        </w:rPr>
      </w:pPr>
      <w:bookmarkStart w:id="160" w:name="_Ref64609365"/>
      <w:bookmarkStart w:id="161" w:name="_Toc64610977"/>
      <w:r w:rsidRPr="00037C61">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28</w:t>
      </w:r>
      <w:r>
        <w:rPr>
          <w:lang w:val="en-GB"/>
        </w:rPr>
        <w:fldChar w:fldCharType="end"/>
      </w:r>
      <w:bookmarkEnd w:id="160"/>
      <w:r w:rsidRPr="00037C61">
        <w:rPr>
          <w:lang w:val="en-GB"/>
        </w:rPr>
        <w:t xml:space="preserve"> - </w:t>
      </w:r>
      <w:r w:rsidRPr="006127E0">
        <w:rPr>
          <w:lang w:val="en-GB"/>
        </w:rPr>
        <w:t>Old age dependency ratio at NUTS 3 level.</w:t>
      </w:r>
      <w:bookmarkEnd w:id="161"/>
      <w:r w:rsidRPr="006127E0">
        <w:rPr>
          <w:lang w:val="en-GB"/>
        </w:rPr>
        <w:t xml:space="preserve"> </w:t>
      </w:r>
    </w:p>
    <w:p w14:paraId="2E276644" w14:textId="0C1F5732" w:rsidR="00897AF6" w:rsidRPr="00037C61" w:rsidRDefault="00C86781" w:rsidP="00C86781">
      <w:pPr>
        <w:rPr>
          <w:rFonts w:eastAsiaTheme="minorEastAsia"/>
          <w:i/>
          <w:iCs/>
          <w:color w:val="012751" w:themeColor="accent1" w:themeShade="80"/>
          <w:sz w:val="18"/>
          <w:szCs w:val="18"/>
          <w:lang w:val="en-GB"/>
        </w:rPr>
      </w:pPr>
      <w:r w:rsidRPr="00037C61">
        <w:rPr>
          <w:rFonts w:eastAsiaTheme="minorEastAsia"/>
          <w:i/>
          <w:iCs/>
          <w:color w:val="012751" w:themeColor="accent1" w:themeShade="80"/>
          <w:sz w:val="18"/>
          <w:szCs w:val="18"/>
          <w:lang w:val="en-GB"/>
        </w:rPr>
        <w:t>Source: EUROSTAT, Population: Structure indicators by NUTS 3 region [demo_r_pjanind3</w:t>
      </w:r>
      <w:r w:rsidR="00897AF6" w:rsidRPr="00037C61">
        <w:rPr>
          <w:rFonts w:eastAsiaTheme="minorEastAsia"/>
          <w:i/>
          <w:iCs/>
          <w:color w:val="012751" w:themeColor="accent1" w:themeShade="80"/>
          <w:sz w:val="18"/>
          <w:szCs w:val="18"/>
          <w:lang w:val="en-GB"/>
        </w:rPr>
        <w:t>]</w:t>
      </w:r>
    </w:p>
    <w:p w14:paraId="1CB1AA63" w14:textId="502C0CD8" w:rsidR="00897AF6" w:rsidRPr="00037C61" w:rsidRDefault="00897AF6" w:rsidP="00C86781">
      <w:pPr>
        <w:rPr>
          <w:highlight w:val="yellow"/>
          <w:lang w:val="en-GB"/>
        </w:rPr>
      </w:pPr>
      <w:r w:rsidRPr="00037C61">
        <w:rPr>
          <w:noProof/>
          <w:lang w:val="ro-RO" w:eastAsia="ro-RO"/>
        </w:rPr>
        <w:drawing>
          <wp:anchor distT="0" distB="0" distL="114300" distR="114300" simplePos="0" relativeHeight="251636224" behindDoc="0" locked="0" layoutInCell="1" allowOverlap="1" wp14:anchorId="79139E7D" wp14:editId="2D01F86D">
            <wp:simplePos x="0" y="0"/>
            <wp:positionH relativeFrom="margin">
              <wp:align>left</wp:align>
            </wp:positionH>
            <wp:positionV relativeFrom="paragraph">
              <wp:posOffset>265430</wp:posOffset>
            </wp:positionV>
            <wp:extent cx="3242310" cy="2766060"/>
            <wp:effectExtent l="0" t="0" r="15240" b="15240"/>
            <wp:wrapSquare wrapText="bothSides"/>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V relativeFrom="margin">
              <wp14:pctHeight>0</wp14:pctHeight>
            </wp14:sizeRelV>
          </wp:anchor>
        </w:drawing>
      </w:r>
    </w:p>
    <w:p w14:paraId="75272EF3" w14:textId="4110D971" w:rsidR="00921D9C" w:rsidRPr="00037C61" w:rsidRDefault="00921D9C" w:rsidP="3C1461C6">
      <w:pPr>
        <w:rPr>
          <w:lang w:val="en-GB"/>
        </w:rPr>
      </w:pPr>
      <w:r w:rsidRPr="00037C61">
        <w:rPr>
          <w:b/>
          <w:bCs/>
          <w:lang w:val="en-GB"/>
        </w:rPr>
        <w:t>The ageing index</w:t>
      </w:r>
      <w:r w:rsidRPr="00037C61">
        <w:rPr>
          <w:lang w:val="en-GB"/>
        </w:rPr>
        <w:t xml:space="preserve"> (the ratio of the number of elderly persons (aged 65 and over) to the number of young persons (from 0 to 14) has increased in all the counties of the PA as a consequence of the advanced ageing population process. Taken into consideration the number of people over 65 years old, the highest values of the ageing index are in Békés (158.5%), Csongrád</w:t>
      </w:r>
      <w:r w:rsidR="5B2F7DE9" w:rsidRPr="00037C61">
        <w:rPr>
          <w:lang w:val="en-GB"/>
        </w:rPr>
        <w:t>-</w:t>
      </w:r>
      <w:r w:rsidR="5B2F7DE9" w:rsidRPr="00037C61">
        <w:rPr>
          <w:rFonts w:eastAsia="Calibri" w:cs="Calibri"/>
          <w:color w:val="000000" w:themeColor="text1"/>
          <w:lang w:val="en-GB"/>
        </w:rPr>
        <w:t>Csanád</w:t>
      </w:r>
      <w:r w:rsidRPr="00037C61">
        <w:rPr>
          <w:lang w:val="en-GB"/>
        </w:rPr>
        <w:t xml:space="preserve"> (147.9%), Arad (119.6%) and Hajdú-Bihar (116.3%). </w:t>
      </w:r>
      <w:r w:rsidR="6446A0E8" w:rsidRPr="00037C61">
        <w:rPr>
          <w:lang w:val="en-GB"/>
        </w:rPr>
        <w:t>(</w:t>
      </w:r>
      <w:r w:rsidRPr="00037C61">
        <w:rPr>
          <w:lang w:val="en-GB"/>
        </w:rPr>
        <w:fldChar w:fldCharType="begin"/>
      </w:r>
      <w:r w:rsidRPr="00037C61">
        <w:rPr>
          <w:lang w:val="en-GB"/>
        </w:rPr>
        <w:instrText xml:space="preserve"> REF _Ref52365965 \h </w:instrText>
      </w:r>
      <w:r w:rsidRPr="00037C61">
        <w:rPr>
          <w:lang w:val="en-GB"/>
        </w:rPr>
      </w:r>
      <w:r w:rsidRPr="00037C61">
        <w:rPr>
          <w:lang w:val="en-GB"/>
        </w:rPr>
        <w:fldChar w:fldCharType="separate"/>
      </w:r>
      <w:r w:rsidR="00C847F8" w:rsidRPr="00037C61">
        <w:rPr>
          <w:lang w:val="en-GB"/>
        </w:rPr>
        <w:t xml:space="preserve">Figure </w:t>
      </w:r>
      <w:r w:rsidR="00C847F8">
        <w:rPr>
          <w:noProof/>
          <w:lang w:val="en-GB"/>
        </w:rPr>
        <w:t>29</w:t>
      </w:r>
      <w:r w:rsidR="00C847F8" w:rsidRPr="00037C61">
        <w:rPr>
          <w:lang w:val="en-GB"/>
        </w:rPr>
        <w:t xml:space="preserve"> Ageing index in the PA between 2009 - 2018</w:t>
      </w:r>
      <w:r w:rsidRPr="00037C61">
        <w:rPr>
          <w:lang w:val="en-GB"/>
        </w:rPr>
        <w:fldChar w:fldCharType="end"/>
      </w:r>
      <w:r w:rsidRPr="00037C61">
        <w:rPr>
          <w:lang w:val="en-GB"/>
        </w:rPr>
        <w:t>)</w:t>
      </w:r>
    </w:p>
    <w:p w14:paraId="7B412113" w14:textId="6F2A9240" w:rsidR="00921D9C" w:rsidRPr="00037C61" w:rsidRDefault="52230E0C" w:rsidP="00921D9C">
      <w:pPr>
        <w:pStyle w:val="Caption"/>
        <w:jc w:val="both"/>
        <w:rPr>
          <w:lang w:val="en-GB"/>
        </w:rPr>
      </w:pPr>
      <w:bookmarkStart w:id="162" w:name="_Ref52365965"/>
      <w:bookmarkStart w:id="163" w:name="_Toc50657539"/>
      <w:bookmarkStart w:id="164" w:name="_Toc6461097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29</w:t>
      </w:r>
      <w:r w:rsidR="00412697">
        <w:rPr>
          <w:lang w:val="en-GB"/>
        </w:rPr>
        <w:fldChar w:fldCharType="end"/>
      </w:r>
      <w:r w:rsidRPr="00037C61">
        <w:rPr>
          <w:lang w:val="en-GB"/>
        </w:rPr>
        <w:t xml:space="preserve"> Ageing index in the PA between 2009 - 2018</w:t>
      </w:r>
      <w:bookmarkEnd w:id="162"/>
      <w:bookmarkEnd w:id="163"/>
      <w:bookmarkEnd w:id="164"/>
    </w:p>
    <w:p w14:paraId="0C9EDF66" w14:textId="7A342E1D" w:rsidR="00921D9C" w:rsidRPr="00037C61" w:rsidRDefault="00921D9C" w:rsidP="00921D9C">
      <w:pPr>
        <w:pStyle w:val="Caption"/>
        <w:jc w:val="both"/>
        <w:rPr>
          <w:lang w:val="en-GB"/>
        </w:rPr>
      </w:pPr>
      <w:r w:rsidRPr="00037C61">
        <w:rPr>
          <w:lang w:val="en-GB"/>
        </w:rPr>
        <w:t>Source: EUROSTAT, Population: Structure indicators by NUTS 3 region [demo_r_pjanind3]</w:t>
      </w:r>
    </w:p>
    <w:p w14:paraId="49A0AAC1" w14:textId="77777777" w:rsidR="00897AF6" w:rsidRPr="00037C61" w:rsidRDefault="00897AF6" w:rsidP="009F6717">
      <w:pPr>
        <w:jc w:val="center"/>
        <w:rPr>
          <w:lang w:val="en-GB"/>
        </w:rPr>
      </w:pPr>
    </w:p>
    <w:p w14:paraId="6B4DC733" w14:textId="655F58B7" w:rsidR="00DB5277" w:rsidRPr="00037C61" w:rsidRDefault="3F413C9B" w:rsidP="3C1461C6">
      <w:pPr>
        <w:rPr>
          <w:lang w:val="en-GB"/>
        </w:rPr>
      </w:pPr>
      <w:r w:rsidRPr="00037C61">
        <w:rPr>
          <w:lang w:val="en-GB"/>
        </w:rPr>
        <w:t xml:space="preserve">At county level, there are </w:t>
      </w:r>
      <w:r w:rsidRPr="00037C61">
        <w:rPr>
          <w:b/>
          <w:bCs/>
          <w:lang w:val="en-GB"/>
        </w:rPr>
        <w:t>notable disparities</w:t>
      </w:r>
      <w:r w:rsidRPr="00037C61">
        <w:rPr>
          <w:lang w:val="en-GB"/>
        </w:rPr>
        <w:t xml:space="preserve"> between the </w:t>
      </w:r>
      <w:r w:rsidR="00897AF6" w:rsidRPr="00037C61">
        <w:rPr>
          <w:lang w:val="en-GB"/>
        </w:rPr>
        <w:t xml:space="preserve">ageing index of the </w:t>
      </w:r>
      <w:r w:rsidRPr="00037C61">
        <w:rPr>
          <w:lang w:val="en-GB"/>
        </w:rPr>
        <w:t>northern part of the PA (Szabolcs-Szatmár-Bereg and Satu Mare) and the south-western region (Csongrád</w:t>
      </w:r>
      <w:r w:rsidR="6493F58A" w:rsidRPr="00037C61">
        <w:rPr>
          <w:lang w:val="en-GB"/>
        </w:rPr>
        <w:t>-</w:t>
      </w:r>
      <w:r w:rsidR="6493F58A" w:rsidRPr="00037C61">
        <w:rPr>
          <w:rFonts w:eastAsia="Calibri" w:cs="Calibri"/>
          <w:color w:val="000000" w:themeColor="text1"/>
          <w:lang w:val="en-GB"/>
        </w:rPr>
        <w:t>Csanád</w:t>
      </w:r>
      <w:r w:rsidRPr="00037C61">
        <w:rPr>
          <w:lang w:val="en-GB"/>
        </w:rPr>
        <w:t>, Békés)</w:t>
      </w:r>
      <w:r w:rsidR="00897AF6" w:rsidRPr="00037C61">
        <w:rPr>
          <w:lang w:val="en-GB"/>
        </w:rPr>
        <w:t>,</w:t>
      </w:r>
      <w:r w:rsidR="5517C2A7" w:rsidRPr="00037C61">
        <w:rPr>
          <w:lang w:val="en-GB"/>
        </w:rPr>
        <w:t xml:space="preserve"> </w:t>
      </w:r>
      <w:r w:rsidRPr="00037C61">
        <w:rPr>
          <w:lang w:val="en-GB"/>
        </w:rPr>
        <w:t xml:space="preserve">with a higher value recorded for the latter and a lower value (under 100) for the northern counties. </w:t>
      </w:r>
    </w:p>
    <w:p w14:paraId="25040209" w14:textId="60100682" w:rsidR="00921D9C" w:rsidRPr="00037C61" w:rsidRDefault="2A9CDEBA" w:rsidP="00BB1B56">
      <w:pPr>
        <w:pStyle w:val="Heading3"/>
      </w:pPr>
      <w:bookmarkStart w:id="165" w:name="_Toc64619521"/>
      <w:bookmarkStart w:id="166" w:name="_Toc53137181"/>
      <w:bookmarkStart w:id="167" w:name="_Toc50723314"/>
      <w:r w:rsidRPr="00037C61">
        <w:lastRenderedPageBreak/>
        <w:t>Migratory trends and cross-border specificities</w:t>
      </w:r>
      <w:bookmarkEnd w:id="165"/>
      <w:r w:rsidRPr="00037C61">
        <w:t xml:space="preserve"> </w:t>
      </w:r>
      <w:bookmarkEnd w:id="166"/>
      <w:bookmarkEnd w:id="167"/>
    </w:p>
    <w:p w14:paraId="25CEC9D2" w14:textId="43273A53" w:rsidR="00921D9C" w:rsidRPr="00037C61" w:rsidRDefault="52230E0C" w:rsidP="00921D9C">
      <w:pPr>
        <w:pStyle w:val="InterregROHUBullet1"/>
        <w:numPr>
          <w:ilvl w:val="0"/>
          <w:numId w:val="0"/>
        </w:numPr>
        <w:spacing w:after="0"/>
      </w:pPr>
      <w:r w:rsidRPr="00037C61">
        <w:t xml:space="preserve">Migration is a process of utmost importance for both Romania and Hungary. Even though there is a decrease in the net migration values, </w:t>
      </w:r>
      <w:r w:rsidR="00397397" w:rsidRPr="00037C61">
        <w:t>in</w:t>
      </w:r>
      <w:r w:rsidRPr="00037C61">
        <w:t xml:space="preserve">2018, </w:t>
      </w:r>
      <w:r w:rsidR="00397397" w:rsidRPr="00037C61">
        <w:t xml:space="preserve">the </w:t>
      </w:r>
      <w:r w:rsidRPr="00037C61">
        <w:t>rate of net migration is negative in almost all of the counties from the PA except Timiș (5.1</w:t>
      </w:r>
      <w:r w:rsidRPr="00037C61">
        <w:rPr>
          <w:rFonts w:cs="Calibri"/>
        </w:rPr>
        <w:t>‰</w:t>
      </w:r>
      <w:r w:rsidRPr="00037C61">
        <w:t>) and Csongrád-Csanád (2.1‰). The highest negative value of net migration rate was registered in Szabolcs-Szatmár-Bereg (-7.7</w:t>
      </w:r>
      <w:r w:rsidRPr="00037C61">
        <w:rPr>
          <w:rFonts w:cs="Calibri"/>
        </w:rPr>
        <w:t>‰</w:t>
      </w:r>
      <w:r w:rsidRPr="00037C61">
        <w:t xml:space="preserve">). It has to be mentioned that the counties that attracted a significant number of migrants are Timiș, Arad and Csongrád-Csanád. This is due to their economic development, most specifically to the attractiveness of the main urban centres of Timișoara, Arad and Szeged. </w:t>
      </w:r>
    </w:p>
    <w:p w14:paraId="103DC5DA" w14:textId="77777777" w:rsidR="00DB5277" w:rsidRPr="00037C61" w:rsidRDefault="00DB5277" w:rsidP="00921D9C">
      <w:pPr>
        <w:pStyle w:val="InterregROHUBullet1"/>
        <w:numPr>
          <w:ilvl w:val="0"/>
          <w:numId w:val="0"/>
        </w:numPr>
        <w:spacing w:after="0"/>
      </w:pPr>
    </w:p>
    <w:p w14:paraId="092139C3" w14:textId="22EE7452" w:rsidR="00921D9C" w:rsidRPr="00037C61" w:rsidRDefault="00921D9C" w:rsidP="00921D9C">
      <w:pPr>
        <w:pStyle w:val="Caption"/>
        <w:keepNext/>
        <w:jc w:val="both"/>
        <w:rPr>
          <w:lang w:val="en-GB"/>
        </w:rPr>
      </w:pPr>
      <w:r w:rsidRPr="00037C61">
        <w:rPr>
          <w:noProof/>
          <w:lang w:val="ro-RO" w:eastAsia="ro-RO"/>
        </w:rPr>
        <w:drawing>
          <wp:inline distT="0" distB="0" distL="0" distR="0" wp14:anchorId="6F6FFC1A" wp14:editId="3FA43814">
            <wp:extent cx="5743575" cy="2499360"/>
            <wp:effectExtent l="19050" t="19050" r="9525" b="1524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AB1915B" w14:textId="18D575A3" w:rsidR="00921D9C" w:rsidRPr="00037C61" w:rsidRDefault="00921D9C" w:rsidP="00921D9C">
      <w:pPr>
        <w:pStyle w:val="Caption"/>
        <w:jc w:val="both"/>
        <w:rPr>
          <w:lang w:val="en-GB"/>
        </w:rPr>
      </w:pPr>
      <w:bookmarkStart w:id="168" w:name="_Toc50657540"/>
      <w:bookmarkStart w:id="169" w:name="_Toc6461097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30</w:t>
      </w:r>
      <w:r w:rsidR="00412697">
        <w:rPr>
          <w:lang w:val="en-GB"/>
        </w:rPr>
        <w:fldChar w:fldCharType="end"/>
      </w:r>
      <w:r w:rsidRPr="00037C61">
        <w:rPr>
          <w:lang w:val="en-GB"/>
        </w:rPr>
        <w:t xml:space="preserve"> </w:t>
      </w:r>
      <w:r w:rsidR="00407D22" w:rsidRPr="00037C61">
        <w:rPr>
          <w:lang w:val="en-GB"/>
        </w:rPr>
        <w:t>-</w:t>
      </w:r>
      <w:r w:rsidRPr="00037C61">
        <w:rPr>
          <w:lang w:val="en-GB"/>
        </w:rPr>
        <w:t xml:space="preserve"> Rate of net migration plus statistical adjustment (‰) between 2009 - 2018</w:t>
      </w:r>
      <w:bookmarkEnd w:id="168"/>
      <w:bookmarkEnd w:id="169"/>
    </w:p>
    <w:p w14:paraId="69222DA4" w14:textId="77777777" w:rsidR="00921D9C" w:rsidRPr="00037C61" w:rsidRDefault="00921D9C" w:rsidP="00A0707B">
      <w:pPr>
        <w:pStyle w:val="Caption"/>
        <w:spacing w:after="240"/>
        <w:jc w:val="both"/>
        <w:rPr>
          <w:lang w:val="en-GB"/>
        </w:rPr>
      </w:pPr>
      <w:r w:rsidRPr="00037C61">
        <w:rPr>
          <w:lang w:val="en-GB"/>
        </w:rPr>
        <w:t>Source: Population change - Demographic balance and crude rates at regional level (NUTS 3)  [demo_r_gind3]</w:t>
      </w:r>
    </w:p>
    <w:p w14:paraId="64F0EEFE" w14:textId="5C66065D" w:rsidR="00921D9C" w:rsidRPr="00037C61" w:rsidRDefault="52230E0C" w:rsidP="00A0707B">
      <w:pPr>
        <w:pStyle w:val="InterregROHUBullet1"/>
        <w:numPr>
          <w:ilvl w:val="0"/>
          <w:numId w:val="0"/>
        </w:numPr>
        <w:spacing w:after="0"/>
      </w:pPr>
      <w:r w:rsidRPr="00037C61">
        <w:t>Permanent net migration is negative in all the counties from the PA with the highest value in Szabolcs-Szatmár-Bereg (-6.6</w:t>
      </w:r>
      <w:r w:rsidRPr="00037C61">
        <w:rPr>
          <w:rFonts w:cs="Calibri"/>
        </w:rPr>
        <w:t>‰</w:t>
      </w:r>
      <w:r w:rsidRPr="00037C61">
        <w:t>). The Hungarian counties have registered higher negative values of permanent migration than the Romanian ones. (</w:t>
      </w:r>
      <w:r w:rsidR="00921D9C" w:rsidRPr="00037C61">
        <w:fldChar w:fldCharType="begin"/>
      </w:r>
      <w:r w:rsidR="00921D9C" w:rsidRPr="00037C61">
        <w:instrText xml:space="preserve"> REF _Ref52366068 \h </w:instrText>
      </w:r>
      <w:r w:rsidR="00921D9C" w:rsidRPr="00037C61">
        <w:fldChar w:fldCharType="separate"/>
      </w:r>
      <w:r w:rsidR="00C847F8" w:rsidRPr="00037C61">
        <w:t xml:space="preserve">Figure </w:t>
      </w:r>
      <w:r w:rsidR="00C847F8">
        <w:rPr>
          <w:noProof/>
        </w:rPr>
        <w:t>31</w:t>
      </w:r>
      <w:r w:rsidR="00921D9C" w:rsidRPr="00037C61">
        <w:fldChar w:fldCharType="end"/>
      </w:r>
      <w:r w:rsidRPr="00037C61">
        <w:t>) This is mainly due to the poor economic performance of East-Hungary.</w:t>
      </w:r>
    </w:p>
    <w:p w14:paraId="667F8456" w14:textId="3F3CA970" w:rsidR="3F413C9B" w:rsidRPr="00037C61" w:rsidRDefault="00921D9C" w:rsidP="005E0849">
      <w:pPr>
        <w:pStyle w:val="InterregROHUBullet1"/>
        <w:keepNext/>
        <w:numPr>
          <w:ilvl w:val="0"/>
          <w:numId w:val="0"/>
        </w:numPr>
        <w:spacing w:after="0"/>
        <w:jc w:val="left"/>
      </w:pPr>
      <w:r w:rsidRPr="00037C61">
        <w:rPr>
          <w:bCs w:val="0"/>
          <w:noProof/>
          <w:lang w:val="ro-RO" w:eastAsia="ro-RO"/>
        </w:rPr>
        <w:drawing>
          <wp:inline distT="0" distB="0" distL="0" distR="0" wp14:anchorId="7737F2E6" wp14:editId="1A081FE0">
            <wp:extent cx="5743575" cy="2537460"/>
            <wp:effectExtent l="19050" t="19050" r="9525" b="1524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46B2F18" w14:textId="510F1632" w:rsidR="009F6717" w:rsidRPr="00037C61" w:rsidRDefault="00921D9C" w:rsidP="009F6717">
      <w:pPr>
        <w:pStyle w:val="Caption"/>
        <w:jc w:val="both"/>
        <w:rPr>
          <w:lang w:val="en-GB"/>
        </w:rPr>
      </w:pPr>
      <w:bookmarkStart w:id="170" w:name="_Ref52366068"/>
      <w:bookmarkStart w:id="171" w:name="_Toc50657541"/>
      <w:bookmarkStart w:id="172" w:name="_Toc6461098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31</w:t>
      </w:r>
      <w:r w:rsidR="00412697">
        <w:rPr>
          <w:lang w:val="en-GB"/>
        </w:rPr>
        <w:fldChar w:fldCharType="end"/>
      </w:r>
      <w:bookmarkEnd w:id="170"/>
      <w:r w:rsidRPr="00037C61">
        <w:rPr>
          <w:lang w:val="en-GB"/>
        </w:rPr>
        <w:t xml:space="preserve"> - Permanent net migration rate (‰) between 2009 </w:t>
      </w:r>
      <w:r w:rsidR="009F6717" w:rsidRPr="00037C61">
        <w:rPr>
          <w:lang w:val="en-GB"/>
        </w:rPr>
        <w:t>–</w:t>
      </w:r>
      <w:r w:rsidRPr="00037C61">
        <w:rPr>
          <w:lang w:val="en-GB"/>
        </w:rPr>
        <w:t xml:space="preserve"> 2018</w:t>
      </w:r>
      <w:bookmarkEnd w:id="171"/>
      <w:bookmarkEnd w:id="172"/>
      <w:r w:rsidR="009F6717" w:rsidRPr="00037C61">
        <w:rPr>
          <w:lang w:val="en-GB"/>
        </w:rPr>
        <w:t xml:space="preserve"> </w:t>
      </w:r>
    </w:p>
    <w:p w14:paraId="3D62002F" w14:textId="1D40188C" w:rsidR="009F6717" w:rsidRPr="00037C61" w:rsidRDefault="009F6717" w:rsidP="009F6717">
      <w:pPr>
        <w:pStyle w:val="Caption"/>
        <w:jc w:val="both"/>
        <w:rPr>
          <w:lang w:val="en-GB"/>
        </w:rPr>
      </w:pPr>
      <w:r w:rsidRPr="00037C61">
        <w:rPr>
          <w:lang w:val="en-GB"/>
        </w:rPr>
        <w:t>Source: INS, THEIR</w:t>
      </w:r>
    </w:p>
    <w:p w14:paraId="3EFA6AFB" w14:textId="77777777" w:rsidR="00397397" w:rsidRPr="00037C61" w:rsidRDefault="00397397" w:rsidP="005E0849">
      <w:pPr>
        <w:rPr>
          <w:lang w:val="en-GB"/>
        </w:rPr>
      </w:pPr>
    </w:p>
    <w:p w14:paraId="4D0EB842" w14:textId="37838D5C" w:rsidR="00921D9C" w:rsidRPr="00037C61" w:rsidRDefault="00786A30" w:rsidP="00921D9C">
      <w:pPr>
        <w:pStyle w:val="Caption"/>
        <w:jc w:val="both"/>
        <w:rPr>
          <w:lang w:val="en-GB"/>
        </w:rPr>
      </w:pPr>
      <w:r w:rsidRPr="00037C61">
        <w:rPr>
          <w:noProof/>
          <w:lang w:val="ro-RO" w:eastAsia="ro-RO"/>
        </w:rPr>
        <w:lastRenderedPageBreak/>
        <w:drawing>
          <wp:anchor distT="0" distB="0" distL="114300" distR="114300" simplePos="0" relativeHeight="251618816" behindDoc="1" locked="0" layoutInCell="1" allowOverlap="1" wp14:anchorId="324F52C7" wp14:editId="4CB7B900">
            <wp:simplePos x="0" y="0"/>
            <wp:positionH relativeFrom="margin">
              <wp:align>left</wp:align>
            </wp:positionH>
            <wp:positionV relativeFrom="paragraph">
              <wp:posOffset>10795</wp:posOffset>
            </wp:positionV>
            <wp:extent cx="3174365" cy="4160520"/>
            <wp:effectExtent l="0" t="0" r="6985" b="0"/>
            <wp:wrapSquare wrapText="bothSides"/>
            <wp:docPr id="1986207194"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pic:nvPicPr>
                  <pic:blipFill>
                    <a:blip r:embed="rId74" cstate="print">
                      <a:extLst>
                        <a:ext uri="{28A0092B-C50C-407E-A947-70E740481C1C}">
                          <a14:useLocalDpi xmlns:a14="http://schemas.microsoft.com/office/drawing/2010/main"/>
                        </a:ext>
                      </a:extLst>
                    </a:blip>
                    <a:srcRect/>
                    <a:stretch>
                      <a:fillRect/>
                    </a:stretch>
                  </pic:blipFill>
                  <pic:spPr>
                    <a:xfrm>
                      <a:off x="0" y="0"/>
                      <a:ext cx="3174365" cy="4160520"/>
                    </a:xfrm>
                    <a:prstGeom prst="rect">
                      <a:avLst/>
                    </a:prstGeom>
                  </pic:spPr>
                </pic:pic>
              </a:graphicData>
            </a:graphic>
            <wp14:sizeRelH relativeFrom="page">
              <wp14:pctWidth>0</wp14:pctWidth>
            </wp14:sizeRelH>
            <wp14:sizeRelV relativeFrom="page">
              <wp14:pctHeight>0</wp14:pctHeight>
            </wp14:sizeRelV>
          </wp:anchor>
        </w:drawing>
      </w:r>
    </w:p>
    <w:p w14:paraId="7C6464AA" w14:textId="08C183E7" w:rsidR="00521FA3" w:rsidRPr="00037C61" w:rsidRDefault="00921D9C" w:rsidP="00921D9C">
      <w:pPr>
        <w:pStyle w:val="InterregROHUBullet1"/>
        <w:numPr>
          <w:ilvl w:val="0"/>
          <w:numId w:val="0"/>
        </w:numPr>
        <w:spacing w:before="240"/>
      </w:pPr>
      <w:r w:rsidRPr="00037C61">
        <w:rPr>
          <w:b/>
          <w:bCs w:val="0"/>
        </w:rPr>
        <w:t>The internal migration</w:t>
      </w:r>
      <w:r w:rsidRPr="00037C61">
        <w:t xml:space="preserve"> is negative for rural areas, but in the last two years has registered a positive trend for all urban spaces of the Romanian counties of the PA. </w:t>
      </w:r>
    </w:p>
    <w:p w14:paraId="5B4D2490" w14:textId="5146B7CB" w:rsidR="009F6717" w:rsidRPr="00037C61" w:rsidRDefault="009332E5" w:rsidP="00786A30">
      <w:pPr>
        <w:pStyle w:val="InterregROHUBullet1"/>
        <w:numPr>
          <w:ilvl w:val="0"/>
          <w:numId w:val="0"/>
        </w:numPr>
        <w:spacing w:before="240"/>
      </w:pPr>
      <w:r w:rsidRPr="00037C61">
        <w:rPr>
          <w:noProof/>
          <w:lang w:val="ro-RO" w:eastAsia="ro-RO"/>
        </w:rPr>
        <mc:AlternateContent>
          <mc:Choice Requires="wps">
            <w:drawing>
              <wp:anchor distT="0" distB="0" distL="114300" distR="114300" simplePos="0" relativeHeight="251630080" behindDoc="1" locked="0" layoutInCell="1" allowOverlap="1" wp14:anchorId="613AF71B" wp14:editId="668606D3">
                <wp:simplePos x="0" y="0"/>
                <wp:positionH relativeFrom="margin">
                  <wp:posOffset>8890</wp:posOffset>
                </wp:positionH>
                <wp:positionV relativeFrom="paragraph">
                  <wp:posOffset>3054350</wp:posOffset>
                </wp:positionV>
                <wp:extent cx="3165475" cy="130810"/>
                <wp:effectExtent l="0" t="0" r="0" b="2540"/>
                <wp:wrapTight wrapText="bothSides">
                  <wp:wrapPolygon edited="0">
                    <wp:start x="0" y="0"/>
                    <wp:lineTo x="0" y="18874"/>
                    <wp:lineTo x="21448" y="18874"/>
                    <wp:lineTo x="21448" y="0"/>
                    <wp:lineTo x="0" y="0"/>
                  </wp:wrapPolygon>
                </wp:wrapTight>
                <wp:docPr id="1791879783" name="Text Box 1791879783"/>
                <wp:cNvGraphicFramePr/>
                <a:graphic xmlns:a="http://schemas.openxmlformats.org/drawingml/2006/main">
                  <a:graphicData uri="http://schemas.microsoft.com/office/word/2010/wordprocessingShape">
                    <wps:wsp>
                      <wps:cNvSpPr txBox="1"/>
                      <wps:spPr>
                        <a:xfrm>
                          <a:off x="0" y="0"/>
                          <a:ext cx="3165475" cy="130810"/>
                        </a:xfrm>
                        <a:prstGeom prst="rect">
                          <a:avLst/>
                        </a:prstGeom>
                        <a:solidFill>
                          <a:prstClr val="white"/>
                        </a:solidFill>
                        <a:ln>
                          <a:noFill/>
                        </a:ln>
                      </wps:spPr>
                      <wps:txbx>
                        <w:txbxContent>
                          <w:p w14:paraId="14637B4A" w14:textId="6D643869" w:rsidR="00944B4A" w:rsidRPr="003C1CDC" w:rsidRDefault="00944B4A" w:rsidP="00521FA3">
                            <w:pPr>
                              <w:pStyle w:val="Caption"/>
                              <w:jc w:val="left"/>
                              <w:rPr>
                                <w:rFonts w:cstheme="minorHAnsi"/>
                                <w:bCs/>
                                <w:noProof/>
                                <w:lang w:val="en-GB"/>
                              </w:rPr>
                            </w:pPr>
                            <w:bookmarkStart w:id="173" w:name="_Toc64610981"/>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32</w:t>
                            </w:r>
                            <w:r>
                              <w:rPr>
                                <w:lang w:val="en-US"/>
                              </w:rPr>
                              <w:fldChar w:fldCharType="end"/>
                            </w:r>
                            <w:r w:rsidRPr="00612AD6">
                              <w:rPr>
                                <w:lang w:val="en-US"/>
                              </w:rPr>
                              <w:t xml:space="preserve"> - Internal migration map at NUTS3 level 2018</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13AF71B" id="_x0000_t202" coordsize="21600,21600" o:spt="202" path="m,l,21600r21600,l21600,xe">
                <v:stroke joinstyle="miter"/>
                <v:path gradientshapeok="t" o:connecttype="rect"/>
              </v:shapetype>
              <v:shape id="Text Box 1791879783" o:spid="_x0000_s1026" type="#_x0000_t202" style="position:absolute;left:0;text-align:left;margin-left:.7pt;margin-top:240.5pt;width:249.25pt;height:10.3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" stroked="f">
                <v:textbox inset="0,0,0,0">
                  <w:txbxContent>
                    <w:p w14:paraId="14637B4A" w14:textId="6D643869" w:rsidR="00944B4A" w:rsidRPr="003C1CDC" w:rsidRDefault="00944B4A" w:rsidP="00521FA3">
                      <w:pPr>
                        <w:pStyle w:val="Didascalia"/>
                        <w:jc w:val="left"/>
                        <w:rPr>
                          <w:rFonts w:cstheme="minorHAnsi"/>
                          <w:bCs/>
                          <w:noProof/>
                          <w:lang w:val="en-GB"/>
                        </w:rPr>
                      </w:pPr>
                      <w:bookmarkStart w:id="191" w:name="_Toc64610981"/>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32</w:t>
                      </w:r>
                      <w:r>
                        <w:rPr>
                          <w:lang w:val="en-US"/>
                        </w:rPr>
                        <w:fldChar w:fldCharType="end"/>
                      </w:r>
                      <w:r w:rsidRPr="00612AD6">
                        <w:rPr>
                          <w:lang w:val="en-US"/>
                        </w:rPr>
                        <w:t xml:space="preserve"> - Internal migration map at NUTS3 level 2018</w:t>
                      </w:r>
                      <w:bookmarkEnd w:id="191"/>
                    </w:p>
                  </w:txbxContent>
                </v:textbox>
                <w10:wrap type="tight" anchorx="margin"/>
              </v:shape>
            </w:pict>
          </mc:Fallback>
        </mc:AlternateContent>
      </w:r>
      <w:r w:rsidR="52230E0C" w:rsidRPr="00037C61">
        <w:t xml:space="preserve">Due to the economic development, the companies’ investments and improvements in quality of life (better public services, access to health and education, living conditions) in all Romanian counties of the PA, the internal migration to urban </w:t>
      </w:r>
      <w:r w:rsidR="00786A30" w:rsidRPr="00037C61">
        <w:t xml:space="preserve">areas </w:t>
      </w:r>
      <w:r w:rsidR="52230E0C" w:rsidRPr="00037C61">
        <w:t>has increased.</w:t>
      </w:r>
      <w:r w:rsidR="00786A30" w:rsidRPr="00037C61">
        <w:t xml:space="preserve"> An increased rural to urban migration is also recorded for Csongrád-Csanád, for the reference year 2018. </w:t>
      </w:r>
      <w:r w:rsidR="52230E0C" w:rsidRPr="00037C61">
        <w:t>However, it should be noted that the Romanian counties have a significantly lower share of urban population, and in this sense, the rural-urban migration in Romania is still a more relevant phenomena than in the Hungarian counties, which have a bigger share of urban population and more options regarding urban environment.</w:t>
      </w:r>
    </w:p>
    <w:p w14:paraId="69BA1429" w14:textId="14A67798" w:rsidR="00397397" w:rsidRPr="00037C61" w:rsidRDefault="00397397" w:rsidP="00397397">
      <w:pPr>
        <w:pStyle w:val="InterregROHUBullet1"/>
        <w:numPr>
          <w:ilvl w:val="0"/>
          <w:numId w:val="0"/>
        </w:numPr>
        <w:spacing w:after="0"/>
      </w:pPr>
    </w:p>
    <w:p w14:paraId="3D317B34" w14:textId="6F89AB77" w:rsidR="00397397" w:rsidRPr="00037C61" w:rsidRDefault="00397397" w:rsidP="005E0849">
      <w:pPr>
        <w:pStyle w:val="InterregROHUBullet1"/>
        <w:numPr>
          <w:ilvl w:val="0"/>
          <w:numId w:val="0"/>
        </w:numPr>
        <w:spacing w:after="0"/>
      </w:pPr>
      <w:r w:rsidRPr="00037C61">
        <w:t>A small, albeit significant north-south disparity can be highlighted when it comes to the capacity of the counties to attract an influx of population and to retain the existing inhabitants, with a generally lower performance in the northern border area of Szabolcs-Szatmár-Bereg and Satu Mare, of which the first recorded an important increase in outmigration starting 2015 onwards.</w:t>
      </w:r>
    </w:p>
    <w:p w14:paraId="4CDB311C" w14:textId="0004171B" w:rsidR="00921D9C" w:rsidRPr="00037C61" w:rsidRDefault="2A9CDEBA" w:rsidP="00BB1B56">
      <w:pPr>
        <w:pStyle w:val="Heading3"/>
      </w:pPr>
      <w:bookmarkStart w:id="174" w:name="_Toc64619522"/>
      <w:bookmarkStart w:id="175" w:name="_Toc53137182"/>
      <w:bookmarkStart w:id="176" w:name="_Toc50723315"/>
      <w:r w:rsidRPr="00037C61">
        <w:t>Socio-cultural capital</w:t>
      </w:r>
      <w:bookmarkEnd w:id="174"/>
      <w:r w:rsidRPr="00037C61">
        <w:t xml:space="preserve"> </w:t>
      </w:r>
      <w:bookmarkEnd w:id="175"/>
      <w:bookmarkEnd w:id="176"/>
    </w:p>
    <w:p w14:paraId="7BCF6368" w14:textId="055CF4F6" w:rsidR="00E87DED" w:rsidRPr="00037C61" w:rsidRDefault="76158E8F" w:rsidP="76158E8F">
      <w:pPr>
        <w:pStyle w:val="InterregROHUBullet1"/>
        <w:numPr>
          <w:ilvl w:val="0"/>
          <w:numId w:val="0"/>
        </w:numPr>
        <w:spacing w:after="0"/>
      </w:pPr>
      <w:r w:rsidRPr="00037C61">
        <w:t>According to the census from 2011, in the PA, there is a multi-ethnic composition of the population</w:t>
      </w:r>
      <w:r w:rsidR="008D0D72" w:rsidRPr="00037C61">
        <w:t>, in part due to the area bordering on both Serbia to the south as well as Ukraine to the nort</w:t>
      </w:r>
      <w:r w:rsidR="1419A644" w:rsidRPr="00037C61">
        <w:t>h</w:t>
      </w:r>
      <w:r w:rsidRPr="00037C61">
        <w:t xml:space="preserve">. The second nationality in Hungarian counties is represented by Roma people that count 8.1% in Szabolcs-Szatmár-Bereg, 3.4% in Hajdú-Bihar, 2.7% in Békés and 1.2% in Csongrád-Csanád. Germans are the third ethnic group in Szabolcs-Szatmár-Bereg, Csongrád-Csanád and Hajdú-Bihar. </w:t>
      </w:r>
      <w:r w:rsidR="008D0D72" w:rsidRPr="00037C61">
        <w:t xml:space="preserve">Roma population is also a significant ethnic group in the Romanian side, </w:t>
      </w:r>
      <w:r w:rsidRPr="00037C61">
        <w:t>with values between 5.8% in Bihor and 2.1% in Timiș. The other nationalities that are present in the PA are Ukrainians, Russians – Lipovans, Serbians, Slovakians, Bulgarian, Croats, Greeks, Polish, Chinese, Armenians and others.</w:t>
      </w:r>
      <w:r w:rsidR="008D0D72" w:rsidRPr="00037C61">
        <w:t xml:space="preserve"> </w:t>
      </w:r>
    </w:p>
    <w:p w14:paraId="086B583E" w14:textId="1924F4E1" w:rsidR="008F0CA2" w:rsidRPr="00037C61" w:rsidRDefault="008F0CA2" w:rsidP="76158E8F">
      <w:pPr>
        <w:pStyle w:val="InterregROHUBullet1"/>
        <w:numPr>
          <w:ilvl w:val="0"/>
          <w:numId w:val="0"/>
        </w:numPr>
        <w:spacing w:after="0"/>
      </w:pPr>
    </w:p>
    <w:p w14:paraId="02250F27" w14:textId="697AD644" w:rsidR="008D0D72" w:rsidRDefault="008D0D72" w:rsidP="0061187F">
      <w:pPr>
        <w:pStyle w:val="InterregROHUBullet1"/>
        <w:numPr>
          <w:ilvl w:val="0"/>
          <w:numId w:val="0"/>
        </w:numPr>
        <w:spacing w:after="0"/>
      </w:pPr>
      <w:r w:rsidRPr="00037C61">
        <w:t>There is a relevant Slovakian population in Békés</w:t>
      </w:r>
      <w:r w:rsidR="00C63F8A" w:rsidRPr="00037C61">
        <w:t xml:space="preserve"> (2.6%)</w:t>
      </w:r>
      <w:r w:rsidRPr="00037C61">
        <w:t xml:space="preserve">, Arad </w:t>
      </w:r>
      <w:r w:rsidR="00C63F8A" w:rsidRPr="00037C61">
        <w:t xml:space="preserve">(1.1%) </w:t>
      </w:r>
      <w:r w:rsidRPr="00037C61">
        <w:t>and Bihor</w:t>
      </w:r>
      <w:r w:rsidR="00C63F8A" w:rsidRPr="00037C61">
        <w:t xml:space="preserve"> (1.%)</w:t>
      </w:r>
      <w:r w:rsidRPr="00037C61">
        <w:t>, and a significant Serbian population in Timiș</w:t>
      </w:r>
      <w:r w:rsidR="00C63F8A" w:rsidRPr="00037C61">
        <w:t xml:space="preserve"> (1.</w:t>
      </w:r>
      <w:r w:rsidR="005A7BD8">
        <w:t>5</w:t>
      </w:r>
      <w:r w:rsidR="00C63F8A" w:rsidRPr="00037C61">
        <w:t>%)</w:t>
      </w:r>
      <w:r w:rsidRPr="00037C61">
        <w:t>. It is apparent that Timișoara, Debrecen and Szeged are international university centers, having a more diversified population included in the „Other” category</w:t>
      </w:r>
      <w:r w:rsidR="00C63F8A" w:rsidRPr="00037C61">
        <w:t xml:space="preserve"> which includes oftentimes also persons coming from other continents. </w:t>
      </w:r>
    </w:p>
    <w:p w14:paraId="56C3E0A6" w14:textId="338E333F" w:rsidR="00D708ED" w:rsidRDefault="00D708ED" w:rsidP="0061187F">
      <w:pPr>
        <w:pStyle w:val="InterregROHUBullet1"/>
        <w:numPr>
          <w:ilvl w:val="0"/>
          <w:numId w:val="0"/>
        </w:numPr>
        <w:spacing w:after="0"/>
      </w:pPr>
    </w:p>
    <w:p w14:paraId="554AB205" w14:textId="0DD4E62A" w:rsidR="005A7BD8" w:rsidRPr="00DB74BF" w:rsidRDefault="005A7BD8" w:rsidP="00DB74BF">
      <w:pPr>
        <w:pStyle w:val="Caption"/>
        <w:keepNext/>
        <w:jc w:val="left"/>
        <w:rPr>
          <w:lang w:val="en-GB"/>
        </w:rPr>
      </w:pPr>
      <w:r w:rsidRPr="00DB74BF">
        <w:rPr>
          <w:lang w:val="en-GB"/>
        </w:rPr>
        <w:t xml:space="preserve">Table </w:t>
      </w:r>
      <w:r>
        <w:fldChar w:fldCharType="begin"/>
      </w:r>
      <w:r w:rsidRPr="00DB74BF">
        <w:rPr>
          <w:lang w:val="en-GB"/>
        </w:rPr>
        <w:instrText xml:space="preserve"> SEQ Table \* ARABIC </w:instrText>
      </w:r>
      <w:r>
        <w:fldChar w:fldCharType="separate"/>
      </w:r>
      <w:r w:rsidRPr="00DB74BF">
        <w:rPr>
          <w:noProof/>
          <w:lang w:val="en-GB"/>
        </w:rPr>
        <w:t>6</w:t>
      </w:r>
      <w:r>
        <w:fldChar w:fldCharType="end"/>
      </w:r>
      <w:r w:rsidRPr="00DB74BF">
        <w:rPr>
          <w:lang w:val="en-GB"/>
        </w:rPr>
        <w:t xml:space="preserve"> - Ethnic diversity in the PA</w:t>
      </w:r>
    </w:p>
    <w:tbl>
      <w:tblPr>
        <w:tblW w:w="991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1116"/>
        <w:gridCol w:w="1136"/>
        <w:gridCol w:w="686"/>
        <w:gridCol w:w="999"/>
        <w:gridCol w:w="951"/>
        <w:gridCol w:w="908"/>
        <w:gridCol w:w="1062"/>
        <w:gridCol w:w="1061"/>
        <w:gridCol w:w="869"/>
      </w:tblGrid>
      <w:tr w:rsidR="00D708ED" w:rsidRPr="00D708ED" w14:paraId="3D56C740" w14:textId="77777777" w:rsidTr="00DB74BF">
        <w:trPr>
          <w:trHeight w:val="369"/>
        </w:trPr>
        <w:tc>
          <w:tcPr>
            <w:tcW w:w="1126" w:type="dxa"/>
            <w:shd w:val="clear" w:color="auto" w:fill="auto"/>
            <w:noWrap/>
            <w:vAlign w:val="bottom"/>
            <w:hideMark/>
          </w:tcPr>
          <w:p w14:paraId="2C71E9D3" w14:textId="77777777" w:rsidR="00D708ED" w:rsidRPr="00DB74BF" w:rsidRDefault="00D708ED" w:rsidP="00DB74BF">
            <w:pPr>
              <w:rPr>
                <w:sz w:val="20"/>
                <w:szCs w:val="20"/>
                <w:lang w:val="en-GB"/>
              </w:rPr>
            </w:pPr>
          </w:p>
        </w:tc>
        <w:tc>
          <w:tcPr>
            <w:tcW w:w="1116" w:type="dxa"/>
            <w:shd w:val="clear" w:color="auto" w:fill="auto"/>
            <w:hideMark/>
          </w:tcPr>
          <w:p w14:paraId="29240FA2" w14:textId="77777777" w:rsidR="00D708ED" w:rsidRPr="00DB74BF" w:rsidRDefault="00D708ED" w:rsidP="00DB74BF">
            <w:pPr>
              <w:rPr>
                <w:sz w:val="20"/>
                <w:szCs w:val="20"/>
                <w:lang w:val="en-GB"/>
              </w:rPr>
            </w:pPr>
            <w:r w:rsidRPr="00DB74BF">
              <w:rPr>
                <w:sz w:val="20"/>
                <w:szCs w:val="20"/>
                <w:lang w:val="en-GB"/>
              </w:rPr>
              <w:t>Romanians</w:t>
            </w:r>
          </w:p>
        </w:tc>
        <w:tc>
          <w:tcPr>
            <w:tcW w:w="1136" w:type="dxa"/>
            <w:shd w:val="clear" w:color="auto" w:fill="auto"/>
            <w:hideMark/>
          </w:tcPr>
          <w:p w14:paraId="6778745E" w14:textId="77777777" w:rsidR="00D708ED" w:rsidRPr="00DB74BF" w:rsidRDefault="00D708ED" w:rsidP="00DB74BF">
            <w:pPr>
              <w:rPr>
                <w:sz w:val="20"/>
                <w:szCs w:val="20"/>
                <w:lang w:val="en-GB"/>
              </w:rPr>
            </w:pPr>
            <w:r w:rsidRPr="00DB74BF">
              <w:rPr>
                <w:sz w:val="20"/>
                <w:szCs w:val="20"/>
                <w:lang w:val="en-GB"/>
              </w:rPr>
              <w:t>Hungarians</w:t>
            </w:r>
          </w:p>
        </w:tc>
        <w:tc>
          <w:tcPr>
            <w:tcW w:w="686" w:type="dxa"/>
            <w:shd w:val="clear" w:color="auto" w:fill="auto"/>
            <w:hideMark/>
          </w:tcPr>
          <w:p w14:paraId="13153509" w14:textId="77777777" w:rsidR="00D708ED" w:rsidRPr="00DB74BF" w:rsidRDefault="00D708ED" w:rsidP="00DB74BF">
            <w:pPr>
              <w:rPr>
                <w:sz w:val="20"/>
                <w:szCs w:val="20"/>
                <w:lang w:val="en-GB"/>
              </w:rPr>
            </w:pPr>
            <w:r w:rsidRPr="00DB74BF">
              <w:rPr>
                <w:sz w:val="20"/>
                <w:szCs w:val="20"/>
                <w:lang w:val="en-GB"/>
              </w:rPr>
              <w:t>Roma</w:t>
            </w:r>
          </w:p>
        </w:tc>
        <w:tc>
          <w:tcPr>
            <w:tcW w:w="999" w:type="dxa"/>
            <w:shd w:val="clear" w:color="auto" w:fill="auto"/>
            <w:hideMark/>
          </w:tcPr>
          <w:p w14:paraId="2FA0498D" w14:textId="77777777" w:rsidR="00D708ED" w:rsidRPr="00DB74BF" w:rsidRDefault="00D708ED" w:rsidP="00DB74BF">
            <w:pPr>
              <w:rPr>
                <w:sz w:val="20"/>
                <w:szCs w:val="20"/>
                <w:lang w:val="en-GB"/>
              </w:rPr>
            </w:pPr>
            <w:r w:rsidRPr="00DB74BF">
              <w:rPr>
                <w:sz w:val="20"/>
                <w:szCs w:val="20"/>
                <w:lang w:val="en-GB"/>
              </w:rPr>
              <w:t>Ukrainian</w:t>
            </w:r>
          </w:p>
        </w:tc>
        <w:tc>
          <w:tcPr>
            <w:tcW w:w="951" w:type="dxa"/>
            <w:shd w:val="clear" w:color="auto" w:fill="auto"/>
            <w:hideMark/>
          </w:tcPr>
          <w:p w14:paraId="3332714D" w14:textId="77777777" w:rsidR="00D708ED" w:rsidRPr="00DB74BF" w:rsidRDefault="00D708ED" w:rsidP="00DB74BF">
            <w:pPr>
              <w:rPr>
                <w:sz w:val="20"/>
                <w:szCs w:val="20"/>
                <w:lang w:val="en-GB"/>
              </w:rPr>
            </w:pPr>
            <w:r w:rsidRPr="00DB74BF">
              <w:rPr>
                <w:sz w:val="20"/>
                <w:szCs w:val="20"/>
                <w:lang w:val="en-GB"/>
              </w:rPr>
              <w:t>Germans</w:t>
            </w:r>
          </w:p>
        </w:tc>
        <w:tc>
          <w:tcPr>
            <w:tcW w:w="908" w:type="dxa"/>
            <w:shd w:val="clear" w:color="auto" w:fill="auto"/>
            <w:hideMark/>
          </w:tcPr>
          <w:p w14:paraId="313170F6" w14:textId="77777777" w:rsidR="00D708ED" w:rsidRPr="00DB74BF" w:rsidRDefault="00D708ED" w:rsidP="00DB74BF">
            <w:pPr>
              <w:rPr>
                <w:sz w:val="20"/>
                <w:szCs w:val="20"/>
                <w:lang w:val="en-GB"/>
              </w:rPr>
            </w:pPr>
            <w:r w:rsidRPr="00DB74BF">
              <w:rPr>
                <w:sz w:val="20"/>
                <w:szCs w:val="20"/>
                <w:lang w:val="en-GB"/>
              </w:rPr>
              <w:t>Serbians</w:t>
            </w:r>
          </w:p>
        </w:tc>
        <w:tc>
          <w:tcPr>
            <w:tcW w:w="1062" w:type="dxa"/>
            <w:shd w:val="clear" w:color="auto" w:fill="auto"/>
            <w:hideMark/>
          </w:tcPr>
          <w:p w14:paraId="50C76CFA" w14:textId="77777777" w:rsidR="00D708ED" w:rsidRPr="00DB74BF" w:rsidRDefault="00D708ED" w:rsidP="00DB74BF">
            <w:pPr>
              <w:rPr>
                <w:sz w:val="20"/>
                <w:szCs w:val="20"/>
                <w:lang w:val="en-GB"/>
              </w:rPr>
            </w:pPr>
            <w:r w:rsidRPr="00DB74BF">
              <w:rPr>
                <w:sz w:val="20"/>
                <w:szCs w:val="20"/>
                <w:lang w:val="en-GB"/>
              </w:rPr>
              <w:t>Slovakians</w:t>
            </w:r>
          </w:p>
        </w:tc>
        <w:tc>
          <w:tcPr>
            <w:tcW w:w="1061" w:type="dxa"/>
            <w:shd w:val="clear" w:color="auto" w:fill="auto"/>
            <w:hideMark/>
          </w:tcPr>
          <w:p w14:paraId="0DAC83F9" w14:textId="77777777" w:rsidR="00D708ED" w:rsidRPr="00DB74BF" w:rsidRDefault="00D708ED" w:rsidP="00DB74BF">
            <w:pPr>
              <w:rPr>
                <w:sz w:val="20"/>
                <w:szCs w:val="20"/>
                <w:lang w:val="en-GB"/>
              </w:rPr>
            </w:pPr>
            <w:r w:rsidRPr="00DB74BF">
              <w:rPr>
                <w:sz w:val="20"/>
                <w:szCs w:val="20"/>
                <w:lang w:val="en-GB"/>
              </w:rPr>
              <w:t>Bulgarians</w:t>
            </w:r>
          </w:p>
        </w:tc>
        <w:tc>
          <w:tcPr>
            <w:tcW w:w="869" w:type="dxa"/>
            <w:shd w:val="clear" w:color="auto" w:fill="auto"/>
            <w:hideMark/>
          </w:tcPr>
          <w:p w14:paraId="2E4F9012" w14:textId="77777777" w:rsidR="00D708ED" w:rsidRPr="00DB74BF" w:rsidRDefault="00D708ED" w:rsidP="00DB74BF">
            <w:pPr>
              <w:rPr>
                <w:sz w:val="20"/>
                <w:szCs w:val="20"/>
                <w:lang w:val="en-GB"/>
              </w:rPr>
            </w:pPr>
            <w:r w:rsidRPr="00DB74BF">
              <w:rPr>
                <w:sz w:val="20"/>
                <w:szCs w:val="20"/>
                <w:lang w:val="en-GB"/>
              </w:rPr>
              <w:t>OTHERS + N/A</w:t>
            </w:r>
          </w:p>
        </w:tc>
      </w:tr>
      <w:tr w:rsidR="00D708ED" w:rsidRPr="00D708ED" w14:paraId="0831D6E8" w14:textId="77777777" w:rsidTr="00DB74BF">
        <w:trPr>
          <w:trHeight w:val="205"/>
        </w:trPr>
        <w:tc>
          <w:tcPr>
            <w:tcW w:w="1126" w:type="dxa"/>
            <w:shd w:val="clear" w:color="000000" w:fill="D9EAD3"/>
            <w:hideMark/>
          </w:tcPr>
          <w:p w14:paraId="4526AB61"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lastRenderedPageBreak/>
              <w:t>Hajdú-Bihar</w:t>
            </w:r>
          </w:p>
        </w:tc>
        <w:tc>
          <w:tcPr>
            <w:tcW w:w="1116" w:type="dxa"/>
            <w:shd w:val="clear" w:color="auto" w:fill="auto"/>
            <w:noWrap/>
            <w:vAlign w:val="bottom"/>
            <w:hideMark/>
          </w:tcPr>
          <w:p w14:paraId="77898CD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0.4%</w:t>
            </w:r>
          </w:p>
        </w:tc>
        <w:tc>
          <w:tcPr>
            <w:tcW w:w="1136" w:type="dxa"/>
            <w:shd w:val="clear" w:color="auto" w:fill="auto"/>
            <w:noWrap/>
            <w:vAlign w:val="bottom"/>
            <w:hideMark/>
          </w:tcPr>
          <w:p w14:paraId="72EDF850"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94.1%</w:t>
            </w:r>
          </w:p>
        </w:tc>
        <w:tc>
          <w:tcPr>
            <w:tcW w:w="686" w:type="dxa"/>
            <w:shd w:val="clear" w:color="auto" w:fill="auto"/>
            <w:noWrap/>
            <w:vAlign w:val="bottom"/>
            <w:hideMark/>
          </w:tcPr>
          <w:p w14:paraId="2E5C02FC"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3.7%</w:t>
            </w:r>
          </w:p>
        </w:tc>
        <w:tc>
          <w:tcPr>
            <w:tcW w:w="999" w:type="dxa"/>
            <w:shd w:val="clear" w:color="auto" w:fill="auto"/>
            <w:noWrap/>
            <w:vAlign w:val="bottom"/>
            <w:hideMark/>
          </w:tcPr>
          <w:p w14:paraId="1AEB4302"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0.1%</w:t>
            </w:r>
          </w:p>
        </w:tc>
        <w:tc>
          <w:tcPr>
            <w:tcW w:w="951" w:type="dxa"/>
            <w:shd w:val="clear" w:color="auto" w:fill="auto"/>
            <w:noWrap/>
            <w:vAlign w:val="bottom"/>
            <w:hideMark/>
          </w:tcPr>
          <w:p w14:paraId="4E7665D0"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0.5%</w:t>
            </w:r>
          </w:p>
        </w:tc>
        <w:tc>
          <w:tcPr>
            <w:tcW w:w="908" w:type="dxa"/>
            <w:shd w:val="clear" w:color="auto" w:fill="auto"/>
            <w:noWrap/>
            <w:vAlign w:val="bottom"/>
            <w:hideMark/>
          </w:tcPr>
          <w:p w14:paraId="2F2CBE58"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2" w:type="dxa"/>
            <w:shd w:val="clear" w:color="auto" w:fill="auto"/>
            <w:noWrap/>
            <w:vAlign w:val="bottom"/>
            <w:hideMark/>
          </w:tcPr>
          <w:p w14:paraId="628F1161"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1" w:type="dxa"/>
            <w:shd w:val="clear" w:color="auto" w:fill="auto"/>
            <w:noWrap/>
            <w:vAlign w:val="bottom"/>
            <w:hideMark/>
          </w:tcPr>
          <w:p w14:paraId="259AA728"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0.1%</w:t>
            </w:r>
          </w:p>
        </w:tc>
        <w:tc>
          <w:tcPr>
            <w:tcW w:w="869" w:type="dxa"/>
            <w:shd w:val="clear" w:color="auto" w:fill="auto"/>
            <w:noWrap/>
            <w:vAlign w:val="bottom"/>
            <w:hideMark/>
          </w:tcPr>
          <w:p w14:paraId="390B791B"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1.1%</w:t>
            </w:r>
          </w:p>
        </w:tc>
      </w:tr>
      <w:tr w:rsidR="00D708ED" w:rsidRPr="00D708ED" w14:paraId="64C1E346" w14:textId="77777777" w:rsidTr="00DB74BF">
        <w:trPr>
          <w:trHeight w:val="369"/>
        </w:trPr>
        <w:tc>
          <w:tcPr>
            <w:tcW w:w="1126" w:type="dxa"/>
            <w:shd w:val="clear" w:color="000000" w:fill="D9EAD3"/>
            <w:hideMark/>
          </w:tcPr>
          <w:p w14:paraId="7B0E2A71"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Szabolcs-Szatmár-Bereg</w:t>
            </w:r>
          </w:p>
        </w:tc>
        <w:tc>
          <w:tcPr>
            <w:tcW w:w="1116" w:type="dxa"/>
            <w:shd w:val="clear" w:color="auto" w:fill="auto"/>
            <w:noWrap/>
            <w:vAlign w:val="bottom"/>
            <w:hideMark/>
          </w:tcPr>
          <w:p w14:paraId="697F18A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0.2%</w:t>
            </w:r>
          </w:p>
        </w:tc>
        <w:tc>
          <w:tcPr>
            <w:tcW w:w="1136" w:type="dxa"/>
            <w:shd w:val="clear" w:color="auto" w:fill="auto"/>
            <w:noWrap/>
            <w:vAlign w:val="bottom"/>
            <w:hideMark/>
          </w:tcPr>
          <w:p w14:paraId="4BE286C7"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90.4%</w:t>
            </w:r>
          </w:p>
        </w:tc>
        <w:tc>
          <w:tcPr>
            <w:tcW w:w="686" w:type="dxa"/>
            <w:shd w:val="clear" w:color="auto" w:fill="auto"/>
            <w:noWrap/>
            <w:vAlign w:val="bottom"/>
            <w:hideMark/>
          </w:tcPr>
          <w:p w14:paraId="4C5969A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8.0%</w:t>
            </w:r>
          </w:p>
        </w:tc>
        <w:tc>
          <w:tcPr>
            <w:tcW w:w="999" w:type="dxa"/>
            <w:shd w:val="clear" w:color="auto" w:fill="auto"/>
            <w:noWrap/>
            <w:vAlign w:val="bottom"/>
            <w:hideMark/>
          </w:tcPr>
          <w:p w14:paraId="1D36A141"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0.2%</w:t>
            </w:r>
          </w:p>
        </w:tc>
        <w:tc>
          <w:tcPr>
            <w:tcW w:w="951" w:type="dxa"/>
            <w:shd w:val="clear" w:color="auto" w:fill="auto"/>
            <w:noWrap/>
            <w:vAlign w:val="bottom"/>
            <w:hideMark/>
          </w:tcPr>
          <w:p w14:paraId="53D50AEF"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0.5%</w:t>
            </w:r>
          </w:p>
        </w:tc>
        <w:tc>
          <w:tcPr>
            <w:tcW w:w="908" w:type="dxa"/>
            <w:shd w:val="clear" w:color="auto" w:fill="auto"/>
            <w:noWrap/>
            <w:vAlign w:val="bottom"/>
            <w:hideMark/>
          </w:tcPr>
          <w:p w14:paraId="2F11683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2" w:type="dxa"/>
            <w:shd w:val="clear" w:color="auto" w:fill="auto"/>
            <w:noWrap/>
            <w:vAlign w:val="bottom"/>
            <w:hideMark/>
          </w:tcPr>
          <w:p w14:paraId="49D8B7D6"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1" w:type="dxa"/>
            <w:shd w:val="clear" w:color="auto" w:fill="auto"/>
            <w:noWrap/>
            <w:vAlign w:val="bottom"/>
            <w:hideMark/>
          </w:tcPr>
          <w:p w14:paraId="1A11781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869" w:type="dxa"/>
            <w:shd w:val="clear" w:color="auto" w:fill="auto"/>
            <w:noWrap/>
            <w:vAlign w:val="bottom"/>
            <w:hideMark/>
          </w:tcPr>
          <w:p w14:paraId="2B39D58A"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0.5%</w:t>
            </w:r>
          </w:p>
        </w:tc>
      </w:tr>
      <w:tr w:rsidR="00D708ED" w:rsidRPr="00D708ED" w14:paraId="61966860" w14:textId="77777777" w:rsidTr="00DB74BF">
        <w:trPr>
          <w:trHeight w:val="205"/>
        </w:trPr>
        <w:tc>
          <w:tcPr>
            <w:tcW w:w="1126" w:type="dxa"/>
            <w:shd w:val="clear" w:color="000000" w:fill="D9EAD3"/>
            <w:hideMark/>
          </w:tcPr>
          <w:p w14:paraId="7D38F3F4"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Békés</w:t>
            </w:r>
          </w:p>
        </w:tc>
        <w:tc>
          <w:tcPr>
            <w:tcW w:w="1116" w:type="dxa"/>
            <w:shd w:val="clear" w:color="auto" w:fill="auto"/>
            <w:noWrap/>
            <w:vAlign w:val="bottom"/>
            <w:hideMark/>
          </w:tcPr>
          <w:p w14:paraId="0CF3DDB1"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1.9%</w:t>
            </w:r>
          </w:p>
        </w:tc>
        <w:tc>
          <w:tcPr>
            <w:tcW w:w="1136" w:type="dxa"/>
            <w:shd w:val="clear" w:color="auto" w:fill="auto"/>
            <w:noWrap/>
            <w:vAlign w:val="bottom"/>
            <w:hideMark/>
          </w:tcPr>
          <w:p w14:paraId="028C8122"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90.8%</w:t>
            </w:r>
          </w:p>
        </w:tc>
        <w:tc>
          <w:tcPr>
            <w:tcW w:w="686" w:type="dxa"/>
            <w:shd w:val="clear" w:color="auto" w:fill="auto"/>
            <w:noWrap/>
            <w:vAlign w:val="bottom"/>
            <w:hideMark/>
          </w:tcPr>
          <w:p w14:paraId="6342A0CF"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2.9%</w:t>
            </w:r>
          </w:p>
        </w:tc>
        <w:tc>
          <w:tcPr>
            <w:tcW w:w="999" w:type="dxa"/>
            <w:shd w:val="clear" w:color="auto" w:fill="auto"/>
            <w:noWrap/>
            <w:vAlign w:val="bottom"/>
            <w:hideMark/>
          </w:tcPr>
          <w:p w14:paraId="0E200C88"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951" w:type="dxa"/>
            <w:shd w:val="clear" w:color="auto" w:fill="auto"/>
            <w:noWrap/>
            <w:vAlign w:val="bottom"/>
            <w:hideMark/>
          </w:tcPr>
          <w:p w14:paraId="7E8D7407"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1.0%</w:t>
            </w:r>
          </w:p>
        </w:tc>
        <w:tc>
          <w:tcPr>
            <w:tcW w:w="908" w:type="dxa"/>
            <w:shd w:val="clear" w:color="auto" w:fill="auto"/>
            <w:noWrap/>
            <w:vAlign w:val="bottom"/>
            <w:hideMark/>
          </w:tcPr>
          <w:p w14:paraId="13A91A58"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0.1%</w:t>
            </w:r>
          </w:p>
        </w:tc>
        <w:tc>
          <w:tcPr>
            <w:tcW w:w="1062" w:type="dxa"/>
            <w:shd w:val="clear" w:color="auto" w:fill="auto"/>
            <w:noWrap/>
            <w:vAlign w:val="bottom"/>
            <w:hideMark/>
          </w:tcPr>
          <w:p w14:paraId="596467BA"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2.6%</w:t>
            </w:r>
          </w:p>
        </w:tc>
        <w:tc>
          <w:tcPr>
            <w:tcW w:w="1061" w:type="dxa"/>
            <w:shd w:val="clear" w:color="auto" w:fill="auto"/>
            <w:noWrap/>
            <w:vAlign w:val="bottom"/>
            <w:hideMark/>
          </w:tcPr>
          <w:p w14:paraId="7BEC2887"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869" w:type="dxa"/>
            <w:shd w:val="clear" w:color="auto" w:fill="auto"/>
            <w:noWrap/>
            <w:vAlign w:val="bottom"/>
            <w:hideMark/>
          </w:tcPr>
          <w:p w14:paraId="2DDBBAB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0.6%</w:t>
            </w:r>
          </w:p>
        </w:tc>
      </w:tr>
      <w:tr w:rsidR="00D708ED" w:rsidRPr="00D708ED" w14:paraId="79DBBD5B" w14:textId="77777777" w:rsidTr="00DB74BF">
        <w:trPr>
          <w:trHeight w:val="205"/>
        </w:trPr>
        <w:tc>
          <w:tcPr>
            <w:tcW w:w="1126" w:type="dxa"/>
            <w:shd w:val="clear" w:color="000000" w:fill="D9EAD3"/>
            <w:hideMark/>
          </w:tcPr>
          <w:p w14:paraId="622F14AC"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Csongrád</w:t>
            </w:r>
          </w:p>
        </w:tc>
        <w:tc>
          <w:tcPr>
            <w:tcW w:w="1116" w:type="dxa"/>
            <w:shd w:val="clear" w:color="auto" w:fill="auto"/>
            <w:noWrap/>
            <w:vAlign w:val="bottom"/>
            <w:hideMark/>
          </w:tcPr>
          <w:p w14:paraId="4338F69B"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0.5%</w:t>
            </w:r>
          </w:p>
        </w:tc>
        <w:tc>
          <w:tcPr>
            <w:tcW w:w="1136" w:type="dxa"/>
            <w:shd w:val="clear" w:color="auto" w:fill="auto"/>
            <w:noWrap/>
            <w:vAlign w:val="bottom"/>
            <w:hideMark/>
          </w:tcPr>
          <w:p w14:paraId="7B59764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95.3%</w:t>
            </w:r>
          </w:p>
        </w:tc>
        <w:tc>
          <w:tcPr>
            <w:tcW w:w="686" w:type="dxa"/>
            <w:shd w:val="clear" w:color="auto" w:fill="auto"/>
            <w:noWrap/>
            <w:vAlign w:val="bottom"/>
            <w:hideMark/>
          </w:tcPr>
          <w:p w14:paraId="321B065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1.3%</w:t>
            </w:r>
          </w:p>
        </w:tc>
        <w:tc>
          <w:tcPr>
            <w:tcW w:w="999" w:type="dxa"/>
            <w:shd w:val="clear" w:color="auto" w:fill="auto"/>
            <w:noWrap/>
            <w:vAlign w:val="bottom"/>
            <w:hideMark/>
          </w:tcPr>
          <w:p w14:paraId="51CFFAC5"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951" w:type="dxa"/>
            <w:shd w:val="clear" w:color="auto" w:fill="auto"/>
            <w:noWrap/>
            <w:vAlign w:val="bottom"/>
            <w:hideMark/>
          </w:tcPr>
          <w:p w14:paraId="32D4415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0.7%</w:t>
            </w:r>
          </w:p>
        </w:tc>
        <w:tc>
          <w:tcPr>
            <w:tcW w:w="908" w:type="dxa"/>
            <w:shd w:val="clear" w:color="auto" w:fill="auto"/>
            <w:noWrap/>
            <w:vAlign w:val="bottom"/>
            <w:hideMark/>
          </w:tcPr>
          <w:p w14:paraId="13DC78E9"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0.5%</w:t>
            </w:r>
          </w:p>
        </w:tc>
        <w:tc>
          <w:tcPr>
            <w:tcW w:w="1062" w:type="dxa"/>
            <w:shd w:val="clear" w:color="auto" w:fill="auto"/>
            <w:noWrap/>
            <w:vAlign w:val="bottom"/>
            <w:hideMark/>
          </w:tcPr>
          <w:p w14:paraId="0C173A3F"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0.2%</w:t>
            </w:r>
          </w:p>
        </w:tc>
        <w:tc>
          <w:tcPr>
            <w:tcW w:w="1061" w:type="dxa"/>
            <w:shd w:val="clear" w:color="auto" w:fill="auto"/>
            <w:noWrap/>
            <w:vAlign w:val="bottom"/>
            <w:hideMark/>
          </w:tcPr>
          <w:p w14:paraId="72222DD1"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869" w:type="dxa"/>
            <w:shd w:val="clear" w:color="auto" w:fill="auto"/>
            <w:noWrap/>
            <w:vAlign w:val="bottom"/>
            <w:hideMark/>
          </w:tcPr>
          <w:p w14:paraId="2444AE3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1.4%</w:t>
            </w:r>
          </w:p>
        </w:tc>
      </w:tr>
      <w:tr w:rsidR="00D708ED" w:rsidRPr="00D708ED" w14:paraId="6E1B6C44" w14:textId="77777777" w:rsidTr="00DB74BF">
        <w:trPr>
          <w:trHeight w:val="205"/>
        </w:trPr>
        <w:tc>
          <w:tcPr>
            <w:tcW w:w="1126" w:type="dxa"/>
            <w:shd w:val="clear" w:color="000000" w:fill="FFF2CC"/>
            <w:hideMark/>
          </w:tcPr>
          <w:p w14:paraId="7DFC3C4C"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Bihor</w:t>
            </w:r>
          </w:p>
        </w:tc>
        <w:tc>
          <w:tcPr>
            <w:tcW w:w="1116" w:type="dxa"/>
            <w:shd w:val="clear" w:color="auto" w:fill="auto"/>
            <w:noWrap/>
            <w:vAlign w:val="bottom"/>
            <w:hideMark/>
          </w:tcPr>
          <w:p w14:paraId="50A233B5"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63.7%</w:t>
            </w:r>
          </w:p>
        </w:tc>
        <w:tc>
          <w:tcPr>
            <w:tcW w:w="1136" w:type="dxa"/>
            <w:shd w:val="clear" w:color="auto" w:fill="auto"/>
            <w:noWrap/>
            <w:vAlign w:val="bottom"/>
            <w:hideMark/>
          </w:tcPr>
          <w:p w14:paraId="79A68995"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24.0%</w:t>
            </w:r>
          </w:p>
        </w:tc>
        <w:tc>
          <w:tcPr>
            <w:tcW w:w="686" w:type="dxa"/>
            <w:shd w:val="clear" w:color="auto" w:fill="auto"/>
            <w:noWrap/>
            <w:vAlign w:val="bottom"/>
            <w:hideMark/>
          </w:tcPr>
          <w:p w14:paraId="04F90960"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6.0%</w:t>
            </w:r>
          </w:p>
        </w:tc>
        <w:tc>
          <w:tcPr>
            <w:tcW w:w="999" w:type="dxa"/>
            <w:shd w:val="clear" w:color="auto" w:fill="auto"/>
            <w:noWrap/>
            <w:vAlign w:val="bottom"/>
            <w:hideMark/>
          </w:tcPr>
          <w:p w14:paraId="60E95F3F"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951" w:type="dxa"/>
            <w:shd w:val="clear" w:color="auto" w:fill="auto"/>
            <w:noWrap/>
            <w:vAlign w:val="bottom"/>
            <w:hideMark/>
          </w:tcPr>
          <w:p w14:paraId="73F7D6A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0.1%</w:t>
            </w:r>
          </w:p>
        </w:tc>
        <w:tc>
          <w:tcPr>
            <w:tcW w:w="908" w:type="dxa"/>
            <w:shd w:val="clear" w:color="auto" w:fill="auto"/>
            <w:noWrap/>
            <w:vAlign w:val="bottom"/>
            <w:hideMark/>
          </w:tcPr>
          <w:p w14:paraId="05F23ADB"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2" w:type="dxa"/>
            <w:shd w:val="clear" w:color="auto" w:fill="auto"/>
            <w:noWrap/>
            <w:vAlign w:val="bottom"/>
            <w:hideMark/>
          </w:tcPr>
          <w:p w14:paraId="38C89EFA"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1.1%</w:t>
            </w:r>
          </w:p>
        </w:tc>
        <w:tc>
          <w:tcPr>
            <w:tcW w:w="1061" w:type="dxa"/>
            <w:shd w:val="clear" w:color="auto" w:fill="auto"/>
            <w:noWrap/>
            <w:vAlign w:val="bottom"/>
            <w:hideMark/>
          </w:tcPr>
          <w:p w14:paraId="0387B83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869" w:type="dxa"/>
            <w:shd w:val="clear" w:color="auto" w:fill="auto"/>
            <w:noWrap/>
            <w:vAlign w:val="bottom"/>
            <w:hideMark/>
          </w:tcPr>
          <w:p w14:paraId="08B3A05B"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5.1%</w:t>
            </w:r>
          </w:p>
        </w:tc>
      </w:tr>
      <w:tr w:rsidR="00D708ED" w:rsidRPr="00D708ED" w14:paraId="2E61982A" w14:textId="77777777" w:rsidTr="00DB74BF">
        <w:trPr>
          <w:trHeight w:val="205"/>
        </w:trPr>
        <w:tc>
          <w:tcPr>
            <w:tcW w:w="1126" w:type="dxa"/>
            <w:shd w:val="clear" w:color="000000" w:fill="FFF2CC"/>
            <w:hideMark/>
          </w:tcPr>
          <w:p w14:paraId="2D156929"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Satu Mare</w:t>
            </w:r>
          </w:p>
        </w:tc>
        <w:tc>
          <w:tcPr>
            <w:tcW w:w="1116" w:type="dxa"/>
            <w:shd w:val="clear" w:color="auto" w:fill="auto"/>
            <w:noWrap/>
            <w:vAlign w:val="bottom"/>
            <w:hideMark/>
          </w:tcPr>
          <w:p w14:paraId="2970187F"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54.6%</w:t>
            </w:r>
          </w:p>
        </w:tc>
        <w:tc>
          <w:tcPr>
            <w:tcW w:w="1136" w:type="dxa"/>
            <w:shd w:val="clear" w:color="auto" w:fill="auto"/>
            <w:noWrap/>
            <w:vAlign w:val="bottom"/>
            <w:hideMark/>
          </w:tcPr>
          <w:p w14:paraId="4C68885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32.7%</w:t>
            </w:r>
          </w:p>
        </w:tc>
        <w:tc>
          <w:tcPr>
            <w:tcW w:w="686" w:type="dxa"/>
            <w:shd w:val="clear" w:color="auto" w:fill="auto"/>
            <w:noWrap/>
            <w:vAlign w:val="bottom"/>
            <w:hideMark/>
          </w:tcPr>
          <w:p w14:paraId="61445BE2"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5.0%</w:t>
            </w:r>
          </w:p>
        </w:tc>
        <w:tc>
          <w:tcPr>
            <w:tcW w:w="999" w:type="dxa"/>
            <w:shd w:val="clear" w:color="auto" w:fill="auto"/>
            <w:noWrap/>
            <w:vAlign w:val="bottom"/>
            <w:hideMark/>
          </w:tcPr>
          <w:p w14:paraId="1685CFDC"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0.4%</w:t>
            </w:r>
          </w:p>
        </w:tc>
        <w:tc>
          <w:tcPr>
            <w:tcW w:w="951" w:type="dxa"/>
            <w:shd w:val="clear" w:color="auto" w:fill="auto"/>
            <w:noWrap/>
            <w:vAlign w:val="bottom"/>
            <w:hideMark/>
          </w:tcPr>
          <w:p w14:paraId="2683EDD6"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1.5%</w:t>
            </w:r>
          </w:p>
        </w:tc>
        <w:tc>
          <w:tcPr>
            <w:tcW w:w="908" w:type="dxa"/>
            <w:shd w:val="clear" w:color="auto" w:fill="auto"/>
            <w:noWrap/>
            <w:vAlign w:val="bottom"/>
            <w:hideMark/>
          </w:tcPr>
          <w:p w14:paraId="2E47E616"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2" w:type="dxa"/>
            <w:shd w:val="clear" w:color="auto" w:fill="auto"/>
            <w:noWrap/>
            <w:vAlign w:val="bottom"/>
            <w:hideMark/>
          </w:tcPr>
          <w:p w14:paraId="1752AE70"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1061" w:type="dxa"/>
            <w:shd w:val="clear" w:color="auto" w:fill="auto"/>
            <w:noWrap/>
            <w:vAlign w:val="bottom"/>
            <w:hideMark/>
          </w:tcPr>
          <w:p w14:paraId="59FACD5C"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0.0%</w:t>
            </w:r>
          </w:p>
        </w:tc>
        <w:tc>
          <w:tcPr>
            <w:tcW w:w="869" w:type="dxa"/>
            <w:shd w:val="clear" w:color="auto" w:fill="auto"/>
            <w:noWrap/>
            <w:vAlign w:val="bottom"/>
            <w:hideMark/>
          </w:tcPr>
          <w:p w14:paraId="05A537F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5.7%</w:t>
            </w:r>
          </w:p>
        </w:tc>
      </w:tr>
      <w:tr w:rsidR="00D708ED" w:rsidRPr="00D708ED" w14:paraId="35E2EE16" w14:textId="77777777" w:rsidTr="00DB74BF">
        <w:trPr>
          <w:trHeight w:val="205"/>
        </w:trPr>
        <w:tc>
          <w:tcPr>
            <w:tcW w:w="1126" w:type="dxa"/>
            <w:shd w:val="clear" w:color="000000" w:fill="FFF2CC"/>
            <w:hideMark/>
          </w:tcPr>
          <w:p w14:paraId="71174006"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Arad</w:t>
            </w:r>
          </w:p>
        </w:tc>
        <w:tc>
          <w:tcPr>
            <w:tcW w:w="1116" w:type="dxa"/>
            <w:shd w:val="clear" w:color="auto" w:fill="auto"/>
            <w:noWrap/>
            <w:vAlign w:val="bottom"/>
            <w:hideMark/>
          </w:tcPr>
          <w:p w14:paraId="24000BEF"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79.1%</w:t>
            </w:r>
          </w:p>
        </w:tc>
        <w:tc>
          <w:tcPr>
            <w:tcW w:w="1136" w:type="dxa"/>
            <w:shd w:val="clear" w:color="auto" w:fill="auto"/>
            <w:noWrap/>
            <w:vAlign w:val="bottom"/>
            <w:hideMark/>
          </w:tcPr>
          <w:p w14:paraId="30D69D1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8.5%</w:t>
            </w:r>
          </w:p>
        </w:tc>
        <w:tc>
          <w:tcPr>
            <w:tcW w:w="686" w:type="dxa"/>
            <w:shd w:val="clear" w:color="auto" w:fill="auto"/>
            <w:noWrap/>
            <w:vAlign w:val="bottom"/>
            <w:hideMark/>
          </w:tcPr>
          <w:p w14:paraId="3454C628"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3.8%</w:t>
            </w:r>
          </w:p>
        </w:tc>
        <w:tc>
          <w:tcPr>
            <w:tcW w:w="999" w:type="dxa"/>
            <w:shd w:val="clear" w:color="auto" w:fill="auto"/>
            <w:noWrap/>
            <w:vAlign w:val="bottom"/>
            <w:hideMark/>
          </w:tcPr>
          <w:p w14:paraId="3342C7B8"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0.3%</w:t>
            </w:r>
          </w:p>
        </w:tc>
        <w:tc>
          <w:tcPr>
            <w:tcW w:w="951" w:type="dxa"/>
            <w:shd w:val="clear" w:color="auto" w:fill="auto"/>
            <w:noWrap/>
            <w:vAlign w:val="bottom"/>
            <w:hideMark/>
          </w:tcPr>
          <w:p w14:paraId="23F4B9DC"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0.7%</w:t>
            </w:r>
          </w:p>
        </w:tc>
        <w:tc>
          <w:tcPr>
            <w:tcW w:w="908" w:type="dxa"/>
            <w:shd w:val="clear" w:color="auto" w:fill="auto"/>
            <w:noWrap/>
            <w:vAlign w:val="bottom"/>
            <w:hideMark/>
          </w:tcPr>
          <w:p w14:paraId="7E8AE27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0.2%</w:t>
            </w:r>
          </w:p>
        </w:tc>
        <w:tc>
          <w:tcPr>
            <w:tcW w:w="1062" w:type="dxa"/>
            <w:shd w:val="clear" w:color="auto" w:fill="auto"/>
            <w:noWrap/>
            <w:vAlign w:val="bottom"/>
            <w:hideMark/>
          </w:tcPr>
          <w:p w14:paraId="311FF71B"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1.0%</w:t>
            </w:r>
          </w:p>
        </w:tc>
        <w:tc>
          <w:tcPr>
            <w:tcW w:w="1061" w:type="dxa"/>
            <w:shd w:val="clear" w:color="auto" w:fill="auto"/>
            <w:noWrap/>
            <w:vAlign w:val="bottom"/>
            <w:hideMark/>
          </w:tcPr>
          <w:p w14:paraId="3257A00D"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0.1%</w:t>
            </w:r>
          </w:p>
        </w:tc>
        <w:tc>
          <w:tcPr>
            <w:tcW w:w="869" w:type="dxa"/>
            <w:shd w:val="clear" w:color="auto" w:fill="auto"/>
            <w:noWrap/>
            <w:vAlign w:val="bottom"/>
            <w:hideMark/>
          </w:tcPr>
          <w:p w14:paraId="66A3D302"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6.2%</w:t>
            </w:r>
          </w:p>
        </w:tc>
      </w:tr>
      <w:tr w:rsidR="00D708ED" w:rsidRPr="00D708ED" w14:paraId="161DAF02" w14:textId="77777777" w:rsidTr="00DB74BF">
        <w:trPr>
          <w:trHeight w:val="205"/>
        </w:trPr>
        <w:tc>
          <w:tcPr>
            <w:tcW w:w="1126" w:type="dxa"/>
            <w:shd w:val="clear" w:color="000000" w:fill="FFF2CC"/>
            <w:hideMark/>
          </w:tcPr>
          <w:p w14:paraId="5DD48D38" w14:textId="77777777" w:rsidR="00D708ED" w:rsidRPr="00DB74BF" w:rsidRDefault="00D708ED" w:rsidP="00D708ED">
            <w:pPr>
              <w:spacing w:after="0" w:line="240" w:lineRule="auto"/>
              <w:jc w:val="left"/>
              <w:rPr>
                <w:rFonts w:eastAsia="Times New Roman" w:cs="Calibri"/>
                <w:color w:val="000000"/>
                <w:sz w:val="20"/>
                <w:szCs w:val="20"/>
                <w:lang w:val="en-GB" w:eastAsia="en-GB"/>
              </w:rPr>
            </w:pPr>
            <w:r w:rsidRPr="00DB74BF">
              <w:rPr>
                <w:rFonts w:eastAsia="Times New Roman" w:cs="Calibri"/>
                <w:color w:val="000000"/>
                <w:sz w:val="20"/>
                <w:szCs w:val="20"/>
                <w:lang w:val="en-GB" w:eastAsia="en-GB"/>
              </w:rPr>
              <w:t>Timis</w:t>
            </w:r>
          </w:p>
        </w:tc>
        <w:tc>
          <w:tcPr>
            <w:tcW w:w="1116" w:type="dxa"/>
            <w:shd w:val="clear" w:color="auto" w:fill="auto"/>
            <w:noWrap/>
            <w:vAlign w:val="bottom"/>
            <w:hideMark/>
          </w:tcPr>
          <w:p w14:paraId="3E3A8545"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80.6%</w:t>
            </w:r>
          </w:p>
        </w:tc>
        <w:tc>
          <w:tcPr>
            <w:tcW w:w="1136" w:type="dxa"/>
            <w:shd w:val="clear" w:color="auto" w:fill="auto"/>
            <w:noWrap/>
            <w:vAlign w:val="bottom"/>
            <w:hideMark/>
          </w:tcPr>
          <w:p w14:paraId="66177F6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5.2%</w:t>
            </w:r>
          </w:p>
        </w:tc>
        <w:tc>
          <w:tcPr>
            <w:tcW w:w="686" w:type="dxa"/>
            <w:shd w:val="clear" w:color="auto" w:fill="auto"/>
            <w:noWrap/>
            <w:vAlign w:val="bottom"/>
            <w:hideMark/>
          </w:tcPr>
          <w:p w14:paraId="2E809739"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2.1%</w:t>
            </w:r>
          </w:p>
        </w:tc>
        <w:tc>
          <w:tcPr>
            <w:tcW w:w="999" w:type="dxa"/>
            <w:shd w:val="clear" w:color="auto" w:fill="auto"/>
            <w:noWrap/>
            <w:vAlign w:val="bottom"/>
            <w:hideMark/>
          </w:tcPr>
          <w:p w14:paraId="16362DA4"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0.9%</w:t>
            </w:r>
          </w:p>
        </w:tc>
        <w:tc>
          <w:tcPr>
            <w:tcW w:w="951" w:type="dxa"/>
            <w:shd w:val="clear" w:color="auto" w:fill="auto"/>
            <w:noWrap/>
            <w:vAlign w:val="bottom"/>
            <w:hideMark/>
          </w:tcPr>
          <w:p w14:paraId="3781AE71"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1.2%</w:t>
            </w:r>
          </w:p>
        </w:tc>
        <w:tc>
          <w:tcPr>
            <w:tcW w:w="908" w:type="dxa"/>
            <w:shd w:val="clear" w:color="auto" w:fill="auto"/>
            <w:noWrap/>
            <w:vAlign w:val="bottom"/>
            <w:hideMark/>
          </w:tcPr>
          <w:p w14:paraId="050DF1E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1.5%</w:t>
            </w:r>
          </w:p>
        </w:tc>
        <w:tc>
          <w:tcPr>
            <w:tcW w:w="1062" w:type="dxa"/>
            <w:shd w:val="clear" w:color="auto" w:fill="auto"/>
            <w:noWrap/>
            <w:vAlign w:val="bottom"/>
            <w:hideMark/>
          </w:tcPr>
          <w:p w14:paraId="0306F8E1"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0.2%</w:t>
            </w:r>
          </w:p>
        </w:tc>
        <w:tc>
          <w:tcPr>
            <w:tcW w:w="1061" w:type="dxa"/>
            <w:shd w:val="clear" w:color="auto" w:fill="auto"/>
            <w:noWrap/>
            <w:vAlign w:val="bottom"/>
            <w:hideMark/>
          </w:tcPr>
          <w:p w14:paraId="3D8672CE"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0.7%</w:t>
            </w:r>
          </w:p>
        </w:tc>
        <w:tc>
          <w:tcPr>
            <w:tcW w:w="869" w:type="dxa"/>
            <w:shd w:val="clear" w:color="auto" w:fill="auto"/>
            <w:noWrap/>
            <w:vAlign w:val="bottom"/>
            <w:hideMark/>
          </w:tcPr>
          <w:p w14:paraId="69EF22FA" w14:textId="77777777" w:rsidR="00D708ED" w:rsidRPr="00DB74BF" w:rsidRDefault="00D708ED" w:rsidP="00D708ED">
            <w:pPr>
              <w:spacing w:after="0" w:line="240" w:lineRule="auto"/>
              <w:jc w:val="right"/>
              <w:rPr>
                <w:rFonts w:eastAsia="Times New Roman" w:cs="Calibri"/>
                <w:color w:val="000000"/>
                <w:sz w:val="20"/>
                <w:szCs w:val="20"/>
                <w:lang w:val="en-GB" w:eastAsia="en-GB"/>
              </w:rPr>
            </w:pPr>
            <w:r w:rsidRPr="00DB74BF">
              <w:rPr>
                <w:rFonts w:eastAsia="Times New Roman" w:cs="Calibri"/>
                <w:color w:val="000000"/>
                <w:sz w:val="20"/>
                <w:szCs w:val="20"/>
                <w:lang w:val="en-GB" w:eastAsia="en-GB"/>
              </w:rPr>
              <w:t>7.7%</w:t>
            </w:r>
          </w:p>
        </w:tc>
      </w:tr>
    </w:tbl>
    <w:p w14:paraId="2DCCD611" w14:textId="534F1458" w:rsidR="00D708ED" w:rsidRDefault="005A7BD8" w:rsidP="0061187F">
      <w:pPr>
        <w:pStyle w:val="InterregROHUBullet1"/>
        <w:numPr>
          <w:ilvl w:val="0"/>
          <w:numId w:val="0"/>
        </w:numPr>
        <w:spacing w:after="0"/>
      </w:pPr>
      <w:r w:rsidRPr="76158E8F">
        <w:rPr>
          <w:rFonts w:eastAsia="Calibri" w:cs="Calibri"/>
          <w:i/>
          <w:iCs/>
          <w:color w:val="012751" w:themeColor="accent1" w:themeShade="80"/>
          <w:sz w:val="18"/>
          <w:szCs w:val="18"/>
        </w:rPr>
        <w:t>Source: INS &amp; KSH, Population Census from 2011</w:t>
      </w:r>
    </w:p>
    <w:p w14:paraId="1122F012" w14:textId="04609857" w:rsidR="00D708ED" w:rsidRDefault="00D708ED" w:rsidP="0061187F">
      <w:pPr>
        <w:pStyle w:val="InterregROHUBullet1"/>
        <w:numPr>
          <w:ilvl w:val="0"/>
          <w:numId w:val="0"/>
        </w:numPr>
        <w:spacing w:after="0"/>
      </w:pPr>
    </w:p>
    <w:p w14:paraId="07646C08" w14:textId="77777777" w:rsidR="00894BBC" w:rsidRDefault="00894BBC" w:rsidP="0061187F">
      <w:pPr>
        <w:pStyle w:val="InterregROHUBullet1"/>
        <w:numPr>
          <w:ilvl w:val="0"/>
          <w:numId w:val="0"/>
        </w:numPr>
        <w:spacing w:after="0"/>
        <w:rPr>
          <w:bCs w:val="0"/>
        </w:rPr>
      </w:pPr>
      <w:r>
        <w:rPr>
          <w:bCs w:val="0"/>
        </w:rPr>
        <w:t xml:space="preserve">Pertaining to the cultural capital, the PA is endowed with a remarkable number of cultural and natural tourist attractions, with a very high degree of diversity of built environment heritage (castles, historic monuments, churches) as well as immaterial heritage (original ethnographical and folklore elements). </w:t>
      </w:r>
    </w:p>
    <w:p w14:paraId="08C1051F" w14:textId="5C38C249" w:rsidR="00D708ED" w:rsidRDefault="00894BBC" w:rsidP="0061187F">
      <w:pPr>
        <w:pStyle w:val="InterregROHUBullet1"/>
        <w:numPr>
          <w:ilvl w:val="0"/>
          <w:numId w:val="0"/>
        </w:numPr>
        <w:spacing w:after="0"/>
        <w:rPr>
          <w:bCs w:val="0"/>
        </w:rPr>
      </w:pPr>
      <w:r>
        <w:rPr>
          <w:bCs w:val="0"/>
        </w:rPr>
        <w:t xml:space="preserve">We distinguish the following </w:t>
      </w:r>
      <w:r w:rsidR="00891DA4">
        <w:rPr>
          <w:bCs w:val="0"/>
        </w:rPr>
        <w:t xml:space="preserve">cultural highlights and touristic endowments: </w:t>
      </w:r>
    </w:p>
    <w:p w14:paraId="5970D4B5" w14:textId="69D7DE24" w:rsidR="00894BBC" w:rsidRPr="00037C61" w:rsidRDefault="00894BBC" w:rsidP="00894BBC">
      <w:pPr>
        <w:pStyle w:val="ListParagraph"/>
        <w:numPr>
          <w:ilvl w:val="0"/>
          <w:numId w:val="8"/>
        </w:numPr>
        <w:spacing w:after="0"/>
        <w:rPr>
          <w:lang w:val="en-GB"/>
        </w:rPr>
      </w:pPr>
      <w:r w:rsidRPr="00037C61">
        <w:rPr>
          <w:b/>
          <w:bCs/>
          <w:lang w:val="en-GB"/>
        </w:rPr>
        <w:t>Bihor County</w:t>
      </w:r>
      <w:r w:rsidRPr="00037C61">
        <w:rPr>
          <w:lang w:val="en-GB"/>
        </w:rPr>
        <w:t xml:space="preserve"> </w:t>
      </w:r>
      <w:r>
        <w:rPr>
          <w:lang w:val="en-GB"/>
        </w:rPr>
        <w:t xml:space="preserve">benefits from the </w:t>
      </w:r>
      <w:r w:rsidRPr="00037C61">
        <w:rPr>
          <w:lang w:val="en-GB"/>
        </w:rPr>
        <w:t xml:space="preserve">beauty and richness of the karst and biodiversity of the Apuseni Mountains, the spa resources exploited at Băile Felix and 1 Mai and beyond, the built heritage of Oradea </w:t>
      </w:r>
      <w:r>
        <w:rPr>
          <w:lang w:val="en-GB"/>
        </w:rPr>
        <w:t>(ancient and medieval monuments</w:t>
      </w:r>
      <w:r w:rsidR="00891DA4">
        <w:rPr>
          <w:lang w:val="en-GB"/>
        </w:rPr>
        <w:t xml:space="preserve"> such as Oradea City Hall, Black Eagle Palace, Baroque Palace of Oradea, </w:t>
      </w:r>
      <w:r w:rsidR="00891DA4" w:rsidRPr="00891DA4">
        <w:rPr>
          <w:lang w:val="en-GB"/>
        </w:rPr>
        <w:t>Roman Catholic Basilica-Cathedral of the Assumption of Mary</w:t>
      </w:r>
      <w:r>
        <w:rPr>
          <w:lang w:val="en-GB"/>
        </w:rPr>
        <w:t xml:space="preserve">) </w:t>
      </w:r>
      <w:r w:rsidRPr="00037C61">
        <w:rPr>
          <w:lang w:val="en-GB"/>
        </w:rPr>
        <w:t>and the diversity of traditions and cultural events allow a varied panel of tourist activities</w:t>
      </w:r>
      <w:r w:rsidRPr="00037C61">
        <w:rPr>
          <w:vertAlign w:val="superscript"/>
          <w:lang w:val="en-GB"/>
        </w:rPr>
        <w:footnoteReference w:id="20"/>
      </w:r>
      <w:r w:rsidRPr="00037C61">
        <w:rPr>
          <w:lang w:val="en-GB"/>
        </w:rPr>
        <w:t xml:space="preserve">. </w:t>
      </w:r>
    </w:p>
    <w:p w14:paraId="589D0D1A" w14:textId="2453434D" w:rsidR="00894BBC" w:rsidRPr="00037C61" w:rsidRDefault="00894BBC" w:rsidP="00894BBC">
      <w:pPr>
        <w:pStyle w:val="ListParagraph"/>
        <w:numPr>
          <w:ilvl w:val="0"/>
          <w:numId w:val="8"/>
        </w:numPr>
        <w:spacing w:after="0"/>
        <w:rPr>
          <w:lang w:val="en-GB"/>
        </w:rPr>
      </w:pPr>
      <w:r w:rsidRPr="00037C61">
        <w:rPr>
          <w:b/>
          <w:bCs/>
          <w:lang w:val="en-GB"/>
        </w:rPr>
        <w:t>Satu Mare</w:t>
      </w:r>
      <w:r w:rsidRPr="00037C61">
        <w:rPr>
          <w:lang w:val="en-GB"/>
        </w:rPr>
        <w:t xml:space="preserve"> boasts historical sites (e.g. cathedral, churches), cultural institutions (e.g. Philharmonic and North Theater in Satu Mare, castle of the Karolyi family in Carei), natural landscapes, Ţara Oaşului (northeast region of the county, including the town of Negreşti-Oaş), Ţara Codrului (eastern region of the county, including the town of Ardud), “Schwabia” or “Tara Şvabilor” (southwestern region of the county, including the towns of Carei and Tăşnad)</w:t>
      </w:r>
      <w:r w:rsidRPr="00037C61">
        <w:rPr>
          <w:vertAlign w:val="superscript"/>
          <w:lang w:val="en-GB"/>
        </w:rPr>
        <w:footnoteReference w:id="21"/>
      </w:r>
      <w:r w:rsidRPr="00037C61">
        <w:rPr>
          <w:lang w:val="en-GB"/>
        </w:rPr>
        <w:t xml:space="preserve">, </w:t>
      </w:r>
      <w:r w:rsidR="00891DA4">
        <w:rPr>
          <w:lang w:val="en-GB"/>
        </w:rPr>
        <w:t xml:space="preserve">the fortifications of Ardud and Medieșu Aurit, </w:t>
      </w:r>
      <w:r w:rsidRPr="00037C61">
        <w:rPr>
          <w:lang w:val="en-GB"/>
        </w:rPr>
        <w:t>etc.</w:t>
      </w:r>
      <w:r w:rsidR="00891DA4">
        <w:rPr>
          <w:lang w:val="en-GB"/>
        </w:rPr>
        <w:t xml:space="preserve"> The county seat </w:t>
      </w:r>
      <w:r w:rsidR="00556A94">
        <w:rPr>
          <w:lang w:val="en-GB"/>
        </w:rPr>
        <w:t xml:space="preserve">hosts several museums, a theatre and the </w:t>
      </w:r>
      <w:r w:rsidR="00556A94" w:rsidRPr="00556A94">
        <w:rPr>
          <w:lang w:val="en-GB"/>
        </w:rPr>
        <w:t>“Dinu Lipatti Philharmonic”</w:t>
      </w:r>
      <w:r w:rsidR="00556A94">
        <w:rPr>
          <w:lang w:val="en-GB"/>
        </w:rPr>
        <w:t>.</w:t>
      </w:r>
    </w:p>
    <w:p w14:paraId="1C0C871F" w14:textId="4566F94B" w:rsidR="00894BBC" w:rsidRPr="00037C61" w:rsidRDefault="00894BBC" w:rsidP="00894BBC">
      <w:pPr>
        <w:pStyle w:val="ListParagraph"/>
        <w:numPr>
          <w:ilvl w:val="0"/>
          <w:numId w:val="8"/>
        </w:numPr>
        <w:spacing w:after="0"/>
        <w:rPr>
          <w:lang w:val="en-GB"/>
        </w:rPr>
      </w:pPr>
      <w:r w:rsidRPr="00037C61">
        <w:rPr>
          <w:lang w:val="en-GB"/>
        </w:rPr>
        <w:t xml:space="preserve">In </w:t>
      </w:r>
      <w:r w:rsidRPr="00037C61">
        <w:rPr>
          <w:b/>
          <w:bCs/>
          <w:lang w:val="en-GB"/>
        </w:rPr>
        <w:t>Arad</w:t>
      </w:r>
      <w:r w:rsidR="00891DA4">
        <w:rPr>
          <w:b/>
          <w:bCs/>
          <w:lang w:val="en-GB"/>
        </w:rPr>
        <w:t>,</w:t>
      </w:r>
      <w:r w:rsidRPr="00037C61">
        <w:rPr>
          <w:b/>
          <w:bCs/>
          <w:lang w:val="en-GB"/>
        </w:rPr>
        <w:t xml:space="preserve"> </w:t>
      </w:r>
      <w:r w:rsidRPr="00037C61">
        <w:rPr>
          <w:lang w:val="en-GB"/>
        </w:rPr>
        <w:t xml:space="preserve">the </w:t>
      </w:r>
      <w:r w:rsidR="00891DA4">
        <w:rPr>
          <w:lang w:val="en-GB"/>
        </w:rPr>
        <w:t xml:space="preserve">main cultural </w:t>
      </w:r>
      <w:r w:rsidRPr="00037C61">
        <w:rPr>
          <w:lang w:val="en-GB"/>
        </w:rPr>
        <w:t>attractions are</w:t>
      </w:r>
      <w:r w:rsidR="00891DA4">
        <w:rPr>
          <w:lang w:val="en-GB"/>
        </w:rPr>
        <w:t xml:space="preserve">concentrated in Arad city (architectural monuments such as the Fortified Town of Arad, the Neumann Palace; historic buildings, monuments and statues, as well as a rich ecumenic and religious heritage - </w:t>
      </w:r>
      <w:r w:rsidR="00891DA4" w:rsidRPr="00891DA4">
        <w:rPr>
          <w:lang w:val="en-GB"/>
        </w:rPr>
        <w:t>The "St. Peter and Paul" Serbian Church</w:t>
      </w:r>
      <w:r w:rsidR="00891DA4">
        <w:rPr>
          <w:lang w:val="en-GB"/>
        </w:rPr>
        <w:t xml:space="preserve">, </w:t>
      </w:r>
      <w:r w:rsidR="00891DA4" w:rsidRPr="00891DA4">
        <w:rPr>
          <w:lang w:val="en-GB"/>
        </w:rPr>
        <w:t>St. Simon Monastery</w:t>
      </w:r>
      <w:r w:rsidR="00891DA4">
        <w:rPr>
          <w:lang w:val="en-GB"/>
        </w:rPr>
        <w:t xml:space="preserve">, </w:t>
      </w:r>
      <w:r w:rsidR="00891DA4" w:rsidRPr="00891DA4">
        <w:rPr>
          <w:lang w:val="en-GB"/>
        </w:rPr>
        <w:t xml:space="preserve">The "Birth of Saint John the Baptist" </w:t>
      </w:r>
      <w:r w:rsidR="00891DA4">
        <w:rPr>
          <w:lang w:val="en-GB"/>
        </w:rPr>
        <w:t xml:space="preserve">Romanian Orthodox </w:t>
      </w:r>
      <w:r w:rsidR="00891DA4" w:rsidRPr="00891DA4">
        <w:rPr>
          <w:lang w:val="en-GB"/>
        </w:rPr>
        <w:t>Cathedral</w:t>
      </w:r>
      <w:r w:rsidR="00891DA4">
        <w:rPr>
          <w:lang w:val="en-GB"/>
        </w:rPr>
        <w:t xml:space="preserve">, </w:t>
      </w:r>
      <w:r w:rsidR="00891DA4" w:rsidRPr="00891DA4">
        <w:rPr>
          <w:lang w:val="en-GB"/>
        </w:rPr>
        <w:t>"St. Anthony of Padua" Church</w:t>
      </w:r>
      <w:r w:rsidR="00891DA4">
        <w:rPr>
          <w:lang w:val="en-GB"/>
        </w:rPr>
        <w:t>, a testament to the multicultural history of the city). Cultural life is active, supported by numerous theaters (Arad State Theater), international festivals (Classical Theater Festival, International Underground Theater Festival), museums and galleries.</w:t>
      </w:r>
      <w:r w:rsidR="00891DA4" w:rsidRPr="00891DA4">
        <w:rPr>
          <w:lang w:val="en-GB"/>
        </w:rPr>
        <w:t xml:space="preserve"> </w:t>
      </w:r>
      <w:r w:rsidRPr="00037C61">
        <w:rPr>
          <w:lang w:val="en-GB"/>
        </w:rPr>
        <w:t>.</w:t>
      </w:r>
    </w:p>
    <w:p w14:paraId="27A88096" w14:textId="758A8ABC" w:rsidR="00894BBC" w:rsidRPr="00037C61" w:rsidRDefault="00894BBC" w:rsidP="00894BBC">
      <w:pPr>
        <w:pStyle w:val="ListParagraph"/>
        <w:numPr>
          <w:ilvl w:val="0"/>
          <w:numId w:val="8"/>
        </w:numPr>
        <w:spacing w:after="0"/>
        <w:rPr>
          <w:lang w:val="en-GB"/>
        </w:rPr>
      </w:pPr>
      <w:r w:rsidRPr="00037C61">
        <w:rPr>
          <w:b/>
          <w:bCs/>
          <w:lang w:val="en-GB"/>
        </w:rPr>
        <w:t>Timiș</w:t>
      </w:r>
      <w:r w:rsidRPr="00037C61">
        <w:rPr>
          <w:b/>
          <w:bCs/>
          <w:vertAlign w:val="superscript"/>
          <w:lang w:val="en-GB"/>
        </w:rPr>
        <w:footnoteReference w:id="22"/>
      </w:r>
      <w:r w:rsidRPr="00037C61">
        <w:rPr>
          <w:lang w:val="en-GB"/>
        </w:rPr>
        <w:t xml:space="preserve"> offers tourists attractions in the area of tourist centers - Timișoara, Buziaș</w:t>
      </w:r>
      <w:r w:rsidR="00556A94">
        <w:rPr>
          <w:lang w:val="en-GB"/>
        </w:rPr>
        <w:t xml:space="preserve"> (Buziaș resort)</w:t>
      </w:r>
      <w:r w:rsidRPr="00037C61">
        <w:rPr>
          <w:lang w:val="en-GB"/>
        </w:rPr>
        <w:t>, Lugoj</w:t>
      </w:r>
      <w:r w:rsidR="00556A94">
        <w:rPr>
          <w:lang w:val="en-GB"/>
        </w:rPr>
        <w:t xml:space="preserve"> (</w:t>
      </w:r>
      <w:r w:rsidR="00556A94" w:rsidRPr="00556A94">
        <w:rPr>
          <w:lang w:val="en-GB"/>
        </w:rPr>
        <w:t>Dormition of the Theotokos Church</w:t>
      </w:r>
      <w:r w:rsidR="00556A94">
        <w:rPr>
          <w:lang w:val="en-GB"/>
        </w:rPr>
        <w:t>)</w:t>
      </w:r>
      <w:r w:rsidRPr="00037C61">
        <w:rPr>
          <w:lang w:val="en-GB"/>
        </w:rPr>
        <w:t>, Sânnicolau Mare, industrial cultural landscapes, industrial heritage, natural reservations, medieval castles</w:t>
      </w:r>
      <w:r w:rsidR="00556A94">
        <w:rPr>
          <w:lang w:val="en-GB"/>
        </w:rPr>
        <w:t xml:space="preserve"> (Banloc, Carani)</w:t>
      </w:r>
      <w:r w:rsidRPr="00037C61">
        <w:rPr>
          <w:lang w:val="en-GB"/>
        </w:rPr>
        <w:t xml:space="preserve"> and citadels, architectural and monastery structures</w:t>
      </w:r>
      <w:r w:rsidR="00556A94">
        <w:rPr>
          <w:lang w:val="en-GB"/>
        </w:rPr>
        <w:t xml:space="preserve"> (Șag, Săraca)</w:t>
      </w:r>
      <w:r w:rsidRPr="00037C61">
        <w:rPr>
          <w:lang w:val="en-GB"/>
        </w:rPr>
        <w:t>, etc.</w:t>
      </w:r>
      <w:r w:rsidR="00556A94">
        <w:rPr>
          <w:lang w:val="en-GB"/>
        </w:rPr>
        <w:t xml:space="preserve"> </w:t>
      </w:r>
      <w:r w:rsidR="00DD00F4">
        <w:rPr>
          <w:lang w:val="en-GB"/>
        </w:rPr>
        <w:t xml:space="preserve">The county seat, </w:t>
      </w:r>
      <w:r w:rsidR="00556A94" w:rsidRPr="00DB74BF">
        <w:rPr>
          <w:b/>
          <w:bCs/>
          <w:lang w:val="en-GB"/>
        </w:rPr>
        <w:t>Timișoara</w:t>
      </w:r>
      <w:r w:rsidR="00DD00F4">
        <w:rPr>
          <w:b/>
          <w:bCs/>
          <w:lang w:val="en-GB"/>
        </w:rPr>
        <w:t>,</w:t>
      </w:r>
      <w:r w:rsidR="00556A94" w:rsidRPr="00556A94">
        <w:rPr>
          <w:lang w:val="en-GB"/>
        </w:rPr>
        <w:t xml:space="preserve"> h</w:t>
      </w:r>
      <w:r w:rsidR="00556A94">
        <w:rPr>
          <w:lang w:val="en-GB"/>
        </w:rPr>
        <w:t>osts</w:t>
      </w:r>
      <w:r w:rsidR="00556A94" w:rsidRPr="00556A94">
        <w:rPr>
          <w:lang w:val="en-GB"/>
        </w:rPr>
        <w:t xml:space="preserve"> the largest architectural ensemble of historical buildings in Romania (approx. 14,500), </w:t>
      </w:r>
      <w:r w:rsidR="00556A94" w:rsidRPr="00556A94">
        <w:rPr>
          <w:lang w:val="en-GB"/>
        </w:rPr>
        <w:lastRenderedPageBreak/>
        <w:t>consisting of the urban heritage of the Cetate, Iosefin, Fabric and Elisabetin neighborhoods</w:t>
      </w:r>
      <w:r w:rsidR="00556A94">
        <w:rPr>
          <w:lang w:val="en-GB"/>
        </w:rPr>
        <w:t xml:space="preserve">. It offers a wealth of architectural heritage and representative public spaces (eg. Unirii square, Victory square) and is the 2023 European Capital of Culture, a title supported by many cultural establishments (museums, theaters in three different languages, Romanian National Opera, art galleries), events and music festivals. </w:t>
      </w:r>
    </w:p>
    <w:p w14:paraId="0659C98C" w14:textId="1A769D8C" w:rsidR="00894BBC" w:rsidRPr="00DB74BF" w:rsidRDefault="00894BBC" w:rsidP="00556A94">
      <w:pPr>
        <w:pStyle w:val="ListParagraph"/>
        <w:numPr>
          <w:ilvl w:val="0"/>
          <w:numId w:val="8"/>
        </w:numPr>
        <w:spacing w:after="0"/>
        <w:rPr>
          <w:lang w:val="en-GB"/>
        </w:rPr>
      </w:pPr>
      <w:r w:rsidRPr="00556A94">
        <w:rPr>
          <w:b/>
          <w:bCs/>
          <w:lang w:val="en-GB"/>
        </w:rPr>
        <w:t>In Békés</w:t>
      </w:r>
      <w:r w:rsidRPr="00037C61">
        <w:rPr>
          <w:b/>
          <w:bCs/>
          <w:vertAlign w:val="superscript"/>
          <w:lang w:val="en-GB"/>
        </w:rPr>
        <w:footnoteReference w:id="23"/>
      </w:r>
      <w:r w:rsidRPr="00556A94">
        <w:rPr>
          <w:lang w:val="en-GB"/>
        </w:rPr>
        <w:t xml:space="preserve"> the attractions are Fekete, Fehér and Kettős-Körös rivers, castles and spa in Gyula, aquatic tours in Dánfok, galleries and churches in Békés and Gyula, </w:t>
      </w:r>
      <w:r w:rsidR="00556A94" w:rsidRPr="00556A94">
        <w:rPr>
          <w:lang w:val="en-GB"/>
        </w:rPr>
        <w:t xml:space="preserve">and many more. The county seat, </w:t>
      </w:r>
      <w:r w:rsidR="00556A94" w:rsidRPr="00DB74BF">
        <w:rPr>
          <w:b/>
          <w:bCs/>
          <w:lang w:val="en-GB"/>
        </w:rPr>
        <w:t>Békéscsaba,</w:t>
      </w:r>
      <w:r w:rsidR="00556A94" w:rsidRPr="00556A94">
        <w:rPr>
          <w:lang w:val="en-GB"/>
        </w:rPr>
        <w:t xml:space="preserve"> is host to a</w:t>
      </w:r>
      <w:r w:rsidR="00556A94" w:rsidRPr="00DD00F4">
        <w:rPr>
          <w:lang w:val="en-GB"/>
        </w:rPr>
        <w:t xml:space="preserve"> rich religious heritage (Great Lutheran Church - Evangélikus Nagytemplom</w:t>
      </w:r>
      <w:r w:rsidR="00556A94" w:rsidRPr="00752FDB">
        <w:rPr>
          <w:lang w:val="en-GB"/>
        </w:rPr>
        <w:t xml:space="preserve">, </w:t>
      </w:r>
      <w:r w:rsidR="00556A94">
        <w:rPr>
          <w:lang w:val="en-GB"/>
        </w:rPr>
        <w:t>S</w:t>
      </w:r>
      <w:r w:rsidR="00556A94" w:rsidRPr="00556A94">
        <w:rPr>
          <w:lang w:val="en-GB"/>
        </w:rPr>
        <w:t xml:space="preserve">mall Lutheran Church </w:t>
      </w:r>
      <w:r w:rsidR="00556A94">
        <w:rPr>
          <w:lang w:val="en-GB"/>
        </w:rPr>
        <w:t xml:space="preserve">- </w:t>
      </w:r>
      <w:r w:rsidR="00556A94" w:rsidRPr="00556A94">
        <w:rPr>
          <w:lang w:val="en-GB"/>
        </w:rPr>
        <w:t>Evangélikus Kistemplom</w:t>
      </w:r>
      <w:r w:rsidR="00556A94">
        <w:rPr>
          <w:lang w:val="en-GB"/>
        </w:rPr>
        <w:t xml:space="preserve">, </w:t>
      </w:r>
      <w:r w:rsidR="00556A94" w:rsidRPr="00DB74BF">
        <w:rPr>
          <w:lang w:val="en-GB"/>
        </w:rPr>
        <w:t xml:space="preserve">Saint Anthony of Padua Cathedral </w:t>
      </w:r>
      <w:r w:rsidR="00556A94">
        <w:rPr>
          <w:lang w:val="en-GB"/>
        </w:rPr>
        <w:t xml:space="preserve">- </w:t>
      </w:r>
      <w:r w:rsidR="00556A94" w:rsidRPr="00DB74BF">
        <w:rPr>
          <w:lang w:val="en-GB"/>
        </w:rPr>
        <w:t>Páduai Szent Antal székesegyház)</w:t>
      </w:r>
      <w:r w:rsidR="00556A94">
        <w:rPr>
          <w:lang w:val="en-GB"/>
        </w:rPr>
        <w:t xml:space="preserve">, museums and memorial house of </w:t>
      </w:r>
      <w:r w:rsidR="00556A94" w:rsidRPr="00556A94">
        <w:rPr>
          <w:lang w:val="en-GB"/>
        </w:rPr>
        <w:t>Mihály Munkácsy</w:t>
      </w:r>
      <w:r w:rsidR="00556A94">
        <w:rPr>
          <w:lang w:val="en-GB"/>
        </w:rPr>
        <w:t xml:space="preserve">, theatres and otherwise valuable built heritage items. </w:t>
      </w:r>
    </w:p>
    <w:p w14:paraId="3D95A52D" w14:textId="72D528AB" w:rsidR="00894BBC" w:rsidRPr="00037C61" w:rsidRDefault="00894BBC" w:rsidP="00894BBC">
      <w:pPr>
        <w:pStyle w:val="ListParagraph"/>
        <w:numPr>
          <w:ilvl w:val="0"/>
          <w:numId w:val="8"/>
        </w:numPr>
        <w:spacing w:after="0"/>
        <w:rPr>
          <w:lang w:val="en-GB"/>
        </w:rPr>
      </w:pPr>
      <w:r w:rsidRPr="00037C61">
        <w:rPr>
          <w:b/>
          <w:bCs/>
          <w:lang w:val="en-GB"/>
        </w:rPr>
        <w:t>Csongrád</w:t>
      </w:r>
      <w:r w:rsidR="00556A94">
        <w:rPr>
          <w:b/>
          <w:bCs/>
          <w:lang w:val="en-GB"/>
        </w:rPr>
        <w:t>-Csan</w:t>
      </w:r>
      <w:r w:rsidR="00556A94" w:rsidRPr="00037C61">
        <w:rPr>
          <w:b/>
          <w:bCs/>
          <w:lang w:val="en-GB"/>
        </w:rPr>
        <w:t>ád</w:t>
      </w:r>
      <w:r w:rsidRPr="00037C61">
        <w:rPr>
          <w:lang w:val="en-GB"/>
        </w:rPr>
        <w:t xml:space="preserve"> has </w:t>
      </w:r>
      <w:r w:rsidR="00DD00F4">
        <w:rPr>
          <w:lang w:val="en-GB"/>
        </w:rPr>
        <w:t>a wealth</w:t>
      </w:r>
      <w:r w:rsidRPr="00037C61">
        <w:rPr>
          <w:lang w:val="en-GB"/>
        </w:rPr>
        <w:t xml:space="preserve"> of protected monuments (e.g. in Szeged, Hódmezővásárhely, Csongrád), water activities along Tisza rivers</w:t>
      </w:r>
      <w:r w:rsidRPr="00037C61">
        <w:rPr>
          <w:vertAlign w:val="superscript"/>
          <w:lang w:val="en-GB"/>
        </w:rPr>
        <w:footnoteReference w:id="24"/>
      </w:r>
      <w:r w:rsidRPr="00037C61">
        <w:rPr>
          <w:lang w:val="en-GB"/>
        </w:rPr>
        <w:t>, cultural and natural heritage</w:t>
      </w:r>
      <w:r w:rsidR="00556A94">
        <w:rPr>
          <w:lang w:val="en-GB"/>
        </w:rPr>
        <w:t xml:space="preserve">. The county seat, </w:t>
      </w:r>
      <w:r w:rsidR="00556A94" w:rsidRPr="00DB74BF">
        <w:rPr>
          <w:b/>
          <w:bCs/>
          <w:lang w:val="en-GB"/>
        </w:rPr>
        <w:t>Szeged</w:t>
      </w:r>
      <w:r w:rsidR="00556A94">
        <w:rPr>
          <w:lang w:val="en-GB"/>
        </w:rPr>
        <w:t xml:space="preserve">, </w:t>
      </w:r>
      <w:r w:rsidR="00DD00F4">
        <w:rPr>
          <w:lang w:val="en-GB"/>
        </w:rPr>
        <w:t>is recognized for the richness of its cultural life and organisation of many festivals and events (</w:t>
      </w:r>
      <w:r w:rsidR="00DD00F4" w:rsidRPr="00DB74BF">
        <w:rPr>
          <w:lang w:val="en-GB"/>
        </w:rPr>
        <w:t>Szeged Open Air Theatre in front of the Votive Church</w:t>
      </w:r>
      <w:r w:rsidR="00DD00F4">
        <w:rPr>
          <w:lang w:val="en-GB"/>
        </w:rPr>
        <w:t xml:space="preserve">; Szeged Wine Festival) and intangible heritage (gastronomy, arts and science, literature, music). The city’s multicultural history is reflected in the built heritage: the Votive Church, </w:t>
      </w:r>
      <w:r w:rsidR="00DD00F4" w:rsidRPr="00DD00F4">
        <w:rPr>
          <w:lang w:val="en-GB"/>
        </w:rPr>
        <w:t>Church of Grey Friars</w:t>
      </w:r>
      <w:r w:rsidR="00DD00F4">
        <w:rPr>
          <w:lang w:val="en-GB"/>
        </w:rPr>
        <w:t>,</w:t>
      </w:r>
      <w:r w:rsidR="00DD00F4" w:rsidRPr="00DD00F4">
        <w:rPr>
          <w:lang w:val="en-GB"/>
        </w:rPr>
        <w:t xml:space="preserve"> </w:t>
      </w:r>
      <w:r w:rsidR="00DD00F4">
        <w:rPr>
          <w:lang w:val="en-GB"/>
        </w:rPr>
        <w:t>the Old and New Synagogues, the</w:t>
      </w:r>
      <w:r w:rsidR="00DD00F4" w:rsidRPr="00DD00F4">
        <w:t xml:space="preserve"> </w:t>
      </w:r>
      <w:r w:rsidR="00DD00F4" w:rsidRPr="00DD00F4">
        <w:rPr>
          <w:lang w:val="en-GB"/>
        </w:rPr>
        <w:t>Saint Nicholas Serbian Orthodox Church</w:t>
      </w:r>
      <w:r w:rsidR="00DD00F4">
        <w:rPr>
          <w:lang w:val="en-GB"/>
        </w:rPr>
        <w:t xml:space="preserve">. Other valuable heritage and touristic landmarks are the </w:t>
      </w:r>
      <w:r w:rsidR="00DD00F4" w:rsidRPr="00DD00F4">
        <w:rPr>
          <w:lang w:val="en-GB"/>
        </w:rPr>
        <w:t>Dömötör Tower</w:t>
      </w:r>
      <w:r w:rsidR="00DD00F4">
        <w:rPr>
          <w:lang w:val="en-GB"/>
        </w:rPr>
        <w:t>, t</w:t>
      </w:r>
      <w:r w:rsidR="00DD00F4" w:rsidRPr="00DD00F4">
        <w:t xml:space="preserve"> </w:t>
      </w:r>
      <w:r w:rsidR="00DD00F4" w:rsidRPr="00DD00F4">
        <w:rPr>
          <w:lang w:val="en-GB"/>
        </w:rPr>
        <w:t>he Water Tower of Szent István Square</w:t>
      </w:r>
      <w:r w:rsidR="00DD00F4">
        <w:rPr>
          <w:lang w:val="en-GB"/>
        </w:rPr>
        <w:t xml:space="preserve">, the City Hall, the </w:t>
      </w:r>
      <w:r w:rsidR="00DD00F4" w:rsidRPr="00DD00F4">
        <w:rPr>
          <w:lang w:val="en-GB"/>
        </w:rPr>
        <w:t>Gróf-palace</w:t>
      </w:r>
      <w:r w:rsidR="00DD00F4">
        <w:rPr>
          <w:lang w:val="en-GB"/>
        </w:rPr>
        <w:t xml:space="preserve">, etc.  </w:t>
      </w:r>
    </w:p>
    <w:p w14:paraId="317EAD5D" w14:textId="28B45B11" w:rsidR="00752FDB" w:rsidRPr="00DB74BF" w:rsidRDefault="00752FDB" w:rsidP="00DB74BF">
      <w:pPr>
        <w:pStyle w:val="ListParagraph"/>
        <w:numPr>
          <w:ilvl w:val="0"/>
          <w:numId w:val="8"/>
        </w:numPr>
        <w:rPr>
          <w:lang w:val="en-GB"/>
        </w:rPr>
      </w:pPr>
      <w:r w:rsidRPr="00DB74BF">
        <w:rPr>
          <w:lang w:val="en-GB"/>
        </w:rPr>
        <w:t xml:space="preserve">While </w:t>
      </w:r>
      <w:r w:rsidR="00894BBC" w:rsidRPr="00752FDB">
        <w:rPr>
          <w:b/>
          <w:bCs/>
          <w:lang w:val="en-GB"/>
        </w:rPr>
        <w:t>Hajdú-Bihar</w:t>
      </w:r>
      <w:r w:rsidR="00894BBC" w:rsidRPr="00752FDB">
        <w:rPr>
          <w:lang w:val="en-GB"/>
        </w:rPr>
        <w:t xml:space="preserve"> </w:t>
      </w:r>
      <w:r w:rsidRPr="00752FDB">
        <w:rPr>
          <w:lang w:val="en-GB"/>
        </w:rPr>
        <w:t>is primarily known for its thermal baths, and the vast areas of the puszta protected in the Hortobágy UNESCO Park, it also has a wealth of cultural herirage (eg. Balmazújváros – Semsey Castle, Téglás – Dégenfeld-Schomberg Castle, Hajdúböszörmény – Skansen, Hajdúdorog – Greek Catholic Church, Biharkeresztes – Reformed Church, Hajdúsámson – Csiha mill). The county seat, Debrecen, is one of the most important cultural centers at national level, home of the University of Debrecen (also an architectural monument), and many built heritage elements of great value (eg. the Reformed Great Church (Nagytemplom)</w:t>
      </w:r>
      <w:r>
        <w:rPr>
          <w:lang w:val="en-GB"/>
        </w:rPr>
        <w:t xml:space="preserve">, </w:t>
      </w:r>
      <w:r>
        <w:rPr>
          <w:rFonts w:ascii="Arial" w:hAnsi="Arial" w:cs="Arial"/>
          <w:color w:val="202122"/>
          <w:sz w:val="20"/>
          <w:szCs w:val="20"/>
          <w:shd w:val="clear" w:color="auto" w:fill="FFFFFF"/>
        </w:rPr>
        <w:t xml:space="preserve">Déri Museum, </w:t>
      </w:r>
      <w:r w:rsidRPr="00752FDB">
        <w:rPr>
          <w:rFonts w:ascii="Arial" w:hAnsi="Arial" w:cs="Arial"/>
          <w:color w:val="202122"/>
          <w:sz w:val="20"/>
          <w:szCs w:val="20"/>
          <w:shd w:val="clear" w:color="auto" w:fill="FFFFFF"/>
        </w:rPr>
        <w:t>„Hortobágy” mill</w:t>
      </w:r>
      <w:r>
        <w:rPr>
          <w:rFonts w:ascii="Arial" w:hAnsi="Arial" w:cs="Arial"/>
          <w:color w:val="202122"/>
          <w:sz w:val="20"/>
          <w:szCs w:val="20"/>
          <w:shd w:val="clear" w:color="auto" w:fill="FFFFFF"/>
        </w:rPr>
        <w:t xml:space="preserve">). </w:t>
      </w:r>
    </w:p>
    <w:p w14:paraId="46F2AC10" w14:textId="1E6251AD" w:rsidR="00894BBC" w:rsidRPr="008B50D7" w:rsidRDefault="00752FDB" w:rsidP="00894BBC">
      <w:pPr>
        <w:pStyle w:val="ListParagraph"/>
        <w:numPr>
          <w:ilvl w:val="0"/>
          <w:numId w:val="8"/>
        </w:numPr>
        <w:rPr>
          <w:rFonts w:cs="Calibri"/>
          <w:lang w:val="en-GB"/>
        </w:rPr>
      </w:pPr>
      <w:r>
        <w:rPr>
          <w:lang w:val="en-GB"/>
        </w:rPr>
        <w:t>Lastly, t</w:t>
      </w:r>
      <w:r w:rsidR="00894BBC" w:rsidRPr="00037C61">
        <w:rPr>
          <w:b/>
          <w:bCs/>
          <w:lang w:val="en-GB"/>
        </w:rPr>
        <w:t>Szabolcs-Szatmár-Bereg</w:t>
      </w:r>
      <w:r w:rsidR="00894BBC" w:rsidRPr="00037C61">
        <w:rPr>
          <w:lang w:val="en-GB"/>
        </w:rPr>
        <w:t xml:space="preserve"> </w:t>
      </w:r>
      <w:r>
        <w:rPr>
          <w:lang w:val="en-GB"/>
        </w:rPr>
        <w:t>hosts a rich heritage of</w:t>
      </w:r>
      <w:r w:rsidR="00894BBC" w:rsidRPr="00037C61">
        <w:rPr>
          <w:lang w:val="en-GB"/>
        </w:rPr>
        <w:t xml:space="preserve"> medieval churches, watermill, castles (e.g. </w:t>
      </w:r>
      <w:r w:rsidRPr="00752FDB">
        <w:rPr>
          <w:lang w:val="en-GB"/>
        </w:rPr>
        <w:t xml:space="preserve">Andrássy Mansion </w:t>
      </w:r>
      <w:r>
        <w:rPr>
          <w:lang w:val="en-GB"/>
        </w:rPr>
        <w:t xml:space="preserve"> in </w:t>
      </w:r>
      <w:r w:rsidR="00894BBC" w:rsidRPr="00037C61">
        <w:rPr>
          <w:lang w:val="en-GB"/>
        </w:rPr>
        <w:t xml:space="preserve">Tiszadob, </w:t>
      </w:r>
      <w:r>
        <w:rPr>
          <w:lang w:val="en-GB"/>
        </w:rPr>
        <w:t xml:space="preserve">Vay Castle in </w:t>
      </w:r>
      <w:r w:rsidR="00894BBC" w:rsidRPr="00037C61">
        <w:rPr>
          <w:lang w:val="en-GB"/>
        </w:rPr>
        <w:t>Vaja</w:t>
      </w:r>
      <w:r w:rsidR="008B50D7">
        <w:rPr>
          <w:lang w:val="en-GB"/>
        </w:rPr>
        <w:t xml:space="preserve">, </w:t>
      </w:r>
      <w:r w:rsidR="008B50D7" w:rsidRPr="008B50D7">
        <w:rPr>
          <w:lang w:val="en-GB"/>
        </w:rPr>
        <w:t>Báthory Castle in Nyírbátor</w:t>
      </w:r>
      <w:r w:rsidR="00894BBC" w:rsidRPr="00037C61">
        <w:rPr>
          <w:lang w:val="en-GB"/>
        </w:rPr>
        <w:t>), spa, village museum and Zoo in Sóstó (Salty Lake)</w:t>
      </w:r>
      <w:r>
        <w:rPr>
          <w:lang w:val="en-GB"/>
        </w:rPr>
        <w:t xml:space="preserve">. </w:t>
      </w:r>
      <w:r w:rsidR="008B50D7" w:rsidRPr="00DB74BF">
        <w:rPr>
          <w:rFonts w:cs="Calibri"/>
          <w:b/>
          <w:bCs/>
          <w:color w:val="202122"/>
          <w:shd w:val="clear" w:color="auto" w:fill="FFFFFF"/>
        </w:rPr>
        <w:t xml:space="preserve">Nyíregyháza, </w:t>
      </w:r>
      <w:r w:rsidR="008B50D7" w:rsidRPr="00DB74BF">
        <w:rPr>
          <w:rFonts w:cs="Calibri"/>
          <w:lang w:val="en-GB"/>
        </w:rPr>
        <w:t>the county</w:t>
      </w:r>
      <w:r w:rsidR="008B50D7" w:rsidRPr="00DB74BF">
        <w:rPr>
          <w:lang w:val="en-GB"/>
        </w:rPr>
        <w:t xml:space="preserve"> seat</w:t>
      </w:r>
      <w:r w:rsidR="008B50D7" w:rsidRPr="00DB74BF">
        <w:rPr>
          <w:rFonts w:cs="Calibri"/>
          <w:lang w:val="en-GB"/>
        </w:rPr>
        <w:t xml:space="preserve">, hosts </w:t>
      </w:r>
      <w:r w:rsidR="008B50D7">
        <w:rPr>
          <w:rFonts w:cs="Calibri"/>
          <w:lang w:val="en-GB"/>
        </w:rPr>
        <w:t>one of the largest zoos, several baths and medicinal baths (</w:t>
      </w:r>
      <w:r w:rsidR="008B50D7" w:rsidRPr="008B50D7">
        <w:rPr>
          <w:rFonts w:cs="Calibri"/>
          <w:lang w:val="en-GB"/>
        </w:rPr>
        <w:t>Sóstógyógyfürdő</w:t>
      </w:r>
      <w:r w:rsidR="008B50D7">
        <w:rPr>
          <w:rFonts w:cs="Calibri"/>
          <w:lang w:val="en-GB"/>
        </w:rPr>
        <w:t>), museum</w:t>
      </w:r>
      <w:r w:rsidR="008B50D7" w:rsidRPr="00DB74BF">
        <w:rPr>
          <w:rFonts w:eastAsiaTheme="minorHAnsi" w:cstheme="minorHAnsi"/>
          <w:bCs/>
          <w:lang w:val="en-GB"/>
        </w:rPr>
        <w:t>s (Sóstó Open Air Museum, Jósa András Museum), five churches of different denominations, and a theatre.</w:t>
      </w:r>
      <w:r w:rsidR="008B50D7">
        <w:rPr>
          <w:rFonts w:cs="Calibri"/>
          <w:lang w:val="en-GB"/>
        </w:rPr>
        <w:t xml:space="preserve">  </w:t>
      </w:r>
    </w:p>
    <w:p w14:paraId="40A203F3" w14:textId="1DD909DE" w:rsidR="00894BBC" w:rsidRDefault="00894BBC" w:rsidP="0061187F">
      <w:pPr>
        <w:pStyle w:val="InterregROHUBullet1"/>
        <w:numPr>
          <w:ilvl w:val="0"/>
          <w:numId w:val="0"/>
        </w:numPr>
        <w:spacing w:after="0"/>
        <w:rPr>
          <w:bCs w:val="0"/>
        </w:rPr>
      </w:pPr>
    </w:p>
    <w:p w14:paraId="64242373" w14:textId="77777777" w:rsidR="00894BBC" w:rsidRPr="00037C61" w:rsidRDefault="00894BBC" w:rsidP="0061187F">
      <w:pPr>
        <w:pStyle w:val="InterregROHUBullet1"/>
        <w:numPr>
          <w:ilvl w:val="0"/>
          <w:numId w:val="0"/>
        </w:numPr>
        <w:spacing w:after="0"/>
        <w:rPr>
          <w:bCs w:val="0"/>
        </w:rPr>
      </w:pPr>
    </w:p>
    <w:p w14:paraId="6392DC54" w14:textId="1229D59E" w:rsidR="004B0C44" w:rsidRPr="00037C61" w:rsidRDefault="00270874" w:rsidP="00921D9C">
      <w:pPr>
        <w:pStyle w:val="InterregROHUBullet1"/>
        <w:numPr>
          <w:ilvl w:val="0"/>
          <w:numId w:val="0"/>
        </w:numPr>
      </w:pPr>
      <w:r>
        <w:lastRenderedPageBreak/>
        <w:t>T</w:t>
      </w:r>
      <w:r w:rsidR="004B0C44" w:rsidRPr="00037C61">
        <w:t xml:space="preserve">he PA </w:t>
      </w:r>
      <w:r w:rsidR="000965EC" w:rsidRPr="00037C61">
        <w:t xml:space="preserve">has three cities included in the </w:t>
      </w:r>
      <w:r w:rsidR="000965EC" w:rsidRPr="00037C61">
        <w:rPr>
          <w:b/>
          <w:bCs w:val="0"/>
        </w:rPr>
        <w:t>JRC Cultural and Creative Cities Monitor</w:t>
      </w:r>
      <w:r w:rsidR="000965EC" w:rsidRPr="00037C61">
        <w:rPr>
          <w:rStyle w:val="FootnoteReference"/>
          <w:b/>
          <w:bCs w:val="0"/>
        </w:rPr>
        <w:footnoteReference w:id="25"/>
      </w:r>
      <w:r w:rsidR="007E1B75" w:rsidRPr="00037C61">
        <w:rPr>
          <w:b/>
          <w:bCs w:val="0"/>
        </w:rPr>
        <w:t xml:space="preserve"> 2019</w:t>
      </w:r>
      <w:r w:rsidR="000965EC" w:rsidRPr="00037C61">
        <w:t xml:space="preserve">: Timișoara, Szeged and Debrecen, which represent important centres driving cultural and creative growth in the region. </w:t>
      </w:r>
    </w:p>
    <w:p w14:paraId="0A9AEAE2" w14:textId="069A1C40" w:rsidR="000965EC" w:rsidRPr="00037C61" w:rsidRDefault="000965EC" w:rsidP="000965EC">
      <w:pPr>
        <w:pStyle w:val="InterregROHUBullet1"/>
        <w:ind w:left="709"/>
      </w:pPr>
      <w:r w:rsidRPr="00037C61">
        <w:rPr>
          <w:b/>
          <w:bCs w:val="0"/>
        </w:rPr>
        <w:t xml:space="preserve">Timișoara (European Capital of Culture 2021, postponed to 2023) </w:t>
      </w:r>
      <w:r w:rsidRPr="00037C61">
        <w:t xml:space="preserve">has an overall performance in the Culture and Creative Cities Index of 18.1 (maximum – 66, Paris; minimum – 10.1, Patras). </w:t>
      </w:r>
    </w:p>
    <w:p w14:paraId="613A78F9" w14:textId="37B89974" w:rsidR="000965EC" w:rsidRPr="00037C61" w:rsidRDefault="000965EC" w:rsidP="000965EC">
      <w:pPr>
        <w:pStyle w:val="InterregROHUBullet1"/>
        <w:ind w:left="709"/>
      </w:pPr>
      <w:r w:rsidRPr="00037C61">
        <w:rPr>
          <w:b/>
        </w:rPr>
        <w:t xml:space="preserve">Szeged (international festival city) </w:t>
      </w:r>
      <w:r w:rsidRPr="00037C61">
        <w:t>has an overall performance of 20.5</w:t>
      </w:r>
      <w:r w:rsidR="40EBADE7" w:rsidRPr="00037C61">
        <w:t>.</w:t>
      </w:r>
      <w:r w:rsidR="007E1B75" w:rsidRPr="00037C61">
        <w:t xml:space="preserve"> </w:t>
      </w:r>
    </w:p>
    <w:p w14:paraId="579ACB13" w14:textId="37968961" w:rsidR="007E1B75" w:rsidRPr="00037C61" w:rsidRDefault="007E1B75" w:rsidP="005E0849">
      <w:pPr>
        <w:pStyle w:val="InterregROHUBullet1"/>
        <w:ind w:left="709"/>
      </w:pPr>
      <w:r w:rsidRPr="00037C61">
        <w:rPr>
          <w:b/>
          <w:bCs w:val="0"/>
        </w:rPr>
        <w:t xml:space="preserve">Debrecen (shortlisted for European Capital of Culture 2023) </w:t>
      </w:r>
      <w:r w:rsidRPr="00037C61">
        <w:t xml:space="preserve">has an overall performance of 15.2 on the JRC CCCM. </w:t>
      </w:r>
    </w:p>
    <w:p w14:paraId="0B392F1B" w14:textId="77777777" w:rsidR="007E1B75" w:rsidRPr="00037C61" w:rsidRDefault="007E1B75" w:rsidP="00921D9C">
      <w:pPr>
        <w:pStyle w:val="InterregROHUBullet1"/>
        <w:numPr>
          <w:ilvl w:val="0"/>
          <w:numId w:val="0"/>
        </w:numPr>
      </w:pPr>
      <w:r w:rsidRPr="00037C61">
        <w:t xml:space="preserve">A comparison of the three cities indicates a higher cultural vitality of Szeged, especially in the sector of theatre performance and new jobs in creative sectors, as well as quality of governance. On the other hand, Timișoara has an overall better developed enabling environment, ranking high for the ecosystem of openness, tolerance and trust. </w:t>
      </w:r>
    </w:p>
    <w:p w14:paraId="2B5E9721" w14:textId="3EA31BE6" w:rsidR="007E1B75" w:rsidRPr="00037C61" w:rsidRDefault="007E1B75" w:rsidP="00921D9C">
      <w:pPr>
        <w:pStyle w:val="InterregROHUBullet1"/>
        <w:numPr>
          <w:ilvl w:val="0"/>
          <w:numId w:val="0"/>
        </w:numPr>
      </w:pPr>
      <w:r w:rsidRPr="00037C61">
        <w:t xml:space="preserve">Weak points for all cities and sectors of underperformance are the intellectual property and innovation sector (ratings between 3.6 and 4.3, compared to e.g. 56.8 in Lund) and low local and international connections (3.6 in Timișoara and 9.4 in Szeged), which are sectors in which cross-border cooperation can have a significant impact.  </w:t>
      </w:r>
    </w:p>
    <w:p w14:paraId="34025E9A" w14:textId="547646CA" w:rsidR="007E1B75" w:rsidRPr="00037C61" w:rsidRDefault="000965EC" w:rsidP="005E0849">
      <w:pPr>
        <w:pStyle w:val="InterregROHUBullet1"/>
        <w:keepNext/>
        <w:numPr>
          <w:ilvl w:val="0"/>
          <w:numId w:val="0"/>
        </w:numPr>
      </w:pPr>
      <w:r w:rsidRPr="00037C61">
        <w:rPr>
          <w:noProof/>
          <w:lang w:val="ro-RO" w:eastAsia="ro-RO"/>
        </w:rPr>
        <mc:AlternateContent>
          <mc:Choice Requires="wpg">
            <w:drawing>
              <wp:inline distT="0" distB="0" distL="0" distR="0" wp14:anchorId="52E01A47" wp14:editId="05643A7F">
                <wp:extent cx="5419725" cy="3285490"/>
                <wp:effectExtent l="0" t="0" r="9525" b="0"/>
                <wp:docPr id="1490160150" name="Group 1490160150"/>
                <wp:cNvGraphicFramePr/>
                <a:graphic xmlns:a="http://schemas.openxmlformats.org/drawingml/2006/main">
                  <a:graphicData uri="http://schemas.microsoft.com/office/word/2010/wordprocessingGroup">
                    <wpg:wgp>
                      <wpg:cNvGrpSpPr/>
                      <wpg:grpSpPr>
                        <a:xfrm>
                          <a:off x="0" y="0"/>
                          <a:ext cx="5419725" cy="3285490"/>
                          <a:chOff x="0" y="0"/>
                          <a:chExt cx="5419725" cy="3285491"/>
                        </a:xfrm>
                      </wpg:grpSpPr>
                      <pic:pic xmlns:pic="http://schemas.openxmlformats.org/drawingml/2006/picture">
                        <pic:nvPicPr>
                          <pic:cNvPr id="1490160151" name="Picture 1490160151"/>
                          <pic:cNvPicPr>
                            <a:picLocks noChangeAspect="1"/>
                          </pic:cNvPicPr>
                        </pic:nvPicPr>
                        <pic:blipFill>
                          <a:blip r:embed="rId75">
                            <a:extLst>
                              <a:ext uri="{28A0092B-C50C-407E-A947-70E740481C1C}">
                                <a14:useLocalDpi xmlns:a14="http://schemas.microsoft.com/office/drawing/2010/main"/>
                              </a:ext>
                            </a:extLst>
                          </a:blip>
                          <a:stretch>
                            <a:fillRect/>
                          </a:stretch>
                        </pic:blipFill>
                        <pic:spPr>
                          <a:xfrm>
                            <a:off x="0" y="0"/>
                            <a:ext cx="1821180" cy="3275965"/>
                          </a:xfrm>
                          <a:prstGeom prst="rect">
                            <a:avLst/>
                          </a:prstGeom>
                        </pic:spPr>
                      </pic:pic>
                      <pic:pic xmlns:pic="http://schemas.openxmlformats.org/drawingml/2006/picture">
                        <pic:nvPicPr>
                          <pic:cNvPr id="1490160152" name="Picture 1490160152"/>
                          <pic:cNvPicPr>
                            <a:picLocks noChangeAspect="1"/>
                          </pic:cNvPicPr>
                        </pic:nvPicPr>
                        <pic:blipFill>
                          <a:blip r:embed="rId76">
                            <a:extLst>
                              <a:ext uri="{28A0092B-C50C-407E-A947-70E740481C1C}">
                                <a14:useLocalDpi xmlns:a14="http://schemas.microsoft.com/office/drawing/2010/main"/>
                              </a:ext>
                            </a:extLst>
                          </a:blip>
                          <a:stretch>
                            <a:fillRect/>
                          </a:stretch>
                        </pic:blipFill>
                        <pic:spPr>
                          <a:xfrm>
                            <a:off x="1837267" y="0"/>
                            <a:ext cx="1789430" cy="3263265"/>
                          </a:xfrm>
                          <a:prstGeom prst="rect">
                            <a:avLst/>
                          </a:prstGeom>
                        </pic:spPr>
                      </pic:pic>
                      <pic:pic xmlns:pic="http://schemas.openxmlformats.org/drawingml/2006/picture">
                        <pic:nvPicPr>
                          <pic:cNvPr id="1490160153" name="Picture 1490160153"/>
                          <pic:cNvPicPr>
                            <a:picLocks noChangeAspect="1"/>
                          </pic:cNvPicPr>
                        </pic:nvPicPr>
                        <pic:blipFill>
                          <a:blip r:embed="rId77">
                            <a:extLst>
                              <a:ext uri="{28A0092B-C50C-407E-A947-70E740481C1C}">
                                <a14:useLocalDpi xmlns:a14="http://schemas.microsoft.com/office/drawing/2010/main"/>
                              </a:ext>
                            </a:extLst>
                          </a:blip>
                          <a:stretch>
                            <a:fillRect/>
                          </a:stretch>
                        </pic:blipFill>
                        <pic:spPr>
                          <a:xfrm>
                            <a:off x="3657600" y="1"/>
                            <a:ext cx="1762125" cy="3285490"/>
                          </a:xfrm>
                          <a:prstGeom prst="rect">
                            <a:avLst/>
                          </a:prstGeom>
                        </pic:spPr>
                      </pic:pic>
                    </wpg:wg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A41A6BC">
              <v:group id="Group 1490160150" style="width:426.75pt;height:258.7pt;mso-position-horizontal-relative:char;mso-position-vertical-relative:line" coordsize="54197,32854" o:spid="_x0000_s1026" w14:anchorId="62EADC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490160151" style="position:absolute;width:18211;height:3275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">
                  <v:imagedata o:title="" r:id="rId85"/>
                </v:shape>
                <v:shape id="Picture 1490160152" style="position:absolute;left:18372;width:17894;height:3263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">
                  <v:imagedata o:title="" r:id="rId86"/>
                </v:shape>
                <v:shape id="Picture 1490160153" style="position:absolute;left:36576;width:17621;height:3285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">
                  <v:imagedata o:title="" r:id="rId87"/>
                </v:shape>
                <w10:anchorlock/>
              </v:group>
            </w:pict>
          </mc:Fallback>
        </mc:AlternateContent>
      </w:r>
    </w:p>
    <w:p w14:paraId="72B41023" w14:textId="183C2186" w:rsidR="000965EC" w:rsidRPr="00037C61" w:rsidRDefault="007E1B75" w:rsidP="007E1B75">
      <w:pPr>
        <w:pStyle w:val="Caption"/>
        <w:jc w:val="both"/>
        <w:rPr>
          <w:lang w:val="en-GB"/>
        </w:rPr>
      </w:pPr>
      <w:bookmarkStart w:id="177" w:name="_Toc6461098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33</w:t>
      </w:r>
      <w:r w:rsidR="00412697">
        <w:rPr>
          <w:lang w:val="en-GB"/>
        </w:rPr>
        <w:fldChar w:fldCharType="end"/>
      </w:r>
      <w:r w:rsidRPr="00037C61">
        <w:rPr>
          <w:lang w:val="en-GB"/>
        </w:rPr>
        <w:t xml:space="preserve"> - Comparative overview of performance for the three Cultural and Creative cities in the PA</w:t>
      </w:r>
      <w:bookmarkEnd w:id="177"/>
    </w:p>
    <w:p w14:paraId="5B978738" w14:textId="77777777" w:rsidR="007E1B75" w:rsidRPr="00037C61" w:rsidRDefault="007E1B75" w:rsidP="007E1B75">
      <w:pPr>
        <w:pStyle w:val="Caption"/>
        <w:jc w:val="both"/>
        <w:rPr>
          <w:lang w:val="en-GB"/>
        </w:rPr>
      </w:pPr>
      <w:r w:rsidRPr="00037C61">
        <w:rPr>
          <w:lang w:val="en-GB"/>
        </w:rPr>
        <w:t xml:space="preserve">Source: EC, JRC, 2019 </w:t>
      </w:r>
    </w:p>
    <w:p w14:paraId="3A292ACA" w14:textId="77777777" w:rsidR="008F5ED5" w:rsidRDefault="008F5ED5">
      <w:pPr>
        <w:rPr>
          <w:lang w:val="en-GB"/>
        </w:rPr>
      </w:pPr>
    </w:p>
    <w:p w14:paraId="7E2AD5EA" w14:textId="4AFBD50D" w:rsidR="007E1B75" w:rsidRPr="00037C61" w:rsidRDefault="007E1B75">
      <w:pPr>
        <w:rPr>
          <w:lang w:val="en-GB"/>
        </w:rPr>
      </w:pPr>
      <w:r w:rsidRPr="00037C61">
        <w:rPr>
          <w:lang w:val="en-GB"/>
        </w:rPr>
        <w:lastRenderedPageBreak/>
        <w:t>Furthermore,</w:t>
      </w:r>
      <w:r w:rsidR="009040AC" w:rsidRPr="00037C61">
        <w:rPr>
          <w:lang w:val="en-GB"/>
        </w:rPr>
        <w:t xml:space="preserve"> cities in the</w:t>
      </w:r>
      <w:r w:rsidRPr="00037C61">
        <w:rPr>
          <w:lang w:val="en-GB"/>
        </w:rPr>
        <w:t xml:space="preserve"> PA </w:t>
      </w:r>
      <w:r w:rsidR="009040AC" w:rsidRPr="00037C61">
        <w:rPr>
          <w:lang w:val="en-GB"/>
        </w:rPr>
        <w:t xml:space="preserve">area on both sides of the border are included in the Cultural Route of </w:t>
      </w:r>
      <w:r w:rsidR="009040AC" w:rsidRPr="00037C61">
        <w:rPr>
          <w:b/>
          <w:lang w:val="en-GB"/>
        </w:rPr>
        <w:t>Réseau Art Nouveau Network,</w:t>
      </w:r>
      <w:r w:rsidR="009040AC" w:rsidRPr="00037C61">
        <w:rPr>
          <w:lang w:val="en-GB"/>
        </w:rPr>
        <w:t xml:space="preserve"> certified in 2014 and with headquarters in Brussels</w:t>
      </w:r>
      <w:r w:rsidR="00844E37" w:rsidRPr="00037C61">
        <w:rPr>
          <w:lang w:val="en-GB"/>
        </w:rPr>
        <w:t xml:space="preserve">. The Network </w:t>
      </w:r>
      <w:r w:rsidR="009040AC" w:rsidRPr="00037C61">
        <w:rPr>
          <w:lang w:val="en-GB"/>
        </w:rPr>
        <w:t>includes cities of Szeged and Oradea, with a candidate city status for the city of Timișoara</w:t>
      </w:r>
      <w:r w:rsidR="00844E37" w:rsidRPr="00037C61">
        <w:rPr>
          <w:lang w:val="en-GB"/>
        </w:rPr>
        <w:t xml:space="preserve">. </w:t>
      </w:r>
    </w:p>
    <w:p w14:paraId="3D882EA8" w14:textId="69F4CAF0" w:rsidR="009760EC" w:rsidRPr="00037C61" w:rsidRDefault="00270874">
      <w:pPr>
        <w:rPr>
          <w:lang w:val="en-GB"/>
        </w:rPr>
      </w:pPr>
      <w:r>
        <w:rPr>
          <w:b/>
          <w:bCs/>
          <w:lang w:val="en-GB"/>
        </w:rPr>
        <w:t>Overall, t</w:t>
      </w:r>
      <w:r w:rsidR="00FB10FC" w:rsidRPr="00037C61">
        <w:rPr>
          <w:b/>
          <w:bCs/>
          <w:lang w:val="en-GB"/>
        </w:rPr>
        <w:t xml:space="preserve">he </w:t>
      </w:r>
      <w:r w:rsidR="0017405B" w:rsidRPr="00037C61">
        <w:rPr>
          <w:b/>
          <w:bCs/>
          <w:lang w:val="en-GB"/>
        </w:rPr>
        <w:t>built cultural heritage in the PA is very rich</w:t>
      </w:r>
      <w:r w:rsidR="0017405B" w:rsidRPr="00037C61">
        <w:rPr>
          <w:lang w:val="en-GB"/>
        </w:rPr>
        <w:t xml:space="preserve">, according to the National Heritage Institute of Romania and the Department of Heritage Protection </w:t>
      </w:r>
      <w:r w:rsidR="7D514444" w:rsidRPr="00037C61">
        <w:rPr>
          <w:lang w:val="en-GB"/>
        </w:rPr>
        <w:t>of</w:t>
      </w:r>
      <w:r w:rsidR="0017405B" w:rsidRPr="00037C61">
        <w:rPr>
          <w:lang w:val="en-GB"/>
        </w:rPr>
        <w:t xml:space="preserve"> the Prime Minister's Office in Hungary, there are a total of 2,852 heritage monuments in the analysed area. Monument classification differs in the PA between the two countries: while Romania has a classification system of national and international (A) and local importance (B), in Hungary, the value is assessed against the international benchmark and the national/local one. A</w:t>
      </w:r>
      <w:r w:rsidR="6C999D07" w:rsidRPr="00037C61">
        <w:rPr>
          <w:lang w:val="en-GB"/>
        </w:rPr>
        <w:t>lthough a</w:t>
      </w:r>
      <w:r w:rsidR="0017405B" w:rsidRPr="00037C61">
        <w:rPr>
          <w:lang w:val="en-GB"/>
        </w:rPr>
        <w:t xml:space="preserve"> cross-assessment of these sub-classes is not </w:t>
      </w:r>
      <w:r w:rsidR="00BE6AD2" w:rsidRPr="00037C61">
        <w:rPr>
          <w:lang w:val="en-GB"/>
        </w:rPr>
        <w:t>achievable</w:t>
      </w:r>
      <w:r w:rsidR="0017405B" w:rsidRPr="00037C61">
        <w:rPr>
          <w:lang w:val="en-GB"/>
        </w:rPr>
        <w:t>, the overall distribution highlights a</w:t>
      </w:r>
      <w:r w:rsidR="00BE6AD2" w:rsidRPr="00037C61">
        <w:rPr>
          <w:lang w:val="en-GB"/>
        </w:rPr>
        <w:t xml:space="preserve"> relatively even endowment, with a higher density in Satu Mare and Csongrád-Csanád. </w:t>
      </w:r>
      <w:r w:rsidR="00D63DEB" w:rsidRPr="00037C61">
        <w:rPr>
          <w:lang w:val="en-GB"/>
        </w:rPr>
        <w:t xml:space="preserve">The rich history endowed the PA area with many remaining traces of </w:t>
      </w:r>
      <w:r w:rsidR="281D17C1" w:rsidRPr="00037C61">
        <w:rPr>
          <w:lang w:val="en-GB"/>
        </w:rPr>
        <w:t>palaeolithic</w:t>
      </w:r>
      <w:r w:rsidR="04DF24DF" w:rsidRPr="00037C61">
        <w:rPr>
          <w:lang w:val="en-GB"/>
        </w:rPr>
        <w:t xml:space="preserve"> settlements, </w:t>
      </w:r>
      <w:r w:rsidR="00D63DEB" w:rsidRPr="00037C61">
        <w:rPr>
          <w:lang w:val="en-GB"/>
        </w:rPr>
        <w:t>medieval fortresses, castles, mansions, bazaars (</w:t>
      </w:r>
      <w:r w:rsidR="1A2164A2" w:rsidRPr="00037C61">
        <w:rPr>
          <w:lang w:val="en-GB"/>
        </w:rPr>
        <w:t>e.g.</w:t>
      </w:r>
      <w:r w:rsidR="00D63DEB" w:rsidRPr="00037C61">
        <w:rPr>
          <w:lang w:val="en-GB"/>
        </w:rPr>
        <w:t xml:space="preserve"> the Turkish Bazaar from Lipova – 1672), museums, and architectural monuments. </w:t>
      </w:r>
    </w:p>
    <w:p w14:paraId="55F6367B" w14:textId="6F1A5065" w:rsidR="00BE6AD2" w:rsidRPr="00037C61" w:rsidRDefault="00BE6AD2" w:rsidP="00457478">
      <w:pPr>
        <w:pStyle w:val="Caption"/>
        <w:keepNext/>
        <w:jc w:val="left"/>
        <w:rPr>
          <w:lang w:val="en-GB"/>
        </w:rPr>
      </w:pPr>
      <w:bookmarkStart w:id="178" w:name="_Toc58237629"/>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7</w:t>
      </w:r>
      <w:r w:rsidRPr="00037C61">
        <w:rPr>
          <w:lang w:val="en-GB"/>
        </w:rPr>
        <w:fldChar w:fldCharType="end"/>
      </w:r>
      <w:r w:rsidRPr="00037C61">
        <w:rPr>
          <w:lang w:val="en-GB"/>
        </w:rPr>
        <w:t xml:space="preserve"> - Distribution of heritage monuments by class and importance within the programme area</w:t>
      </w:r>
      <w:bookmarkEnd w:id="178"/>
    </w:p>
    <w:tbl>
      <w:tblPr>
        <w:tblStyle w:val="ListTable3-Accent11"/>
        <w:tblW w:w="9440" w:type="dxa"/>
        <w:tblLook w:val="04A0" w:firstRow="1" w:lastRow="0" w:firstColumn="1" w:lastColumn="0" w:noHBand="0" w:noVBand="1"/>
      </w:tblPr>
      <w:tblGrid>
        <w:gridCol w:w="1555"/>
        <w:gridCol w:w="1020"/>
        <w:gridCol w:w="983"/>
        <w:gridCol w:w="1020"/>
        <w:gridCol w:w="1134"/>
        <w:gridCol w:w="966"/>
        <w:gridCol w:w="2762"/>
      </w:tblGrid>
      <w:tr w:rsidR="0017405B" w:rsidRPr="004A5488" w14:paraId="215955FE" w14:textId="77777777" w:rsidTr="00457478">
        <w:trPr>
          <w:cnfStyle w:val="100000000000" w:firstRow="1" w:lastRow="0" w:firstColumn="0" w:lastColumn="0" w:oddVBand="0" w:evenVBand="0" w:oddHBand="0" w:evenHBand="0" w:firstRowFirstColumn="0" w:firstRowLastColumn="0" w:lastRowFirstColumn="0" w:lastRowLastColumn="0"/>
          <w:trHeight w:val="337"/>
        </w:trPr>
        <w:tc>
          <w:tcPr>
            <w:cnfStyle w:val="001000000100" w:firstRow="0" w:lastRow="0" w:firstColumn="1" w:lastColumn="0" w:oddVBand="0" w:evenVBand="0" w:oddHBand="0" w:evenHBand="0" w:firstRowFirstColumn="1" w:firstRowLastColumn="0" w:lastRowFirstColumn="0" w:lastRowLastColumn="0"/>
            <w:tcW w:w="9440" w:type="dxa"/>
            <w:gridSpan w:val="7"/>
            <w:noWrap/>
          </w:tcPr>
          <w:p w14:paraId="21D5C7A9" w14:textId="6D65DC78" w:rsidR="0017405B" w:rsidRPr="00037C61" w:rsidRDefault="0017405B" w:rsidP="0017405B">
            <w:pPr>
              <w:jc w:val="center"/>
              <w:rPr>
                <w:rFonts w:eastAsia="Times New Roman" w:cs="Calibri"/>
                <w:b w:val="0"/>
                <w:bCs w:val="0"/>
                <w:sz w:val="18"/>
                <w:szCs w:val="18"/>
                <w:lang w:val="en-GB" w:eastAsia="en-GB"/>
              </w:rPr>
            </w:pPr>
            <w:r w:rsidRPr="00037C61">
              <w:rPr>
                <w:rFonts w:eastAsia="Times New Roman" w:cs="Calibri"/>
                <w:color w:val="auto"/>
                <w:sz w:val="18"/>
                <w:szCs w:val="18"/>
                <w:lang w:val="en-GB" w:eastAsia="en-GB"/>
              </w:rPr>
              <w:t>Distribution of heritage monuments by class and importance within the programme area</w:t>
            </w:r>
          </w:p>
        </w:tc>
      </w:tr>
      <w:tr w:rsidR="00457478" w:rsidRPr="004A5488" w14:paraId="2187A50A" w14:textId="77777777" w:rsidTr="00457478">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555" w:type="dxa"/>
            <w:shd w:val="clear" w:color="auto" w:fill="034FA3" w:themeFill="accent1"/>
            <w:noWrap/>
            <w:hideMark/>
          </w:tcPr>
          <w:p w14:paraId="74FB6E66" w14:textId="77777777" w:rsidR="0017405B" w:rsidRPr="00037C61" w:rsidRDefault="0017405B" w:rsidP="0017405B">
            <w:pPr>
              <w:jc w:val="center"/>
              <w:rPr>
                <w:rFonts w:eastAsia="Times New Roman" w:cs="Calibri"/>
                <w:color w:val="000000"/>
                <w:sz w:val="18"/>
                <w:szCs w:val="18"/>
                <w:lang w:val="en-GB" w:eastAsia="en-GB"/>
              </w:rPr>
            </w:pPr>
          </w:p>
        </w:tc>
        <w:tc>
          <w:tcPr>
            <w:tcW w:w="0" w:type="dxa"/>
            <w:shd w:val="clear" w:color="auto" w:fill="034FA3" w:themeFill="accent1"/>
            <w:hideMark/>
          </w:tcPr>
          <w:p w14:paraId="6CC746E6"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6"/>
                <w:szCs w:val="16"/>
                <w:lang w:val="en-GB" w:eastAsia="en-GB"/>
              </w:rPr>
            </w:pPr>
            <w:r w:rsidRPr="00037C61">
              <w:rPr>
                <w:rFonts w:eastAsia="Times New Roman" w:cs="Calibri"/>
                <w:b/>
                <w:bCs/>
                <w:color w:val="FFFFFF" w:themeColor="background1"/>
                <w:sz w:val="16"/>
                <w:szCs w:val="16"/>
                <w:lang w:val="en-GB" w:eastAsia="en-GB"/>
              </w:rPr>
              <w:t>Total no. recorded monuments</w:t>
            </w:r>
          </w:p>
        </w:tc>
        <w:tc>
          <w:tcPr>
            <w:tcW w:w="0" w:type="dxa"/>
            <w:shd w:val="clear" w:color="auto" w:fill="034FA3" w:themeFill="accent1"/>
            <w:hideMark/>
          </w:tcPr>
          <w:p w14:paraId="33F7CB88" w14:textId="4A16148D"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6"/>
                <w:szCs w:val="16"/>
                <w:lang w:val="en-GB" w:eastAsia="en-GB"/>
              </w:rPr>
            </w:pPr>
            <w:r w:rsidRPr="00037C61">
              <w:rPr>
                <w:rFonts w:eastAsia="Times New Roman" w:cs="Calibri"/>
                <w:b/>
                <w:bCs/>
                <w:color w:val="FFFFFF" w:themeColor="background1"/>
                <w:sz w:val="16"/>
                <w:szCs w:val="16"/>
                <w:lang w:val="en-GB" w:eastAsia="en-GB"/>
              </w:rPr>
              <w:t xml:space="preserve">RO Class A - national and intl. importance </w:t>
            </w:r>
          </w:p>
        </w:tc>
        <w:tc>
          <w:tcPr>
            <w:tcW w:w="0" w:type="dxa"/>
            <w:shd w:val="clear" w:color="auto" w:fill="034FA3" w:themeFill="accent1"/>
            <w:hideMark/>
          </w:tcPr>
          <w:p w14:paraId="4448027D" w14:textId="18321E0F"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6"/>
                <w:szCs w:val="16"/>
                <w:lang w:val="en-GB" w:eastAsia="en-GB"/>
              </w:rPr>
            </w:pPr>
            <w:r w:rsidRPr="00037C61">
              <w:rPr>
                <w:rFonts w:eastAsia="Times New Roman" w:cs="Calibri"/>
                <w:b/>
                <w:bCs/>
                <w:color w:val="FFFFFF" w:themeColor="background1"/>
                <w:sz w:val="16"/>
                <w:szCs w:val="16"/>
                <w:lang w:val="en-GB" w:eastAsia="en-GB"/>
              </w:rPr>
              <w:t>RO Class B - local importance monuments</w:t>
            </w:r>
          </w:p>
        </w:tc>
        <w:tc>
          <w:tcPr>
            <w:tcW w:w="1134" w:type="dxa"/>
            <w:shd w:val="clear" w:color="auto" w:fill="034FA3" w:themeFill="accent1"/>
            <w:hideMark/>
          </w:tcPr>
          <w:p w14:paraId="19944656" w14:textId="38809341"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6"/>
                <w:szCs w:val="16"/>
                <w:lang w:val="en-GB" w:eastAsia="en-GB"/>
              </w:rPr>
            </w:pPr>
            <w:r w:rsidRPr="00037C61">
              <w:rPr>
                <w:rFonts w:eastAsia="Times New Roman" w:cs="Calibri"/>
                <w:b/>
                <w:bCs/>
                <w:color w:val="FFFFFF" w:themeColor="background1"/>
                <w:sz w:val="16"/>
                <w:szCs w:val="16"/>
                <w:lang w:val="en-GB" w:eastAsia="en-GB"/>
              </w:rPr>
              <w:t xml:space="preserve">HU International value </w:t>
            </w:r>
          </w:p>
        </w:tc>
        <w:tc>
          <w:tcPr>
            <w:tcW w:w="0" w:type="dxa"/>
            <w:shd w:val="clear" w:color="auto" w:fill="034FA3" w:themeFill="accent1"/>
            <w:hideMark/>
          </w:tcPr>
          <w:p w14:paraId="685B0B4F" w14:textId="34F8BD81"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6"/>
                <w:szCs w:val="16"/>
                <w:lang w:val="en-GB" w:eastAsia="en-GB"/>
              </w:rPr>
            </w:pPr>
            <w:r w:rsidRPr="00037C61">
              <w:rPr>
                <w:rFonts w:eastAsia="Times New Roman" w:cs="Calibri"/>
                <w:b/>
                <w:bCs/>
                <w:color w:val="FFFFFF" w:themeColor="background1"/>
                <w:sz w:val="16"/>
                <w:szCs w:val="16"/>
                <w:lang w:val="en-GB" w:eastAsia="en-GB"/>
              </w:rPr>
              <w:t xml:space="preserve">HU Monument protection (Műemléki védelem) </w:t>
            </w:r>
          </w:p>
        </w:tc>
        <w:tc>
          <w:tcPr>
            <w:tcW w:w="0" w:type="dxa"/>
            <w:shd w:val="clear" w:color="auto" w:fill="034FA3" w:themeFill="accent1"/>
            <w:hideMark/>
          </w:tcPr>
          <w:p w14:paraId="7D437FB8"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6"/>
                <w:szCs w:val="16"/>
                <w:lang w:val="en-GB" w:eastAsia="en-GB"/>
              </w:rPr>
            </w:pPr>
            <w:r w:rsidRPr="00037C61">
              <w:rPr>
                <w:rFonts w:eastAsia="Times New Roman" w:cs="Calibri"/>
                <w:b/>
                <w:bCs/>
                <w:color w:val="FFFFFF" w:themeColor="background1"/>
                <w:sz w:val="16"/>
                <w:szCs w:val="16"/>
                <w:lang w:val="en-GB" w:eastAsia="en-GB"/>
              </w:rPr>
              <w:t>Recorded heritage density (total no./ 100 km</w:t>
            </w:r>
            <w:r w:rsidRPr="00037C61">
              <w:rPr>
                <w:rFonts w:eastAsia="Times New Roman" w:cs="Calibri"/>
                <w:b/>
                <w:bCs/>
                <w:color w:val="FFFFFF" w:themeColor="background1"/>
                <w:sz w:val="16"/>
                <w:szCs w:val="16"/>
                <w:vertAlign w:val="superscript"/>
                <w:lang w:val="en-GB" w:eastAsia="en-GB"/>
              </w:rPr>
              <w:t>2</w:t>
            </w:r>
            <w:r w:rsidRPr="00037C61">
              <w:rPr>
                <w:rFonts w:eastAsia="Times New Roman" w:cs="Calibri"/>
                <w:b/>
                <w:bCs/>
                <w:color w:val="FFFFFF" w:themeColor="background1"/>
                <w:sz w:val="16"/>
                <w:szCs w:val="16"/>
                <w:lang w:val="en-GB" w:eastAsia="en-GB"/>
              </w:rPr>
              <w:t xml:space="preserve">) </w:t>
            </w:r>
          </w:p>
        </w:tc>
      </w:tr>
      <w:tr w:rsidR="0017405B" w:rsidRPr="00037C61" w14:paraId="53408913" w14:textId="77777777" w:rsidTr="00457478">
        <w:trPr>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6BD33963"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Arad</w:t>
            </w:r>
          </w:p>
        </w:tc>
        <w:tc>
          <w:tcPr>
            <w:tcW w:w="0" w:type="dxa"/>
            <w:shd w:val="clear" w:color="auto" w:fill="EAEDF6" w:themeFill="accent2" w:themeFillTint="33"/>
            <w:noWrap/>
            <w:hideMark/>
          </w:tcPr>
          <w:p w14:paraId="214D731E"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417</w:t>
            </w:r>
          </w:p>
        </w:tc>
        <w:tc>
          <w:tcPr>
            <w:tcW w:w="0" w:type="dxa"/>
            <w:shd w:val="clear" w:color="auto" w:fill="EAEDF6" w:themeFill="accent2" w:themeFillTint="33"/>
            <w:noWrap/>
            <w:hideMark/>
          </w:tcPr>
          <w:p w14:paraId="33460BF5"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119</w:t>
            </w:r>
          </w:p>
        </w:tc>
        <w:tc>
          <w:tcPr>
            <w:tcW w:w="0" w:type="dxa"/>
            <w:shd w:val="clear" w:color="auto" w:fill="EAEDF6" w:themeFill="accent2" w:themeFillTint="33"/>
            <w:noWrap/>
            <w:hideMark/>
          </w:tcPr>
          <w:p w14:paraId="2145897A"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298</w:t>
            </w:r>
          </w:p>
        </w:tc>
        <w:tc>
          <w:tcPr>
            <w:tcW w:w="1134" w:type="dxa"/>
            <w:shd w:val="clear" w:color="auto" w:fill="EAEDF6" w:themeFill="accent2" w:themeFillTint="33"/>
            <w:noWrap/>
            <w:hideMark/>
          </w:tcPr>
          <w:p w14:paraId="03B7CE23"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EAEDF6" w:themeFill="accent2" w:themeFillTint="33"/>
            <w:noWrap/>
            <w:hideMark/>
          </w:tcPr>
          <w:p w14:paraId="3D6BCCC3"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p>
        </w:tc>
        <w:tc>
          <w:tcPr>
            <w:tcW w:w="0" w:type="dxa"/>
            <w:shd w:val="clear" w:color="auto" w:fill="EAEDF6" w:themeFill="accent2" w:themeFillTint="33"/>
            <w:noWrap/>
            <w:hideMark/>
          </w:tcPr>
          <w:p w14:paraId="3A9723AD"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5.38</w:t>
            </w:r>
          </w:p>
        </w:tc>
      </w:tr>
      <w:tr w:rsidR="0017405B" w:rsidRPr="00037C61" w14:paraId="3803E2E1" w14:textId="77777777" w:rsidTr="004574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6DD786F3"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Timiș</w:t>
            </w:r>
          </w:p>
        </w:tc>
        <w:tc>
          <w:tcPr>
            <w:tcW w:w="0" w:type="dxa"/>
            <w:shd w:val="clear" w:color="auto" w:fill="EAEDF6" w:themeFill="accent2" w:themeFillTint="33"/>
            <w:noWrap/>
            <w:hideMark/>
          </w:tcPr>
          <w:p w14:paraId="00610B72"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340</w:t>
            </w:r>
          </w:p>
        </w:tc>
        <w:tc>
          <w:tcPr>
            <w:tcW w:w="0" w:type="dxa"/>
            <w:shd w:val="clear" w:color="auto" w:fill="EAEDF6" w:themeFill="accent2" w:themeFillTint="33"/>
            <w:noWrap/>
            <w:hideMark/>
          </w:tcPr>
          <w:p w14:paraId="2600CEEF"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113</w:t>
            </w:r>
          </w:p>
        </w:tc>
        <w:tc>
          <w:tcPr>
            <w:tcW w:w="0" w:type="dxa"/>
            <w:shd w:val="clear" w:color="auto" w:fill="EAEDF6" w:themeFill="accent2" w:themeFillTint="33"/>
            <w:noWrap/>
            <w:hideMark/>
          </w:tcPr>
          <w:p w14:paraId="080F7B59"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227</w:t>
            </w:r>
          </w:p>
        </w:tc>
        <w:tc>
          <w:tcPr>
            <w:tcW w:w="1134" w:type="dxa"/>
            <w:shd w:val="clear" w:color="auto" w:fill="EAEDF6" w:themeFill="accent2" w:themeFillTint="33"/>
            <w:noWrap/>
            <w:hideMark/>
          </w:tcPr>
          <w:p w14:paraId="54FBC2FF"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EAEDF6" w:themeFill="accent2" w:themeFillTint="33"/>
            <w:noWrap/>
            <w:hideMark/>
          </w:tcPr>
          <w:p w14:paraId="59749D48"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val="en-GB" w:eastAsia="en-GB"/>
              </w:rPr>
            </w:pPr>
          </w:p>
        </w:tc>
        <w:tc>
          <w:tcPr>
            <w:tcW w:w="0" w:type="dxa"/>
            <w:shd w:val="clear" w:color="auto" w:fill="EAEDF6" w:themeFill="accent2" w:themeFillTint="33"/>
            <w:noWrap/>
            <w:hideMark/>
          </w:tcPr>
          <w:p w14:paraId="6EA12B38"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3.91</w:t>
            </w:r>
          </w:p>
        </w:tc>
      </w:tr>
      <w:tr w:rsidR="0017405B" w:rsidRPr="00037C61" w14:paraId="6C3AB66C" w14:textId="77777777" w:rsidTr="00457478">
        <w:trPr>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08239BFF"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Bihor</w:t>
            </w:r>
          </w:p>
        </w:tc>
        <w:tc>
          <w:tcPr>
            <w:tcW w:w="0" w:type="dxa"/>
            <w:shd w:val="clear" w:color="auto" w:fill="EAEDF6" w:themeFill="accent2" w:themeFillTint="33"/>
            <w:noWrap/>
            <w:hideMark/>
          </w:tcPr>
          <w:p w14:paraId="59243956"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455</w:t>
            </w:r>
          </w:p>
        </w:tc>
        <w:tc>
          <w:tcPr>
            <w:tcW w:w="0" w:type="dxa"/>
            <w:shd w:val="clear" w:color="auto" w:fill="EAEDF6" w:themeFill="accent2" w:themeFillTint="33"/>
            <w:noWrap/>
            <w:hideMark/>
          </w:tcPr>
          <w:p w14:paraId="5DB87ED1"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54</w:t>
            </w:r>
          </w:p>
        </w:tc>
        <w:tc>
          <w:tcPr>
            <w:tcW w:w="0" w:type="dxa"/>
            <w:shd w:val="clear" w:color="auto" w:fill="EAEDF6" w:themeFill="accent2" w:themeFillTint="33"/>
            <w:noWrap/>
            <w:hideMark/>
          </w:tcPr>
          <w:p w14:paraId="09E60B52"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401</w:t>
            </w:r>
          </w:p>
        </w:tc>
        <w:tc>
          <w:tcPr>
            <w:tcW w:w="1134" w:type="dxa"/>
            <w:shd w:val="clear" w:color="auto" w:fill="EAEDF6" w:themeFill="accent2" w:themeFillTint="33"/>
            <w:noWrap/>
            <w:hideMark/>
          </w:tcPr>
          <w:p w14:paraId="594CF1C6"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EAEDF6" w:themeFill="accent2" w:themeFillTint="33"/>
            <w:noWrap/>
            <w:hideMark/>
          </w:tcPr>
          <w:p w14:paraId="77E4207A"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p>
        </w:tc>
        <w:tc>
          <w:tcPr>
            <w:tcW w:w="0" w:type="dxa"/>
            <w:shd w:val="clear" w:color="auto" w:fill="EAEDF6" w:themeFill="accent2" w:themeFillTint="33"/>
            <w:noWrap/>
            <w:hideMark/>
          </w:tcPr>
          <w:p w14:paraId="08136C9F"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6.04</w:t>
            </w:r>
          </w:p>
        </w:tc>
      </w:tr>
      <w:tr w:rsidR="0017405B" w:rsidRPr="00037C61" w14:paraId="2EF9D076" w14:textId="77777777" w:rsidTr="004574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237542F3"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Satu Mare</w:t>
            </w:r>
          </w:p>
        </w:tc>
        <w:tc>
          <w:tcPr>
            <w:tcW w:w="0" w:type="dxa"/>
            <w:shd w:val="clear" w:color="auto" w:fill="EAEDF6" w:themeFill="accent2" w:themeFillTint="33"/>
            <w:noWrap/>
            <w:hideMark/>
          </w:tcPr>
          <w:p w14:paraId="6496258A"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310</w:t>
            </w:r>
          </w:p>
        </w:tc>
        <w:tc>
          <w:tcPr>
            <w:tcW w:w="0" w:type="dxa"/>
            <w:shd w:val="clear" w:color="auto" w:fill="EAEDF6" w:themeFill="accent2" w:themeFillTint="33"/>
            <w:noWrap/>
            <w:hideMark/>
          </w:tcPr>
          <w:p w14:paraId="6F2B00FD"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53</w:t>
            </w:r>
          </w:p>
        </w:tc>
        <w:tc>
          <w:tcPr>
            <w:tcW w:w="0" w:type="dxa"/>
            <w:shd w:val="clear" w:color="auto" w:fill="EAEDF6" w:themeFill="accent2" w:themeFillTint="33"/>
            <w:noWrap/>
            <w:hideMark/>
          </w:tcPr>
          <w:p w14:paraId="5FD1CC4A"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257</w:t>
            </w:r>
          </w:p>
        </w:tc>
        <w:tc>
          <w:tcPr>
            <w:tcW w:w="1134" w:type="dxa"/>
            <w:shd w:val="clear" w:color="auto" w:fill="EAEDF6" w:themeFill="accent2" w:themeFillTint="33"/>
            <w:noWrap/>
            <w:hideMark/>
          </w:tcPr>
          <w:p w14:paraId="0E971FC2"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EAEDF6" w:themeFill="accent2" w:themeFillTint="33"/>
            <w:noWrap/>
            <w:hideMark/>
          </w:tcPr>
          <w:p w14:paraId="56AA0607"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val="en-GB" w:eastAsia="en-GB"/>
              </w:rPr>
            </w:pPr>
          </w:p>
        </w:tc>
        <w:tc>
          <w:tcPr>
            <w:tcW w:w="0" w:type="dxa"/>
            <w:shd w:val="clear" w:color="auto" w:fill="EAEDF6" w:themeFill="accent2" w:themeFillTint="33"/>
            <w:noWrap/>
            <w:hideMark/>
          </w:tcPr>
          <w:p w14:paraId="0F4396B8"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7.01</w:t>
            </w:r>
          </w:p>
        </w:tc>
      </w:tr>
      <w:tr w:rsidR="0017405B" w:rsidRPr="00037C61" w14:paraId="1B8DCB8C" w14:textId="77777777" w:rsidTr="00457478">
        <w:trPr>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40BEFA83"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 xml:space="preserve">Csongrád-Csanád </w:t>
            </w:r>
          </w:p>
        </w:tc>
        <w:tc>
          <w:tcPr>
            <w:tcW w:w="0" w:type="dxa"/>
            <w:shd w:val="clear" w:color="auto" w:fill="FBD1D2" w:themeFill="accent3" w:themeFillTint="33"/>
            <w:noWrap/>
            <w:hideMark/>
          </w:tcPr>
          <w:p w14:paraId="799D3D8A"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375</w:t>
            </w:r>
          </w:p>
        </w:tc>
        <w:tc>
          <w:tcPr>
            <w:tcW w:w="0" w:type="dxa"/>
            <w:shd w:val="clear" w:color="auto" w:fill="FBD1D2" w:themeFill="accent3" w:themeFillTint="33"/>
            <w:noWrap/>
            <w:hideMark/>
          </w:tcPr>
          <w:p w14:paraId="204EE20D"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FBD1D2" w:themeFill="accent3" w:themeFillTint="33"/>
            <w:noWrap/>
            <w:hideMark/>
          </w:tcPr>
          <w:p w14:paraId="0D42DD93"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p>
        </w:tc>
        <w:tc>
          <w:tcPr>
            <w:tcW w:w="1134" w:type="dxa"/>
            <w:shd w:val="clear" w:color="auto" w:fill="FBD1D2" w:themeFill="accent3" w:themeFillTint="33"/>
            <w:noWrap/>
            <w:hideMark/>
          </w:tcPr>
          <w:p w14:paraId="593B0381"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0</w:t>
            </w:r>
          </w:p>
        </w:tc>
        <w:tc>
          <w:tcPr>
            <w:tcW w:w="0" w:type="dxa"/>
            <w:shd w:val="clear" w:color="auto" w:fill="FBD1D2" w:themeFill="accent3" w:themeFillTint="33"/>
            <w:noWrap/>
            <w:hideMark/>
          </w:tcPr>
          <w:p w14:paraId="4802410E"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375</w:t>
            </w:r>
          </w:p>
        </w:tc>
        <w:tc>
          <w:tcPr>
            <w:tcW w:w="0" w:type="dxa"/>
            <w:shd w:val="clear" w:color="auto" w:fill="FBD1D2" w:themeFill="accent3" w:themeFillTint="33"/>
            <w:noWrap/>
            <w:hideMark/>
          </w:tcPr>
          <w:p w14:paraId="5D5185FB"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8.80</w:t>
            </w:r>
          </w:p>
        </w:tc>
      </w:tr>
      <w:tr w:rsidR="0017405B" w:rsidRPr="00037C61" w14:paraId="5C856A27" w14:textId="77777777" w:rsidTr="004574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29C679C6"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Békés</w:t>
            </w:r>
          </w:p>
        </w:tc>
        <w:tc>
          <w:tcPr>
            <w:tcW w:w="0" w:type="dxa"/>
            <w:shd w:val="clear" w:color="auto" w:fill="FBD1D2" w:themeFill="accent3" w:themeFillTint="33"/>
            <w:noWrap/>
            <w:hideMark/>
          </w:tcPr>
          <w:p w14:paraId="3E3A7872"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349</w:t>
            </w:r>
          </w:p>
        </w:tc>
        <w:tc>
          <w:tcPr>
            <w:tcW w:w="0" w:type="dxa"/>
            <w:shd w:val="clear" w:color="auto" w:fill="FBD1D2" w:themeFill="accent3" w:themeFillTint="33"/>
            <w:noWrap/>
            <w:hideMark/>
          </w:tcPr>
          <w:p w14:paraId="642B8D3F"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FBD1D2" w:themeFill="accent3" w:themeFillTint="33"/>
            <w:noWrap/>
            <w:hideMark/>
          </w:tcPr>
          <w:p w14:paraId="75D68FF0"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val="en-GB" w:eastAsia="en-GB"/>
              </w:rPr>
            </w:pPr>
          </w:p>
        </w:tc>
        <w:tc>
          <w:tcPr>
            <w:tcW w:w="1134" w:type="dxa"/>
            <w:shd w:val="clear" w:color="auto" w:fill="FBD1D2" w:themeFill="accent3" w:themeFillTint="33"/>
            <w:noWrap/>
            <w:hideMark/>
          </w:tcPr>
          <w:p w14:paraId="435CD32A"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0" w:type="dxa"/>
            <w:shd w:val="clear" w:color="auto" w:fill="FBD1D2" w:themeFill="accent3" w:themeFillTint="33"/>
            <w:noWrap/>
            <w:hideMark/>
          </w:tcPr>
          <w:p w14:paraId="5B1DB82A"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348</w:t>
            </w:r>
          </w:p>
        </w:tc>
        <w:tc>
          <w:tcPr>
            <w:tcW w:w="0" w:type="dxa"/>
            <w:shd w:val="clear" w:color="auto" w:fill="FBD1D2" w:themeFill="accent3" w:themeFillTint="33"/>
            <w:noWrap/>
            <w:hideMark/>
          </w:tcPr>
          <w:p w14:paraId="0E653A97"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6.20</w:t>
            </w:r>
          </w:p>
        </w:tc>
      </w:tr>
      <w:tr w:rsidR="0017405B" w:rsidRPr="00037C61" w14:paraId="0F9AC356" w14:textId="77777777" w:rsidTr="00457478">
        <w:trPr>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054635F6"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Hajdú-Bihar</w:t>
            </w:r>
          </w:p>
        </w:tc>
        <w:tc>
          <w:tcPr>
            <w:tcW w:w="0" w:type="dxa"/>
            <w:shd w:val="clear" w:color="auto" w:fill="FBD1D2" w:themeFill="accent3" w:themeFillTint="33"/>
            <w:noWrap/>
            <w:hideMark/>
          </w:tcPr>
          <w:p w14:paraId="7190BF09"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282</w:t>
            </w:r>
          </w:p>
        </w:tc>
        <w:tc>
          <w:tcPr>
            <w:tcW w:w="0" w:type="dxa"/>
            <w:shd w:val="clear" w:color="auto" w:fill="FBD1D2" w:themeFill="accent3" w:themeFillTint="33"/>
            <w:noWrap/>
            <w:hideMark/>
          </w:tcPr>
          <w:p w14:paraId="58FD9D9A"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FBD1D2" w:themeFill="accent3" w:themeFillTint="33"/>
            <w:noWrap/>
            <w:hideMark/>
          </w:tcPr>
          <w:p w14:paraId="1493F4FD"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p>
        </w:tc>
        <w:tc>
          <w:tcPr>
            <w:tcW w:w="1134" w:type="dxa"/>
            <w:shd w:val="clear" w:color="auto" w:fill="FBD1D2" w:themeFill="accent3" w:themeFillTint="33"/>
            <w:noWrap/>
            <w:hideMark/>
          </w:tcPr>
          <w:p w14:paraId="0B2A51CC"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0" w:type="dxa"/>
            <w:shd w:val="clear" w:color="auto" w:fill="FBD1D2" w:themeFill="accent3" w:themeFillTint="33"/>
            <w:noWrap/>
            <w:hideMark/>
          </w:tcPr>
          <w:p w14:paraId="7190C850"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281</w:t>
            </w:r>
          </w:p>
        </w:tc>
        <w:tc>
          <w:tcPr>
            <w:tcW w:w="0" w:type="dxa"/>
            <w:shd w:val="clear" w:color="auto" w:fill="FBD1D2" w:themeFill="accent3" w:themeFillTint="33"/>
            <w:noWrap/>
            <w:hideMark/>
          </w:tcPr>
          <w:p w14:paraId="6BF776F0"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4.54</w:t>
            </w:r>
          </w:p>
        </w:tc>
      </w:tr>
      <w:tr w:rsidR="0017405B" w:rsidRPr="00037C61" w14:paraId="24863387" w14:textId="77777777" w:rsidTr="004574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3F446E51"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Szabolcs-Szatmár-Bereg</w:t>
            </w:r>
          </w:p>
        </w:tc>
        <w:tc>
          <w:tcPr>
            <w:tcW w:w="0" w:type="dxa"/>
            <w:shd w:val="clear" w:color="auto" w:fill="FBD1D2" w:themeFill="accent3" w:themeFillTint="33"/>
            <w:noWrap/>
            <w:hideMark/>
          </w:tcPr>
          <w:p w14:paraId="3F48FC7B"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324</w:t>
            </w:r>
          </w:p>
        </w:tc>
        <w:tc>
          <w:tcPr>
            <w:tcW w:w="0" w:type="dxa"/>
            <w:shd w:val="clear" w:color="auto" w:fill="FBD1D2" w:themeFill="accent3" w:themeFillTint="33"/>
            <w:noWrap/>
            <w:hideMark/>
          </w:tcPr>
          <w:p w14:paraId="6E0AD977"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p>
        </w:tc>
        <w:tc>
          <w:tcPr>
            <w:tcW w:w="0" w:type="dxa"/>
            <w:shd w:val="clear" w:color="auto" w:fill="FBD1D2" w:themeFill="accent3" w:themeFillTint="33"/>
            <w:noWrap/>
            <w:hideMark/>
          </w:tcPr>
          <w:p w14:paraId="3145A1D1"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val="en-GB" w:eastAsia="en-GB"/>
              </w:rPr>
            </w:pPr>
          </w:p>
        </w:tc>
        <w:tc>
          <w:tcPr>
            <w:tcW w:w="1134" w:type="dxa"/>
            <w:shd w:val="clear" w:color="auto" w:fill="FBD1D2" w:themeFill="accent3" w:themeFillTint="33"/>
            <w:noWrap/>
            <w:hideMark/>
          </w:tcPr>
          <w:p w14:paraId="575DA4DE"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w:t>
            </w:r>
          </w:p>
        </w:tc>
        <w:tc>
          <w:tcPr>
            <w:tcW w:w="0" w:type="dxa"/>
            <w:shd w:val="clear" w:color="auto" w:fill="FBD1D2" w:themeFill="accent3" w:themeFillTint="33"/>
            <w:noWrap/>
            <w:hideMark/>
          </w:tcPr>
          <w:p w14:paraId="3E8ABF9A"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322</w:t>
            </w:r>
          </w:p>
        </w:tc>
        <w:tc>
          <w:tcPr>
            <w:tcW w:w="0" w:type="dxa"/>
            <w:shd w:val="clear" w:color="auto" w:fill="FBD1D2" w:themeFill="accent3" w:themeFillTint="33"/>
            <w:noWrap/>
            <w:hideMark/>
          </w:tcPr>
          <w:p w14:paraId="54E65CE2" w14:textId="77777777" w:rsidR="0017405B" w:rsidRPr="00037C61" w:rsidRDefault="0017405B" w:rsidP="0017405B">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5.46</w:t>
            </w:r>
          </w:p>
        </w:tc>
      </w:tr>
      <w:tr w:rsidR="0017405B" w:rsidRPr="00037C61" w14:paraId="7B49D379" w14:textId="77777777" w:rsidTr="00457478">
        <w:trPr>
          <w:trHeight w:val="288"/>
        </w:trPr>
        <w:tc>
          <w:tcPr>
            <w:cnfStyle w:val="001000000000" w:firstRow="0" w:lastRow="0" w:firstColumn="1" w:lastColumn="0" w:oddVBand="0" w:evenVBand="0" w:oddHBand="0" w:evenHBand="0" w:firstRowFirstColumn="0" w:firstRowLastColumn="0" w:lastRowFirstColumn="0" w:lastRowLastColumn="0"/>
            <w:tcW w:w="1555" w:type="dxa"/>
            <w:shd w:val="clear" w:color="auto" w:fill="98A7D5" w:themeFill="accent2"/>
            <w:noWrap/>
            <w:hideMark/>
          </w:tcPr>
          <w:p w14:paraId="4B738B53" w14:textId="77777777" w:rsidR="0017405B" w:rsidRPr="00037C61" w:rsidRDefault="0017405B" w:rsidP="0017405B">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TOTAL</w:t>
            </w:r>
          </w:p>
        </w:tc>
        <w:tc>
          <w:tcPr>
            <w:tcW w:w="0" w:type="dxa"/>
            <w:shd w:val="clear" w:color="auto" w:fill="98A7D5" w:themeFill="accent2"/>
            <w:noWrap/>
            <w:hideMark/>
          </w:tcPr>
          <w:p w14:paraId="2AB4BB5B"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2852</w:t>
            </w:r>
          </w:p>
        </w:tc>
        <w:tc>
          <w:tcPr>
            <w:tcW w:w="0" w:type="dxa"/>
            <w:shd w:val="clear" w:color="auto" w:fill="98A7D5" w:themeFill="accent2"/>
            <w:noWrap/>
            <w:hideMark/>
          </w:tcPr>
          <w:p w14:paraId="7284617B"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339</w:t>
            </w:r>
          </w:p>
        </w:tc>
        <w:tc>
          <w:tcPr>
            <w:tcW w:w="0" w:type="dxa"/>
            <w:shd w:val="clear" w:color="auto" w:fill="98A7D5" w:themeFill="accent2"/>
            <w:noWrap/>
            <w:hideMark/>
          </w:tcPr>
          <w:p w14:paraId="5B9C9A34"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1183</w:t>
            </w:r>
          </w:p>
        </w:tc>
        <w:tc>
          <w:tcPr>
            <w:tcW w:w="1134" w:type="dxa"/>
            <w:shd w:val="clear" w:color="auto" w:fill="98A7D5" w:themeFill="accent2"/>
            <w:noWrap/>
            <w:hideMark/>
          </w:tcPr>
          <w:p w14:paraId="21D493BC"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w:t>
            </w:r>
          </w:p>
        </w:tc>
        <w:tc>
          <w:tcPr>
            <w:tcW w:w="0" w:type="dxa"/>
            <w:shd w:val="clear" w:color="auto" w:fill="98A7D5" w:themeFill="accent2"/>
            <w:noWrap/>
            <w:hideMark/>
          </w:tcPr>
          <w:p w14:paraId="73345AC7"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1326</w:t>
            </w:r>
          </w:p>
        </w:tc>
        <w:tc>
          <w:tcPr>
            <w:tcW w:w="0" w:type="dxa"/>
            <w:shd w:val="clear" w:color="auto" w:fill="98A7D5" w:themeFill="accent2"/>
            <w:noWrap/>
            <w:hideMark/>
          </w:tcPr>
          <w:p w14:paraId="114ABD38" w14:textId="77777777" w:rsidR="0017405B" w:rsidRPr="00037C61" w:rsidRDefault="0017405B" w:rsidP="0017405B">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5.65</w:t>
            </w:r>
          </w:p>
        </w:tc>
      </w:tr>
    </w:tbl>
    <w:p w14:paraId="709B60FE" w14:textId="45189AA0" w:rsidR="0017405B" w:rsidRPr="00037C61" w:rsidRDefault="00BE6AD2" w:rsidP="00BE6AD2">
      <w:pPr>
        <w:pStyle w:val="Caption"/>
        <w:keepNext/>
        <w:jc w:val="left"/>
        <w:rPr>
          <w:lang w:val="en-GB"/>
        </w:rPr>
      </w:pPr>
      <w:r w:rsidRPr="00037C61">
        <w:rPr>
          <w:lang w:val="en-GB"/>
        </w:rPr>
        <w:t xml:space="preserve">Source: Ministry of Culture (Romania) and Department of Heritage Protection Of the Prime Minister's Office (Hungary) </w:t>
      </w:r>
    </w:p>
    <w:p w14:paraId="3A5B2474" w14:textId="738E4F63" w:rsidR="00BE6AD2" w:rsidRPr="00037C61" w:rsidRDefault="00BE6AD2" w:rsidP="00BE6AD2">
      <w:pPr>
        <w:rPr>
          <w:lang w:val="en-GB"/>
        </w:rPr>
      </w:pPr>
    </w:p>
    <w:p w14:paraId="4E32FD46" w14:textId="6E7664FD" w:rsidR="00844E37" w:rsidRPr="00037C61" w:rsidRDefault="00D63DEB" w:rsidP="0032601C">
      <w:pPr>
        <w:rPr>
          <w:lang w:val="en-GB"/>
        </w:rPr>
      </w:pPr>
      <w:r w:rsidRPr="00037C61">
        <w:rPr>
          <w:lang w:val="en-GB"/>
        </w:rPr>
        <w:t>T</w:t>
      </w:r>
      <w:r w:rsidR="00BE6AD2" w:rsidRPr="00037C61">
        <w:rPr>
          <w:lang w:val="en-GB"/>
        </w:rPr>
        <w:t>here is a</w:t>
      </w:r>
      <w:r w:rsidRPr="00037C61">
        <w:rPr>
          <w:lang w:val="en-GB"/>
        </w:rPr>
        <w:t xml:space="preserve">lso a </w:t>
      </w:r>
      <w:r w:rsidR="00BE6AD2" w:rsidRPr="00037C61">
        <w:rPr>
          <w:lang w:val="en-GB"/>
        </w:rPr>
        <w:t xml:space="preserve">wealth of </w:t>
      </w:r>
      <w:r w:rsidR="00C503BF">
        <w:rPr>
          <w:lang w:val="en-GB"/>
        </w:rPr>
        <w:t xml:space="preserve">common </w:t>
      </w:r>
      <w:r w:rsidR="00BE6AD2" w:rsidRPr="00037C61">
        <w:rPr>
          <w:lang w:val="en-GB"/>
        </w:rPr>
        <w:t xml:space="preserve">thematic heritage, including religious objectives, which have </w:t>
      </w:r>
      <w:r w:rsidR="76E0279A" w:rsidRPr="00037C61">
        <w:rPr>
          <w:lang w:val="en-GB"/>
        </w:rPr>
        <w:t>a remarkably high</w:t>
      </w:r>
      <w:r w:rsidR="00BE6AD2" w:rsidRPr="00037C61">
        <w:rPr>
          <w:lang w:val="en-GB"/>
        </w:rPr>
        <w:t xml:space="preserve"> potential of being jointly </w:t>
      </w:r>
      <w:r w:rsidR="0A721AAC" w:rsidRPr="00037C61">
        <w:rPr>
          <w:lang w:val="en-GB"/>
        </w:rPr>
        <w:t>valorised</w:t>
      </w:r>
      <w:r w:rsidR="00BE6AD2" w:rsidRPr="00037C61">
        <w:rPr>
          <w:lang w:val="en-GB"/>
        </w:rPr>
        <w:t xml:space="preserve"> through ecumenic tourism and to bring sustainable income flows especially in smaller settlements and rural areas, balancing out the concentration of </w:t>
      </w:r>
      <w:r w:rsidR="4E41ECC0" w:rsidRPr="00037C61">
        <w:rPr>
          <w:lang w:val="en-GB"/>
        </w:rPr>
        <w:t>q</w:t>
      </w:r>
      <w:r w:rsidR="00BE6AD2" w:rsidRPr="00037C61">
        <w:rPr>
          <w:lang w:val="en-GB"/>
        </w:rPr>
        <w:t>uaternar</w:t>
      </w:r>
      <w:r w:rsidR="69F83416" w:rsidRPr="00037C61">
        <w:rPr>
          <w:lang w:val="en-GB"/>
        </w:rPr>
        <w:t>y</w:t>
      </w:r>
      <w:r w:rsidR="00BE6AD2" w:rsidRPr="00037C61">
        <w:rPr>
          <w:lang w:val="en-GB"/>
        </w:rPr>
        <w:t xml:space="preserve"> / innovation activities in the large cities. </w:t>
      </w:r>
      <w:r w:rsidR="00C503BF">
        <w:rPr>
          <w:lang w:val="en-GB"/>
        </w:rPr>
        <w:t xml:space="preserve">Of reference here are: the </w:t>
      </w:r>
      <w:r w:rsidR="00C503BF" w:rsidRPr="00DB74BF">
        <w:rPr>
          <w:b/>
          <w:bCs/>
          <w:lang w:val="en-GB"/>
        </w:rPr>
        <w:t>Route of Medieval Churches</w:t>
      </w:r>
      <w:r w:rsidR="00C503BF" w:rsidRPr="00DB74BF">
        <w:rPr>
          <w:lang w:val="en-GB"/>
        </w:rPr>
        <w:t xml:space="preserve"> (with the great number of churches in Szabolcs-Szatmár-Bereg county and Satu Mare county), the </w:t>
      </w:r>
      <w:r w:rsidR="00C503BF" w:rsidRPr="00DB74BF">
        <w:rPr>
          <w:b/>
          <w:bCs/>
          <w:lang w:val="en-GB"/>
        </w:rPr>
        <w:t>Via Mariae</w:t>
      </w:r>
      <w:r w:rsidR="00C503BF" w:rsidRPr="00DB74BF">
        <w:rPr>
          <w:lang w:val="en-GB"/>
        </w:rPr>
        <w:t xml:space="preserve"> (the Central-European Pilgrimway with its centre points of Máriapócs and the city of Satu Mare) and the  </w:t>
      </w:r>
      <w:r w:rsidRPr="00037C61">
        <w:rPr>
          <w:lang w:val="en-GB"/>
        </w:rPr>
        <w:t xml:space="preserve">Pilgrim's Way of St. Ladislaus the Knight King spanning both national regions, </w:t>
      </w:r>
      <w:r w:rsidR="00C503BF">
        <w:rPr>
          <w:lang w:val="en-GB"/>
        </w:rPr>
        <w:t xml:space="preserve">with </w:t>
      </w:r>
      <w:r w:rsidR="00C503BF" w:rsidRPr="00C503BF">
        <w:rPr>
          <w:lang w:val="en-GB"/>
        </w:rPr>
        <w:t>more than 50 sites representing the common heritage of the Carpathian Basin</w:t>
      </w:r>
      <w:r w:rsidR="00C503BF">
        <w:rPr>
          <w:lang w:val="en-GB"/>
        </w:rPr>
        <w:t>, among which</w:t>
      </w:r>
      <w:r w:rsidRPr="00037C61">
        <w:rPr>
          <w:lang w:val="en-GB"/>
        </w:rPr>
        <w:t xml:space="preserve"> Remetea and Oradea as destinations in Romania), the Orthodox Battonya Church (Battonya, </w:t>
      </w:r>
      <w:r w:rsidR="605B668E" w:rsidRPr="00037C61">
        <w:rPr>
          <w:rFonts w:eastAsia="Calibri" w:cs="Calibri"/>
          <w:color w:val="000000" w:themeColor="text1"/>
          <w:lang w:val="en-GB"/>
        </w:rPr>
        <w:t>Békés</w:t>
      </w:r>
      <w:r w:rsidRPr="00037C61">
        <w:rPr>
          <w:lang w:val="en-GB"/>
        </w:rPr>
        <w:t xml:space="preserve">), and many more. </w:t>
      </w:r>
    </w:p>
    <w:p w14:paraId="7C04B8C4" w14:textId="77777777" w:rsidR="00844E37" w:rsidRPr="00037C61" w:rsidRDefault="00844E37" w:rsidP="00844E37">
      <w:pPr>
        <w:pStyle w:val="Heading3"/>
      </w:pPr>
      <w:bookmarkStart w:id="179" w:name="_Toc64619523"/>
      <w:r w:rsidRPr="00037C61">
        <w:t>Conclusions of the demographic and socio-cultural analysis</w:t>
      </w:r>
      <w:bookmarkEnd w:id="179"/>
      <w:r w:rsidRPr="00037C61">
        <w:t xml:space="preserve"> </w:t>
      </w:r>
    </w:p>
    <w:p w14:paraId="106F96A6" w14:textId="5D59AC85" w:rsidR="00844E37" w:rsidRPr="00037C61" w:rsidRDefault="00844E37" w:rsidP="00844E37">
      <w:pPr>
        <w:rPr>
          <w:lang w:val="en-GB"/>
        </w:rPr>
      </w:pPr>
      <w:r w:rsidRPr="00037C61">
        <w:rPr>
          <w:lang w:val="en-GB"/>
        </w:rPr>
        <w:t>In 2019, the programme area was home to 3.85 million people, representing 13.2% of the total inhabitants of Hungary and Romania</w:t>
      </w:r>
      <w:r w:rsidR="015A0630" w:rsidRPr="00037C61">
        <w:rPr>
          <w:lang w:val="en-GB"/>
        </w:rPr>
        <w:t xml:space="preserve"> combined</w:t>
      </w:r>
      <w:r w:rsidRPr="00037C61">
        <w:rPr>
          <w:lang w:val="en-GB"/>
        </w:rPr>
        <w:t xml:space="preserve">, and distributed territorially in eight counties with </w:t>
      </w:r>
      <w:r w:rsidRPr="00037C61">
        <w:rPr>
          <w:lang w:val="en-GB"/>
        </w:rPr>
        <w:lastRenderedPageBreak/>
        <w:t xml:space="preserve">varying population volumes (from 338,025 inhabitants in </w:t>
      </w:r>
      <w:r w:rsidRPr="00037C61">
        <w:rPr>
          <w:bCs/>
          <w:lang w:val="en-GB"/>
        </w:rPr>
        <w:t>Békés</w:t>
      </w:r>
      <w:r w:rsidRPr="00037C61">
        <w:rPr>
          <w:lang w:val="en-GB"/>
        </w:rPr>
        <w:t xml:space="preserve"> to 701,499 in Timiș) and densities ranging from 54.1</w:t>
      </w:r>
      <w:r w:rsidR="51E5A0BE" w:rsidRPr="00037C61">
        <w:rPr>
          <w:lang w:val="en-GB"/>
        </w:rPr>
        <w:t>/km2</w:t>
      </w:r>
      <w:r w:rsidRPr="00037C61">
        <w:rPr>
          <w:lang w:val="en-GB"/>
        </w:rPr>
        <w:t xml:space="preserve"> (Arad) to 93.9 inhabitants per km2 (Csongrád-Csanád). </w:t>
      </w:r>
    </w:p>
    <w:p w14:paraId="23F31D06" w14:textId="33DAE7D2" w:rsidR="00844E37" w:rsidRPr="00037C61" w:rsidRDefault="00844E37" w:rsidP="00844E37">
      <w:pPr>
        <w:rPr>
          <w:lang w:val="en-GB"/>
        </w:rPr>
      </w:pPr>
      <w:r w:rsidRPr="00037C61">
        <w:rPr>
          <w:b/>
          <w:bCs/>
          <w:lang w:val="en-GB"/>
        </w:rPr>
        <w:t>As particularities</w:t>
      </w:r>
      <w:r w:rsidRPr="00037C61">
        <w:rPr>
          <w:lang w:val="en-GB"/>
        </w:rPr>
        <w:t xml:space="preserve">, the territory presents localized clusters of high-density population in the southern part (areas around Szeged, Timișoara, Arad) and north (areas around Oradea, Debrecen, and to a large degree the territory of Szabolcs-Szatmár-Bereg and northern half of Satu Mare). The area </w:t>
      </w:r>
      <w:r w:rsidRPr="00037C61">
        <w:rPr>
          <w:bCs/>
          <w:lang w:val="en-GB"/>
        </w:rPr>
        <w:t>Békés – Arad is characterized by lower density, these being also the counties on each side having the most pronounced negative natural change rate of population in 2018 (-7.4</w:t>
      </w:r>
      <w:r w:rsidRPr="00037C61">
        <w:rPr>
          <w:lang w:val="en-GB"/>
        </w:rPr>
        <w:t xml:space="preserve">‰ in Békés and -4‰ in Arad), pointing to complex underlying reasons for the more reduced attractiveness. </w:t>
      </w:r>
    </w:p>
    <w:p w14:paraId="40AD23EE" w14:textId="074CB6A0" w:rsidR="00844E37" w:rsidRPr="00037C61" w:rsidRDefault="00844E37" w:rsidP="00844E37">
      <w:pPr>
        <w:rPr>
          <w:lang w:val="en-GB"/>
        </w:rPr>
      </w:pPr>
      <w:r w:rsidRPr="00037C61">
        <w:rPr>
          <w:b/>
          <w:bCs/>
          <w:lang w:val="en-GB"/>
        </w:rPr>
        <w:t>Looking at</w:t>
      </w:r>
      <w:r w:rsidRPr="00037C61">
        <w:rPr>
          <w:lang w:val="en-GB"/>
        </w:rPr>
        <w:t xml:space="preserve"> </w:t>
      </w:r>
      <w:r w:rsidRPr="00037C61">
        <w:rPr>
          <w:b/>
          <w:bCs/>
          <w:lang w:val="en-GB"/>
        </w:rPr>
        <w:t>trends</w:t>
      </w:r>
      <w:r w:rsidRPr="00037C61">
        <w:rPr>
          <w:lang w:val="en-GB"/>
        </w:rPr>
        <w:t>, in the last 10 years, the PA has consistently recorded a decrease in population, with Timiș being a significant outlier due to its positive natural and migratory population change (+1.1, +0.5‰). Outmigration represented a problem specifically for the counties of Hajdú-Bihar, Bihor and Satu Mare, which form a contiguous area in the north part of the PA. While recording lower decade-long migratory rates, the fourth county in the northern area of the PA, Szabolcs-Szatmár-Bereg, presents an abruptly decreasing population change rate starting with the year 2015. This is in part due to the accentuation of migratory trends after 2013; it is still early for this phenomen</w:t>
      </w:r>
      <w:r w:rsidR="006E131C" w:rsidRPr="00037C61">
        <w:rPr>
          <w:lang w:val="en-GB"/>
        </w:rPr>
        <w:t>on</w:t>
      </w:r>
      <w:r w:rsidRPr="00037C61">
        <w:rPr>
          <w:lang w:val="en-GB"/>
        </w:rPr>
        <w:t xml:space="preserve"> to produce a significant impact in the yearly population change, but it will represent a challenge in the near future and it needs to be taken into account when developing orientations for the next programming period, especially with respect to PO</w:t>
      </w:r>
      <w:r w:rsidR="632AB1A3" w:rsidRPr="00037C61">
        <w:rPr>
          <w:lang w:val="en-GB"/>
        </w:rPr>
        <w:t xml:space="preserve"> </w:t>
      </w:r>
      <w:r w:rsidRPr="00037C61">
        <w:rPr>
          <w:lang w:val="en-GB"/>
        </w:rPr>
        <w:t xml:space="preserve">4.  </w:t>
      </w:r>
    </w:p>
    <w:p w14:paraId="4D483681" w14:textId="77777777" w:rsidR="00844E37" w:rsidRPr="00037C61" w:rsidRDefault="00844E37" w:rsidP="00844E37">
      <w:pPr>
        <w:rPr>
          <w:lang w:val="en-GB"/>
        </w:rPr>
      </w:pPr>
      <w:r w:rsidRPr="00037C61">
        <w:rPr>
          <w:lang w:val="en-GB"/>
        </w:rPr>
        <w:t>Furthermore, the</w:t>
      </w:r>
      <w:r w:rsidRPr="00037C61">
        <w:rPr>
          <w:b/>
          <w:bCs/>
          <w:lang w:val="en-GB"/>
        </w:rPr>
        <w:t xml:space="preserve"> intra-regional population dynamic </w:t>
      </w:r>
      <w:r w:rsidRPr="00037C61">
        <w:rPr>
          <w:lang w:val="en-GB"/>
        </w:rPr>
        <w:t xml:space="preserve">trends highlight the existence of the peri-urbanisation phenomena, especially around Timișoara and Oradea, but also Szeged and Arad, which point to increasing urban-rural divides and a more intensive pattern of urbanisation which implications in service and infrastructure demand, but also environmental impact. </w:t>
      </w:r>
    </w:p>
    <w:p w14:paraId="665FD2EB" w14:textId="525945DA" w:rsidR="00844E37" w:rsidRPr="00037C61" w:rsidRDefault="00844E37" w:rsidP="00844E37">
      <w:pPr>
        <w:rPr>
          <w:lang w:val="en-GB"/>
        </w:rPr>
      </w:pPr>
      <w:r w:rsidRPr="00037C61">
        <w:rPr>
          <w:lang w:val="en-GB"/>
        </w:rPr>
        <w:t xml:space="preserve">Beyond urban clusters, positive population growth trends are (up to 20% increase between 2009-2018) are spatially distributed predominantly along the border between Hungary and Romania, which is a </w:t>
      </w:r>
      <w:r w:rsidRPr="00037C61">
        <w:rPr>
          <w:b/>
          <w:bCs/>
          <w:lang w:val="en-GB"/>
        </w:rPr>
        <w:t>positive indication for cross-border functional integration</w:t>
      </w:r>
      <w:r w:rsidRPr="00037C61">
        <w:rPr>
          <w:lang w:val="en-GB"/>
        </w:rPr>
        <w:t xml:space="preserve"> and which can be built on in the future cooperation programme, especially under the PO</w:t>
      </w:r>
      <w:r w:rsidR="5241DDAA" w:rsidRPr="00037C61">
        <w:rPr>
          <w:lang w:val="en-GB"/>
        </w:rPr>
        <w:t xml:space="preserve"> </w:t>
      </w:r>
      <w:r w:rsidRPr="00037C61">
        <w:rPr>
          <w:lang w:val="en-GB"/>
        </w:rPr>
        <w:t>4 and ISO</w:t>
      </w:r>
      <w:r w:rsidR="7C61A6FB" w:rsidRPr="00037C61">
        <w:rPr>
          <w:lang w:val="en-GB"/>
        </w:rPr>
        <w:t xml:space="preserve"> </w:t>
      </w:r>
      <w:r w:rsidRPr="00037C61">
        <w:rPr>
          <w:lang w:val="en-GB"/>
        </w:rPr>
        <w:t xml:space="preserve">1 objectives. </w:t>
      </w:r>
    </w:p>
    <w:p w14:paraId="052B7C55" w14:textId="2AE15144" w:rsidR="00844E37" w:rsidRPr="00037C61" w:rsidRDefault="00844E37" w:rsidP="00844E37">
      <w:pPr>
        <w:rPr>
          <w:lang w:val="en-GB"/>
        </w:rPr>
      </w:pPr>
      <w:r w:rsidRPr="00037C61">
        <w:rPr>
          <w:lang w:val="en-GB"/>
        </w:rPr>
        <w:t>The aging of population in the area over the last 10 years and consequently the age dependency ratio has increased constantly, albeit with a more accentuated pace in Békés (158.5% aging index ratio in 2018) and Csongrád-Csanád (147.9</w:t>
      </w:r>
      <w:r w:rsidR="006E131C" w:rsidRPr="00037C61">
        <w:rPr>
          <w:lang w:val="en-GB"/>
        </w:rPr>
        <w:t>%</w:t>
      </w:r>
      <w:r w:rsidRPr="00037C61">
        <w:rPr>
          <w:lang w:val="en-GB"/>
        </w:rPr>
        <w:t xml:space="preserve">), which are the outliers in the PA. </w:t>
      </w:r>
    </w:p>
    <w:p w14:paraId="704D7F20" w14:textId="6ED086DD" w:rsidR="00844E37" w:rsidRPr="00037C61" w:rsidRDefault="00844E37" w:rsidP="00844E37">
      <w:pPr>
        <w:rPr>
          <w:lang w:val="en-GB"/>
        </w:rPr>
      </w:pPr>
      <w:r w:rsidRPr="00037C61">
        <w:rPr>
          <w:lang w:val="en-GB"/>
        </w:rPr>
        <w:t xml:space="preserve">There are also several </w:t>
      </w:r>
      <w:r w:rsidRPr="00037C61">
        <w:rPr>
          <w:b/>
          <w:bCs/>
          <w:lang w:val="en-GB"/>
        </w:rPr>
        <w:t>intra-regional disparities worth noting</w:t>
      </w:r>
      <w:r w:rsidRPr="00037C61">
        <w:rPr>
          <w:lang w:val="en-GB"/>
        </w:rPr>
        <w:t>. The Romanian counties in the PA, especially Timiș (+0.1</w:t>
      </w:r>
      <w:r w:rsidR="006E131C" w:rsidRPr="00037C61">
        <w:rPr>
          <w:lang w:val="en-GB"/>
        </w:rPr>
        <w:t>‰</w:t>
      </w:r>
      <w:r w:rsidRPr="00037C61">
        <w:rPr>
          <w:lang w:val="en-GB"/>
        </w:rPr>
        <w:t xml:space="preserve">) record an overall natural growth rate higher than the national average (-3.1‰) for 2018, whereas the Hungarian counties present a value similar to the national average (-3.8‰, as opposed to -3.9‰). The negative natural change rate in the Hungarian PA territory is two times that of the Romanian territory (-3.8‰, versus -1.9‰), a significant difference recognized in European demographic trend projections (ESPON ESCAPE, 2019), which show Békés and Szabolcs-Szatmár-Bereg as significantly shrinking rural regions. </w:t>
      </w:r>
    </w:p>
    <w:p w14:paraId="6812DBF1" w14:textId="2AA6ED4A" w:rsidR="00844E37" w:rsidRPr="00037C61" w:rsidRDefault="00844E37" w:rsidP="00844E37">
      <w:pPr>
        <w:rPr>
          <w:lang w:val="en-GB"/>
        </w:rPr>
      </w:pPr>
      <w:r w:rsidRPr="00037C61">
        <w:rPr>
          <w:lang w:val="en-GB"/>
        </w:rPr>
        <w:t xml:space="preserve">At county level, as far as </w:t>
      </w:r>
      <w:r w:rsidRPr="00037C61">
        <w:rPr>
          <w:b/>
          <w:bCs/>
          <w:lang w:val="en-GB"/>
        </w:rPr>
        <w:t>population dependency ratios</w:t>
      </w:r>
      <w:r w:rsidRPr="00037C61">
        <w:rPr>
          <w:lang w:val="en-GB"/>
        </w:rPr>
        <w:t xml:space="preserve"> are concerned, clear disparities between Békés (33) and Csongrád-Csanád (31.2</w:t>
      </w:r>
      <w:r w:rsidR="006E131C" w:rsidRPr="00037C61">
        <w:rPr>
          <w:lang w:val="en-GB"/>
        </w:rPr>
        <w:t>%</w:t>
      </w:r>
      <w:r w:rsidRPr="00037C61">
        <w:rPr>
          <w:lang w:val="en-GB"/>
        </w:rPr>
        <w:t>) and the rest of the counties (from 22.4</w:t>
      </w:r>
      <w:r w:rsidR="006E131C" w:rsidRPr="00037C61">
        <w:rPr>
          <w:lang w:val="en-GB"/>
        </w:rPr>
        <w:t>%</w:t>
      </w:r>
      <w:r w:rsidRPr="00037C61">
        <w:rPr>
          <w:lang w:val="en-GB"/>
        </w:rPr>
        <w:t xml:space="preserve"> in Timiș to 27.7</w:t>
      </w:r>
      <w:r w:rsidR="006E131C" w:rsidRPr="00037C61">
        <w:rPr>
          <w:lang w:val="en-GB"/>
        </w:rPr>
        <w:t>%</w:t>
      </w:r>
      <w:r w:rsidRPr="00037C61">
        <w:rPr>
          <w:lang w:val="en-GB"/>
        </w:rPr>
        <w:t xml:space="preserve"> in Arad) can be observed. However, a more in-depth assessment of LAU2 level demographic dependency ratios highlights a different pattern, where predominantly rural areas in the eastern part of the Romanian counties (especially Arad and Bihor) recording a more vulnerable, elderly population and values of the dependency ratio over 50. This difference between the county average, which shows positive values for Romanian counties, and the situation at LAU2, underlines more accentuated urban-</w:t>
      </w:r>
      <w:r w:rsidRPr="00037C61">
        <w:rPr>
          <w:lang w:val="en-GB"/>
        </w:rPr>
        <w:lastRenderedPageBreak/>
        <w:t xml:space="preserve">rural disparities in Romanian counties and the formation of inner peripheries in the Békés-Arad-Bihor rural areas. </w:t>
      </w:r>
    </w:p>
    <w:p w14:paraId="525EB928" w14:textId="38624A4C" w:rsidR="005A7BD8" w:rsidRPr="00DB74BF" w:rsidRDefault="00844E37" w:rsidP="005A7BD8">
      <w:pPr>
        <w:rPr>
          <w:lang w:val="en-GB"/>
        </w:rPr>
      </w:pPr>
      <w:r w:rsidRPr="00037C61">
        <w:rPr>
          <w:lang w:val="en-GB"/>
        </w:rPr>
        <w:t xml:space="preserve">Lastly, in terms of cultural capital, the </w:t>
      </w:r>
      <w:r w:rsidRPr="00037C61">
        <w:rPr>
          <w:b/>
          <w:bCs/>
          <w:lang w:val="en-GB"/>
        </w:rPr>
        <w:t xml:space="preserve">PA strongpoints and cultural </w:t>
      </w:r>
      <w:r w:rsidR="006E131C" w:rsidRPr="00037C61">
        <w:rPr>
          <w:b/>
          <w:bCs/>
          <w:lang w:val="en-GB"/>
        </w:rPr>
        <w:t>centres</w:t>
      </w:r>
      <w:r w:rsidRPr="00037C61">
        <w:rPr>
          <w:b/>
          <w:bCs/>
          <w:lang w:val="en-GB"/>
        </w:rPr>
        <w:t xml:space="preserve"> </w:t>
      </w:r>
      <w:r w:rsidRPr="00037C61">
        <w:rPr>
          <w:lang w:val="en-GB"/>
        </w:rPr>
        <w:t>are promoted at European level, however ranking in the bottom 25 percentile as far as cultural and creative infrastructure and services are concerned. Low local and international cultural connections could be supported through the CBC programme. Similarly, there are common elements of potential in the form of shared cultural heritage (such as architectural art nouveau heritage</w:t>
      </w:r>
      <w:r w:rsidR="00BF602B">
        <w:rPr>
          <w:lang w:val="en-GB"/>
        </w:rPr>
        <w:t>, as well as religious and rural heritage</w:t>
      </w:r>
      <w:r w:rsidRPr="00037C61">
        <w:rPr>
          <w:lang w:val="en-GB"/>
        </w:rPr>
        <w:t xml:space="preserve">) which can represent a collaboration point and an opportunity to promote the area’s joint strengths. </w:t>
      </w:r>
      <w:r w:rsidR="005A7BD8" w:rsidRPr="00DB74BF">
        <w:rPr>
          <w:lang w:val="en-GB"/>
        </w:rPr>
        <w:t>Intangible cultural heritage elements and contemporary cultural values have the potential to actively contribute to developing a long-term preservation instrument of the common cultural heritage of the whole target area</w:t>
      </w:r>
      <w:r w:rsidR="00BF602B">
        <w:rPr>
          <w:lang w:val="en-GB"/>
        </w:rPr>
        <w:t>, including under a common touristic destination management approach</w:t>
      </w:r>
      <w:r w:rsidR="005A7BD8" w:rsidRPr="00DB74BF">
        <w:rPr>
          <w:lang w:val="en-GB"/>
        </w:rPr>
        <w:t xml:space="preserve">. Set-up and cooperation of cross-border clusters, cultural hubs </w:t>
      </w:r>
      <w:r w:rsidR="002B3A27">
        <w:rPr>
          <w:lang w:val="en-GB"/>
        </w:rPr>
        <w:t xml:space="preserve">and people-to-people actions promoting cultural exchanges, </w:t>
      </w:r>
      <w:r w:rsidR="005A7BD8" w:rsidRPr="00DB74BF">
        <w:rPr>
          <w:lang w:val="en-GB"/>
        </w:rPr>
        <w:t>has the potential of being developed through joint cooperation</w:t>
      </w:r>
      <w:r w:rsidR="002B3A27">
        <w:rPr>
          <w:lang w:val="en-GB"/>
        </w:rPr>
        <w:t xml:space="preserve"> in the field of culture and tourism</w:t>
      </w:r>
      <w:r w:rsidR="005A7BD8" w:rsidRPr="00DB74BF">
        <w:rPr>
          <w:lang w:val="en-GB"/>
        </w:rPr>
        <w:t xml:space="preserve">, </w:t>
      </w:r>
      <w:r w:rsidR="002B3A27">
        <w:rPr>
          <w:lang w:val="en-GB"/>
        </w:rPr>
        <w:t xml:space="preserve">as means for the socio-economic development of the cross-border area, </w:t>
      </w:r>
      <w:r w:rsidR="005A7BD8" w:rsidRPr="00DB74BF">
        <w:rPr>
          <w:lang w:val="en-GB"/>
        </w:rPr>
        <w:t xml:space="preserve">taking into account also the need to </w:t>
      </w:r>
      <w:r w:rsidR="005A7BD8" w:rsidRPr="00DB74BF">
        <w:rPr>
          <w:b/>
          <w:bCs/>
          <w:lang w:val="en-GB"/>
        </w:rPr>
        <w:t>actively involve rural settlements</w:t>
      </w:r>
      <w:r w:rsidR="005A7BD8" w:rsidRPr="00DB74BF">
        <w:rPr>
          <w:lang w:val="en-GB"/>
        </w:rPr>
        <w:t xml:space="preserve"> in order to ensure the balanced development and the cohesion of the region.  </w:t>
      </w:r>
    </w:p>
    <w:p w14:paraId="3982DB04" w14:textId="16F209A0" w:rsidR="00844E37" w:rsidRPr="00037C61" w:rsidRDefault="00844E37" w:rsidP="00844E37">
      <w:pPr>
        <w:rPr>
          <w:lang w:val="en-GB"/>
        </w:rPr>
      </w:pPr>
    </w:p>
    <w:p w14:paraId="59EAD28B" w14:textId="7AC86646" w:rsidR="00981D6C" w:rsidRPr="00037C61" w:rsidRDefault="00981D6C" w:rsidP="005E0849">
      <w:pPr>
        <w:rPr>
          <w:bCs/>
          <w:lang w:val="en-GB"/>
        </w:rPr>
        <w:sectPr w:rsidR="00981D6C" w:rsidRPr="00037C61" w:rsidSect="009E4103">
          <w:headerReference w:type="even" r:id="rId88"/>
          <w:headerReference w:type="default" r:id="rId89"/>
          <w:footerReference w:type="default" r:id="rId90"/>
          <w:headerReference w:type="first" r:id="rId91"/>
          <w:footerReference w:type="first" r:id="rId92"/>
          <w:pgSz w:w="11906" w:h="16838"/>
          <w:pgMar w:top="1713" w:right="1440" w:bottom="1440" w:left="1440" w:header="708" w:footer="828" w:gutter="0"/>
          <w:cols w:space="708"/>
          <w:docGrid w:linePitch="360"/>
        </w:sectPr>
      </w:pPr>
    </w:p>
    <w:p w14:paraId="5D79AFAF" w14:textId="77777777" w:rsidR="00A0707B" w:rsidRPr="00037C61" w:rsidRDefault="00A0707B" w:rsidP="003A0B0A">
      <w:pPr>
        <w:pStyle w:val="InterregROHUBullet1"/>
        <w:numPr>
          <w:ilvl w:val="0"/>
          <w:numId w:val="0"/>
        </w:numPr>
      </w:pPr>
    </w:p>
    <w:p w14:paraId="1A92CCEB" w14:textId="56E9CF42" w:rsidR="00BB1B56" w:rsidRPr="00037C61" w:rsidRDefault="008D0D72" w:rsidP="008D0D72">
      <w:pPr>
        <w:pStyle w:val="Heading3"/>
      </w:pPr>
      <w:bookmarkStart w:id="180" w:name="_Toc64619524"/>
      <w:r w:rsidRPr="00037C61">
        <w:t xml:space="preserve">SWOT Analysis: </w:t>
      </w:r>
      <w:r w:rsidR="00CE5316" w:rsidRPr="00037C61">
        <w:t>Main territorial characteristics, demographic potential and socio-cultural capital</w:t>
      </w:r>
      <w:bookmarkEnd w:id="180"/>
      <w:r w:rsidR="00CE5316" w:rsidRPr="00037C61">
        <w:t xml:space="preserve"> </w:t>
      </w:r>
    </w:p>
    <w:tbl>
      <w:tblPr>
        <w:tblStyle w:val="ListTable3-Accent11"/>
        <w:tblW w:w="15168" w:type="dxa"/>
        <w:tblInd w:w="-714" w:type="dxa"/>
        <w:tblLayout w:type="fixed"/>
        <w:tblLook w:val="0420" w:firstRow="1" w:lastRow="0" w:firstColumn="0" w:lastColumn="0" w:noHBand="0" w:noVBand="1"/>
      </w:tblPr>
      <w:tblGrid>
        <w:gridCol w:w="3970"/>
        <w:gridCol w:w="283"/>
        <w:gridCol w:w="4820"/>
        <w:gridCol w:w="567"/>
        <w:gridCol w:w="2835"/>
        <w:gridCol w:w="2693"/>
      </w:tblGrid>
      <w:tr w:rsidR="00BB1B56" w:rsidRPr="00037C61" w14:paraId="25F72597" w14:textId="77777777" w:rsidTr="00DB74BF">
        <w:trPr>
          <w:cnfStyle w:val="100000000000" w:firstRow="1" w:lastRow="0" w:firstColumn="0" w:lastColumn="0" w:oddVBand="0" w:evenVBand="0" w:oddHBand="0" w:evenHBand="0" w:firstRowFirstColumn="0" w:firstRowLastColumn="0" w:lastRowFirstColumn="0" w:lastRowLastColumn="0"/>
          <w:trHeight w:val="705"/>
          <w:tblHeader/>
        </w:trPr>
        <w:tc>
          <w:tcPr>
            <w:tcW w:w="3970" w:type="dxa"/>
          </w:tcPr>
          <w:p w14:paraId="31F491E3" w14:textId="77777777" w:rsidR="00BB1B56" w:rsidRPr="00037C61" w:rsidRDefault="00BB1B56" w:rsidP="00BB1B56">
            <w:pPr>
              <w:pBdr>
                <w:top w:val="nil"/>
                <w:left w:val="nil"/>
                <w:bottom w:val="nil"/>
                <w:right w:val="nil"/>
                <w:between w:val="nil"/>
              </w:pBdr>
              <w:jc w:val="center"/>
              <w:rPr>
                <w:rFonts w:ascii="Times New Roman" w:eastAsia="Times New Roman" w:hAnsi="Times New Roman" w:cs="Times New Roman"/>
                <w:sz w:val="20"/>
                <w:szCs w:val="20"/>
                <w:lang w:val="en-GB"/>
              </w:rPr>
            </w:pPr>
            <w:bookmarkStart w:id="181" w:name="_Hlk53435166"/>
            <w:r w:rsidRPr="00037C61">
              <w:rPr>
                <w:rFonts w:eastAsia="Calibri" w:cs="Calibri"/>
                <w:sz w:val="20"/>
                <w:szCs w:val="20"/>
                <w:lang w:val="en-GB"/>
              </w:rPr>
              <w:t>Strengths</w:t>
            </w:r>
          </w:p>
        </w:tc>
        <w:tc>
          <w:tcPr>
            <w:tcW w:w="5103" w:type="dxa"/>
            <w:gridSpan w:val="2"/>
          </w:tcPr>
          <w:p w14:paraId="651DB86A" w14:textId="57D48638" w:rsidR="00BB1B56" w:rsidRPr="00037C61" w:rsidRDefault="00BB1B56" w:rsidP="003F0FBB">
            <w:pPr>
              <w:pBdr>
                <w:top w:val="nil"/>
                <w:left w:val="nil"/>
                <w:bottom w:val="nil"/>
                <w:right w:val="nil"/>
                <w:between w:val="nil"/>
              </w:pBdr>
              <w:jc w:val="center"/>
              <w:rPr>
                <w:rFonts w:ascii="Times New Roman" w:eastAsia="Times New Roman" w:hAnsi="Times New Roman" w:cs="Times New Roman"/>
                <w:sz w:val="20"/>
                <w:szCs w:val="20"/>
                <w:lang w:val="en-GB"/>
              </w:rPr>
            </w:pPr>
            <w:r w:rsidRPr="00037C61">
              <w:rPr>
                <w:rFonts w:eastAsia="Calibri" w:cs="Calibri"/>
                <w:sz w:val="20"/>
                <w:szCs w:val="20"/>
                <w:lang w:val="en-GB"/>
              </w:rPr>
              <w:t>Weaknesses</w:t>
            </w:r>
          </w:p>
        </w:tc>
        <w:tc>
          <w:tcPr>
            <w:tcW w:w="0" w:type="dxa"/>
          </w:tcPr>
          <w:p w14:paraId="4038A4E8" w14:textId="77777777" w:rsidR="00BB1B56" w:rsidRPr="00037C61" w:rsidRDefault="00BB1B56" w:rsidP="00BB1B56">
            <w:pPr>
              <w:pBdr>
                <w:top w:val="nil"/>
                <w:left w:val="nil"/>
                <w:bottom w:val="nil"/>
                <w:right w:val="nil"/>
                <w:between w:val="nil"/>
              </w:pBdr>
              <w:jc w:val="center"/>
              <w:rPr>
                <w:rFonts w:ascii="Times New Roman" w:eastAsia="Times New Roman" w:hAnsi="Times New Roman" w:cs="Times New Roman"/>
                <w:sz w:val="20"/>
                <w:szCs w:val="20"/>
                <w:lang w:val="en-GB"/>
              </w:rPr>
            </w:pPr>
            <w:r w:rsidRPr="00037C61">
              <w:rPr>
                <w:rFonts w:eastAsia="Calibri" w:cs="Calibri"/>
                <w:sz w:val="20"/>
                <w:szCs w:val="20"/>
                <w:lang w:val="en-GB"/>
              </w:rPr>
              <w:t>Opportunities</w:t>
            </w:r>
          </w:p>
        </w:tc>
        <w:tc>
          <w:tcPr>
            <w:tcW w:w="0" w:type="dxa"/>
            <w:gridSpan w:val="2"/>
          </w:tcPr>
          <w:p w14:paraId="581B2F6C" w14:textId="77777777" w:rsidR="00BB1B56" w:rsidRPr="00037C61" w:rsidRDefault="00BB1B56" w:rsidP="00BB1B56">
            <w:pPr>
              <w:pBdr>
                <w:top w:val="nil"/>
                <w:left w:val="nil"/>
                <w:bottom w:val="nil"/>
                <w:right w:val="nil"/>
                <w:between w:val="nil"/>
              </w:pBdr>
              <w:jc w:val="center"/>
              <w:rPr>
                <w:rFonts w:ascii="Times New Roman" w:eastAsia="Times New Roman" w:hAnsi="Times New Roman" w:cs="Times New Roman"/>
                <w:sz w:val="20"/>
                <w:szCs w:val="20"/>
                <w:lang w:val="en-GB"/>
              </w:rPr>
            </w:pPr>
            <w:r w:rsidRPr="00037C61">
              <w:rPr>
                <w:rFonts w:eastAsia="Calibri" w:cs="Calibri"/>
                <w:sz w:val="20"/>
                <w:szCs w:val="20"/>
                <w:lang w:val="en-GB"/>
              </w:rPr>
              <w:t>Threats</w:t>
            </w:r>
          </w:p>
        </w:tc>
      </w:tr>
      <w:tr w:rsidR="00BB1B56" w:rsidRPr="004A5488" w14:paraId="34BA121F" w14:textId="77777777" w:rsidTr="00DB74BF">
        <w:trPr>
          <w:cnfStyle w:val="000000100000" w:firstRow="0" w:lastRow="0" w:firstColumn="0" w:lastColumn="0" w:oddVBand="0" w:evenVBand="0" w:oddHBand="1" w:evenHBand="0" w:firstRowFirstColumn="0" w:firstRowLastColumn="0" w:lastRowFirstColumn="0" w:lastRowLastColumn="0"/>
        </w:trPr>
        <w:tc>
          <w:tcPr>
            <w:tcW w:w="4253" w:type="dxa"/>
            <w:gridSpan w:val="2"/>
          </w:tcPr>
          <w:p w14:paraId="37CA91B8" w14:textId="42A8545C" w:rsidR="00BB1B56" w:rsidRPr="00037C61" w:rsidRDefault="3F413C9B" w:rsidP="00DB74BF">
            <w:pPr>
              <w:numPr>
                <w:ilvl w:val="0"/>
                <w:numId w:val="12"/>
              </w:numPr>
              <w:pBdr>
                <w:top w:val="nil"/>
                <w:left w:val="nil"/>
                <w:bottom w:val="nil"/>
                <w:right w:val="nil"/>
                <w:between w:val="nil"/>
              </w:pBdr>
              <w:spacing w:after="240"/>
              <w:ind w:firstLine="0"/>
              <w:rPr>
                <w:sz w:val="20"/>
                <w:szCs w:val="20"/>
                <w:lang w:val="en-GB"/>
              </w:rPr>
            </w:pPr>
            <w:r w:rsidRPr="00037C61">
              <w:rPr>
                <w:rFonts w:eastAsia="Calibri" w:cs="Calibri"/>
                <w:color w:val="000000" w:themeColor="text1"/>
                <w:sz w:val="20"/>
                <w:szCs w:val="20"/>
                <w:lang w:val="en-GB"/>
              </w:rPr>
              <w:t>In the European context, the PA has a relatively younger population Timiș region has the lowest values - a median age of under 40 years).  One of the reasons is that Timișoara is a university centre, but the fact that the economic development of this major city is steady and mainly based on services, commerce and SME, with important companies (such as Continental Automotive, TRV Automotive Safety Systems, Smithfield Romania) make is an attractive city, that retains its younger population even after graduation, and also attracts people from other parts of the county and from abroad;</w:t>
            </w:r>
          </w:p>
          <w:p w14:paraId="1569E627" w14:textId="33BB96A9" w:rsidR="00BB1B56" w:rsidRPr="00037C61" w:rsidRDefault="3F413C9B" w:rsidP="00DB74BF">
            <w:pPr>
              <w:numPr>
                <w:ilvl w:val="0"/>
                <w:numId w:val="12"/>
              </w:numPr>
              <w:pBdr>
                <w:top w:val="nil"/>
                <w:left w:val="nil"/>
                <w:bottom w:val="nil"/>
                <w:right w:val="nil"/>
                <w:between w:val="nil"/>
              </w:pBdr>
              <w:spacing w:after="240"/>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The counties that attracted a significant number of migrants are Timiș, Arad and Csongrád</w:t>
            </w:r>
            <w:r w:rsidR="006E131C" w:rsidRPr="00037C61">
              <w:rPr>
                <w:rFonts w:eastAsia="Calibri" w:cs="Calibri"/>
                <w:color w:val="000000" w:themeColor="text1"/>
                <w:sz w:val="20"/>
                <w:szCs w:val="20"/>
                <w:lang w:val="en-GB"/>
              </w:rPr>
              <w:t>-Csanád</w:t>
            </w:r>
            <w:r w:rsidRPr="00037C61">
              <w:rPr>
                <w:rFonts w:eastAsia="Calibri" w:cs="Calibri"/>
                <w:color w:val="000000" w:themeColor="text1"/>
                <w:sz w:val="20"/>
                <w:szCs w:val="20"/>
                <w:lang w:val="en-GB"/>
              </w:rPr>
              <w:t>. This is due to their economic development, most specifically to the attractiveness of the main urban centres of Timișoara, Arad and Szeged;</w:t>
            </w:r>
          </w:p>
          <w:p w14:paraId="36598D33" w14:textId="77777777" w:rsidR="00CA0426" w:rsidRPr="00DB74BF" w:rsidRDefault="3F413C9B" w:rsidP="00DB74BF">
            <w:pPr>
              <w:numPr>
                <w:ilvl w:val="0"/>
                <w:numId w:val="12"/>
              </w:numPr>
              <w:spacing w:after="240" w:line="259" w:lineRule="auto"/>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 xml:space="preserve">At a cross-border territorial level, we can determine two major clusters of the densest population: a south one with LAU2 settlements between major cities Timișoara, Arad, Szeged, and a north cluster with LAU2 settlements between Nyíregyháza, Debrecen, Oradea. </w:t>
            </w:r>
          </w:p>
          <w:p w14:paraId="4C7469B9" w14:textId="50BB23CF" w:rsidR="00BB1B56" w:rsidRPr="00037C61" w:rsidRDefault="1D64E1CA" w:rsidP="00DB74BF">
            <w:pPr>
              <w:numPr>
                <w:ilvl w:val="0"/>
                <w:numId w:val="12"/>
              </w:numPr>
              <w:spacing w:after="240" w:line="259" w:lineRule="auto"/>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lastRenderedPageBreak/>
              <w:t>In</w:t>
            </w:r>
            <w:r w:rsidR="3F413C9B" w:rsidRPr="00037C61">
              <w:rPr>
                <w:rFonts w:eastAsia="Calibri" w:cs="Calibri"/>
                <w:color w:val="000000" w:themeColor="text1"/>
                <w:sz w:val="20"/>
                <w:szCs w:val="20"/>
                <w:lang w:val="en-GB"/>
              </w:rPr>
              <w:t xml:space="preserve"> the </w:t>
            </w:r>
            <w:r w:rsidR="48230F2F" w:rsidRPr="00037C61">
              <w:rPr>
                <w:rFonts w:eastAsia="Calibri" w:cs="Calibri"/>
                <w:color w:val="000000" w:themeColor="text1"/>
                <w:sz w:val="20"/>
                <w:szCs w:val="20"/>
                <w:lang w:val="en-GB"/>
              </w:rPr>
              <w:t xml:space="preserve">PA there is a variety of </w:t>
            </w:r>
            <w:r w:rsidR="19B6E228" w:rsidRPr="00037C61">
              <w:rPr>
                <w:rFonts w:eastAsia="Calibri" w:cs="Calibri"/>
                <w:color w:val="000000" w:themeColor="text1"/>
                <w:sz w:val="20"/>
                <w:szCs w:val="20"/>
                <w:lang w:val="en-GB"/>
              </w:rPr>
              <w:t>minorities</w:t>
            </w:r>
            <w:r w:rsidR="48230F2F" w:rsidRPr="00037C61">
              <w:rPr>
                <w:rFonts w:eastAsia="Calibri" w:cs="Calibri"/>
                <w:color w:val="000000" w:themeColor="text1"/>
                <w:sz w:val="20"/>
                <w:szCs w:val="20"/>
                <w:lang w:val="en-GB"/>
              </w:rPr>
              <w:t xml:space="preserve"> besides the </w:t>
            </w:r>
            <w:r w:rsidR="3F413C9B" w:rsidRPr="00037C61">
              <w:rPr>
                <w:rFonts w:eastAsia="Calibri" w:cs="Calibri"/>
                <w:color w:val="000000" w:themeColor="text1"/>
                <w:sz w:val="20"/>
                <w:szCs w:val="20"/>
                <w:lang w:val="en-GB"/>
              </w:rPr>
              <w:t xml:space="preserve">Hungarian </w:t>
            </w:r>
            <w:r w:rsidR="1B1B2A85" w:rsidRPr="00037C61">
              <w:rPr>
                <w:rFonts w:eastAsia="Calibri" w:cs="Calibri"/>
                <w:color w:val="000000" w:themeColor="text1"/>
                <w:sz w:val="20"/>
                <w:szCs w:val="20"/>
                <w:lang w:val="en-GB"/>
              </w:rPr>
              <w:t xml:space="preserve">or </w:t>
            </w:r>
            <w:r w:rsidR="3F413C9B" w:rsidRPr="00037C61">
              <w:rPr>
                <w:rFonts w:eastAsia="Calibri" w:cs="Calibri"/>
                <w:color w:val="000000" w:themeColor="text1"/>
                <w:sz w:val="20"/>
                <w:szCs w:val="20"/>
                <w:lang w:val="en-GB"/>
              </w:rPr>
              <w:t>Romanian ethnic group</w:t>
            </w:r>
            <w:r w:rsidR="5B8533FA" w:rsidRPr="00037C61">
              <w:rPr>
                <w:rFonts w:eastAsia="Calibri" w:cs="Calibri"/>
                <w:color w:val="000000" w:themeColor="text1"/>
                <w:sz w:val="20"/>
                <w:szCs w:val="20"/>
                <w:lang w:val="en-GB"/>
              </w:rPr>
              <w:t>s</w:t>
            </w:r>
            <w:r w:rsidR="7327E6CD" w:rsidRPr="00037C61">
              <w:rPr>
                <w:rFonts w:eastAsia="Calibri" w:cs="Calibri"/>
                <w:color w:val="000000" w:themeColor="text1"/>
                <w:sz w:val="20"/>
                <w:szCs w:val="20"/>
                <w:lang w:val="en-GB"/>
              </w:rPr>
              <w:t>, such</w:t>
            </w:r>
            <w:r w:rsidR="3F1FDF40" w:rsidRPr="00037C61">
              <w:rPr>
                <w:rFonts w:eastAsia="Calibri" w:cs="Calibri"/>
                <w:color w:val="000000" w:themeColor="text1"/>
                <w:sz w:val="20"/>
                <w:szCs w:val="20"/>
                <w:lang w:val="en-GB"/>
              </w:rPr>
              <w:t xml:space="preserve"> as Roma, </w:t>
            </w:r>
            <w:r w:rsidR="0DA8BAC5" w:rsidRPr="00037C61">
              <w:rPr>
                <w:rFonts w:eastAsia="Calibri" w:cs="Calibri"/>
                <w:color w:val="000000" w:themeColor="text1"/>
                <w:sz w:val="20"/>
                <w:szCs w:val="20"/>
                <w:lang w:val="en-GB"/>
              </w:rPr>
              <w:t>Germans,</w:t>
            </w:r>
            <w:r w:rsidR="3F1FDF40" w:rsidRPr="00037C61">
              <w:rPr>
                <w:rFonts w:eastAsia="Calibri" w:cs="Calibri"/>
                <w:color w:val="000000" w:themeColor="text1"/>
                <w:sz w:val="20"/>
                <w:szCs w:val="20"/>
                <w:lang w:val="en-GB"/>
              </w:rPr>
              <w:t xml:space="preserve"> U</w:t>
            </w:r>
            <w:r w:rsidR="3F1FDF40" w:rsidRPr="00037C61">
              <w:rPr>
                <w:sz w:val="20"/>
                <w:szCs w:val="20"/>
                <w:lang w:val="en-GB"/>
              </w:rPr>
              <w:t>krainians, Russians – Lipovans, Serbians, Slovakians, Bulgarian, Croats, Greeks, Polish, Chinese, Armenians and others</w:t>
            </w:r>
            <w:r w:rsidR="6433D0AF" w:rsidRPr="00037C61">
              <w:rPr>
                <w:sz w:val="20"/>
                <w:szCs w:val="20"/>
                <w:lang w:val="en-GB"/>
              </w:rPr>
              <w:t xml:space="preserve"> from other continents due to the </w:t>
            </w:r>
            <w:r w:rsidR="6743AAFD" w:rsidRPr="00037C61">
              <w:rPr>
                <w:sz w:val="20"/>
                <w:szCs w:val="20"/>
                <w:lang w:val="en-GB"/>
              </w:rPr>
              <w:t>university</w:t>
            </w:r>
            <w:r w:rsidR="6433D0AF" w:rsidRPr="00037C61">
              <w:rPr>
                <w:sz w:val="20"/>
                <w:szCs w:val="20"/>
                <w:lang w:val="en-GB"/>
              </w:rPr>
              <w:t xml:space="preserve"> attraction of the area</w:t>
            </w:r>
            <w:r w:rsidR="3F413C9B" w:rsidRPr="00037C61">
              <w:rPr>
                <w:rFonts w:eastAsia="Calibri" w:cs="Calibri"/>
                <w:color w:val="000000" w:themeColor="text1"/>
                <w:sz w:val="20"/>
                <w:szCs w:val="20"/>
                <w:lang w:val="en-GB"/>
              </w:rPr>
              <w:t xml:space="preserve">. Despite the </w:t>
            </w:r>
            <w:r w:rsidR="17CA2A37" w:rsidRPr="00037C61">
              <w:rPr>
                <w:rFonts w:eastAsia="Calibri" w:cs="Calibri"/>
                <w:color w:val="000000" w:themeColor="text1"/>
                <w:sz w:val="20"/>
                <w:szCs w:val="20"/>
                <w:lang w:val="en-GB"/>
              </w:rPr>
              <w:t>percentage</w:t>
            </w:r>
            <w:r w:rsidR="25FC588B" w:rsidRPr="00037C61">
              <w:rPr>
                <w:rFonts w:eastAsia="Calibri" w:cs="Calibri"/>
                <w:color w:val="000000" w:themeColor="text1"/>
                <w:sz w:val="20"/>
                <w:szCs w:val="20"/>
                <w:lang w:val="en-GB"/>
              </w:rPr>
              <w:t xml:space="preserve"> </w:t>
            </w:r>
            <w:r w:rsidR="3F413C9B" w:rsidRPr="00037C61">
              <w:rPr>
                <w:rFonts w:eastAsia="Calibri" w:cs="Calibri"/>
                <w:color w:val="000000" w:themeColor="text1"/>
                <w:sz w:val="20"/>
                <w:szCs w:val="20"/>
                <w:lang w:val="en-GB"/>
              </w:rPr>
              <w:t xml:space="preserve">disparity between minorities in Romania versus Hungary, we can say </w:t>
            </w:r>
            <w:r w:rsidR="5791E65E" w:rsidRPr="00037C61">
              <w:rPr>
                <w:rFonts w:eastAsia="Calibri" w:cs="Calibri"/>
                <w:color w:val="000000" w:themeColor="text1"/>
                <w:sz w:val="20"/>
                <w:szCs w:val="20"/>
                <w:lang w:val="en-GB"/>
              </w:rPr>
              <w:t>t</w:t>
            </w:r>
            <w:r w:rsidR="3F413C9B" w:rsidRPr="00037C61">
              <w:rPr>
                <w:rFonts w:eastAsia="Calibri" w:cs="Calibri"/>
                <w:color w:val="000000" w:themeColor="text1"/>
                <w:sz w:val="20"/>
                <w:szCs w:val="20"/>
                <w:lang w:val="en-GB"/>
              </w:rPr>
              <w:t>hat there is a cultural liaison, making the cross-border cooperation more feasible;</w:t>
            </w:r>
          </w:p>
          <w:p w14:paraId="6AF29D1C" w14:textId="2D39A768" w:rsidR="00BB1B56" w:rsidRPr="00DB74BF" w:rsidRDefault="3F413C9B" w:rsidP="00DB74BF">
            <w:pPr>
              <w:numPr>
                <w:ilvl w:val="0"/>
                <w:numId w:val="12"/>
              </w:numPr>
              <w:pBdr>
                <w:top w:val="nil"/>
                <w:left w:val="nil"/>
                <w:bottom w:val="nil"/>
                <w:right w:val="nil"/>
                <w:between w:val="nil"/>
              </w:pBdr>
              <w:spacing w:after="240"/>
              <w:ind w:firstLine="0"/>
              <w:rPr>
                <w:sz w:val="20"/>
                <w:szCs w:val="20"/>
                <w:lang w:val="en-GB"/>
              </w:rPr>
            </w:pPr>
            <w:r w:rsidRPr="00037C61">
              <w:rPr>
                <w:rFonts w:eastAsia="Calibri" w:cs="Calibri"/>
                <w:color w:val="000000" w:themeColor="text1"/>
                <w:sz w:val="20"/>
                <w:szCs w:val="20"/>
                <w:lang w:val="en-GB"/>
              </w:rPr>
              <w:t xml:space="preserve">Timiș region is the most populated of the PA, with a population of 701,499, </w:t>
            </w:r>
            <w:r w:rsidR="00CA0426">
              <w:rPr>
                <w:rFonts w:eastAsia="Calibri" w:cs="Calibri"/>
                <w:color w:val="000000" w:themeColor="text1"/>
                <w:sz w:val="20"/>
                <w:szCs w:val="20"/>
                <w:lang w:val="en-GB"/>
              </w:rPr>
              <w:t xml:space="preserve">and the concentration of its population in Timișoara </w:t>
            </w:r>
            <w:r w:rsidR="5FEFD7AB" w:rsidRPr="00037C61">
              <w:rPr>
                <w:rFonts w:eastAsia="Calibri" w:cs="Calibri"/>
                <w:color w:val="000000" w:themeColor="text1"/>
                <w:sz w:val="20"/>
                <w:szCs w:val="20"/>
                <w:lang w:val="en-GB"/>
              </w:rPr>
              <w:t>can have</w:t>
            </w:r>
            <w:r w:rsidRPr="00037C61">
              <w:rPr>
                <w:rFonts w:eastAsia="Calibri" w:cs="Calibri"/>
                <w:color w:val="000000" w:themeColor="text1"/>
                <w:sz w:val="20"/>
                <w:szCs w:val="20"/>
                <w:lang w:val="en-GB"/>
              </w:rPr>
              <w:t xml:space="preserve"> a major role in the territorial development of </w:t>
            </w:r>
            <w:r w:rsidR="3B524BF1" w:rsidRPr="00037C61">
              <w:rPr>
                <w:rFonts w:eastAsia="Calibri" w:cs="Calibri"/>
                <w:color w:val="000000" w:themeColor="text1"/>
                <w:sz w:val="20"/>
                <w:szCs w:val="20"/>
                <w:lang w:val="en-GB"/>
              </w:rPr>
              <w:t>a</w:t>
            </w:r>
            <w:r w:rsidRPr="00037C61">
              <w:rPr>
                <w:rFonts w:eastAsia="Calibri" w:cs="Calibri"/>
                <w:color w:val="000000" w:themeColor="text1"/>
                <w:sz w:val="20"/>
                <w:szCs w:val="20"/>
                <w:lang w:val="en-GB"/>
              </w:rPr>
              <w:t xml:space="preserve"> FUA as a growth pole</w:t>
            </w:r>
            <w:r w:rsidR="00A843F0">
              <w:rPr>
                <w:rFonts w:eastAsia="Calibri" w:cs="Calibri"/>
                <w:color w:val="000000" w:themeColor="text1"/>
                <w:sz w:val="20"/>
                <w:szCs w:val="20"/>
                <w:lang w:val="en-GB"/>
              </w:rPr>
              <w:t xml:space="preserve"> (albeit monocentric). On the Hungarian side, </w:t>
            </w:r>
            <w:r w:rsidR="00A843F0" w:rsidRPr="00A843F0">
              <w:rPr>
                <w:rFonts w:eastAsia="Calibri" w:cs="Calibri"/>
                <w:color w:val="000000" w:themeColor="text1"/>
                <w:sz w:val="20"/>
                <w:szCs w:val="20"/>
                <w:lang w:val="en-GB"/>
              </w:rPr>
              <w:t>Szabolcs-Szatmár-Bereg county</w:t>
            </w:r>
            <w:r w:rsidR="00A843F0">
              <w:rPr>
                <w:rFonts w:eastAsia="Calibri" w:cs="Calibri"/>
                <w:color w:val="000000" w:themeColor="text1"/>
                <w:sz w:val="20"/>
                <w:szCs w:val="20"/>
                <w:lang w:val="en-GB"/>
              </w:rPr>
              <w:t xml:space="preserve"> is the most populous county, having a different potential for a more distributed, polycentric functionality, which has good premise for stretching cross-border;</w:t>
            </w:r>
          </w:p>
          <w:p w14:paraId="32671711" w14:textId="77777777" w:rsidR="00C503BF" w:rsidRPr="00DB74BF" w:rsidRDefault="00C503BF" w:rsidP="00DB74BF">
            <w:pPr>
              <w:numPr>
                <w:ilvl w:val="0"/>
                <w:numId w:val="12"/>
              </w:numPr>
              <w:pBdr>
                <w:top w:val="nil"/>
                <w:left w:val="nil"/>
                <w:bottom w:val="nil"/>
                <w:right w:val="nil"/>
                <w:between w:val="nil"/>
              </w:pBdr>
              <w:spacing w:after="240"/>
              <w:ind w:firstLine="0"/>
              <w:rPr>
                <w:sz w:val="20"/>
                <w:szCs w:val="20"/>
                <w:lang w:val="en-GB"/>
              </w:rPr>
            </w:pPr>
            <w:r>
              <w:rPr>
                <w:rFonts w:eastAsia="Calibri" w:cs="Calibri"/>
                <w:color w:val="000000" w:themeColor="text1"/>
                <w:sz w:val="20"/>
                <w:szCs w:val="20"/>
                <w:lang w:val="en-GB"/>
              </w:rPr>
              <w:t xml:space="preserve">Significant material and immaterial cultural heritage of high value and diversity present in all of the PA counties; </w:t>
            </w:r>
          </w:p>
          <w:p w14:paraId="4E6417B6" w14:textId="73B71729" w:rsidR="00C503BF" w:rsidRPr="00037C61" w:rsidRDefault="00C503BF" w:rsidP="00DB74BF">
            <w:pPr>
              <w:numPr>
                <w:ilvl w:val="0"/>
                <w:numId w:val="12"/>
              </w:numPr>
              <w:pBdr>
                <w:top w:val="nil"/>
                <w:left w:val="nil"/>
                <w:bottom w:val="nil"/>
                <w:right w:val="nil"/>
                <w:between w:val="nil"/>
              </w:pBdr>
              <w:spacing w:after="240"/>
              <w:ind w:firstLine="0"/>
              <w:rPr>
                <w:sz w:val="20"/>
                <w:szCs w:val="20"/>
                <w:lang w:val="en-GB"/>
              </w:rPr>
            </w:pPr>
            <w:r>
              <w:rPr>
                <w:rFonts w:eastAsia="Calibri" w:cs="Calibri"/>
                <w:color w:val="000000" w:themeColor="text1"/>
                <w:sz w:val="20"/>
                <w:szCs w:val="20"/>
                <w:lang w:val="en-GB"/>
              </w:rPr>
              <w:t xml:space="preserve">Common thematic heritage which can be jointly valorized in the PA: The Reseau Art Nuveau, the Route of Medieval Churches, Via Mariae, </w:t>
            </w:r>
            <w:r w:rsidRPr="00C503BF">
              <w:rPr>
                <w:rFonts w:eastAsia="Calibri" w:cs="Calibri"/>
                <w:color w:val="000000" w:themeColor="text1"/>
                <w:sz w:val="20"/>
                <w:szCs w:val="20"/>
                <w:lang w:val="en-GB"/>
              </w:rPr>
              <w:t>Pilgrim’s Way of St. Ladislaus the Knight King</w:t>
            </w:r>
            <w:r>
              <w:rPr>
                <w:rFonts w:eastAsia="Calibri" w:cs="Calibri"/>
                <w:color w:val="000000" w:themeColor="text1"/>
                <w:sz w:val="20"/>
                <w:szCs w:val="20"/>
                <w:lang w:val="en-GB"/>
              </w:rPr>
              <w:t xml:space="preserve">, etc. </w:t>
            </w:r>
          </w:p>
        </w:tc>
        <w:tc>
          <w:tcPr>
            <w:tcW w:w="5387" w:type="dxa"/>
            <w:gridSpan w:val="2"/>
          </w:tcPr>
          <w:p w14:paraId="70EE89B7" w14:textId="47822E30" w:rsidR="00BB1B56" w:rsidRPr="00037C61" w:rsidRDefault="3F413C9B" w:rsidP="00A843F0">
            <w:pPr>
              <w:numPr>
                <w:ilvl w:val="0"/>
                <w:numId w:val="12"/>
              </w:numPr>
              <w:pBdr>
                <w:top w:val="nil"/>
                <w:left w:val="nil"/>
                <w:bottom w:val="nil"/>
                <w:right w:val="nil"/>
                <w:between w:val="nil"/>
              </w:pBdr>
              <w:spacing w:after="240"/>
              <w:ind w:firstLine="0"/>
              <w:rPr>
                <w:sz w:val="20"/>
                <w:szCs w:val="20"/>
                <w:lang w:val="en-GB"/>
              </w:rPr>
            </w:pPr>
            <w:r w:rsidRPr="00037C61">
              <w:rPr>
                <w:rFonts w:eastAsia="Calibri" w:cs="Calibri"/>
                <w:color w:val="000000" w:themeColor="text1"/>
                <w:sz w:val="20"/>
                <w:szCs w:val="20"/>
                <w:lang w:val="en-GB"/>
              </w:rPr>
              <w:lastRenderedPageBreak/>
              <w:t>With the exception of Timiș county, the population has declined throughout the PA, with a drop of 3.72% over the period 2009-2018, and can be considered a shrinking territory; Recent ESPON studies (ESCAPE, 2019) analysing the future demographic change across Europe for the immediate period covering at least one generation (2017-2023) identify characteristics of shrinkage in seven out of the eight counties within the eligible area, in other words all of the intermediate and rural NUTS3 regions;</w:t>
            </w:r>
          </w:p>
          <w:p w14:paraId="6832D2E2" w14:textId="281D70BF" w:rsidR="006E131C" w:rsidRPr="00037C61" w:rsidRDefault="006E131C" w:rsidP="00DB74BF">
            <w:pPr>
              <w:numPr>
                <w:ilvl w:val="0"/>
                <w:numId w:val="12"/>
              </w:numPr>
              <w:spacing w:after="240"/>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The GEOSTAT population grid reveals a generally heterogenous distribution. Both cross-border regions have a very low dynamic of population in the rural environment and sustained growth around the large cities, in form of clusters. The declining population in rural environment in detriment of proximity to urban centres (urban polarisation) results in rural disadvantaged areas and marginalized communities, along with high values of old age dependency ratio</w:t>
            </w:r>
            <w:r w:rsidR="708B9FC0" w:rsidRPr="00037C61">
              <w:rPr>
                <w:rFonts w:eastAsia="Calibri" w:cs="Calibri"/>
                <w:color w:val="000000" w:themeColor="text1"/>
                <w:sz w:val="20"/>
                <w:szCs w:val="20"/>
                <w:lang w:val="en-GB"/>
              </w:rPr>
              <w:t>;</w:t>
            </w:r>
          </w:p>
          <w:p w14:paraId="6F29FAA9" w14:textId="4C3E7198" w:rsidR="52230E0C" w:rsidRPr="00037C61" w:rsidRDefault="3F413C9B" w:rsidP="00DB74BF">
            <w:pPr>
              <w:numPr>
                <w:ilvl w:val="0"/>
                <w:numId w:val="12"/>
              </w:numPr>
              <w:spacing w:after="240"/>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The population dynamics indicates that a sustained growth around the large cities, and in the case of Szabolcs-Szatmár-Bereg region a sustained growth in form of a cluster alongside the border with Ukraine. Both cross-border regions have a very low dynamic of population in the rural environment;</w:t>
            </w:r>
          </w:p>
          <w:p w14:paraId="7E5708E1" w14:textId="7931CABD" w:rsidR="00BB1B56" w:rsidRPr="00037C61" w:rsidRDefault="3F413C9B" w:rsidP="00DB74BF">
            <w:pPr>
              <w:numPr>
                <w:ilvl w:val="0"/>
                <w:numId w:val="12"/>
              </w:numPr>
              <w:pBdr>
                <w:top w:val="nil"/>
                <w:left w:val="nil"/>
                <w:bottom w:val="nil"/>
                <w:right w:val="nil"/>
                <w:between w:val="nil"/>
              </w:pBdr>
              <w:spacing w:after="240"/>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 xml:space="preserve">The most important shrinkages have been recorded in Békés, Arad and Satu Mare, of which the first two represent also </w:t>
            </w:r>
            <w:r w:rsidRPr="00037C61">
              <w:rPr>
                <w:rFonts w:eastAsia="Calibri" w:cs="Calibri"/>
                <w:color w:val="000000" w:themeColor="text1"/>
                <w:sz w:val="20"/>
                <w:szCs w:val="20"/>
                <w:lang w:val="en-GB"/>
              </w:rPr>
              <w:lastRenderedPageBreak/>
              <w:t>the least populated counties, with a density lower than 60 inh/km2</w:t>
            </w:r>
            <w:r w:rsidR="00483A96" w:rsidRPr="00037C61">
              <w:rPr>
                <w:rFonts w:eastAsia="Calibri" w:cs="Calibri"/>
                <w:color w:val="000000" w:themeColor="text1"/>
                <w:sz w:val="20"/>
                <w:szCs w:val="20"/>
                <w:lang w:val="en-GB"/>
              </w:rPr>
              <w:t xml:space="preserve"> (55.5% of the EU-27 average for 2019); </w:t>
            </w:r>
          </w:p>
          <w:p w14:paraId="0A262134" w14:textId="0BEB755B" w:rsidR="00BB1B56" w:rsidRPr="00037C61" w:rsidRDefault="54A35DA7" w:rsidP="00DB74BF">
            <w:pPr>
              <w:numPr>
                <w:ilvl w:val="0"/>
                <w:numId w:val="12"/>
              </w:numPr>
              <w:pBdr>
                <w:top w:val="nil"/>
                <w:left w:val="nil"/>
                <w:bottom w:val="nil"/>
                <w:right w:val="nil"/>
                <w:between w:val="nil"/>
              </w:pBdr>
              <w:spacing w:after="240"/>
              <w:ind w:firstLine="0"/>
              <w:rPr>
                <w:color w:val="000000" w:themeColor="text1"/>
                <w:sz w:val="20"/>
                <w:szCs w:val="20"/>
                <w:lang w:val="en-GB"/>
              </w:rPr>
            </w:pPr>
            <w:r w:rsidRPr="00037C61">
              <w:rPr>
                <w:rFonts w:eastAsia="Calibri" w:cs="Calibri"/>
                <w:color w:val="000000" w:themeColor="text1"/>
                <w:sz w:val="20"/>
                <w:szCs w:val="20"/>
                <w:lang w:val="en-GB"/>
              </w:rPr>
              <w:t>Békés region is losing a major share of its urban and rural population, at a faster rate than the other regions;</w:t>
            </w:r>
          </w:p>
          <w:p w14:paraId="73D474C5" w14:textId="77777777" w:rsidR="00BB1B56" w:rsidRPr="00037C61" w:rsidRDefault="23E55065" w:rsidP="00DB74BF">
            <w:pPr>
              <w:numPr>
                <w:ilvl w:val="0"/>
                <w:numId w:val="12"/>
              </w:numPr>
              <w:pBdr>
                <w:top w:val="nil"/>
                <w:left w:val="nil"/>
                <w:bottom w:val="nil"/>
                <w:right w:val="nil"/>
                <w:between w:val="nil"/>
              </w:pBdr>
              <w:spacing w:after="240"/>
              <w:ind w:firstLine="0"/>
              <w:rPr>
                <w:sz w:val="20"/>
                <w:szCs w:val="20"/>
                <w:lang w:val="en-GB"/>
              </w:rPr>
            </w:pPr>
            <w:r w:rsidRPr="00037C61">
              <w:rPr>
                <w:rFonts w:eastAsia="Calibri" w:cs="Calibri"/>
                <w:color w:val="000000" w:themeColor="text1"/>
                <w:sz w:val="20"/>
                <w:szCs w:val="20"/>
                <w:lang w:val="en-GB"/>
              </w:rPr>
              <w:t>Steady increase of the median age (with, on average, 1.5 years in the last decade) corroborated with an increasing age dependency ratio indicate a generally aging population, which will require specific public services and policies, as well as a shrinking population potential in the area; </w:t>
            </w:r>
          </w:p>
          <w:p w14:paraId="1FAB6974" w14:textId="3167B7C5" w:rsidR="00BB1B56" w:rsidRPr="00037C61" w:rsidRDefault="3F413C9B" w:rsidP="00DB74BF">
            <w:pPr>
              <w:numPr>
                <w:ilvl w:val="0"/>
                <w:numId w:val="12"/>
              </w:numPr>
              <w:pBdr>
                <w:top w:val="nil"/>
                <w:left w:val="nil"/>
                <w:bottom w:val="nil"/>
                <w:right w:val="nil"/>
                <w:between w:val="nil"/>
              </w:pBdr>
              <w:spacing w:after="240"/>
              <w:ind w:firstLine="0"/>
              <w:rPr>
                <w:sz w:val="20"/>
                <w:szCs w:val="20"/>
                <w:lang w:val="en-GB"/>
              </w:rPr>
            </w:pPr>
            <w:r w:rsidRPr="00037C61">
              <w:rPr>
                <w:rFonts w:eastAsia="Calibri" w:cs="Calibri"/>
                <w:color w:val="000000" w:themeColor="text1"/>
                <w:sz w:val="20"/>
                <w:szCs w:val="20"/>
                <w:lang w:val="en-GB"/>
              </w:rPr>
              <w:t>The population density is very low in the scattered settlement network of the east region of Bihor and Timiș (part of it because of the terrain conditions - hills and mountains);</w:t>
            </w:r>
            <w:r w:rsidR="00483A96" w:rsidRPr="00037C61">
              <w:rPr>
                <w:rFonts w:eastAsia="Calibri" w:cs="Calibri"/>
                <w:color w:val="000000" w:themeColor="text1"/>
                <w:sz w:val="20"/>
                <w:szCs w:val="20"/>
                <w:lang w:val="en-GB"/>
              </w:rPr>
              <w:t xml:space="preserve"> </w:t>
            </w:r>
          </w:p>
          <w:p w14:paraId="591BA507" w14:textId="07ABC9AB" w:rsidR="00BB1B56" w:rsidRPr="00037C61" w:rsidRDefault="3F413C9B" w:rsidP="00DB74BF">
            <w:pPr>
              <w:numPr>
                <w:ilvl w:val="0"/>
                <w:numId w:val="12"/>
              </w:numPr>
              <w:pBdr>
                <w:top w:val="nil"/>
                <w:left w:val="nil"/>
                <w:bottom w:val="nil"/>
                <w:right w:val="nil"/>
                <w:between w:val="nil"/>
              </w:pBdr>
              <w:spacing w:after="240"/>
              <w:ind w:firstLine="0"/>
              <w:rPr>
                <w:sz w:val="20"/>
                <w:szCs w:val="20"/>
                <w:lang w:val="en-GB"/>
              </w:rPr>
            </w:pPr>
            <w:r w:rsidRPr="00037C61">
              <w:rPr>
                <w:rFonts w:eastAsia="Calibri" w:cs="Calibri"/>
                <w:color w:val="000000" w:themeColor="text1"/>
                <w:sz w:val="20"/>
                <w:szCs w:val="20"/>
                <w:lang w:val="en-GB"/>
              </w:rPr>
              <w:t>As the overall population declines, regions Szabolcs-Szatmár-Bereg and Timiș have a significant rural population increase (Szabolcs-Szatmár-Bereg with 4,503 persons and Timiș with 32,974 persons);</w:t>
            </w:r>
          </w:p>
          <w:p w14:paraId="75F12E42" w14:textId="707FF748" w:rsidR="00BB1B56" w:rsidRPr="00037C61" w:rsidRDefault="3F413C9B" w:rsidP="00DB74BF">
            <w:pPr>
              <w:numPr>
                <w:ilvl w:val="0"/>
                <w:numId w:val="12"/>
              </w:numPr>
              <w:pBdr>
                <w:top w:val="nil"/>
                <w:left w:val="nil"/>
                <w:bottom w:val="nil"/>
                <w:right w:val="nil"/>
                <w:between w:val="nil"/>
              </w:pBdr>
              <w:spacing w:after="240"/>
              <w:ind w:firstLine="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Old age dependency ratio (the ratio of population aged 65 and over to the working age population of 15 to 64 years) has increased in the last six years in all the counties of the PA;</w:t>
            </w:r>
            <w:r w:rsidR="1290DC26" w:rsidRPr="00037C61">
              <w:rPr>
                <w:rFonts w:eastAsia="Calibri" w:cs="Calibri"/>
                <w:color w:val="000000" w:themeColor="text1"/>
                <w:sz w:val="20"/>
                <w:szCs w:val="20"/>
                <w:lang w:val="en-GB"/>
              </w:rPr>
              <w:t xml:space="preserve"> with highest values being regions Békés (33.5%), Csongrád</w:t>
            </w:r>
            <w:r w:rsidR="006E131C" w:rsidRPr="00037C61">
              <w:rPr>
                <w:rFonts w:eastAsia="Calibri" w:cs="Calibri"/>
                <w:color w:val="000000" w:themeColor="text1"/>
                <w:sz w:val="20"/>
                <w:szCs w:val="20"/>
                <w:lang w:val="en-GB"/>
              </w:rPr>
              <w:t>-Csanád</w:t>
            </w:r>
            <w:r w:rsidR="1290DC26" w:rsidRPr="00037C61">
              <w:rPr>
                <w:rFonts w:eastAsia="Calibri" w:cs="Calibri"/>
                <w:color w:val="000000" w:themeColor="text1"/>
                <w:sz w:val="20"/>
                <w:szCs w:val="20"/>
                <w:lang w:val="en-GB"/>
              </w:rPr>
              <w:t xml:space="preserve"> (31.2%), Arad (27.7%) and Hajdú-Bihar (27%)</w:t>
            </w:r>
          </w:p>
          <w:p w14:paraId="0DF94256" w14:textId="7301CC3E" w:rsidR="00BB1B56" w:rsidRPr="00037C61" w:rsidRDefault="00AF0BC7" w:rsidP="00DB74BF">
            <w:pPr>
              <w:numPr>
                <w:ilvl w:val="0"/>
                <w:numId w:val="12"/>
              </w:numPr>
              <w:pBdr>
                <w:top w:val="nil"/>
                <w:left w:val="nil"/>
                <w:bottom w:val="nil"/>
                <w:right w:val="nil"/>
                <w:between w:val="nil"/>
              </w:pBdr>
              <w:ind w:firstLine="0"/>
              <w:rPr>
                <w:rFonts w:eastAsia="Calibri" w:cs="Calibri"/>
                <w:color w:val="000000" w:themeColor="text1"/>
                <w:sz w:val="20"/>
                <w:szCs w:val="20"/>
                <w:lang w:val="en-GB"/>
              </w:rPr>
            </w:pPr>
            <w:r w:rsidRPr="00037C61">
              <w:rPr>
                <w:rFonts w:eastAsia="Calibri" w:cs="Calibri"/>
                <w:color w:val="000000" w:themeColor="text1"/>
                <w:sz w:val="20"/>
                <w:szCs w:val="20"/>
                <w:lang w:val="en-GB"/>
              </w:rPr>
              <w:t xml:space="preserve">Timișoara, Debrecen and Szeged rank in the bottom 25 percentile in the Cultural and Creative Cities ranking 2019, underperforming in sectors such as local and international cultural connections, which could be improved through cooperation. </w:t>
            </w:r>
          </w:p>
        </w:tc>
        <w:tc>
          <w:tcPr>
            <w:tcW w:w="2835" w:type="dxa"/>
          </w:tcPr>
          <w:p w14:paraId="65675B12" w14:textId="270551E6" w:rsidR="00BB1B56" w:rsidRPr="00037C61" w:rsidRDefault="3F413C9B" w:rsidP="00DB74BF">
            <w:pPr>
              <w:numPr>
                <w:ilvl w:val="0"/>
                <w:numId w:val="12"/>
              </w:numPr>
              <w:pBdr>
                <w:top w:val="nil"/>
                <w:left w:val="nil"/>
                <w:bottom w:val="nil"/>
                <w:right w:val="nil"/>
                <w:between w:val="nil"/>
              </w:pBdr>
              <w:spacing w:after="240"/>
              <w:ind w:firstLine="29"/>
              <w:rPr>
                <w:rFonts w:eastAsia="Calibri" w:cs="Calibri"/>
                <w:color w:val="000000" w:themeColor="text1"/>
                <w:sz w:val="20"/>
                <w:szCs w:val="20"/>
                <w:lang w:val="en-GB"/>
              </w:rPr>
            </w:pPr>
            <w:r w:rsidRPr="00037C61">
              <w:rPr>
                <w:rFonts w:eastAsia="Calibri" w:cs="Calibri"/>
                <w:color w:val="000000" w:themeColor="text1"/>
                <w:sz w:val="20"/>
                <w:szCs w:val="20"/>
                <w:lang w:val="en-GB"/>
              </w:rPr>
              <w:lastRenderedPageBreak/>
              <w:t>In 2018 Timiș and Csongrád-Csanád are the only counties with a positive net migration – meaning that the regions due to their attractivity (especially in the urban environment – major cities like Timișoara and Szeged) attracted more people from abroad than the number of emigrants.</w:t>
            </w:r>
          </w:p>
          <w:p w14:paraId="1F434B78" w14:textId="3EAFA38E" w:rsidR="00BB1B56" w:rsidRPr="00067E4D" w:rsidRDefault="3F413C9B" w:rsidP="00DB74BF">
            <w:pPr>
              <w:numPr>
                <w:ilvl w:val="0"/>
                <w:numId w:val="12"/>
              </w:numPr>
              <w:pBdr>
                <w:top w:val="nil"/>
                <w:left w:val="nil"/>
                <w:bottom w:val="nil"/>
                <w:right w:val="nil"/>
                <w:between w:val="nil"/>
              </w:pBdr>
              <w:spacing w:after="240"/>
              <w:ind w:firstLine="29"/>
              <w:rPr>
                <w:rFonts w:eastAsia="Calibri" w:cs="Calibri"/>
                <w:color w:val="000000" w:themeColor="text1"/>
                <w:sz w:val="20"/>
                <w:szCs w:val="20"/>
                <w:lang w:val="en-GB"/>
              </w:rPr>
            </w:pPr>
            <w:r w:rsidRPr="00037C61">
              <w:rPr>
                <w:rFonts w:eastAsia="Calibri" w:cs="Calibri"/>
                <w:color w:val="000000" w:themeColor="text1"/>
                <w:sz w:val="20"/>
                <w:szCs w:val="20"/>
                <w:lang w:val="en-GB"/>
              </w:rPr>
              <w:t xml:space="preserve">The increasing number of </w:t>
            </w:r>
            <w:r w:rsidR="56BCEA84" w:rsidRPr="00037C61">
              <w:rPr>
                <w:rFonts w:eastAsia="Calibri" w:cs="Calibri"/>
                <w:color w:val="000000" w:themeColor="text1"/>
                <w:sz w:val="20"/>
                <w:szCs w:val="20"/>
                <w:lang w:val="en-GB"/>
              </w:rPr>
              <w:t xml:space="preserve">permanent </w:t>
            </w:r>
            <w:r w:rsidRPr="00037C61">
              <w:rPr>
                <w:rFonts w:eastAsia="Calibri" w:cs="Calibri"/>
                <w:color w:val="000000" w:themeColor="text1"/>
                <w:sz w:val="20"/>
                <w:szCs w:val="20"/>
                <w:lang w:val="en-GB"/>
              </w:rPr>
              <w:t>immigrants in the PA (</w:t>
            </w:r>
            <w:r w:rsidR="56BCEA84" w:rsidRPr="00037C61">
              <w:rPr>
                <w:rFonts w:eastAsia="Calibri" w:cs="Calibri"/>
                <w:color w:val="000000" w:themeColor="text1"/>
                <w:sz w:val="20"/>
                <w:szCs w:val="20"/>
                <w:lang w:val="en-GB"/>
              </w:rPr>
              <w:t xml:space="preserve">44,367 </w:t>
            </w:r>
            <w:r w:rsidRPr="00037C61">
              <w:rPr>
                <w:rFonts w:eastAsia="Calibri" w:cs="Calibri"/>
                <w:color w:val="000000" w:themeColor="text1"/>
                <w:sz w:val="20"/>
                <w:szCs w:val="20"/>
                <w:lang w:val="en-GB"/>
              </w:rPr>
              <w:t xml:space="preserve">people in 2018 versus </w:t>
            </w:r>
            <w:r w:rsidR="56BCEA84" w:rsidRPr="00037C61">
              <w:rPr>
                <w:rFonts w:eastAsia="Calibri" w:cs="Calibri"/>
                <w:color w:val="000000" w:themeColor="text1"/>
                <w:sz w:val="20"/>
                <w:szCs w:val="20"/>
                <w:lang w:val="en-GB"/>
              </w:rPr>
              <w:t>35,007 in 2009</w:t>
            </w:r>
            <w:r w:rsidRPr="00037C61">
              <w:rPr>
                <w:rFonts w:eastAsia="Calibri" w:cs="Calibri"/>
                <w:color w:val="000000" w:themeColor="text1"/>
                <w:sz w:val="20"/>
                <w:szCs w:val="20"/>
                <w:lang w:val="en-GB"/>
              </w:rPr>
              <w:t>)</w:t>
            </w:r>
            <w:r w:rsidR="56BCEA84" w:rsidRPr="00037C61">
              <w:rPr>
                <w:rFonts w:eastAsia="Calibri" w:cs="Calibri"/>
                <w:color w:val="000000" w:themeColor="text1"/>
                <w:sz w:val="20"/>
                <w:szCs w:val="20"/>
                <w:lang w:val="en-GB"/>
              </w:rPr>
              <w:t>, even though lower than the emigration number, points to an increased mobility in the region, with the highest values recorded for the Hungarian side (14,439 in Szabolcs-</w:t>
            </w:r>
            <w:r w:rsidR="56BCEA84" w:rsidRPr="00067E4D">
              <w:rPr>
                <w:rFonts w:eastAsia="Calibri" w:cs="Calibri"/>
                <w:color w:val="000000" w:themeColor="text1"/>
                <w:sz w:val="20"/>
                <w:szCs w:val="20"/>
                <w:lang w:val="en-GB"/>
              </w:rPr>
              <w:t>Szatmár-Bereg)</w:t>
            </w:r>
            <w:r w:rsidR="4F0ADC09" w:rsidRPr="00067E4D">
              <w:rPr>
                <w:rFonts w:eastAsia="Calibri" w:cs="Calibri"/>
                <w:color w:val="000000" w:themeColor="text1"/>
                <w:sz w:val="20"/>
                <w:szCs w:val="20"/>
                <w:lang w:val="en-GB"/>
              </w:rPr>
              <w:t>.</w:t>
            </w:r>
            <w:r w:rsidR="56BCEA84" w:rsidRPr="00067E4D">
              <w:rPr>
                <w:rFonts w:eastAsia="Calibri" w:cs="Calibri"/>
                <w:color w:val="000000" w:themeColor="text1"/>
                <w:sz w:val="20"/>
                <w:szCs w:val="20"/>
                <w:lang w:val="en-GB"/>
              </w:rPr>
              <w:t xml:space="preserve"> </w:t>
            </w:r>
          </w:p>
          <w:p w14:paraId="30B29468" w14:textId="40510A09" w:rsidR="00BB1B56" w:rsidRPr="00067E4D" w:rsidRDefault="3F413C9B" w:rsidP="00DB74BF">
            <w:pPr>
              <w:numPr>
                <w:ilvl w:val="0"/>
                <w:numId w:val="12"/>
              </w:numPr>
              <w:pBdr>
                <w:top w:val="nil"/>
                <w:left w:val="nil"/>
                <w:bottom w:val="nil"/>
                <w:right w:val="nil"/>
                <w:between w:val="nil"/>
              </w:pBdr>
              <w:spacing w:after="240"/>
              <w:ind w:firstLine="29"/>
              <w:rPr>
                <w:rFonts w:eastAsia="Calibri" w:cs="Calibri"/>
                <w:color w:val="000000" w:themeColor="text1"/>
                <w:sz w:val="20"/>
                <w:szCs w:val="20"/>
                <w:lang w:val="en-GB"/>
              </w:rPr>
            </w:pPr>
            <w:r w:rsidRPr="00067E4D">
              <w:rPr>
                <w:rFonts w:eastAsia="Calibri" w:cs="Calibri"/>
                <w:color w:val="000000" w:themeColor="text1"/>
                <w:sz w:val="20"/>
                <w:szCs w:val="20"/>
                <w:lang w:val="en-GB"/>
              </w:rPr>
              <w:t xml:space="preserve">Demographic and social services policies that support education inclusion, </w:t>
            </w:r>
            <w:r w:rsidR="00C63F8A" w:rsidRPr="00067E4D">
              <w:rPr>
                <w:rFonts w:eastAsia="Calibri" w:cs="Calibri"/>
                <w:color w:val="000000" w:themeColor="text1"/>
                <w:sz w:val="20"/>
                <w:szCs w:val="20"/>
                <w:lang w:val="en-GB"/>
              </w:rPr>
              <w:t xml:space="preserve">lifelong learning and </w:t>
            </w:r>
            <w:r w:rsidR="7D7AE9D7" w:rsidRPr="00067E4D">
              <w:rPr>
                <w:rFonts w:eastAsia="Calibri" w:cs="Calibri"/>
                <w:color w:val="000000" w:themeColor="text1"/>
                <w:sz w:val="20"/>
                <w:szCs w:val="20"/>
                <w:lang w:val="en-GB"/>
              </w:rPr>
              <w:t>change of career path</w:t>
            </w:r>
            <w:r w:rsidRPr="00067E4D">
              <w:rPr>
                <w:rFonts w:eastAsia="Calibri" w:cs="Calibri"/>
                <w:color w:val="000000" w:themeColor="text1"/>
                <w:sz w:val="20"/>
                <w:szCs w:val="20"/>
                <w:lang w:val="en-GB"/>
              </w:rPr>
              <w:t xml:space="preserve">, childcare represent </w:t>
            </w:r>
            <w:r w:rsidRPr="00067E4D">
              <w:rPr>
                <w:rFonts w:eastAsia="Calibri" w:cs="Calibri"/>
                <w:color w:val="000000" w:themeColor="text1"/>
                <w:sz w:val="20"/>
                <w:szCs w:val="20"/>
                <w:lang w:val="en-GB"/>
              </w:rPr>
              <w:lastRenderedPageBreak/>
              <w:t xml:space="preserve">an opportunity for population growth.  </w:t>
            </w:r>
          </w:p>
          <w:p w14:paraId="15570086" w14:textId="77777777" w:rsidR="00AF0BC7" w:rsidRDefault="00AF0BC7" w:rsidP="00DB74BF">
            <w:pPr>
              <w:numPr>
                <w:ilvl w:val="0"/>
                <w:numId w:val="12"/>
              </w:numPr>
              <w:pBdr>
                <w:top w:val="nil"/>
                <w:left w:val="nil"/>
                <w:bottom w:val="nil"/>
                <w:right w:val="nil"/>
                <w:between w:val="nil"/>
              </w:pBdr>
              <w:spacing w:after="240"/>
              <w:ind w:firstLine="29"/>
              <w:rPr>
                <w:rFonts w:eastAsia="Calibri" w:cs="Calibri"/>
                <w:color w:val="000000" w:themeColor="text1"/>
                <w:sz w:val="20"/>
                <w:szCs w:val="20"/>
                <w:lang w:val="en-GB"/>
              </w:rPr>
            </w:pPr>
            <w:r w:rsidRPr="00067E4D">
              <w:rPr>
                <w:rFonts w:eastAsia="Calibri" w:cs="Calibri"/>
                <w:color w:val="000000" w:themeColor="text1"/>
                <w:sz w:val="20"/>
                <w:szCs w:val="20"/>
                <w:lang w:val="en-GB"/>
              </w:rPr>
              <w:t>Szeged and Oradea</w:t>
            </w:r>
            <w:r w:rsidRPr="00037C61">
              <w:rPr>
                <w:rFonts w:eastAsia="Calibri" w:cs="Calibri"/>
                <w:color w:val="000000" w:themeColor="text1"/>
                <w:sz w:val="20"/>
                <w:szCs w:val="20"/>
                <w:lang w:val="en-GB"/>
              </w:rPr>
              <w:t xml:space="preserve"> (in the future, also Timișoara) are part of the Cultural Route of Réseau Art Nouveau Network, an opportunity to strengthen cultural heritage promotion and valorisation across the border</w:t>
            </w:r>
            <w:r w:rsidR="491F550B" w:rsidRPr="00037C61">
              <w:rPr>
                <w:rFonts w:eastAsia="Calibri" w:cs="Calibri"/>
                <w:color w:val="000000" w:themeColor="text1"/>
                <w:sz w:val="20"/>
                <w:szCs w:val="20"/>
                <w:lang w:val="en-GB"/>
              </w:rPr>
              <w:t>.</w:t>
            </w:r>
            <w:r w:rsidRPr="00037C61">
              <w:rPr>
                <w:rFonts w:eastAsia="Calibri" w:cs="Calibri"/>
                <w:color w:val="000000" w:themeColor="text1"/>
                <w:sz w:val="20"/>
                <w:szCs w:val="20"/>
                <w:lang w:val="en-GB"/>
              </w:rPr>
              <w:t xml:space="preserve"> </w:t>
            </w:r>
          </w:p>
          <w:p w14:paraId="5967B7AC" w14:textId="77777777" w:rsidR="00C503BF" w:rsidRDefault="00BE24A9" w:rsidP="00DB74BF">
            <w:pPr>
              <w:numPr>
                <w:ilvl w:val="0"/>
                <w:numId w:val="12"/>
              </w:numPr>
              <w:pBdr>
                <w:top w:val="nil"/>
                <w:left w:val="nil"/>
                <w:bottom w:val="nil"/>
                <w:right w:val="nil"/>
                <w:between w:val="nil"/>
              </w:pBdr>
              <w:spacing w:after="240"/>
              <w:ind w:firstLine="29"/>
              <w:rPr>
                <w:rFonts w:eastAsia="Calibri" w:cs="Calibri"/>
                <w:color w:val="000000" w:themeColor="text1"/>
                <w:sz w:val="20"/>
                <w:szCs w:val="20"/>
                <w:lang w:val="en-GB"/>
              </w:rPr>
            </w:pPr>
            <w:r>
              <w:rPr>
                <w:rFonts w:eastAsia="Calibri" w:cs="Calibri"/>
                <w:color w:val="000000" w:themeColor="text1"/>
                <w:sz w:val="20"/>
                <w:szCs w:val="20"/>
                <w:lang w:val="en-GB"/>
              </w:rPr>
              <w:t xml:space="preserve">Opportunities for cooperation of cross-border clusters and cultural hubs; </w:t>
            </w:r>
          </w:p>
          <w:p w14:paraId="7F00D3AA" w14:textId="1D37B5BD" w:rsidR="00BE24A9" w:rsidRPr="00037C61" w:rsidRDefault="00BE24A9" w:rsidP="00DB74BF">
            <w:pPr>
              <w:numPr>
                <w:ilvl w:val="0"/>
                <w:numId w:val="12"/>
              </w:numPr>
              <w:pBdr>
                <w:top w:val="nil"/>
                <w:left w:val="nil"/>
                <w:bottom w:val="nil"/>
                <w:right w:val="nil"/>
                <w:between w:val="nil"/>
              </w:pBdr>
              <w:spacing w:after="240"/>
              <w:ind w:firstLine="29"/>
              <w:rPr>
                <w:rFonts w:eastAsia="Calibri" w:cs="Calibri"/>
                <w:color w:val="000000" w:themeColor="text1"/>
                <w:sz w:val="20"/>
                <w:szCs w:val="20"/>
                <w:lang w:val="en-GB"/>
              </w:rPr>
            </w:pPr>
            <w:r>
              <w:rPr>
                <w:rFonts w:eastAsia="Calibri" w:cs="Calibri"/>
                <w:color w:val="000000" w:themeColor="text1"/>
                <w:sz w:val="20"/>
                <w:szCs w:val="20"/>
                <w:lang w:val="en-GB"/>
              </w:rPr>
              <w:t>New technologies have the potential to aid preservation and valorisation of intangible heritage elements,</w:t>
            </w:r>
            <w:r w:rsidRPr="00BE24A9">
              <w:rPr>
                <w:rFonts w:eastAsia="Calibri" w:cs="Calibri"/>
                <w:color w:val="000000" w:themeColor="text1"/>
                <w:sz w:val="20"/>
                <w:szCs w:val="20"/>
                <w:lang w:val="en-GB"/>
              </w:rPr>
              <w:t xml:space="preserve"> their attractive and interactive interpretation</w:t>
            </w:r>
            <w:r>
              <w:rPr>
                <w:rFonts w:eastAsia="Calibri" w:cs="Calibri"/>
                <w:color w:val="000000" w:themeColor="text1"/>
                <w:sz w:val="20"/>
                <w:szCs w:val="20"/>
                <w:lang w:val="en-GB"/>
              </w:rPr>
              <w:t xml:space="preserve">, and this can be supported through cooperation </w:t>
            </w:r>
          </w:p>
        </w:tc>
        <w:tc>
          <w:tcPr>
            <w:tcW w:w="2693" w:type="dxa"/>
          </w:tcPr>
          <w:p w14:paraId="5DC51592" w14:textId="0A098450" w:rsidR="00BB1B56" w:rsidRPr="00037C61" w:rsidRDefault="3F413C9B" w:rsidP="00A843F0">
            <w:pPr>
              <w:numPr>
                <w:ilvl w:val="0"/>
                <w:numId w:val="12"/>
              </w:numPr>
              <w:pBdr>
                <w:top w:val="nil"/>
                <w:left w:val="nil"/>
                <w:bottom w:val="nil"/>
                <w:right w:val="nil"/>
                <w:between w:val="nil"/>
              </w:pBdr>
              <w:spacing w:after="240"/>
              <w:ind w:left="36" w:firstLine="0"/>
              <w:rPr>
                <w:rFonts w:eastAsia="Calibri" w:cs="Calibri"/>
                <w:color w:val="000000" w:themeColor="text1"/>
                <w:sz w:val="20"/>
                <w:szCs w:val="20"/>
                <w:lang w:val="en-GB"/>
              </w:rPr>
            </w:pPr>
            <w:r w:rsidRPr="00037C61">
              <w:rPr>
                <w:rFonts w:eastAsia="Calibri" w:cs="Calibri"/>
                <w:color w:val="000000" w:themeColor="text1"/>
                <w:sz w:val="20"/>
                <w:szCs w:val="20"/>
                <w:lang w:val="en-GB"/>
              </w:rPr>
              <w:lastRenderedPageBreak/>
              <w:t>Due to better work opportunities and higher payment in other European countries, seven out of the eight counties of the PA have been identified as areas of population shrinkage. The net permanent migration rate is negative (2009-2018), which indicates a low attractiveness of the PA in European context;</w:t>
            </w:r>
          </w:p>
          <w:p w14:paraId="04B6D740" w14:textId="44DDF360" w:rsidR="3F413C9B" w:rsidRPr="00037C61" w:rsidRDefault="3F413C9B" w:rsidP="00DB74BF">
            <w:pPr>
              <w:numPr>
                <w:ilvl w:val="0"/>
                <w:numId w:val="12"/>
              </w:numPr>
              <w:spacing w:after="240"/>
              <w:ind w:left="36" w:firstLine="0"/>
              <w:rPr>
                <w:rFonts w:eastAsia="Calibri" w:cs="Calibri"/>
                <w:color w:val="000000" w:themeColor="text1"/>
                <w:sz w:val="20"/>
                <w:szCs w:val="20"/>
                <w:lang w:val="en-GB"/>
              </w:rPr>
            </w:pPr>
            <w:r w:rsidRPr="00037C61">
              <w:rPr>
                <w:rFonts w:eastAsia="Calibri" w:cs="Calibri"/>
                <w:color w:val="000000" w:themeColor="text1"/>
                <w:sz w:val="20"/>
                <w:szCs w:val="20"/>
                <w:lang w:val="en-GB"/>
              </w:rPr>
              <w:t>In perspective, significant population loss is expected throughout the area until 2032 (ESPON ESCAPE), most notably in Békés and Szabolcs-Szatmár-Bereg, the more rural counties on the Hungarian side – besides natural growth trends, the population loss is also due to external migration and abandonment of rural settlements (due to the lack of public functions/utilities and jobs);</w:t>
            </w:r>
          </w:p>
          <w:p w14:paraId="1174CD42" w14:textId="77777777" w:rsidR="006D488B" w:rsidRPr="00037C61" w:rsidRDefault="006D488B" w:rsidP="00DB74BF">
            <w:pPr>
              <w:numPr>
                <w:ilvl w:val="0"/>
                <w:numId w:val="12"/>
              </w:numPr>
              <w:spacing w:after="240"/>
              <w:ind w:left="36" w:firstLine="0"/>
              <w:rPr>
                <w:rFonts w:eastAsia="Calibri" w:cs="Calibri"/>
                <w:color w:val="000000" w:themeColor="text1"/>
                <w:sz w:val="20"/>
                <w:szCs w:val="20"/>
                <w:lang w:val="en-GB"/>
              </w:rPr>
            </w:pPr>
            <w:r w:rsidRPr="00037C61">
              <w:rPr>
                <w:rFonts w:eastAsia="Calibri" w:cs="Calibri"/>
                <w:color w:val="000000" w:themeColor="text1"/>
                <w:sz w:val="20"/>
                <w:szCs w:val="20"/>
                <w:lang w:val="en-GB"/>
              </w:rPr>
              <w:lastRenderedPageBreak/>
              <w:t>The regions: Szabolcs-Szatmár-Bereg, Bihor, Satu Mare, and especially Timiș confront a peri-urbanization phenomenon (rural population is increasing while the urban population is decreasing). All regions that have negative rates in population evolution, rural population is decreasing at a slower level (exception region Békés). This type of development can result in urban sprawl extensions of the cities, territorial fragmentation, conversion of agricultural land, existing transport infrastructure overload.</w:t>
            </w:r>
          </w:p>
          <w:p w14:paraId="3C196164" w14:textId="03E6C3DC" w:rsidR="00BB1B56" w:rsidRPr="00037C61" w:rsidRDefault="00BB1B56" w:rsidP="00DB74BF">
            <w:pPr>
              <w:pBdr>
                <w:top w:val="nil"/>
                <w:left w:val="nil"/>
                <w:bottom w:val="nil"/>
                <w:right w:val="nil"/>
                <w:between w:val="nil"/>
              </w:pBdr>
              <w:spacing w:after="240"/>
              <w:ind w:left="-54"/>
              <w:rPr>
                <w:rFonts w:eastAsia="Calibri" w:cs="Calibri"/>
                <w:color w:val="000000" w:themeColor="text1"/>
                <w:sz w:val="20"/>
                <w:szCs w:val="20"/>
                <w:lang w:val="en-GB"/>
              </w:rPr>
            </w:pPr>
          </w:p>
        </w:tc>
      </w:tr>
      <w:bookmarkEnd w:id="181"/>
    </w:tbl>
    <w:p w14:paraId="3894049F" w14:textId="77777777" w:rsidR="00BB1B56" w:rsidRPr="00037C61" w:rsidRDefault="00BB1B56" w:rsidP="00921D9C">
      <w:pPr>
        <w:pStyle w:val="InterregROHUBullet1"/>
        <w:numPr>
          <w:ilvl w:val="0"/>
          <w:numId w:val="0"/>
        </w:numPr>
        <w:rPr>
          <w:rFonts w:cstheme="minorBidi"/>
          <w:bCs w:val="0"/>
          <w:i/>
          <w:iCs/>
          <w:color w:val="012751" w:themeColor="text2"/>
          <w:sz w:val="18"/>
          <w:szCs w:val="18"/>
        </w:rPr>
        <w:sectPr w:rsidR="00BB1B56" w:rsidRPr="00037C61" w:rsidSect="00BB1B56">
          <w:headerReference w:type="default" r:id="rId93"/>
          <w:footerReference w:type="first" r:id="rId94"/>
          <w:pgSz w:w="16838" w:h="11906" w:orient="landscape"/>
          <w:pgMar w:top="1440" w:right="1713" w:bottom="1440" w:left="1440" w:header="708" w:footer="828" w:gutter="0"/>
          <w:cols w:space="708"/>
          <w:docGrid w:linePitch="360"/>
        </w:sectPr>
      </w:pPr>
    </w:p>
    <w:p w14:paraId="2C078E5F" w14:textId="3180A94D" w:rsidR="00921D9C" w:rsidRPr="00037C61" w:rsidRDefault="1C774ED0" w:rsidP="00BB1B56">
      <w:pPr>
        <w:pStyle w:val="Heading2"/>
      </w:pPr>
      <w:bookmarkStart w:id="182" w:name="_Toc53137184"/>
      <w:bookmarkStart w:id="183" w:name="_Toc50723316"/>
      <w:bookmarkStart w:id="184" w:name="_Toc64619525"/>
      <w:r w:rsidRPr="00037C61">
        <w:lastRenderedPageBreak/>
        <w:t>Human capital</w:t>
      </w:r>
      <w:bookmarkEnd w:id="182"/>
      <w:bookmarkEnd w:id="183"/>
      <w:r w:rsidR="0039677C" w:rsidRPr="00037C61">
        <w:t xml:space="preserve">, education, health and </w:t>
      </w:r>
      <w:r w:rsidR="004C3748" w:rsidRPr="00037C61">
        <w:t>social services</w:t>
      </w:r>
      <w:bookmarkEnd w:id="184"/>
      <w:r w:rsidR="004C3748" w:rsidRPr="00037C61">
        <w:t xml:space="preserve"> </w:t>
      </w:r>
    </w:p>
    <w:p w14:paraId="13A1DD29" w14:textId="145F1119" w:rsidR="009472AC" w:rsidRPr="00037C61" w:rsidRDefault="0039677C" w:rsidP="0039677C">
      <w:pPr>
        <w:rPr>
          <w:lang w:val="en-GB"/>
        </w:rPr>
      </w:pPr>
      <w:r w:rsidRPr="00037C61">
        <w:rPr>
          <w:lang w:val="en-GB"/>
        </w:rPr>
        <w:t xml:space="preserve">This chapter </w:t>
      </w:r>
      <w:r w:rsidR="0045196C" w:rsidRPr="00037C61">
        <w:rPr>
          <w:lang w:val="en-GB"/>
        </w:rPr>
        <w:t>analyses the education indicators in the programme area, looking at territorial particularities and disparities in the participation in education by ISCED categories, number of graduates, population in tertiary education, average number of pupils to a school teacher by ISCED categories. It further provides insights into the state of development of health and social services and infrastructures</w:t>
      </w:r>
      <w:r w:rsidR="009472AC" w:rsidRPr="00037C61">
        <w:rPr>
          <w:lang w:val="en-GB"/>
        </w:rPr>
        <w:t xml:space="preserve">, and the spatial distribution of the most important infrastructures at PA level. The distribution and characterisation of marginalized, disadvantaged and at-risk of social exclusion areas is also provided, albeit definitions in Romania and Hungary for their delineation differ. </w:t>
      </w:r>
    </w:p>
    <w:p w14:paraId="1B24EB07" w14:textId="7808633D" w:rsidR="009472AC" w:rsidRPr="00037C61" w:rsidRDefault="009472AC" w:rsidP="005E0849">
      <w:pPr>
        <w:rPr>
          <w:b/>
          <w:bCs/>
          <w:lang w:val="en-GB"/>
        </w:rPr>
      </w:pPr>
      <w:r w:rsidRPr="00037C61">
        <w:rPr>
          <w:lang w:val="en-GB"/>
        </w:rPr>
        <w:t xml:space="preserve">Lastly, Chapter 2.2 analyses the labour resources in the eight counties included in the programme area, their distribution across sectors, and provides insights into key performance metrics such as unemployment, before summarizing the findings in conclusions and a SWOT analysis.  </w:t>
      </w:r>
    </w:p>
    <w:p w14:paraId="5F7162A7" w14:textId="0839B93F" w:rsidR="00A0707B" w:rsidRPr="00037C61" w:rsidRDefault="76158E8F" w:rsidP="009027CD">
      <w:pPr>
        <w:pStyle w:val="Heading3"/>
      </w:pPr>
      <w:bookmarkStart w:id="185" w:name="_Toc49841970"/>
      <w:r w:rsidRPr="00037C61">
        <w:t xml:space="preserve"> </w:t>
      </w:r>
      <w:bookmarkStart w:id="186" w:name="_Toc64619526"/>
      <w:r w:rsidRPr="00037C61">
        <w:t>Education</w:t>
      </w:r>
      <w:bookmarkStart w:id="187" w:name="_Toc50723317"/>
      <w:bookmarkStart w:id="188" w:name="_Toc53137185"/>
      <w:bookmarkEnd w:id="185"/>
      <w:bookmarkEnd w:id="186"/>
      <w:bookmarkEnd w:id="187"/>
      <w:bookmarkEnd w:id="188"/>
    </w:p>
    <w:p w14:paraId="0D50990C" w14:textId="54BF22C2" w:rsidR="00457F32" w:rsidRPr="00037C61" w:rsidRDefault="52230E0C" w:rsidP="00A0707B">
      <w:pPr>
        <w:pStyle w:val="InterregROHUBullet1"/>
        <w:numPr>
          <w:ilvl w:val="0"/>
          <w:numId w:val="0"/>
        </w:numPr>
      </w:pPr>
      <w:r w:rsidRPr="00037C61">
        <w:t>Education indicators</w:t>
      </w:r>
      <w:r w:rsidR="7121A9E0" w:rsidRPr="00037C61">
        <w:t xml:space="preserve"> </w:t>
      </w:r>
      <w:r w:rsidRPr="00037C61">
        <w:t xml:space="preserve">show some disparities between counties from the </w:t>
      </w:r>
      <w:r w:rsidR="005171E7" w:rsidRPr="00037C61">
        <w:t>programme area</w:t>
      </w:r>
      <w:r w:rsidRPr="00037C61">
        <w:t xml:space="preserve">. The counties from the PA with highest population enrolled in tertiary education are those with universities that are recognized at national level </w:t>
      </w:r>
      <w:r w:rsidR="00F37B43" w:rsidRPr="00037C61">
        <w:t xml:space="preserve">in Romania – </w:t>
      </w:r>
      <w:r w:rsidRPr="00037C61">
        <w:t>Timiș</w:t>
      </w:r>
      <w:r w:rsidR="00F37B43" w:rsidRPr="00037C61">
        <w:t xml:space="preserve"> (32.2%)</w:t>
      </w:r>
      <w:r w:rsidRPr="00037C61">
        <w:t xml:space="preserve">, Bihor </w:t>
      </w:r>
      <w:r w:rsidR="00F37B43" w:rsidRPr="00037C61">
        <w:t>(16.4%)</w:t>
      </w:r>
      <w:r w:rsidR="004B7868">
        <w:t xml:space="preserve"> </w:t>
      </w:r>
      <w:r w:rsidRPr="00037C61">
        <w:t>and Arad</w:t>
      </w:r>
      <w:r w:rsidR="00F37B43" w:rsidRPr="00037C61">
        <w:t xml:space="preserve"> (14.2%), and in Hungary – Csongrád</w:t>
      </w:r>
      <w:r w:rsidR="00F37B43" w:rsidRPr="004B7868">
        <w:t xml:space="preserve">-Csanád (11.4%) and </w:t>
      </w:r>
      <w:r w:rsidR="00F37B43" w:rsidRPr="00DB74BF">
        <w:rPr>
          <w:color w:val="000000"/>
        </w:rPr>
        <w:t>Hajdú-Bihar (10.4%).</w:t>
      </w:r>
    </w:p>
    <w:p w14:paraId="77D77B58" w14:textId="28813DE3" w:rsidR="0045196C" w:rsidRPr="00037C61" w:rsidRDefault="009472AC" w:rsidP="48589249">
      <w:pPr>
        <w:pStyle w:val="InterregROHUBullet1"/>
      </w:pPr>
      <w:r w:rsidRPr="00037C61">
        <w:rPr>
          <w:bCs w:val="0"/>
          <w:noProof/>
          <w:lang w:val="ro-RO" w:eastAsia="ro-RO"/>
        </w:rPr>
        <mc:AlternateContent>
          <mc:Choice Requires="wps">
            <w:drawing>
              <wp:anchor distT="0" distB="0" distL="114300" distR="114300" simplePos="0" relativeHeight="251641344" behindDoc="0" locked="0" layoutInCell="1" allowOverlap="1" wp14:anchorId="6103D24C" wp14:editId="7124C3DE">
                <wp:simplePos x="0" y="0"/>
                <wp:positionH relativeFrom="column">
                  <wp:posOffset>2811780</wp:posOffset>
                </wp:positionH>
                <wp:positionV relativeFrom="paragraph">
                  <wp:posOffset>3155315</wp:posOffset>
                </wp:positionV>
                <wp:extent cx="3028950" cy="635"/>
                <wp:effectExtent l="0" t="0" r="0" b="0"/>
                <wp:wrapSquare wrapText="bothSides"/>
                <wp:docPr id="1490160169" name="Text Box 1490160169"/>
                <wp:cNvGraphicFramePr/>
                <a:graphic xmlns:a="http://schemas.openxmlformats.org/drawingml/2006/main">
                  <a:graphicData uri="http://schemas.microsoft.com/office/word/2010/wordprocessingShape">
                    <wps:wsp>
                      <wps:cNvSpPr txBox="1"/>
                      <wps:spPr>
                        <a:xfrm>
                          <a:off x="0" y="0"/>
                          <a:ext cx="3028950" cy="635"/>
                        </a:xfrm>
                        <a:prstGeom prst="rect">
                          <a:avLst/>
                        </a:prstGeom>
                        <a:solidFill>
                          <a:prstClr val="white"/>
                        </a:solidFill>
                        <a:ln>
                          <a:noFill/>
                        </a:ln>
                      </wps:spPr>
                      <wps:txbx>
                        <w:txbxContent>
                          <w:p w14:paraId="43FBD1F5" w14:textId="039FA5EC" w:rsidR="00944B4A" w:rsidRPr="005E0849" w:rsidRDefault="00944B4A" w:rsidP="005E0849">
                            <w:pPr>
                              <w:pStyle w:val="Caption"/>
                              <w:jc w:val="left"/>
                              <w:rPr>
                                <w:lang w:val="en-GB"/>
                              </w:rPr>
                            </w:pPr>
                            <w:bookmarkStart w:id="189" w:name="_Toc64610983"/>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34</w:t>
                            </w:r>
                            <w:r>
                              <w:rPr>
                                <w:lang w:val="en-GB"/>
                              </w:rPr>
                              <w:fldChar w:fldCharType="end"/>
                            </w:r>
                            <w:r w:rsidRPr="005E0849">
                              <w:rPr>
                                <w:lang w:val="en-GB"/>
                              </w:rPr>
                              <w:t xml:space="preserve"> - Share distribution of university students out of total enrolment across the PA, 2018</w:t>
                            </w:r>
                            <w:bookmarkEnd w:id="189"/>
                          </w:p>
                          <w:p w14:paraId="143EECE4" w14:textId="5017D17F" w:rsidR="00944B4A" w:rsidRPr="005E0849" w:rsidRDefault="00944B4A" w:rsidP="005E0849">
                            <w:pPr>
                              <w:jc w:val="left"/>
                              <w:rPr>
                                <w:i/>
                                <w:iCs/>
                                <w:color w:val="012751" w:themeColor="text2"/>
                                <w:sz w:val="18"/>
                                <w:szCs w:val="18"/>
                              </w:rPr>
                            </w:pPr>
                            <w:r w:rsidRPr="005E0849">
                              <w:rPr>
                                <w:i/>
                                <w:iCs/>
                                <w:color w:val="012751" w:themeColor="text2"/>
                                <w:sz w:val="18"/>
                                <w:szCs w:val="18"/>
                              </w:rPr>
                              <w:t>Source: KSH, INS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03D24C" id="Text Box 1490160169" o:spid="_x0000_s1027" type="#_x0000_t202" style="position:absolute;left:0;text-align:left;margin-left:221.4pt;margin-top:248.45pt;width:238.5pt;height:.0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" stroked="f">
                <v:textbox style="mso-fit-shape-to-text:t" inset="0,0,0,0">
                  <w:txbxContent>
                    <w:p w14:paraId="43FBD1F5" w14:textId="039FA5EC" w:rsidR="00944B4A" w:rsidRPr="005E0849" w:rsidRDefault="00944B4A" w:rsidP="005E0849">
                      <w:pPr>
                        <w:pStyle w:val="Didascalia"/>
                        <w:jc w:val="left"/>
                        <w:rPr>
                          <w:lang w:val="en-GB"/>
                        </w:rPr>
                      </w:pPr>
                      <w:bookmarkStart w:id="208" w:name="_Toc64610983"/>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34</w:t>
                      </w:r>
                      <w:r>
                        <w:rPr>
                          <w:lang w:val="en-GB"/>
                        </w:rPr>
                        <w:fldChar w:fldCharType="end"/>
                      </w:r>
                      <w:r w:rsidRPr="005E0849">
                        <w:rPr>
                          <w:lang w:val="en-GB"/>
                        </w:rPr>
                        <w:t xml:space="preserve"> - Share distribution of university students out of total enrolment across the PA, 2018</w:t>
                      </w:r>
                      <w:bookmarkEnd w:id="208"/>
                    </w:p>
                    <w:p w14:paraId="143EECE4" w14:textId="5017D17F" w:rsidR="00944B4A" w:rsidRPr="005E0849" w:rsidRDefault="00944B4A" w:rsidP="005E0849">
                      <w:pPr>
                        <w:jc w:val="left"/>
                        <w:rPr>
                          <w:i/>
                          <w:iCs/>
                          <w:color w:val="012751" w:themeColor="text2"/>
                          <w:sz w:val="18"/>
                          <w:szCs w:val="18"/>
                        </w:rPr>
                      </w:pPr>
                      <w:r w:rsidRPr="005E0849">
                        <w:rPr>
                          <w:i/>
                          <w:iCs/>
                          <w:color w:val="012751" w:themeColor="text2"/>
                          <w:sz w:val="18"/>
                          <w:szCs w:val="18"/>
                        </w:rPr>
                        <w:t>Source: KSH, INS</w:t>
                      </w:r>
                    </w:p>
                  </w:txbxContent>
                </v:textbox>
                <w10:wrap type="square"/>
              </v:shape>
            </w:pict>
          </mc:Fallback>
        </mc:AlternateContent>
      </w:r>
      <w:r w:rsidR="008626B5" w:rsidRPr="00037C61">
        <w:rPr>
          <w:bCs w:val="0"/>
          <w:noProof/>
          <w:lang w:val="ro-RO" w:eastAsia="ro-RO"/>
        </w:rPr>
        <w:drawing>
          <wp:anchor distT="0" distB="0" distL="114300" distR="114300" simplePos="0" relativeHeight="251640320" behindDoc="0" locked="0" layoutInCell="1" allowOverlap="1" wp14:anchorId="55DADCAB" wp14:editId="2A7B2285">
            <wp:simplePos x="0" y="0"/>
            <wp:positionH relativeFrom="column">
              <wp:posOffset>2811780</wp:posOffset>
            </wp:positionH>
            <wp:positionV relativeFrom="paragraph">
              <wp:posOffset>8255</wp:posOffset>
            </wp:positionV>
            <wp:extent cx="3028950" cy="3089910"/>
            <wp:effectExtent l="19050" t="19050" r="19050" b="15240"/>
            <wp:wrapSquare wrapText="bothSides"/>
            <wp:docPr id="1490160168" name="Chart 149016016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418666-98C2-4CB7-8FC4-28B26AE659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anchor>
        </w:drawing>
      </w:r>
      <w:r w:rsidR="0039677C" w:rsidRPr="00037C61">
        <w:t xml:space="preserve">In what concerns </w:t>
      </w:r>
      <w:r w:rsidR="008626B5" w:rsidRPr="00037C61">
        <w:rPr>
          <w:b/>
        </w:rPr>
        <w:t>tertiary education</w:t>
      </w:r>
      <w:r w:rsidR="0039677C" w:rsidRPr="00037C61">
        <w:t>,</w:t>
      </w:r>
      <w:r w:rsidRPr="00037C61">
        <w:t xml:space="preserve"> in 2018, there were 99,050 students registered</w:t>
      </w:r>
      <w:r w:rsidR="7DCBC058" w:rsidRPr="00037C61">
        <w:rPr>
          <w:rFonts w:eastAsia="Calibri" w:cs="Calibri"/>
          <w:b/>
        </w:rPr>
        <w:t xml:space="preserve"> Number of pupils per teacher</w:t>
      </w:r>
      <w:r w:rsidR="7DCBC058" w:rsidRPr="00037C61">
        <w:rPr>
          <w:rFonts w:eastAsia="Calibri" w:cs="Calibri"/>
        </w:rPr>
        <w:t xml:space="preserve"> is</w:t>
      </w:r>
      <w:r w:rsidRPr="00037C61">
        <w:t xml:space="preserve"> in the PA, of which 67,720 (68.4%) in the Romanian counties.</w:t>
      </w:r>
      <w:r w:rsidR="0039677C" w:rsidRPr="00037C61">
        <w:t xml:space="preserve"> </w:t>
      </w:r>
      <w:r w:rsidR="76158E8F" w:rsidRPr="00037C61">
        <w:rPr>
          <w:b/>
        </w:rPr>
        <w:t>Timiș</w:t>
      </w:r>
      <w:r w:rsidR="76158E8F" w:rsidRPr="00037C61">
        <w:t xml:space="preserve"> has two of the biggest Romanian universities </w:t>
      </w:r>
      <w:r w:rsidR="008626B5" w:rsidRPr="00037C61">
        <w:t>(</w:t>
      </w:r>
      <w:r w:rsidR="76158E8F" w:rsidRPr="00037C61">
        <w:t>West University and Polytechnic University</w:t>
      </w:r>
      <w:r w:rsidR="008626B5" w:rsidRPr="00037C61">
        <w:t xml:space="preserve">) and </w:t>
      </w:r>
      <w:r w:rsidR="008626B5" w:rsidRPr="00037C61">
        <w:rPr>
          <w:b/>
        </w:rPr>
        <w:t xml:space="preserve">hosts over 40% of the total </w:t>
      </w:r>
      <w:r w:rsidR="00AB288E" w:rsidRPr="00037C61">
        <w:rPr>
          <w:b/>
        </w:rPr>
        <w:t xml:space="preserve">PA </w:t>
      </w:r>
      <w:r w:rsidR="76158E8F" w:rsidRPr="00037C61">
        <w:rPr>
          <w:b/>
        </w:rPr>
        <w:t>population enrolled in tertiary education institutions</w:t>
      </w:r>
      <w:r w:rsidR="008626B5" w:rsidRPr="00037C61">
        <w:t xml:space="preserve"> (41,379 students in 2018)</w:t>
      </w:r>
      <w:r w:rsidR="76158E8F" w:rsidRPr="00037C61">
        <w:t>.</w:t>
      </w:r>
      <w:r w:rsidR="008626B5" w:rsidRPr="00037C61">
        <w:t>)</w:t>
      </w:r>
      <w:r w:rsidR="76158E8F" w:rsidRPr="00037C61">
        <w:t xml:space="preserve"> </w:t>
      </w:r>
      <w:r w:rsidR="008626B5" w:rsidRPr="00037C61">
        <w:t>Timiș is followed by Bihor (</w:t>
      </w:r>
      <w:r w:rsidR="76158E8F" w:rsidRPr="00037C61">
        <w:t>16.4%</w:t>
      </w:r>
      <w:r w:rsidR="008626B5" w:rsidRPr="00037C61">
        <w:t>)</w:t>
      </w:r>
      <w:r w:rsidRPr="00037C61">
        <w:t xml:space="preserve"> and Hajdu-Bihar (10%). </w:t>
      </w:r>
    </w:p>
    <w:p w14:paraId="79B7D68C" w14:textId="6FF64397" w:rsidR="008626B5" w:rsidRPr="00037C61" w:rsidRDefault="0045196C" w:rsidP="00A0707B">
      <w:pPr>
        <w:pStyle w:val="InterregROHUBullet1"/>
        <w:numPr>
          <w:ilvl w:val="0"/>
          <w:numId w:val="0"/>
        </w:numPr>
      </w:pPr>
      <w:r w:rsidRPr="00037C61">
        <w:t xml:space="preserve">However, because of the declining demographic trends illustrated in Chapter 2.1, enrolled population has been </w:t>
      </w:r>
      <w:r w:rsidRPr="00037C61">
        <w:rPr>
          <w:b/>
          <w:bCs w:val="0"/>
        </w:rPr>
        <w:t>consistently declining</w:t>
      </w:r>
      <w:r w:rsidRPr="00037C61">
        <w:t xml:space="preserve"> in the last years. Between 2014-2018, student population has been declining with a quarter (25.09%) in Arad, followed by Satu Mare (-21.21%), Békés (19.55%), Szabolcs-Szatmár-Bereg (-16.30%) and Hajdu-Bihar (-15.65%). Bihor (-1.21%) and Timiș (3.53%) have been relatively constant. </w:t>
      </w:r>
    </w:p>
    <w:p w14:paraId="1259432C" w14:textId="366204C8" w:rsidR="002B176F" w:rsidRPr="00037C61" w:rsidRDefault="76158E8F" w:rsidP="00A0707B">
      <w:pPr>
        <w:pStyle w:val="InterregROHUBullet1"/>
        <w:numPr>
          <w:ilvl w:val="0"/>
          <w:numId w:val="0"/>
        </w:numPr>
        <w:sectPr w:rsidR="002B176F" w:rsidRPr="00037C61" w:rsidSect="009E4103">
          <w:headerReference w:type="default" r:id="rId96"/>
          <w:footerReference w:type="first" r:id="rId97"/>
          <w:pgSz w:w="11906" w:h="16838"/>
          <w:pgMar w:top="1713" w:right="1440" w:bottom="1440" w:left="1440" w:header="708" w:footer="828" w:gutter="0"/>
          <w:cols w:space="708"/>
          <w:docGrid w:linePitch="360"/>
        </w:sectPr>
      </w:pPr>
      <w:r w:rsidRPr="00037C61">
        <w:t xml:space="preserve">In the programming area, there are a total of </w:t>
      </w:r>
      <w:r w:rsidRPr="00037C61">
        <w:rPr>
          <w:b/>
        </w:rPr>
        <w:t>9 public institutions of higher education</w:t>
      </w:r>
      <w:r w:rsidRPr="00037C61">
        <w:t xml:space="preserve">, 6 in Romania and 3 in Hungary </w:t>
      </w:r>
      <w:r w:rsidRPr="00037C61">
        <w:rPr>
          <w:rFonts w:eastAsia="Calibri" w:cs="Calibri"/>
        </w:rPr>
        <w:t xml:space="preserve">(Table </w:t>
      </w:r>
      <w:r w:rsidR="11E0AD37" w:rsidRPr="00037C61">
        <w:rPr>
          <w:rFonts w:eastAsia="Calibri" w:cs="Calibri"/>
        </w:rPr>
        <w:t>6</w:t>
      </w:r>
      <w:r w:rsidRPr="00037C61">
        <w:rPr>
          <w:rFonts w:eastAsia="Calibri" w:cs="Calibri"/>
        </w:rPr>
        <w:t>)</w:t>
      </w:r>
      <w:r w:rsidR="00185F32" w:rsidRPr="00037C61">
        <w:rPr>
          <w:rFonts w:eastAsia="Calibri" w:cs="Calibri"/>
        </w:rPr>
        <w:t>.</w:t>
      </w:r>
      <w:r w:rsidRPr="00037C61">
        <w:rPr>
          <w:rFonts w:eastAsia="Calibri" w:cs="Calibri"/>
        </w:rPr>
        <w:t xml:space="preserve"> In addition, Babe</w:t>
      </w:r>
      <w:r w:rsidR="07EFB407" w:rsidRPr="00037C61">
        <w:rPr>
          <w:rFonts w:eastAsia="Calibri" w:cs="Calibri"/>
        </w:rPr>
        <w:t>ș</w:t>
      </w:r>
      <w:r w:rsidRPr="00037C61">
        <w:rPr>
          <w:rFonts w:eastAsia="Calibri" w:cs="Calibri"/>
        </w:rPr>
        <w:t xml:space="preserve"> Bolyai University Cluj Napoca and Technical University Cluj Napoca have branches in Satu Mare</w:t>
      </w:r>
      <w:r w:rsidR="004B7868">
        <w:t>, whereas the University of Debrecen has a branch in Nyíregyháza (Faculty of Health).</w:t>
      </w:r>
    </w:p>
    <w:p w14:paraId="4FFE622B" w14:textId="695E2EE4" w:rsidR="00185F32" w:rsidRPr="00037C61" w:rsidRDefault="00185F32" w:rsidP="005E0849">
      <w:pPr>
        <w:pStyle w:val="Caption"/>
        <w:keepNext/>
        <w:jc w:val="left"/>
        <w:rPr>
          <w:lang w:val="en-GB"/>
        </w:rPr>
      </w:pPr>
      <w:bookmarkStart w:id="190" w:name="_Toc58237630"/>
      <w:r w:rsidRPr="00037C61">
        <w:rPr>
          <w:lang w:val="en-GB"/>
        </w:rPr>
        <w:lastRenderedPageBreak/>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8</w:t>
      </w:r>
      <w:r w:rsidRPr="00037C61">
        <w:rPr>
          <w:lang w:val="en-GB"/>
        </w:rPr>
        <w:fldChar w:fldCharType="end"/>
      </w:r>
      <w:r w:rsidRPr="00037C61">
        <w:rPr>
          <w:lang w:val="en-GB"/>
        </w:rPr>
        <w:t xml:space="preserve"> - Public universities in the PA</w:t>
      </w:r>
      <w:bookmarkEnd w:id="190"/>
    </w:p>
    <w:tbl>
      <w:tblPr>
        <w:tblStyle w:val="ListTable3-Accent11"/>
        <w:tblW w:w="9067" w:type="dxa"/>
        <w:tblLook w:val="04A0" w:firstRow="1" w:lastRow="0" w:firstColumn="1" w:lastColumn="0" w:noHBand="0" w:noVBand="1"/>
      </w:tblPr>
      <w:tblGrid>
        <w:gridCol w:w="1129"/>
        <w:gridCol w:w="2127"/>
        <w:gridCol w:w="5811"/>
      </w:tblGrid>
      <w:tr w:rsidR="00B55ECC" w:rsidRPr="004A5488" w14:paraId="46E76E8E" w14:textId="05C2BF94" w:rsidTr="74CEAA85">
        <w:trPr>
          <w:cnfStyle w:val="100000000000" w:firstRow="1" w:lastRow="0" w:firstColumn="0" w:lastColumn="0" w:oddVBand="0" w:evenVBand="0" w:oddHBand="0" w:evenHBand="0" w:firstRowFirstColumn="0" w:firstRowLastColumn="0" w:lastRowFirstColumn="0" w:lastRowLastColumn="0"/>
          <w:trHeight w:val="171"/>
        </w:trPr>
        <w:tc>
          <w:tcPr>
            <w:cnfStyle w:val="001000000100" w:firstRow="0" w:lastRow="0" w:firstColumn="1" w:lastColumn="0" w:oddVBand="0" w:evenVBand="0" w:oddHBand="0" w:evenHBand="0" w:firstRowFirstColumn="1" w:firstRowLastColumn="0" w:lastRowFirstColumn="0" w:lastRowLastColumn="0"/>
            <w:tcW w:w="1129" w:type="dxa"/>
          </w:tcPr>
          <w:p w14:paraId="50A520ED" w14:textId="5BD67B90" w:rsidR="00B55ECC" w:rsidRPr="00037C61" w:rsidRDefault="00B55ECC" w:rsidP="00EA57E0">
            <w:pPr>
              <w:pStyle w:val="InterregROHUBullet1"/>
              <w:numPr>
                <w:ilvl w:val="0"/>
                <w:numId w:val="0"/>
              </w:numPr>
              <w:rPr>
                <w:rFonts w:cs="Calibri"/>
                <w:sz w:val="18"/>
                <w:szCs w:val="18"/>
              </w:rPr>
            </w:pPr>
            <w:r w:rsidRPr="00037C61">
              <w:rPr>
                <w:rFonts w:cs="Calibri"/>
                <w:sz w:val="18"/>
                <w:szCs w:val="18"/>
              </w:rPr>
              <w:t xml:space="preserve">County </w:t>
            </w:r>
          </w:p>
        </w:tc>
        <w:tc>
          <w:tcPr>
            <w:tcW w:w="2127" w:type="dxa"/>
          </w:tcPr>
          <w:p w14:paraId="69ED1264" w14:textId="77777777" w:rsidR="00B55ECC" w:rsidRPr="00037C61" w:rsidRDefault="00B55ECC" w:rsidP="00EA57E0">
            <w:pPr>
              <w:pStyle w:val="InterregROHUBullet1"/>
              <w:numPr>
                <w:ilvl w:val="0"/>
                <w:numId w:val="0"/>
              </w:numPr>
              <w:cnfStyle w:val="100000000000" w:firstRow="1"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University </w:t>
            </w:r>
          </w:p>
        </w:tc>
        <w:tc>
          <w:tcPr>
            <w:tcW w:w="5811" w:type="dxa"/>
          </w:tcPr>
          <w:p w14:paraId="1B3C4046" w14:textId="1550E4D8" w:rsidR="00B55ECC" w:rsidRPr="00037C61" w:rsidRDefault="00185F32" w:rsidP="00EA57E0">
            <w:pPr>
              <w:pStyle w:val="InterregROHUBullet1"/>
              <w:numPr>
                <w:ilvl w:val="0"/>
                <w:numId w:val="0"/>
              </w:numPr>
              <w:cnfStyle w:val="100000000000" w:firstRow="1"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Specialisation and number of students </w:t>
            </w:r>
          </w:p>
        </w:tc>
      </w:tr>
      <w:tr w:rsidR="00185F32" w:rsidRPr="004A5488" w14:paraId="27671C68" w14:textId="717A770C" w:rsidTr="74CEAA85">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D5DBEE" w:themeFill="accent2" w:themeFillTint="66"/>
          </w:tcPr>
          <w:p w14:paraId="0235FB5A" w14:textId="4DB9242E" w:rsidR="00185F32" w:rsidRPr="00037C61" w:rsidRDefault="00185F32" w:rsidP="005E0849">
            <w:pPr>
              <w:pStyle w:val="InterregROHUBullet1"/>
              <w:numPr>
                <w:ilvl w:val="0"/>
                <w:numId w:val="0"/>
              </w:numPr>
              <w:jc w:val="center"/>
              <w:rPr>
                <w:rFonts w:cs="Calibri"/>
                <w:sz w:val="18"/>
                <w:szCs w:val="18"/>
              </w:rPr>
            </w:pPr>
            <w:r w:rsidRPr="00037C61">
              <w:rPr>
                <w:rFonts w:cs="Calibri"/>
                <w:sz w:val="18"/>
                <w:szCs w:val="18"/>
              </w:rPr>
              <w:t>Universities in the Romanian PA area</w:t>
            </w:r>
          </w:p>
        </w:tc>
      </w:tr>
      <w:tr w:rsidR="00B55ECC" w:rsidRPr="004A5488" w14:paraId="366CA5A7" w14:textId="6BF86610" w:rsidTr="74CEAA85">
        <w:trPr>
          <w:trHeight w:val="171"/>
        </w:trPr>
        <w:tc>
          <w:tcPr>
            <w:cnfStyle w:val="001000000000" w:firstRow="0" w:lastRow="0" w:firstColumn="1" w:lastColumn="0" w:oddVBand="0" w:evenVBand="0" w:oddHBand="0" w:evenHBand="0" w:firstRowFirstColumn="0" w:firstRowLastColumn="0" w:lastRowFirstColumn="0" w:lastRowLastColumn="0"/>
            <w:tcW w:w="1129" w:type="dxa"/>
          </w:tcPr>
          <w:p w14:paraId="1F6338A5" w14:textId="4EF5721F" w:rsidR="00B55ECC" w:rsidRPr="00037C61" w:rsidRDefault="00B55ECC" w:rsidP="00EA57E0">
            <w:pPr>
              <w:pStyle w:val="InterregROHUBullet1"/>
              <w:numPr>
                <w:ilvl w:val="0"/>
                <w:numId w:val="0"/>
              </w:numPr>
              <w:rPr>
                <w:rFonts w:cs="Calibri"/>
                <w:sz w:val="18"/>
                <w:szCs w:val="18"/>
              </w:rPr>
            </w:pPr>
            <w:r w:rsidRPr="00037C61">
              <w:rPr>
                <w:rFonts w:cs="Calibri"/>
                <w:sz w:val="18"/>
                <w:szCs w:val="18"/>
              </w:rPr>
              <w:t>Arad</w:t>
            </w:r>
          </w:p>
        </w:tc>
        <w:tc>
          <w:tcPr>
            <w:tcW w:w="2127" w:type="dxa"/>
          </w:tcPr>
          <w:p w14:paraId="2424EBD9" w14:textId="77777777" w:rsidR="00B55ECC" w:rsidRPr="00037C61" w:rsidRDefault="00B55ECC" w:rsidP="00EA57E0">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Aurel Vlaicu University of Arad</w:t>
            </w:r>
            <w:r w:rsidR="009472AC" w:rsidRPr="00037C61">
              <w:rPr>
                <w:rFonts w:cs="Calibri"/>
                <w:sz w:val="18"/>
                <w:szCs w:val="18"/>
              </w:rPr>
              <w:t xml:space="preserve"> </w:t>
            </w:r>
          </w:p>
          <w:p w14:paraId="3C80DB5F" w14:textId="07F8C17A" w:rsidR="009472AC" w:rsidRPr="00037C61" w:rsidRDefault="009472AC" w:rsidP="005E0849">
            <w:pPr>
              <w:pStyle w:val="InterregROHUBullet1"/>
              <w:numPr>
                <w:ilvl w:val="0"/>
                <w:numId w:val="0"/>
              </w:numPr>
              <w:spacing w:after="0"/>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Ca. 6,500 students</w:t>
            </w:r>
          </w:p>
        </w:tc>
        <w:tc>
          <w:tcPr>
            <w:tcW w:w="5811" w:type="dxa"/>
          </w:tcPr>
          <w:p w14:paraId="337060C3" w14:textId="761E38D0" w:rsidR="00B55ECC" w:rsidRPr="00037C61" w:rsidRDefault="0003302F" w:rsidP="00555B8D">
            <w:pPr>
              <w:pStyle w:val="InterregROHUBullet1"/>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Faculties: Engineering; Food Engineering, Tourism and Environment Protection; Human and Social Science; Economics; Theology - Ilarion V. Felea; Exact Science; Education, Psychology, and Social Assistance; Sports; Design  </w:t>
            </w:r>
          </w:p>
        </w:tc>
      </w:tr>
      <w:tr w:rsidR="00B55ECC" w:rsidRPr="004A5488" w14:paraId="2851EC27" w14:textId="793CE770" w:rsidTr="74CEAA85">
        <w:trPr>
          <w:cnfStyle w:val="000000100000" w:firstRow="0" w:lastRow="0" w:firstColumn="0" w:lastColumn="0" w:oddVBand="0" w:evenVBand="0" w:oddHBand="1" w:evenHBand="0" w:firstRowFirstColumn="0" w:firstRowLastColumn="0" w:lastRowFirstColumn="0" w:lastRowLastColumn="0"/>
          <w:trHeight w:val="1732"/>
        </w:trPr>
        <w:tc>
          <w:tcPr>
            <w:cnfStyle w:val="001000000000" w:firstRow="0" w:lastRow="0" w:firstColumn="1" w:lastColumn="0" w:oddVBand="0" w:evenVBand="0" w:oddHBand="0" w:evenHBand="0" w:firstRowFirstColumn="0" w:firstRowLastColumn="0" w:lastRowFirstColumn="0" w:lastRowLastColumn="0"/>
            <w:tcW w:w="1129" w:type="dxa"/>
          </w:tcPr>
          <w:p w14:paraId="20757A1A" w14:textId="4A0F88A9" w:rsidR="00B55ECC" w:rsidRPr="00037C61" w:rsidRDefault="00B55ECC" w:rsidP="00FA177A">
            <w:pPr>
              <w:pStyle w:val="InterregROHUBullet1"/>
              <w:numPr>
                <w:ilvl w:val="0"/>
                <w:numId w:val="0"/>
              </w:numPr>
              <w:rPr>
                <w:rFonts w:cs="Calibri"/>
                <w:sz w:val="18"/>
                <w:szCs w:val="18"/>
              </w:rPr>
            </w:pPr>
            <w:r w:rsidRPr="00037C61">
              <w:rPr>
                <w:rFonts w:cs="Calibri"/>
                <w:sz w:val="18"/>
                <w:szCs w:val="18"/>
              </w:rPr>
              <w:t xml:space="preserve">Bihor </w:t>
            </w:r>
          </w:p>
        </w:tc>
        <w:tc>
          <w:tcPr>
            <w:tcW w:w="2127" w:type="dxa"/>
          </w:tcPr>
          <w:p w14:paraId="761F1FEB" w14:textId="77777777" w:rsidR="00B55ECC" w:rsidRPr="00037C61" w:rsidRDefault="00B55ECC"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University of Oradea</w:t>
            </w:r>
          </w:p>
          <w:p w14:paraId="55DA072B" w14:textId="48441905" w:rsidR="009472AC" w:rsidRPr="00037C61" w:rsidRDefault="009472AC"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Ca. 14,000 students </w:t>
            </w:r>
          </w:p>
        </w:tc>
        <w:tc>
          <w:tcPr>
            <w:tcW w:w="5811" w:type="dxa"/>
          </w:tcPr>
          <w:p w14:paraId="3087A248" w14:textId="27945499" w:rsidR="00B55ECC" w:rsidRPr="00037C61" w:rsidRDefault="0003302F" w:rsidP="005E0849">
            <w:pPr>
              <w:pStyle w:val="InterregROHUBullet1"/>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Faculties: Arts; Constructions and Architecture; Law; Geography, Tourism and Sports; Electrical Engineering and Information Technology; Energy Engineering and Industrial Management; Management and Technological Engineering; History, International Relations, Political Sciences and Communication Sciences; Letters; Medicine and Pharmacy; Environmental Protection; Sciences; Economics; Social-Humanistic Sciences; Orthodox Theology "Episcop Dr. Vasile Coman"  </w:t>
            </w:r>
          </w:p>
        </w:tc>
      </w:tr>
      <w:tr w:rsidR="00B55ECC" w:rsidRPr="004A5488" w14:paraId="52B79475" w14:textId="5E6981E4" w:rsidTr="002B176F">
        <w:trPr>
          <w:trHeight w:val="1150"/>
        </w:trPr>
        <w:tc>
          <w:tcPr>
            <w:cnfStyle w:val="001000000000" w:firstRow="0" w:lastRow="0" w:firstColumn="1" w:lastColumn="0" w:oddVBand="0" w:evenVBand="0" w:oddHBand="0" w:evenHBand="0" w:firstRowFirstColumn="0" w:firstRowLastColumn="0" w:lastRowFirstColumn="0" w:lastRowLastColumn="0"/>
            <w:tcW w:w="1129" w:type="dxa"/>
          </w:tcPr>
          <w:p w14:paraId="6E173CCD" w14:textId="3A94B571" w:rsidR="00B55ECC" w:rsidRPr="00037C61" w:rsidRDefault="00B55ECC" w:rsidP="00FA177A">
            <w:pPr>
              <w:pStyle w:val="InterregROHUBullet1"/>
              <w:numPr>
                <w:ilvl w:val="0"/>
                <w:numId w:val="0"/>
              </w:numPr>
              <w:rPr>
                <w:rFonts w:cs="Calibri"/>
                <w:sz w:val="18"/>
                <w:szCs w:val="18"/>
              </w:rPr>
            </w:pPr>
            <w:r w:rsidRPr="00037C61">
              <w:rPr>
                <w:rFonts w:cs="Calibri"/>
                <w:sz w:val="18"/>
                <w:szCs w:val="18"/>
              </w:rPr>
              <w:t xml:space="preserve">Timiș </w:t>
            </w:r>
          </w:p>
        </w:tc>
        <w:tc>
          <w:tcPr>
            <w:tcW w:w="2127" w:type="dxa"/>
          </w:tcPr>
          <w:p w14:paraId="1C213294" w14:textId="77777777" w:rsidR="00B55ECC" w:rsidRPr="00037C61" w:rsidRDefault="00B55ECC"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Politehnica University of Timișoara</w:t>
            </w:r>
          </w:p>
          <w:p w14:paraId="0C84838E" w14:textId="0E3AC86D" w:rsidR="009472AC" w:rsidRPr="00037C61" w:rsidRDefault="009472AC"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Ca. 13,500 students </w:t>
            </w:r>
          </w:p>
        </w:tc>
        <w:tc>
          <w:tcPr>
            <w:tcW w:w="5811" w:type="dxa"/>
          </w:tcPr>
          <w:p w14:paraId="10A8EA96" w14:textId="789DEE6E" w:rsidR="00B55ECC" w:rsidRPr="00037C61" w:rsidRDefault="00B55ECC" w:rsidP="005E0849">
            <w:pPr>
              <w:pStyle w:val="InterregROHUBullet1"/>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Faculties: Architecture and Urbanism, Automatics and Computers, Industrial Chemistry and Environment Engineering, Constructions, Electronics, Telecommunications and Informatics, Electrotechnics and Electroenergy, Faculty Production Management and Transport, Mechanics, Communication Science.</w:t>
            </w:r>
          </w:p>
        </w:tc>
      </w:tr>
      <w:tr w:rsidR="00B55ECC" w:rsidRPr="004A5488" w14:paraId="2211E992" w14:textId="3B3C3F67" w:rsidTr="74CEAA8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129" w:type="dxa"/>
          </w:tcPr>
          <w:p w14:paraId="618947F0" w14:textId="316A8027" w:rsidR="00B55ECC" w:rsidRPr="00037C61" w:rsidRDefault="00B55ECC" w:rsidP="00FA177A">
            <w:pPr>
              <w:pStyle w:val="InterregROHUBullet1"/>
              <w:numPr>
                <w:ilvl w:val="0"/>
                <w:numId w:val="0"/>
              </w:numPr>
              <w:rPr>
                <w:rFonts w:cs="Calibri"/>
                <w:sz w:val="18"/>
                <w:szCs w:val="18"/>
              </w:rPr>
            </w:pPr>
            <w:r w:rsidRPr="00037C61">
              <w:rPr>
                <w:rFonts w:cs="Calibri"/>
                <w:sz w:val="18"/>
                <w:szCs w:val="18"/>
              </w:rPr>
              <w:t>Timiș</w:t>
            </w:r>
          </w:p>
        </w:tc>
        <w:tc>
          <w:tcPr>
            <w:tcW w:w="2127" w:type="dxa"/>
          </w:tcPr>
          <w:p w14:paraId="0F4AC5DC" w14:textId="4D8133AE" w:rsidR="00B55ECC" w:rsidRPr="00037C61" w:rsidRDefault="00B55ECC"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Banat University of Agricultural Sciences and Veterinary Medicine</w:t>
            </w:r>
            <w:r w:rsidR="009472AC" w:rsidRPr="00037C61">
              <w:rPr>
                <w:rFonts w:cs="Calibri"/>
                <w:sz w:val="18"/>
                <w:szCs w:val="18"/>
              </w:rPr>
              <w:t xml:space="preserve"> </w:t>
            </w:r>
          </w:p>
          <w:p w14:paraId="6A999C66" w14:textId="1D76AC63" w:rsidR="009472AC" w:rsidRPr="00037C61" w:rsidRDefault="009472AC"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Ca. 5,000 students </w:t>
            </w:r>
          </w:p>
        </w:tc>
        <w:tc>
          <w:tcPr>
            <w:tcW w:w="5811" w:type="dxa"/>
          </w:tcPr>
          <w:p w14:paraId="11593421" w14:textId="548E9B34" w:rsidR="00B55ECC" w:rsidRPr="00037C61" w:rsidRDefault="00B55ECC" w:rsidP="005E0849">
            <w:pPr>
              <w:pStyle w:val="InterregROHUBullet1"/>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Faculties: Agriculture, Horticulture and Silviculture, Management and Rural Tourism, Veterinary Medicine, Food Engineering, Bioengineering of Animal Resources</w:t>
            </w:r>
          </w:p>
        </w:tc>
      </w:tr>
      <w:tr w:rsidR="00B55ECC" w:rsidRPr="004A5488" w14:paraId="19E7DA05" w14:textId="26318412" w:rsidTr="74CEAA85">
        <w:trPr>
          <w:trHeight w:val="266"/>
        </w:trPr>
        <w:tc>
          <w:tcPr>
            <w:cnfStyle w:val="001000000000" w:firstRow="0" w:lastRow="0" w:firstColumn="1" w:lastColumn="0" w:oddVBand="0" w:evenVBand="0" w:oddHBand="0" w:evenHBand="0" w:firstRowFirstColumn="0" w:firstRowLastColumn="0" w:lastRowFirstColumn="0" w:lastRowLastColumn="0"/>
            <w:tcW w:w="1129" w:type="dxa"/>
          </w:tcPr>
          <w:p w14:paraId="6B5550C0" w14:textId="2137ACDF" w:rsidR="00B55ECC" w:rsidRPr="00037C61" w:rsidRDefault="00B55ECC" w:rsidP="00FA177A">
            <w:pPr>
              <w:pStyle w:val="InterregROHUBullet1"/>
              <w:numPr>
                <w:ilvl w:val="0"/>
                <w:numId w:val="0"/>
              </w:numPr>
              <w:rPr>
                <w:rFonts w:cs="Calibri"/>
                <w:sz w:val="18"/>
                <w:szCs w:val="18"/>
              </w:rPr>
            </w:pPr>
            <w:r w:rsidRPr="00037C61">
              <w:rPr>
                <w:rFonts w:cs="Calibri"/>
                <w:sz w:val="18"/>
                <w:szCs w:val="18"/>
              </w:rPr>
              <w:t>Timiș</w:t>
            </w:r>
          </w:p>
        </w:tc>
        <w:tc>
          <w:tcPr>
            <w:tcW w:w="2127" w:type="dxa"/>
          </w:tcPr>
          <w:p w14:paraId="54755273" w14:textId="77777777" w:rsidR="00B55ECC" w:rsidRPr="00037C61" w:rsidRDefault="00B55ECC"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West University of Timișoara</w:t>
            </w:r>
          </w:p>
          <w:p w14:paraId="4307B642" w14:textId="70A6E98A" w:rsidR="009472AC" w:rsidRPr="00037C61" w:rsidRDefault="009472AC"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Ca. 14,000 students </w:t>
            </w:r>
          </w:p>
        </w:tc>
        <w:tc>
          <w:tcPr>
            <w:tcW w:w="5811" w:type="dxa"/>
          </w:tcPr>
          <w:p w14:paraId="54A47536" w14:textId="7561B306" w:rsidR="00B55ECC" w:rsidRPr="00037C61" w:rsidRDefault="00B55ECC"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Faculties: Art and Design; Chemistry, Biology, Geography; Law; Economy and Business Administration; Sports; Physics, Letters, History and </w:t>
            </w:r>
            <w:r w:rsidR="0003302F" w:rsidRPr="00037C61">
              <w:rPr>
                <w:rFonts w:cs="Calibri"/>
                <w:sz w:val="18"/>
                <w:szCs w:val="18"/>
              </w:rPr>
              <w:t>Theology</w:t>
            </w:r>
            <w:r w:rsidRPr="00037C61">
              <w:rPr>
                <w:rFonts w:cs="Calibri"/>
                <w:sz w:val="18"/>
                <w:szCs w:val="18"/>
              </w:rPr>
              <w:t xml:space="preserve">, Mathematics and Informatics, Music and Theater, Sociology and Psychology, Political Science, Philosophy, and Communication Science.  </w:t>
            </w:r>
          </w:p>
        </w:tc>
      </w:tr>
      <w:tr w:rsidR="00B55ECC" w:rsidRPr="00037C61" w14:paraId="6B9E8A57" w14:textId="44318E2E" w:rsidTr="74CEAA8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129" w:type="dxa"/>
          </w:tcPr>
          <w:p w14:paraId="197E8399" w14:textId="57A46C75" w:rsidR="00B55ECC" w:rsidRPr="00037C61" w:rsidRDefault="00B55ECC" w:rsidP="00FA177A">
            <w:pPr>
              <w:pStyle w:val="InterregROHUBullet1"/>
              <w:numPr>
                <w:ilvl w:val="0"/>
                <w:numId w:val="0"/>
              </w:numPr>
              <w:rPr>
                <w:rFonts w:cs="Calibri"/>
                <w:sz w:val="18"/>
                <w:szCs w:val="18"/>
              </w:rPr>
            </w:pPr>
            <w:r w:rsidRPr="00037C61">
              <w:rPr>
                <w:rFonts w:cs="Calibri"/>
                <w:sz w:val="18"/>
                <w:szCs w:val="18"/>
              </w:rPr>
              <w:t>Timiș</w:t>
            </w:r>
          </w:p>
        </w:tc>
        <w:tc>
          <w:tcPr>
            <w:tcW w:w="2127" w:type="dxa"/>
          </w:tcPr>
          <w:p w14:paraId="57005C28" w14:textId="77777777" w:rsidR="00B55ECC" w:rsidRPr="00037C61" w:rsidRDefault="00B55ECC"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Victor Babeș University of Medicine and Pharmacy, Timișoara</w:t>
            </w:r>
          </w:p>
          <w:p w14:paraId="258B49E5" w14:textId="0A65F39C" w:rsidR="009472AC" w:rsidRPr="00037C61" w:rsidRDefault="009472AC"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Ca. 6,000 students </w:t>
            </w:r>
          </w:p>
        </w:tc>
        <w:tc>
          <w:tcPr>
            <w:tcW w:w="5811" w:type="dxa"/>
          </w:tcPr>
          <w:p w14:paraId="3C285453" w14:textId="1F34A5E9" w:rsidR="00B55ECC" w:rsidRPr="00037C61" w:rsidRDefault="00B55ECC" w:rsidP="005E0849">
            <w:pPr>
              <w:pStyle w:val="InterregROHUBullet1"/>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Faculties: Medicine, Dental Medicine, Pharmacy</w:t>
            </w:r>
          </w:p>
        </w:tc>
      </w:tr>
      <w:tr w:rsidR="00FC5058" w:rsidRPr="004A5488" w14:paraId="645C22F9" w14:textId="7237D748" w:rsidTr="74CEAA85">
        <w:trPr>
          <w:trHeight w:val="448"/>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D5DBEE" w:themeFill="accent2" w:themeFillTint="66"/>
          </w:tcPr>
          <w:p w14:paraId="634ACAE8" w14:textId="6ECBD44B" w:rsidR="00FC5058" w:rsidRPr="00037C61" w:rsidRDefault="00FC5058" w:rsidP="005E0849">
            <w:pPr>
              <w:pStyle w:val="InterregROHUBullet1"/>
              <w:numPr>
                <w:ilvl w:val="0"/>
                <w:numId w:val="0"/>
              </w:numPr>
              <w:jc w:val="center"/>
              <w:rPr>
                <w:rFonts w:cs="Calibri"/>
                <w:sz w:val="18"/>
                <w:szCs w:val="18"/>
              </w:rPr>
            </w:pPr>
            <w:r w:rsidRPr="00037C61">
              <w:rPr>
                <w:rFonts w:cs="Calibri"/>
                <w:sz w:val="18"/>
                <w:szCs w:val="18"/>
              </w:rPr>
              <w:t>Universities in the Hungarian PA area</w:t>
            </w:r>
          </w:p>
        </w:tc>
      </w:tr>
      <w:tr w:rsidR="00B55ECC" w:rsidRPr="004A5488" w14:paraId="4CAEA6FF" w14:textId="475719E5" w:rsidTr="74CEAA8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129" w:type="dxa"/>
          </w:tcPr>
          <w:p w14:paraId="285F0049" w14:textId="49D9A1B8" w:rsidR="00B55ECC" w:rsidRPr="00037C61" w:rsidRDefault="00B55ECC" w:rsidP="00EA57E0">
            <w:pPr>
              <w:pStyle w:val="InterregROHUBullet1"/>
              <w:numPr>
                <w:ilvl w:val="0"/>
                <w:numId w:val="0"/>
              </w:numPr>
              <w:rPr>
                <w:rFonts w:cs="Calibri"/>
                <w:sz w:val="18"/>
                <w:szCs w:val="18"/>
              </w:rPr>
            </w:pPr>
            <w:r w:rsidRPr="00037C61">
              <w:rPr>
                <w:rFonts w:cs="Calibri"/>
                <w:sz w:val="18"/>
                <w:szCs w:val="18"/>
              </w:rPr>
              <w:t>Csongrád-Csanád</w:t>
            </w:r>
          </w:p>
        </w:tc>
        <w:tc>
          <w:tcPr>
            <w:tcW w:w="2127" w:type="dxa"/>
          </w:tcPr>
          <w:p w14:paraId="15602B31" w14:textId="77777777" w:rsidR="00B55ECC" w:rsidRPr="00037C61" w:rsidRDefault="00B55ECC" w:rsidP="00EA57E0">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University of Szeged </w:t>
            </w:r>
          </w:p>
          <w:p w14:paraId="5F9AB215" w14:textId="615C6DFA" w:rsidR="00AB288E" w:rsidRPr="00037C61" w:rsidRDefault="00AB288E" w:rsidP="00EA57E0">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Ca. 21,000 students </w:t>
            </w:r>
          </w:p>
        </w:tc>
        <w:tc>
          <w:tcPr>
            <w:tcW w:w="5811" w:type="dxa"/>
          </w:tcPr>
          <w:p w14:paraId="73894A71" w14:textId="2BDFCD45" w:rsidR="00B55ECC" w:rsidRPr="00037C61" w:rsidRDefault="00185F32" w:rsidP="005E0849">
            <w:pPr>
              <w:pStyle w:val="InterregROHUBullet1"/>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Faculties: Agriculture; Humanities and Social Sciences; Dentistry; Economics and Business Administration; Engineering; Health Sciences and Social Studies; Law and Political Sciences; Medicine; Bartók Béla Arts; Pharmacy; Science and Informatics; Juhász Gyula Education </w:t>
            </w:r>
          </w:p>
        </w:tc>
      </w:tr>
      <w:tr w:rsidR="00B55ECC" w:rsidRPr="004A5488" w14:paraId="595CF44D" w14:textId="74F9D299" w:rsidTr="74CEAA85">
        <w:trPr>
          <w:trHeight w:val="448"/>
        </w:trPr>
        <w:tc>
          <w:tcPr>
            <w:cnfStyle w:val="001000000000" w:firstRow="0" w:lastRow="0" w:firstColumn="1" w:lastColumn="0" w:oddVBand="0" w:evenVBand="0" w:oddHBand="0" w:evenHBand="0" w:firstRowFirstColumn="0" w:firstRowLastColumn="0" w:lastRowFirstColumn="0" w:lastRowLastColumn="0"/>
            <w:tcW w:w="1129" w:type="dxa"/>
          </w:tcPr>
          <w:p w14:paraId="76C6AE63" w14:textId="7D85B9AE" w:rsidR="00B55ECC" w:rsidRPr="00037C61" w:rsidRDefault="00B55ECC" w:rsidP="00FA177A">
            <w:pPr>
              <w:pStyle w:val="InterregROHUBullet1"/>
              <w:numPr>
                <w:ilvl w:val="0"/>
                <w:numId w:val="0"/>
              </w:numPr>
              <w:rPr>
                <w:rFonts w:cs="Calibri"/>
                <w:sz w:val="18"/>
                <w:szCs w:val="18"/>
              </w:rPr>
            </w:pPr>
            <w:r w:rsidRPr="00037C61">
              <w:rPr>
                <w:rFonts w:cs="Calibri"/>
                <w:sz w:val="18"/>
                <w:szCs w:val="18"/>
              </w:rPr>
              <w:t>Hajdú-Bihar</w:t>
            </w:r>
          </w:p>
        </w:tc>
        <w:tc>
          <w:tcPr>
            <w:tcW w:w="2127" w:type="dxa"/>
          </w:tcPr>
          <w:p w14:paraId="75A56692" w14:textId="77777777" w:rsidR="00B55ECC" w:rsidRPr="00037C61" w:rsidRDefault="00B55ECC"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University of Debrecen </w:t>
            </w:r>
          </w:p>
          <w:p w14:paraId="3F1D1289" w14:textId="70842A5F" w:rsidR="00AB288E" w:rsidRPr="00037C61" w:rsidRDefault="00AB288E" w:rsidP="00FA177A">
            <w:pPr>
              <w:pStyle w:val="InterregROHUBullet1"/>
              <w:numPr>
                <w:ilvl w:val="0"/>
                <w:numId w:val="0"/>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Ca. 28,000 students </w:t>
            </w:r>
          </w:p>
        </w:tc>
        <w:tc>
          <w:tcPr>
            <w:tcW w:w="5811" w:type="dxa"/>
          </w:tcPr>
          <w:p w14:paraId="2F113A09" w14:textId="30539BD5" w:rsidR="00B55ECC" w:rsidRPr="00037C61" w:rsidRDefault="00185F32" w:rsidP="005E0849">
            <w:pPr>
              <w:pStyle w:val="InterregROHUBullet1"/>
              <w:cnfStyle w:val="000000000000" w:firstRow="0" w:lastRow="0" w:firstColumn="0" w:lastColumn="0" w:oddVBand="0" w:evenVBand="0" w:oddHBand="0" w:evenHBand="0" w:firstRowFirstColumn="0" w:firstRowLastColumn="0" w:lastRowFirstColumn="0" w:lastRowLastColumn="0"/>
              <w:rPr>
                <w:rFonts w:cs="Calibri"/>
                <w:sz w:val="18"/>
                <w:szCs w:val="18"/>
              </w:rPr>
            </w:pPr>
            <w:r w:rsidRPr="00037C61">
              <w:rPr>
                <w:rFonts w:cs="Calibri"/>
                <w:sz w:val="18"/>
                <w:szCs w:val="18"/>
              </w:rPr>
              <w:t xml:space="preserve">Faculties:  Agricultural and Food Sciences and Environmental Management; Child and Adult Education; Dentistry; Economics and Business; Engineering; Health; Humanities; Informatics; Law; Medicine; Music; Pharmacy; Public Health; Science and Technology </w:t>
            </w:r>
          </w:p>
        </w:tc>
      </w:tr>
      <w:tr w:rsidR="00B55ECC" w:rsidRPr="004A5488" w14:paraId="66686E90" w14:textId="42EC27E3" w:rsidTr="74CEAA8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129" w:type="dxa"/>
          </w:tcPr>
          <w:p w14:paraId="3EC45955" w14:textId="239E22F3" w:rsidR="00B55ECC" w:rsidRPr="00037C61" w:rsidRDefault="00B55ECC" w:rsidP="00FA177A">
            <w:pPr>
              <w:pStyle w:val="InterregROHUBullet1"/>
              <w:numPr>
                <w:ilvl w:val="0"/>
                <w:numId w:val="0"/>
              </w:numPr>
              <w:rPr>
                <w:rFonts w:cs="Calibri"/>
                <w:sz w:val="18"/>
                <w:szCs w:val="18"/>
              </w:rPr>
            </w:pPr>
            <w:r w:rsidRPr="00037C61">
              <w:rPr>
                <w:rFonts w:cs="Calibri"/>
                <w:sz w:val="18"/>
                <w:szCs w:val="18"/>
              </w:rPr>
              <w:t>Szabolcs-Szatmár-Bereg</w:t>
            </w:r>
          </w:p>
        </w:tc>
        <w:tc>
          <w:tcPr>
            <w:tcW w:w="2127" w:type="dxa"/>
          </w:tcPr>
          <w:p w14:paraId="7557A80D" w14:textId="77777777" w:rsidR="00B55ECC" w:rsidRPr="00037C61" w:rsidRDefault="7A53152F" w:rsidP="43A5E8B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University of Nyíregyháza</w:t>
            </w:r>
          </w:p>
          <w:p w14:paraId="0DA3F7DC" w14:textId="4F386DF5" w:rsidR="00AB288E" w:rsidRPr="00037C61" w:rsidRDefault="00AB288E"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 xml:space="preserve">Ca. 4,000 students </w:t>
            </w:r>
          </w:p>
        </w:tc>
        <w:tc>
          <w:tcPr>
            <w:tcW w:w="5811" w:type="dxa"/>
          </w:tcPr>
          <w:p w14:paraId="78C30747" w14:textId="5FF96052" w:rsidR="00185F32" w:rsidRPr="00037C61" w:rsidRDefault="00185F32" w:rsidP="00FA177A">
            <w:pPr>
              <w:pStyle w:val="InterregROHUBullet1"/>
              <w:numPr>
                <w:ilvl w:val="0"/>
                <w:numId w:val="0"/>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037C61">
              <w:rPr>
                <w:rFonts w:cs="Calibri"/>
                <w:sz w:val="18"/>
                <w:szCs w:val="18"/>
              </w:rPr>
              <w:t>Institutes: Applied Pedagogy and Psychology, Economics, Environmental Sciences, Mathematics and Informatics, Engineering and Agricultural Sciences, Linguistics and literature, Social and Cultural Sciences, Physical Education and Sports Science, History and Philosophy, Tourism and Geography, Visual, Music Institute, Agricultural and Molecular Research and Services</w:t>
            </w:r>
          </w:p>
        </w:tc>
      </w:tr>
    </w:tbl>
    <w:p w14:paraId="738E8ECA" w14:textId="5A9FDEBC" w:rsidR="00786A30" w:rsidRPr="00037C61" w:rsidRDefault="00AB288E" w:rsidP="005E0849">
      <w:pPr>
        <w:pStyle w:val="InterregROHUBullet1"/>
        <w:numPr>
          <w:ilvl w:val="0"/>
          <w:numId w:val="0"/>
        </w:numPr>
        <w:spacing w:after="0"/>
        <w:rPr>
          <w:rFonts w:cstheme="minorBidi"/>
          <w:bCs w:val="0"/>
          <w:i/>
          <w:iCs/>
          <w:color w:val="012751" w:themeColor="text2"/>
          <w:sz w:val="18"/>
          <w:szCs w:val="18"/>
        </w:rPr>
      </w:pPr>
      <w:r w:rsidRPr="00037C61">
        <w:rPr>
          <w:rFonts w:cstheme="minorBidi"/>
          <w:bCs w:val="0"/>
          <w:i/>
          <w:iCs/>
          <w:color w:val="012751" w:themeColor="text2"/>
          <w:sz w:val="18"/>
          <w:szCs w:val="18"/>
        </w:rPr>
        <w:t>Source: Official pages of the universities (approximate numbers provided in most cases)</w:t>
      </w:r>
    </w:p>
    <w:p w14:paraId="2D546909" w14:textId="77777777" w:rsidR="00AB288E" w:rsidRPr="00037C61" w:rsidRDefault="00AB288E" w:rsidP="005E0849">
      <w:pPr>
        <w:pStyle w:val="InterregROHUBullet1"/>
        <w:numPr>
          <w:ilvl w:val="0"/>
          <w:numId w:val="0"/>
        </w:numPr>
        <w:spacing w:after="0"/>
      </w:pPr>
    </w:p>
    <w:p w14:paraId="1C0342FB" w14:textId="279E39E7" w:rsidR="00AB288E" w:rsidRPr="00037C61" w:rsidRDefault="00AB288E">
      <w:pPr>
        <w:pStyle w:val="InterregROHUBullet1"/>
        <w:numPr>
          <w:ilvl w:val="0"/>
          <w:numId w:val="0"/>
        </w:numPr>
      </w:pPr>
      <w:r w:rsidRPr="00037C61">
        <w:t xml:space="preserve">Comparing the number of students residing in each county to the total registered students in the public universities, it is important to note the </w:t>
      </w:r>
      <w:r w:rsidRPr="00037C61">
        <w:rPr>
          <w:b/>
          <w:bCs w:val="0"/>
        </w:rPr>
        <w:t>very high attractiveness</w:t>
      </w:r>
      <w:r w:rsidRPr="00037C61">
        <w:t xml:space="preserve"> of the University of Debrecen (2.9 times more enrolment than registered PA students) and University of Csongrád (2.75 times more enrolled students than registered PA students), which represent </w:t>
      </w:r>
      <w:r w:rsidRPr="00037C61">
        <w:rPr>
          <w:b/>
          <w:bCs w:val="0"/>
        </w:rPr>
        <w:t>polarising centres on the Hungarian side</w:t>
      </w:r>
      <w:r w:rsidR="00E9700F" w:rsidRPr="00037C61">
        <w:rPr>
          <w:b/>
          <w:bCs w:val="0"/>
        </w:rPr>
        <w:t xml:space="preserve"> </w:t>
      </w:r>
      <w:r w:rsidR="00E9700F" w:rsidRPr="00037C61">
        <w:t>attracting students from a much wider territory</w:t>
      </w:r>
      <w:r w:rsidRPr="00037C61">
        <w:rPr>
          <w:b/>
          <w:bCs w:val="0"/>
        </w:rPr>
        <w:t xml:space="preserve">. </w:t>
      </w:r>
      <w:r w:rsidRPr="00037C61">
        <w:t xml:space="preserve">Universities in Oradea, Arad and Timișoara record slightly lower public university enrolment than total registered students, </w:t>
      </w:r>
      <w:r w:rsidR="00E9700F" w:rsidRPr="00037C61">
        <w:t xml:space="preserve">a factor at least partially attributable to </w:t>
      </w:r>
      <w:r w:rsidRPr="00037C61">
        <w:t>the high number of private universities in these cities</w:t>
      </w:r>
      <w:r w:rsidR="00E9700F" w:rsidRPr="00037C61">
        <w:t xml:space="preserve">. </w:t>
      </w:r>
    </w:p>
    <w:p w14:paraId="08E11D7D" w14:textId="0E025E08" w:rsidR="00185F32" w:rsidRPr="00037C61" w:rsidRDefault="00FA177A" w:rsidP="005E0849">
      <w:pPr>
        <w:pStyle w:val="InterregROHUBullet1"/>
        <w:numPr>
          <w:ilvl w:val="0"/>
          <w:numId w:val="0"/>
        </w:numPr>
      </w:pPr>
      <w:r w:rsidRPr="00037C61">
        <w:t xml:space="preserve">Furthermore, </w:t>
      </w:r>
      <w:r w:rsidR="00BC1DCC" w:rsidRPr="00037C61">
        <w:t xml:space="preserve">there are a number of </w:t>
      </w:r>
      <w:r w:rsidR="00E9700F" w:rsidRPr="00037C61">
        <w:t xml:space="preserve">7 </w:t>
      </w:r>
      <w:r w:rsidR="00BC1DCC" w:rsidRPr="00037C61">
        <w:rPr>
          <w:b/>
        </w:rPr>
        <w:t>a</w:t>
      </w:r>
      <w:r w:rsidRPr="00037C61">
        <w:rPr>
          <w:b/>
        </w:rPr>
        <w:t>ccredited private institutions of higher education</w:t>
      </w:r>
      <w:r w:rsidRPr="00037C61">
        <w:t xml:space="preserve"> </w:t>
      </w:r>
      <w:r w:rsidR="00BC1DCC" w:rsidRPr="00037C61">
        <w:t>in Romania (</w:t>
      </w:r>
      <w:r w:rsidR="00E9700F" w:rsidRPr="00037C61">
        <w:t xml:space="preserve">Tibiscus University in Timișoara, </w:t>
      </w:r>
      <w:r w:rsidRPr="00037C61">
        <w:t>Vasile Goldiş West University of Arad, Drăgan European University of Lugoj, Agora University, Emanuel University of Oradea and Partium Christian University (Oradea – Bihor), and the Commercial Academy of Satu Mare</w:t>
      </w:r>
      <w:r w:rsidR="00BC1DCC" w:rsidRPr="00037C61">
        <w:t xml:space="preserve">), and two </w:t>
      </w:r>
      <w:r w:rsidR="00375FE4">
        <w:t xml:space="preserve">accredited </w:t>
      </w:r>
      <w:r w:rsidR="00BC1DCC" w:rsidRPr="00037C61">
        <w:t>privately or church funded colleges in Hungary (Gál Ferenc Theological College in Szeged and Szent Atanáz Greek Catholic Theological Institute in Nyíregyháza</w:t>
      </w:r>
      <w:r w:rsidR="00375FE4">
        <w:t>, an aggregated institute of the</w:t>
      </w:r>
      <w:r w:rsidR="00375FE4" w:rsidRPr="00082168">
        <w:rPr>
          <w:rFonts w:ascii="Open Sans" w:hAnsi="Open Sans"/>
          <w:color w:val="666666"/>
          <w:shd w:val="clear" w:color="auto" w:fill="FFFFFF"/>
        </w:rPr>
        <w:t xml:space="preserve"> </w:t>
      </w:r>
      <w:r w:rsidR="00375FE4" w:rsidRPr="00082168">
        <w:t>Pontificio Istituto Orientale</w:t>
      </w:r>
      <w:r w:rsidR="00375FE4">
        <w:t>, Rome</w:t>
      </w:r>
      <w:r w:rsidR="00BC1DCC" w:rsidRPr="00037C61">
        <w:t xml:space="preserve">). </w:t>
      </w:r>
      <w:r w:rsidR="00E9700F" w:rsidRPr="00037C61">
        <w:t xml:space="preserve">There is no </w:t>
      </w:r>
      <w:r w:rsidR="00375FE4">
        <w:t xml:space="preserve">consistent annual </w:t>
      </w:r>
      <w:r w:rsidR="00E9700F" w:rsidRPr="00037C61">
        <w:t>data on enrolment</w:t>
      </w:r>
      <w:r w:rsidR="00375FE4">
        <w:t xml:space="preserve"> for all of the private institutions in order to perform a cross-assessment</w:t>
      </w:r>
      <w:r w:rsidR="00E9700F" w:rsidRPr="00037C61">
        <w:t xml:space="preserve">. </w:t>
      </w:r>
    </w:p>
    <w:p w14:paraId="5E1D6BBB" w14:textId="095C0C4E" w:rsidR="00457F32" w:rsidRPr="00037C61" w:rsidRDefault="6446A0E8" w:rsidP="00A0707B">
      <w:pPr>
        <w:pStyle w:val="InterregROHUBullet1"/>
        <w:numPr>
          <w:ilvl w:val="0"/>
          <w:numId w:val="0"/>
        </w:numPr>
      </w:pPr>
      <w:r w:rsidRPr="00037C61">
        <w:rPr>
          <w:b/>
          <w:bCs w:val="0"/>
        </w:rPr>
        <w:t>The post-secondary non-tertiary education</w:t>
      </w:r>
      <w:r w:rsidRPr="00037C61">
        <w:t xml:space="preserve"> is better developed in Hungarian counties from </w:t>
      </w:r>
      <w:r w:rsidR="005171E7" w:rsidRPr="00037C61">
        <w:t>programme area</w:t>
      </w:r>
      <w:r w:rsidRPr="00037C61">
        <w:t xml:space="preserve">, where the population enrolled in such education varies between 8.7% in Szabolcs-Szatmár-Bereg and 12.8% in Csongrád-Csanád. At the same time, in the Romanian counties from the </w:t>
      </w:r>
      <w:r w:rsidR="005171E7" w:rsidRPr="00037C61">
        <w:t>programme area</w:t>
      </w:r>
      <w:r w:rsidRPr="00037C61">
        <w:t xml:space="preserve"> the population enrolled in post-secondary non-tertiary education varies between 2.3% (Bihor and Arad) and 3.6% (Satu Mare).</w:t>
      </w:r>
    </w:p>
    <w:p w14:paraId="49D4AA11" w14:textId="04D8D872" w:rsidR="00A0707B" w:rsidRPr="00037C61" w:rsidRDefault="2C549B0C" w:rsidP="00A0707B">
      <w:pPr>
        <w:pStyle w:val="InterregROHUBullet1"/>
        <w:numPr>
          <w:ilvl w:val="0"/>
          <w:numId w:val="0"/>
        </w:numPr>
        <w:rPr>
          <w:rFonts w:cs="Calibri"/>
        </w:rPr>
      </w:pPr>
      <w:r w:rsidRPr="00037C61">
        <w:t xml:space="preserve">The </w:t>
      </w:r>
      <w:r w:rsidRPr="00037C61">
        <w:rPr>
          <w:b/>
          <w:bCs w:val="0"/>
        </w:rPr>
        <w:t>low enrolment in post-secondary non-tertiary education</w:t>
      </w:r>
      <w:r w:rsidRPr="00037C61">
        <w:t xml:space="preserve"> in Romanian counties is primarily due to the emphasis placed in Romania on university education. The percent of population enrolled in primary and lower secondary education is higher in Romanian counties from the </w:t>
      </w:r>
      <w:r w:rsidR="005171E7" w:rsidRPr="00037C61">
        <w:t>programme area</w:t>
      </w:r>
      <w:r w:rsidRPr="00037C61">
        <w:t xml:space="preserve"> than in Hungarian ones. In Romanian counties the percent of population enrolled in primary and lower secondary education varies between 50.6% (Bihor) and 58% (Satu Mare), while in Hungarian counties is between 43.1% (Csongrád-Csanád) and 46.1% (Szabolcs-Szatmár-Bereg). Timiș and Bihor have the highest population enrolled in education and even if the proportion of people in primary and lower secondary education and early and pre-primary education </w:t>
      </w:r>
      <w:r w:rsidRPr="00037C61">
        <w:rPr>
          <w:rFonts w:cs="Calibri"/>
        </w:rPr>
        <w:t xml:space="preserve">seems lower, the number of people is similar or higher than in other counties. (Figure </w:t>
      </w:r>
      <w:r w:rsidR="00001B24" w:rsidRPr="00037C61">
        <w:rPr>
          <w:rFonts w:cs="Calibri"/>
        </w:rPr>
        <w:t>3232</w:t>
      </w:r>
      <w:r w:rsidRPr="00037C61">
        <w:rPr>
          <w:rFonts w:cs="Calibri"/>
        </w:rPr>
        <w:t>)</w:t>
      </w:r>
    </w:p>
    <w:p w14:paraId="7BD00AC9" w14:textId="77777777" w:rsidR="008B32DD" w:rsidRPr="00037C61" w:rsidRDefault="00A0707B" w:rsidP="002B176F">
      <w:pPr>
        <w:pStyle w:val="InterregROHUBullet1"/>
        <w:keepNext/>
        <w:numPr>
          <w:ilvl w:val="0"/>
          <w:numId w:val="0"/>
        </w:numPr>
        <w:spacing w:after="0"/>
        <w:jc w:val="center"/>
      </w:pPr>
      <w:r w:rsidRPr="00037C61">
        <w:rPr>
          <w:noProof/>
          <w:lang w:val="ro-RO" w:eastAsia="ro-RO"/>
        </w:rPr>
        <w:lastRenderedPageBreak/>
        <w:drawing>
          <wp:inline distT="0" distB="0" distL="0" distR="0" wp14:anchorId="71C4A44D" wp14:editId="6219027E">
            <wp:extent cx="5340985" cy="2886075"/>
            <wp:effectExtent l="0" t="0" r="12065" b="9525"/>
            <wp:docPr id="1791879784" name="Chart 1791879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730FF8B" w14:textId="2B4179C4" w:rsidR="00A0707B" w:rsidRPr="00037C61" w:rsidRDefault="00A0707B" w:rsidP="00F60720">
      <w:pPr>
        <w:pStyle w:val="Caption"/>
        <w:jc w:val="both"/>
        <w:rPr>
          <w:rFonts w:cs="Calibri"/>
          <w:lang w:val="en-GB"/>
        </w:rPr>
      </w:pPr>
      <w:bookmarkStart w:id="191" w:name="_Ref50632578"/>
      <w:bookmarkStart w:id="192" w:name="_Toc50657544"/>
      <w:bookmarkStart w:id="193" w:name="_Toc6461098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35</w:t>
      </w:r>
      <w:r w:rsidR="00412697">
        <w:rPr>
          <w:lang w:val="en-GB"/>
        </w:rPr>
        <w:fldChar w:fldCharType="end"/>
      </w:r>
      <w:bookmarkEnd w:id="191"/>
      <w:r w:rsidR="008B32DD" w:rsidRPr="00037C61">
        <w:rPr>
          <w:lang w:val="en-GB"/>
        </w:rPr>
        <w:t xml:space="preserve"> -</w:t>
      </w:r>
      <w:r w:rsidRPr="00037C61">
        <w:rPr>
          <w:lang w:val="en-GB"/>
        </w:rPr>
        <w:t xml:space="preserve"> Percent of enrolled population in education by ISCED categories in 2018</w:t>
      </w:r>
      <w:bookmarkEnd w:id="192"/>
      <w:bookmarkEnd w:id="193"/>
    </w:p>
    <w:p w14:paraId="7DC836A8" w14:textId="77777777" w:rsidR="00A0707B" w:rsidRPr="00037C61" w:rsidRDefault="00A0707B" w:rsidP="00A0707B">
      <w:pPr>
        <w:pStyle w:val="InterregROHUBullet1"/>
        <w:numPr>
          <w:ilvl w:val="0"/>
          <w:numId w:val="0"/>
        </w:numPr>
        <w:rPr>
          <w:i/>
          <w:color w:val="012751" w:themeColor="text2"/>
          <w:sz w:val="18"/>
        </w:rPr>
      </w:pPr>
      <w:r w:rsidRPr="00037C61">
        <w:rPr>
          <w:i/>
          <w:color w:val="012751" w:themeColor="text2"/>
          <w:sz w:val="18"/>
        </w:rPr>
        <w:t>Source: INS, THEIR</w:t>
      </w:r>
    </w:p>
    <w:p w14:paraId="04E5CFF5" w14:textId="150DEE7E" w:rsidR="00A0707B" w:rsidRPr="00037C61" w:rsidRDefault="6446A0E8" w:rsidP="009F6717">
      <w:pPr>
        <w:pStyle w:val="InterregROHUBullet1"/>
        <w:numPr>
          <w:ilvl w:val="0"/>
          <w:numId w:val="0"/>
        </w:numPr>
        <w:spacing w:after="0"/>
      </w:pPr>
      <w:r w:rsidRPr="00037C61">
        <w:t xml:space="preserve">The comparative analysis of the evolution of the population enrolled in education by ISCED categories indicates some disparities between Hungarian and Romanian counties of the </w:t>
      </w:r>
      <w:r w:rsidR="00A0707B" w:rsidRPr="00037C61">
        <w:t>program</w:t>
      </w:r>
      <w:r w:rsidR="00445F87" w:rsidRPr="00037C61">
        <w:t>me</w:t>
      </w:r>
      <w:r w:rsidR="00A75CD2" w:rsidRPr="00037C61">
        <w:t xml:space="preserve"> </w:t>
      </w:r>
      <w:r w:rsidR="005171E7" w:rsidRPr="00037C61">
        <w:t>area</w:t>
      </w:r>
      <w:r w:rsidRPr="00037C61">
        <w:t xml:space="preserve"> for the period 2014 – 2018. In Hungarian counties the proportion of population enrolled in early and pre-primary education and in primary and lower secondary education increased during the period 2014 – 2018. In the case of early education, the increase varies from 1.7% (Csongrád-Csanád) and 2.7% (Szabolcs-Szatmár-Bereg) and in primary and lower secondary education from 1% (Hajdú-Bihar) and 2% (Békés). In case of tertiary education there are small increases of the population enrolled in Csongrád-Csanád, Bihor and </w:t>
      </w:r>
      <w:r w:rsidR="00124940" w:rsidRPr="00037C61">
        <w:t>Timiș</w:t>
      </w:r>
      <w:r w:rsidRPr="00037C61">
        <w:t>. (</w:t>
      </w:r>
      <w:r w:rsidRPr="00037C61">
        <w:fldChar w:fldCharType="begin"/>
      </w:r>
      <w:r w:rsidRPr="00037C61">
        <w:instrText xml:space="preserve"> REF _Ref50634003 \h </w:instrText>
      </w:r>
      <w:r w:rsidRPr="00037C61">
        <w:fldChar w:fldCharType="separate"/>
      </w:r>
      <w:r w:rsidR="00A633B8" w:rsidRPr="00037C61">
        <w:t xml:space="preserve">Table </w:t>
      </w:r>
      <w:r w:rsidR="00A633B8" w:rsidRPr="00037C61">
        <w:rPr>
          <w:noProof/>
        </w:rPr>
        <w:t>7</w:t>
      </w:r>
      <w:r w:rsidRPr="00037C61">
        <w:fldChar w:fldCharType="end"/>
      </w:r>
      <w:r w:rsidR="6E4185D2" w:rsidRPr="00037C61">
        <w:t>7</w:t>
      </w:r>
      <w:r w:rsidRPr="00037C61">
        <w:t>)</w:t>
      </w:r>
    </w:p>
    <w:p w14:paraId="0C12AECB" w14:textId="77777777" w:rsidR="00FC5058" w:rsidRPr="00037C61" w:rsidRDefault="00FC5058" w:rsidP="009F6717">
      <w:pPr>
        <w:pStyle w:val="InterregROHUBullet1"/>
        <w:numPr>
          <w:ilvl w:val="0"/>
          <w:numId w:val="0"/>
        </w:numPr>
        <w:spacing w:after="0"/>
      </w:pPr>
    </w:p>
    <w:p w14:paraId="7F67A678" w14:textId="0BDE2436" w:rsidR="00A0707B" w:rsidRPr="00037C61" w:rsidRDefault="00A0707B" w:rsidP="00A0707B">
      <w:pPr>
        <w:pStyle w:val="Caption"/>
        <w:jc w:val="both"/>
        <w:rPr>
          <w:lang w:val="en-GB"/>
        </w:rPr>
      </w:pPr>
      <w:bookmarkStart w:id="194" w:name="_Ref50634003"/>
      <w:bookmarkStart w:id="195" w:name="_Toc58237631"/>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9</w:t>
      </w:r>
      <w:r w:rsidR="00552808" w:rsidRPr="00037C61">
        <w:rPr>
          <w:lang w:val="en-GB"/>
        </w:rPr>
        <w:fldChar w:fldCharType="end"/>
      </w:r>
      <w:bookmarkEnd w:id="194"/>
      <w:r w:rsidR="00EA5E72" w:rsidRPr="00037C61">
        <w:rPr>
          <w:lang w:val="en-GB"/>
        </w:rPr>
        <w:t xml:space="preserve"> -</w:t>
      </w:r>
      <w:r w:rsidRPr="00037C61">
        <w:rPr>
          <w:lang w:val="en-GB"/>
        </w:rPr>
        <w:t xml:space="preserve"> Participation in education -number of enrolled population by ISCED category, trends between 2014 - 2018</w:t>
      </w:r>
      <w:bookmarkEnd w:id="195"/>
    </w:p>
    <w:tbl>
      <w:tblPr>
        <w:tblStyle w:val="ListTable3-Accent1"/>
        <w:tblW w:w="9535" w:type="dxa"/>
        <w:tblLook w:val="04A0" w:firstRow="1" w:lastRow="0" w:firstColumn="1" w:lastColumn="0" w:noHBand="0" w:noVBand="1"/>
      </w:tblPr>
      <w:tblGrid>
        <w:gridCol w:w="2605"/>
        <w:gridCol w:w="1350"/>
        <w:gridCol w:w="1350"/>
        <w:gridCol w:w="1440"/>
        <w:gridCol w:w="1440"/>
        <w:gridCol w:w="1350"/>
      </w:tblGrid>
      <w:tr w:rsidR="00A0707B" w:rsidRPr="00037C61" w14:paraId="7E47427C" w14:textId="77777777" w:rsidTr="74CEAA85">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05" w:type="dxa"/>
            <w:vMerge w:val="restart"/>
            <w:noWrap/>
            <w:vAlign w:val="center"/>
            <w:hideMark/>
          </w:tcPr>
          <w:p w14:paraId="466A39D6" w14:textId="77777777" w:rsidR="00A0707B" w:rsidRPr="00037C61" w:rsidRDefault="00A0707B" w:rsidP="00A0707B">
            <w:pPr>
              <w:jc w:val="left"/>
              <w:rPr>
                <w:color w:val="auto"/>
                <w:sz w:val="20"/>
                <w:szCs w:val="20"/>
                <w:lang w:val="en-GB"/>
              </w:rPr>
            </w:pPr>
            <w:r w:rsidRPr="00037C61">
              <w:rPr>
                <w:sz w:val="20"/>
                <w:szCs w:val="20"/>
                <w:lang w:val="en-GB"/>
              </w:rPr>
              <w:t>County</w:t>
            </w:r>
          </w:p>
        </w:tc>
        <w:tc>
          <w:tcPr>
            <w:tcW w:w="1350" w:type="dxa"/>
            <w:noWrap/>
            <w:vAlign w:val="center"/>
            <w:hideMark/>
          </w:tcPr>
          <w:p w14:paraId="7439A47A"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ISCED 0</w:t>
            </w:r>
          </w:p>
        </w:tc>
        <w:tc>
          <w:tcPr>
            <w:tcW w:w="1350" w:type="dxa"/>
            <w:noWrap/>
            <w:vAlign w:val="center"/>
            <w:hideMark/>
          </w:tcPr>
          <w:p w14:paraId="6267BF13"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ISCED 1 + 2</w:t>
            </w:r>
          </w:p>
        </w:tc>
        <w:tc>
          <w:tcPr>
            <w:tcW w:w="1440" w:type="dxa"/>
            <w:noWrap/>
            <w:vAlign w:val="center"/>
            <w:hideMark/>
          </w:tcPr>
          <w:p w14:paraId="411A2554"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ISCED 3</w:t>
            </w:r>
          </w:p>
        </w:tc>
        <w:tc>
          <w:tcPr>
            <w:tcW w:w="1440" w:type="dxa"/>
            <w:noWrap/>
            <w:vAlign w:val="center"/>
            <w:hideMark/>
          </w:tcPr>
          <w:p w14:paraId="2316D0CC"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ISCED 4</w:t>
            </w:r>
          </w:p>
        </w:tc>
        <w:tc>
          <w:tcPr>
            <w:tcW w:w="1350" w:type="dxa"/>
            <w:noWrap/>
            <w:vAlign w:val="center"/>
            <w:hideMark/>
          </w:tcPr>
          <w:p w14:paraId="3D54EE50"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ISCED 5 AND ABOVE</w:t>
            </w:r>
          </w:p>
        </w:tc>
      </w:tr>
      <w:tr w:rsidR="00A0707B" w:rsidRPr="004A5488" w14:paraId="1E316DB7"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vMerge/>
            <w:noWrap/>
            <w:hideMark/>
          </w:tcPr>
          <w:p w14:paraId="0ECE7D92" w14:textId="77777777" w:rsidR="00A0707B" w:rsidRPr="00037C61" w:rsidRDefault="00A0707B" w:rsidP="00A0707B">
            <w:pPr>
              <w:jc w:val="left"/>
              <w:rPr>
                <w:color w:val="000000"/>
                <w:sz w:val="20"/>
                <w:szCs w:val="20"/>
                <w:lang w:val="en-GB"/>
              </w:rPr>
            </w:pPr>
          </w:p>
        </w:tc>
        <w:tc>
          <w:tcPr>
            <w:tcW w:w="1350" w:type="dxa"/>
            <w:noWrap/>
            <w:vAlign w:val="center"/>
            <w:hideMark/>
          </w:tcPr>
          <w:p w14:paraId="22B3FA85" w14:textId="5A56F9DF"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color w:val="000000"/>
                <w:sz w:val="20"/>
                <w:szCs w:val="20"/>
                <w:lang w:val="en-GB"/>
              </w:rPr>
              <w:t xml:space="preserve">early education + </w:t>
            </w:r>
            <w:r w:rsidR="00772613" w:rsidRPr="00037C61">
              <w:rPr>
                <w:color w:val="000000"/>
                <w:sz w:val="20"/>
                <w:szCs w:val="20"/>
                <w:lang w:val="en-GB"/>
              </w:rPr>
              <w:t>pre-primary</w:t>
            </w:r>
            <w:r w:rsidRPr="00037C61">
              <w:rPr>
                <w:color w:val="000000"/>
                <w:sz w:val="20"/>
                <w:szCs w:val="20"/>
                <w:lang w:val="en-GB"/>
              </w:rPr>
              <w:t xml:space="preserve"> education</w:t>
            </w:r>
          </w:p>
        </w:tc>
        <w:tc>
          <w:tcPr>
            <w:tcW w:w="1350" w:type="dxa"/>
            <w:noWrap/>
            <w:vAlign w:val="center"/>
            <w:hideMark/>
          </w:tcPr>
          <w:p w14:paraId="6D9E87CC" w14:textId="44EAA99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color w:val="000000"/>
                <w:sz w:val="20"/>
                <w:szCs w:val="20"/>
                <w:lang w:val="en-GB"/>
              </w:rPr>
              <w:t xml:space="preserve">primary + lower </w:t>
            </w:r>
            <w:r w:rsidR="00772613" w:rsidRPr="00037C61">
              <w:rPr>
                <w:color w:val="000000"/>
                <w:sz w:val="20"/>
                <w:szCs w:val="20"/>
                <w:lang w:val="en-GB"/>
              </w:rPr>
              <w:t>secondary</w:t>
            </w:r>
            <w:r w:rsidRPr="00037C61">
              <w:rPr>
                <w:color w:val="000000"/>
                <w:sz w:val="20"/>
                <w:szCs w:val="20"/>
                <w:lang w:val="en-GB"/>
              </w:rPr>
              <w:t xml:space="preserve"> education</w:t>
            </w:r>
          </w:p>
        </w:tc>
        <w:tc>
          <w:tcPr>
            <w:tcW w:w="1440" w:type="dxa"/>
            <w:noWrap/>
            <w:vAlign w:val="center"/>
            <w:hideMark/>
          </w:tcPr>
          <w:p w14:paraId="75CC81E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color w:val="000000"/>
                <w:sz w:val="20"/>
                <w:szCs w:val="20"/>
                <w:lang w:val="en-GB"/>
              </w:rPr>
              <w:t>highschool education + vocational education</w:t>
            </w:r>
          </w:p>
        </w:tc>
        <w:tc>
          <w:tcPr>
            <w:tcW w:w="1440" w:type="dxa"/>
            <w:noWrap/>
            <w:vAlign w:val="center"/>
            <w:hideMark/>
          </w:tcPr>
          <w:p w14:paraId="419FC725"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color w:val="000000"/>
                <w:sz w:val="20"/>
                <w:szCs w:val="20"/>
                <w:lang w:val="en-GB"/>
              </w:rPr>
              <w:t>post-secondary non-tertiary education</w:t>
            </w:r>
          </w:p>
        </w:tc>
        <w:tc>
          <w:tcPr>
            <w:tcW w:w="1350" w:type="dxa"/>
            <w:noWrap/>
            <w:vAlign w:val="center"/>
            <w:hideMark/>
          </w:tcPr>
          <w:p w14:paraId="29A79CA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color w:val="000000"/>
                <w:sz w:val="20"/>
                <w:szCs w:val="20"/>
                <w:lang w:val="en-GB"/>
              </w:rPr>
              <w:t>tertiary education (public and private)</w:t>
            </w:r>
          </w:p>
        </w:tc>
      </w:tr>
      <w:tr w:rsidR="00A0707B" w:rsidRPr="00037C61" w14:paraId="327E82F4"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694ABE0D" w14:textId="77777777" w:rsidR="00A0707B" w:rsidRPr="00037C61" w:rsidRDefault="00A0707B" w:rsidP="00A0707B">
            <w:pPr>
              <w:jc w:val="left"/>
              <w:rPr>
                <w:color w:val="000000"/>
                <w:sz w:val="20"/>
                <w:szCs w:val="20"/>
                <w:lang w:val="en-GB"/>
              </w:rPr>
            </w:pPr>
            <w:r w:rsidRPr="00037C61">
              <w:rPr>
                <w:color w:val="000000"/>
                <w:sz w:val="20"/>
                <w:szCs w:val="20"/>
                <w:lang w:val="en-GB"/>
              </w:rPr>
              <w:t>Hajdú-Bihar</w:t>
            </w:r>
          </w:p>
        </w:tc>
        <w:tc>
          <w:tcPr>
            <w:tcW w:w="1350" w:type="dxa"/>
            <w:noWrap/>
            <w:hideMark/>
          </w:tcPr>
          <w:p w14:paraId="7369D7E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2.6</w:t>
            </w:r>
            <w:r w:rsidR="008B32DD" w:rsidRPr="00037C61">
              <w:rPr>
                <w:sz w:val="20"/>
                <w:szCs w:val="20"/>
                <w:lang w:val="en-GB"/>
              </w:rPr>
              <w:t>%</w:t>
            </w:r>
          </w:p>
        </w:tc>
        <w:tc>
          <w:tcPr>
            <w:tcW w:w="1350" w:type="dxa"/>
            <w:noWrap/>
            <w:hideMark/>
          </w:tcPr>
          <w:p w14:paraId="3E8BC6C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1.0</w:t>
            </w:r>
            <w:r w:rsidR="008B32DD" w:rsidRPr="00037C61">
              <w:rPr>
                <w:sz w:val="20"/>
                <w:szCs w:val="20"/>
                <w:lang w:val="en-GB"/>
              </w:rPr>
              <w:t>%</w:t>
            </w:r>
          </w:p>
        </w:tc>
        <w:tc>
          <w:tcPr>
            <w:tcW w:w="1440" w:type="dxa"/>
            <w:noWrap/>
            <w:hideMark/>
          </w:tcPr>
          <w:p w14:paraId="13568E4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0.2</w:t>
            </w:r>
            <w:r w:rsidR="008B32DD" w:rsidRPr="00037C61">
              <w:rPr>
                <w:sz w:val="20"/>
                <w:szCs w:val="20"/>
                <w:lang w:val="en-GB"/>
              </w:rPr>
              <w:t>%</w:t>
            </w:r>
          </w:p>
        </w:tc>
        <w:tc>
          <w:tcPr>
            <w:tcW w:w="1440" w:type="dxa"/>
            <w:noWrap/>
            <w:hideMark/>
          </w:tcPr>
          <w:p w14:paraId="7A9BF6A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-3.2</w:t>
            </w:r>
            <w:r w:rsidR="008B32DD" w:rsidRPr="00037C61">
              <w:rPr>
                <w:sz w:val="20"/>
                <w:szCs w:val="20"/>
                <w:lang w:val="en-GB"/>
              </w:rPr>
              <w:t>%</w:t>
            </w:r>
          </w:p>
        </w:tc>
        <w:tc>
          <w:tcPr>
            <w:tcW w:w="1350" w:type="dxa"/>
            <w:noWrap/>
            <w:hideMark/>
          </w:tcPr>
          <w:p w14:paraId="4C534B59"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-0.6</w:t>
            </w:r>
            <w:r w:rsidR="008B32DD" w:rsidRPr="00037C61">
              <w:rPr>
                <w:sz w:val="20"/>
                <w:szCs w:val="20"/>
                <w:lang w:val="en-GB"/>
              </w:rPr>
              <w:t>%</w:t>
            </w:r>
          </w:p>
        </w:tc>
      </w:tr>
      <w:tr w:rsidR="00A0707B" w:rsidRPr="00037C61" w14:paraId="0CC833B8"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3A729A84" w14:textId="77777777" w:rsidR="00A0707B" w:rsidRPr="00037C61" w:rsidRDefault="00A0707B" w:rsidP="00A0707B">
            <w:pPr>
              <w:jc w:val="left"/>
              <w:rPr>
                <w:color w:val="000000"/>
                <w:sz w:val="20"/>
                <w:szCs w:val="20"/>
                <w:lang w:val="en-GB"/>
              </w:rPr>
            </w:pPr>
            <w:r w:rsidRPr="00037C61">
              <w:rPr>
                <w:color w:val="000000"/>
                <w:sz w:val="20"/>
                <w:szCs w:val="20"/>
                <w:lang w:val="en-GB"/>
              </w:rPr>
              <w:t>Szabolcs-Szatmár-Bereg</w:t>
            </w:r>
          </w:p>
        </w:tc>
        <w:tc>
          <w:tcPr>
            <w:tcW w:w="1350" w:type="dxa"/>
            <w:noWrap/>
            <w:hideMark/>
          </w:tcPr>
          <w:p w14:paraId="599E858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2.7</w:t>
            </w:r>
            <w:r w:rsidR="008B32DD" w:rsidRPr="00037C61">
              <w:rPr>
                <w:sz w:val="20"/>
                <w:szCs w:val="20"/>
                <w:lang w:val="en-GB"/>
              </w:rPr>
              <w:t>%</w:t>
            </w:r>
          </w:p>
        </w:tc>
        <w:tc>
          <w:tcPr>
            <w:tcW w:w="1350" w:type="dxa"/>
            <w:noWrap/>
            <w:hideMark/>
          </w:tcPr>
          <w:p w14:paraId="31767CF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1.5</w:t>
            </w:r>
            <w:r w:rsidR="008B32DD" w:rsidRPr="00037C61">
              <w:rPr>
                <w:sz w:val="20"/>
                <w:szCs w:val="20"/>
                <w:lang w:val="en-GB"/>
              </w:rPr>
              <w:t>%</w:t>
            </w:r>
          </w:p>
        </w:tc>
        <w:tc>
          <w:tcPr>
            <w:tcW w:w="1440" w:type="dxa"/>
            <w:noWrap/>
            <w:hideMark/>
          </w:tcPr>
          <w:p w14:paraId="29A5DF0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-0.9</w:t>
            </w:r>
            <w:r w:rsidR="008B32DD" w:rsidRPr="00037C61">
              <w:rPr>
                <w:sz w:val="20"/>
                <w:szCs w:val="20"/>
                <w:lang w:val="en-GB"/>
              </w:rPr>
              <w:t>%</w:t>
            </w:r>
          </w:p>
        </w:tc>
        <w:tc>
          <w:tcPr>
            <w:tcW w:w="1440" w:type="dxa"/>
            <w:noWrap/>
            <w:hideMark/>
          </w:tcPr>
          <w:p w14:paraId="5B6A300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-2.8</w:t>
            </w:r>
            <w:r w:rsidR="008B32DD" w:rsidRPr="00037C61">
              <w:rPr>
                <w:sz w:val="20"/>
                <w:szCs w:val="20"/>
                <w:lang w:val="en-GB"/>
              </w:rPr>
              <w:t>%</w:t>
            </w:r>
          </w:p>
        </w:tc>
        <w:tc>
          <w:tcPr>
            <w:tcW w:w="1350" w:type="dxa"/>
            <w:noWrap/>
            <w:hideMark/>
          </w:tcPr>
          <w:p w14:paraId="13C1CC52"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-0.6</w:t>
            </w:r>
            <w:r w:rsidR="008B32DD" w:rsidRPr="00037C61">
              <w:rPr>
                <w:sz w:val="20"/>
                <w:szCs w:val="20"/>
                <w:lang w:val="en-GB"/>
              </w:rPr>
              <w:t>%</w:t>
            </w:r>
          </w:p>
        </w:tc>
      </w:tr>
      <w:tr w:rsidR="00A0707B" w:rsidRPr="00037C61" w14:paraId="1692305D"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7774C9B8" w14:textId="77777777" w:rsidR="00A0707B" w:rsidRPr="00037C61" w:rsidRDefault="00A0707B" w:rsidP="00A0707B">
            <w:pPr>
              <w:jc w:val="left"/>
              <w:rPr>
                <w:color w:val="000000"/>
                <w:sz w:val="20"/>
                <w:szCs w:val="20"/>
                <w:lang w:val="en-GB"/>
              </w:rPr>
            </w:pPr>
            <w:r w:rsidRPr="00037C61">
              <w:rPr>
                <w:color w:val="000000"/>
                <w:sz w:val="20"/>
                <w:szCs w:val="20"/>
                <w:lang w:val="en-GB"/>
              </w:rPr>
              <w:t>Békés</w:t>
            </w:r>
          </w:p>
        </w:tc>
        <w:tc>
          <w:tcPr>
            <w:tcW w:w="1350" w:type="dxa"/>
            <w:noWrap/>
            <w:hideMark/>
          </w:tcPr>
          <w:p w14:paraId="566B9AAB"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2.3</w:t>
            </w:r>
            <w:r w:rsidR="008B32DD" w:rsidRPr="00037C61">
              <w:rPr>
                <w:sz w:val="20"/>
                <w:szCs w:val="20"/>
                <w:lang w:val="en-GB"/>
              </w:rPr>
              <w:t>%</w:t>
            </w:r>
          </w:p>
        </w:tc>
        <w:tc>
          <w:tcPr>
            <w:tcW w:w="1350" w:type="dxa"/>
            <w:noWrap/>
            <w:hideMark/>
          </w:tcPr>
          <w:p w14:paraId="791971A7"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2.0</w:t>
            </w:r>
            <w:r w:rsidR="008B32DD" w:rsidRPr="00037C61">
              <w:rPr>
                <w:sz w:val="20"/>
                <w:szCs w:val="20"/>
                <w:lang w:val="en-GB"/>
              </w:rPr>
              <w:t>%</w:t>
            </w:r>
          </w:p>
        </w:tc>
        <w:tc>
          <w:tcPr>
            <w:tcW w:w="1440" w:type="dxa"/>
            <w:noWrap/>
            <w:hideMark/>
          </w:tcPr>
          <w:p w14:paraId="602A0435"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-0.5</w:t>
            </w:r>
            <w:r w:rsidR="008B32DD" w:rsidRPr="00037C61">
              <w:rPr>
                <w:sz w:val="20"/>
                <w:szCs w:val="20"/>
                <w:lang w:val="en-GB"/>
              </w:rPr>
              <w:t>%</w:t>
            </w:r>
          </w:p>
        </w:tc>
        <w:tc>
          <w:tcPr>
            <w:tcW w:w="1440" w:type="dxa"/>
            <w:noWrap/>
            <w:hideMark/>
          </w:tcPr>
          <w:p w14:paraId="46F05ED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-3.1</w:t>
            </w:r>
            <w:r w:rsidR="008B32DD" w:rsidRPr="00037C61">
              <w:rPr>
                <w:sz w:val="20"/>
                <w:szCs w:val="20"/>
                <w:lang w:val="en-GB"/>
              </w:rPr>
              <w:t>%</w:t>
            </w:r>
          </w:p>
        </w:tc>
        <w:tc>
          <w:tcPr>
            <w:tcW w:w="1350" w:type="dxa"/>
            <w:noWrap/>
            <w:hideMark/>
          </w:tcPr>
          <w:p w14:paraId="0E74168F"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-0.7</w:t>
            </w:r>
            <w:r w:rsidR="008B32DD" w:rsidRPr="00037C61">
              <w:rPr>
                <w:sz w:val="20"/>
                <w:szCs w:val="20"/>
                <w:lang w:val="en-GB"/>
              </w:rPr>
              <w:t>%</w:t>
            </w:r>
          </w:p>
        </w:tc>
      </w:tr>
      <w:tr w:rsidR="00A0707B" w:rsidRPr="00037C61" w14:paraId="3391FBFE"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1560D0C" w14:textId="43F358CE" w:rsidR="00A0707B" w:rsidRPr="00037C61" w:rsidRDefault="6446A0E8" w:rsidP="6446A0E8">
            <w:pPr>
              <w:jc w:val="left"/>
              <w:rPr>
                <w:color w:val="000000"/>
                <w:sz w:val="20"/>
                <w:szCs w:val="20"/>
                <w:lang w:val="en-GB"/>
              </w:rPr>
            </w:pPr>
            <w:r w:rsidRPr="00037C61">
              <w:rPr>
                <w:color w:val="000000" w:themeColor="text1"/>
                <w:sz w:val="20"/>
                <w:szCs w:val="20"/>
                <w:lang w:val="en-GB"/>
              </w:rPr>
              <w:t>Csongrád-Csanád</w:t>
            </w:r>
          </w:p>
        </w:tc>
        <w:tc>
          <w:tcPr>
            <w:tcW w:w="1350" w:type="dxa"/>
            <w:noWrap/>
            <w:hideMark/>
          </w:tcPr>
          <w:p w14:paraId="5D3F2DBF"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1.7</w:t>
            </w:r>
            <w:r w:rsidR="008B32DD" w:rsidRPr="00037C61">
              <w:rPr>
                <w:sz w:val="20"/>
                <w:szCs w:val="20"/>
                <w:lang w:val="en-GB"/>
              </w:rPr>
              <w:t>%</w:t>
            </w:r>
          </w:p>
        </w:tc>
        <w:tc>
          <w:tcPr>
            <w:tcW w:w="1350" w:type="dxa"/>
            <w:noWrap/>
            <w:hideMark/>
          </w:tcPr>
          <w:p w14:paraId="5BCACE8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1.8</w:t>
            </w:r>
            <w:r w:rsidR="008B32DD" w:rsidRPr="00037C61">
              <w:rPr>
                <w:sz w:val="20"/>
                <w:szCs w:val="20"/>
                <w:lang w:val="en-GB"/>
              </w:rPr>
              <w:t>%</w:t>
            </w:r>
          </w:p>
        </w:tc>
        <w:tc>
          <w:tcPr>
            <w:tcW w:w="1440" w:type="dxa"/>
            <w:noWrap/>
            <w:hideMark/>
          </w:tcPr>
          <w:p w14:paraId="0E62FE8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0.3</w:t>
            </w:r>
            <w:r w:rsidR="008B32DD" w:rsidRPr="00037C61">
              <w:rPr>
                <w:sz w:val="20"/>
                <w:szCs w:val="20"/>
                <w:lang w:val="en-GB"/>
              </w:rPr>
              <w:t>%</w:t>
            </w:r>
          </w:p>
        </w:tc>
        <w:tc>
          <w:tcPr>
            <w:tcW w:w="1440" w:type="dxa"/>
            <w:noWrap/>
            <w:hideMark/>
          </w:tcPr>
          <w:p w14:paraId="06CBF5F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-4.3</w:t>
            </w:r>
            <w:r w:rsidR="008B32DD" w:rsidRPr="00037C61">
              <w:rPr>
                <w:sz w:val="20"/>
                <w:szCs w:val="20"/>
                <w:lang w:val="en-GB"/>
              </w:rPr>
              <w:t>%</w:t>
            </w:r>
          </w:p>
        </w:tc>
        <w:tc>
          <w:tcPr>
            <w:tcW w:w="1350" w:type="dxa"/>
            <w:noWrap/>
            <w:hideMark/>
          </w:tcPr>
          <w:p w14:paraId="59A89611"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0.5</w:t>
            </w:r>
            <w:r w:rsidR="008B32DD" w:rsidRPr="00037C61">
              <w:rPr>
                <w:sz w:val="20"/>
                <w:szCs w:val="20"/>
                <w:lang w:val="en-GB"/>
              </w:rPr>
              <w:t>%</w:t>
            </w:r>
          </w:p>
        </w:tc>
      </w:tr>
      <w:tr w:rsidR="00A0707B" w:rsidRPr="00037C61" w14:paraId="08617361"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27D15BF" w14:textId="77777777" w:rsidR="00A0707B" w:rsidRPr="00037C61" w:rsidRDefault="00A0707B" w:rsidP="00A0707B">
            <w:pPr>
              <w:jc w:val="left"/>
              <w:rPr>
                <w:color w:val="000000"/>
                <w:sz w:val="20"/>
                <w:szCs w:val="20"/>
                <w:lang w:val="en-GB"/>
              </w:rPr>
            </w:pPr>
            <w:r w:rsidRPr="00037C61">
              <w:rPr>
                <w:color w:val="000000"/>
                <w:sz w:val="20"/>
                <w:szCs w:val="20"/>
                <w:lang w:val="en-GB"/>
              </w:rPr>
              <w:t>Bihor</w:t>
            </w:r>
          </w:p>
        </w:tc>
        <w:tc>
          <w:tcPr>
            <w:tcW w:w="1350" w:type="dxa"/>
            <w:noWrap/>
            <w:hideMark/>
          </w:tcPr>
          <w:p w14:paraId="13B7E508"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-0.1</w:t>
            </w:r>
            <w:r w:rsidR="008B32DD" w:rsidRPr="00037C61">
              <w:rPr>
                <w:sz w:val="20"/>
                <w:szCs w:val="20"/>
                <w:lang w:val="en-GB"/>
              </w:rPr>
              <w:t>%</w:t>
            </w:r>
          </w:p>
        </w:tc>
        <w:tc>
          <w:tcPr>
            <w:tcW w:w="1350" w:type="dxa"/>
            <w:noWrap/>
            <w:hideMark/>
          </w:tcPr>
          <w:p w14:paraId="10DA109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0.7</w:t>
            </w:r>
            <w:r w:rsidR="008B32DD" w:rsidRPr="00037C61">
              <w:rPr>
                <w:sz w:val="20"/>
                <w:szCs w:val="20"/>
                <w:lang w:val="en-GB"/>
              </w:rPr>
              <w:t>%</w:t>
            </w:r>
          </w:p>
        </w:tc>
        <w:tc>
          <w:tcPr>
            <w:tcW w:w="1440" w:type="dxa"/>
            <w:noWrap/>
            <w:hideMark/>
          </w:tcPr>
          <w:p w14:paraId="18BA5F0C"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-0.3</w:t>
            </w:r>
            <w:r w:rsidR="008B32DD" w:rsidRPr="00037C61">
              <w:rPr>
                <w:sz w:val="20"/>
                <w:szCs w:val="20"/>
                <w:lang w:val="en-GB"/>
              </w:rPr>
              <w:t>%</w:t>
            </w:r>
          </w:p>
        </w:tc>
        <w:tc>
          <w:tcPr>
            <w:tcW w:w="1440" w:type="dxa"/>
            <w:noWrap/>
            <w:hideMark/>
          </w:tcPr>
          <w:p w14:paraId="40DD171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-0.9</w:t>
            </w:r>
            <w:r w:rsidR="008B32DD" w:rsidRPr="00037C61">
              <w:rPr>
                <w:sz w:val="20"/>
                <w:szCs w:val="20"/>
                <w:lang w:val="en-GB"/>
              </w:rPr>
              <w:t>%</w:t>
            </w:r>
          </w:p>
        </w:tc>
        <w:tc>
          <w:tcPr>
            <w:tcW w:w="1350" w:type="dxa"/>
            <w:noWrap/>
            <w:hideMark/>
          </w:tcPr>
          <w:p w14:paraId="7CCABA7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0.6</w:t>
            </w:r>
            <w:r w:rsidR="008B32DD" w:rsidRPr="00037C61">
              <w:rPr>
                <w:sz w:val="20"/>
                <w:szCs w:val="20"/>
                <w:lang w:val="en-GB"/>
              </w:rPr>
              <w:t>%</w:t>
            </w:r>
          </w:p>
        </w:tc>
      </w:tr>
      <w:tr w:rsidR="00A0707B" w:rsidRPr="00037C61" w14:paraId="46502FAF"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1D94109B" w14:textId="77777777" w:rsidR="00A0707B" w:rsidRPr="00037C61" w:rsidRDefault="00A0707B" w:rsidP="00A0707B">
            <w:pPr>
              <w:jc w:val="left"/>
              <w:rPr>
                <w:color w:val="000000"/>
                <w:sz w:val="20"/>
                <w:szCs w:val="20"/>
                <w:lang w:val="en-GB"/>
              </w:rPr>
            </w:pPr>
            <w:r w:rsidRPr="00037C61">
              <w:rPr>
                <w:color w:val="000000"/>
                <w:sz w:val="20"/>
                <w:szCs w:val="20"/>
                <w:lang w:val="en-GB"/>
              </w:rPr>
              <w:t>Satu Mare</w:t>
            </w:r>
          </w:p>
        </w:tc>
        <w:tc>
          <w:tcPr>
            <w:tcW w:w="1350" w:type="dxa"/>
            <w:noWrap/>
            <w:hideMark/>
          </w:tcPr>
          <w:p w14:paraId="544DBEE8"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-0.6</w:t>
            </w:r>
            <w:r w:rsidR="008B32DD" w:rsidRPr="00037C61">
              <w:rPr>
                <w:sz w:val="20"/>
                <w:szCs w:val="20"/>
                <w:lang w:val="en-GB"/>
              </w:rPr>
              <w:t>%</w:t>
            </w:r>
          </w:p>
        </w:tc>
        <w:tc>
          <w:tcPr>
            <w:tcW w:w="1350" w:type="dxa"/>
            <w:noWrap/>
            <w:hideMark/>
          </w:tcPr>
          <w:p w14:paraId="45A1B7C0"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-1.1</w:t>
            </w:r>
            <w:r w:rsidR="008B32DD" w:rsidRPr="00037C61">
              <w:rPr>
                <w:sz w:val="20"/>
                <w:szCs w:val="20"/>
                <w:lang w:val="en-GB"/>
              </w:rPr>
              <w:t>%</w:t>
            </w:r>
          </w:p>
        </w:tc>
        <w:tc>
          <w:tcPr>
            <w:tcW w:w="1440" w:type="dxa"/>
            <w:noWrap/>
            <w:hideMark/>
          </w:tcPr>
          <w:p w14:paraId="6813290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1.7</w:t>
            </w:r>
            <w:r w:rsidR="008B32DD" w:rsidRPr="00037C61">
              <w:rPr>
                <w:sz w:val="20"/>
                <w:szCs w:val="20"/>
                <w:lang w:val="en-GB"/>
              </w:rPr>
              <w:t>%</w:t>
            </w:r>
          </w:p>
        </w:tc>
        <w:tc>
          <w:tcPr>
            <w:tcW w:w="1440" w:type="dxa"/>
            <w:noWrap/>
            <w:hideMark/>
          </w:tcPr>
          <w:p w14:paraId="421AAB91"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0.4</w:t>
            </w:r>
            <w:r w:rsidR="008B32DD" w:rsidRPr="00037C61">
              <w:rPr>
                <w:sz w:val="20"/>
                <w:szCs w:val="20"/>
                <w:lang w:val="en-GB"/>
              </w:rPr>
              <w:t>%</w:t>
            </w:r>
          </w:p>
        </w:tc>
        <w:tc>
          <w:tcPr>
            <w:tcW w:w="1350" w:type="dxa"/>
            <w:noWrap/>
            <w:hideMark/>
          </w:tcPr>
          <w:p w14:paraId="1434BD55"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-0.4</w:t>
            </w:r>
            <w:r w:rsidR="008B32DD" w:rsidRPr="00037C61">
              <w:rPr>
                <w:sz w:val="20"/>
                <w:szCs w:val="20"/>
                <w:lang w:val="en-GB"/>
              </w:rPr>
              <w:t>%</w:t>
            </w:r>
          </w:p>
        </w:tc>
      </w:tr>
      <w:tr w:rsidR="00A0707B" w:rsidRPr="00037C61" w14:paraId="7714A1F4" w14:textId="77777777" w:rsidTr="74CEAA85">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D422332" w14:textId="77777777" w:rsidR="00A0707B" w:rsidRPr="00037C61" w:rsidRDefault="00A0707B" w:rsidP="00A0707B">
            <w:pPr>
              <w:jc w:val="left"/>
              <w:rPr>
                <w:color w:val="000000"/>
                <w:sz w:val="20"/>
                <w:szCs w:val="20"/>
                <w:lang w:val="en-GB"/>
              </w:rPr>
            </w:pPr>
            <w:r w:rsidRPr="00037C61">
              <w:rPr>
                <w:color w:val="000000"/>
                <w:sz w:val="20"/>
                <w:szCs w:val="20"/>
                <w:lang w:val="en-GB"/>
              </w:rPr>
              <w:t>Arad</w:t>
            </w:r>
          </w:p>
        </w:tc>
        <w:tc>
          <w:tcPr>
            <w:tcW w:w="1350" w:type="dxa"/>
            <w:noWrap/>
            <w:hideMark/>
          </w:tcPr>
          <w:p w14:paraId="3D4CE7B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0.0</w:t>
            </w:r>
            <w:r w:rsidR="008B32DD" w:rsidRPr="00037C61">
              <w:rPr>
                <w:sz w:val="20"/>
                <w:szCs w:val="20"/>
                <w:lang w:val="en-GB"/>
              </w:rPr>
              <w:t>%</w:t>
            </w:r>
          </w:p>
        </w:tc>
        <w:tc>
          <w:tcPr>
            <w:tcW w:w="1350" w:type="dxa"/>
            <w:noWrap/>
            <w:hideMark/>
          </w:tcPr>
          <w:p w14:paraId="4A632EC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2.1</w:t>
            </w:r>
            <w:r w:rsidR="008B32DD" w:rsidRPr="00037C61">
              <w:rPr>
                <w:sz w:val="20"/>
                <w:szCs w:val="20"/>
                <w:lang w:val="en-GB"/>
              </w:rPr>
              <w:t>%</w:t>
            </w:r>
          </w:p>
        </w:tc>
        <w:tc>
          <w:tcPr>
            <w:tcW w:w="1440" w:type="dxa"/>
            <w:noWrap/>
            <w:hideMark/>
          </w:tcPr>
          <w:p w14:paraId="5A0752F3"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1.1</w:t>
            </w:r>
            <w:r w:rsidR="008B32DD" w:rsidRPr="00037C61">
              <w:rPr>
                <w:sz w:val="20"/>
                <w:szCs w:val="20"/>
                <w:lang w:val="en-GB"/>
              </w:rPr>
              <w:t>%</w:t>
            </w:r>
          </w:p>
        </w:tc>
        <w:tc>
          <w:tcPr>
            <w:tcW w:w="1440" w:type="dxa"/>
            <w:noWrap/>
            <w:hideMark/>
          </w:tcPr>
          <w:p w14:paraId="6606245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0.1</w:t>
            </w:r>
            <w:r w:rsidR="008B32DD" w:rsidRPr="00037C61">
              <w:rPr>
                <w:sz w:val="20"/>
                <w:szCs w:val="20"/>
                <w:lang w:val="en-GB"/>
              </w:rPr>
              <w:t>%</w:t>
            </w:r>
          </w:p>
        </w:tc>
        <w:tc>
          <w:tcPr>
            <w:tcW w:w="1350" w:type="dxa"/>
            <w:noWrap/>
            <w:hideMark/>
          </w:tcPr>
          <w:p w14:paraId="14AE202A"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GB"/>
              </w:rPr>
            </w:pPr>
            <w:r w:rsidRPr="00037C61">
              <w:rPr>
                <w:sz w:val="20"/>
                <w:szCs w:val="20"/>
                <w:lang w:val="en-GB"/>
              </w:rPr>
              <w:t>-3.2</w:t>
            </w:r>
            <w:r w:rsidR="008B32DD" w:rsidRPr="00037C61">
              <w:rPr>
                <w:sz w:val="20"/>
                <w:szCs w:val="20"/>
                <w:lang w:val="en-GB"/>
              </w:rPr>
              <w:t>%</w:t>
            </w:r>
          </w:p>
        </w:tc>
      </w:tr>
      <w:tr w:rsidR="00A0707B" w:rsidRPr="00037C61" w14:paraId="60465CF2" w14:textId="77777777" w:rsidTr="74CEAA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6D95FE68" w14:textId="69A2B35F" w:rsidR="00A0707B" w:rsidRPr="00037C61" w:rsidRDefault="008B32DD" w:rsidP="00A0707B">
            <w:pPr>
              <w:jc w:val="left"/>
              <w:rPr>
                <w:color w:val="000000"/>
                <w:sz w:val="20"/>
                <w:szCs w:val="20"/>
                <w:lang w:val="en-GB"/>
              </w:rPr>
            </w:pPr>
            <w:r w:rsidRPr="00037C61">
              <w:rPr>
                <w:color w:val="000000"/>
                <w:sz w:val="20"/>
                <w:szCs w:val="20"/>
                <w:lang w:val="en-GB"/>
              </w:rPr>
              <w:t>Timiș</w:t>
            </w:r>
          </w:p>
        </w:tc>
        <w:tc>
          <w:tcPr>
            <w:tcW w:w="1350" w:type="dxa"/>
            <w:noWrap/>
            <w:hideMark/>
          </w:tcPr>
          <w:p w14:paraId="2E4DC3D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-0.3</w:t>
            </w:r>
            <w:r w:rsidR="008B32DD" w:rsidRPr="00037C61">
              <w:rPr>
                <w:sz w:val="20"/>
                <w:szCs w:val="20"/>
                <w:lang w:val="en-GB"/>
              </w:rPr>
              <w:t>%</w:t>
            </w:r>
          </w:p>
        </w:tc>
        <w:tc>
          <w:tcPr>
            <w:tcW w:w="1350" w:type="dxa"/>
            <w:noWrap/>
            <w:hideMark/>
          </w:tcPr>
          <w:p w14:paraId="785F8DEF"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0.0</w:t>
            </w:r>
            <w:r w:rsidR="008B32DD" w:rsidRPr="00037C61">
              <w:rPr>
                <w:sz w:val="20"/>
                <w:szCs w:val="20"/>
                <w:lang w:val="en-GB"/>
              </w:rPr>
              <w:t>%</w:t>
            </w:r>
          </w:p>
        </w:tc>
        <w:tc>
          <w:tcPr>
            <w:tcW w:w="1440" w:type="dxa"/>
            <w:noWrap/>
            <w:hideMark/>
          </w:tcPr>
          <w:p w14:paraId="04D500D0"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0.1</w:t>
            </w:r>
            <w:r w:rsidR="008B32DD" w:rsidRPr="00037C61">
              <w:rPr>
                <w:sz w:val="20"/>
                <w:szCs w:val="20"/>
                <w:lang w:val="en-GB"/>
              </w:rPr>
              <w:t>%</w:t>
            </w:r>
          </w:p>
        </w:tc>
        <w:tc>
          <w:tcPr>
            <w:tcW w:w="1440" w:type="dxa"/>
            <w:noWrap/>
            <w:hideMark/>
          </w:tcPr>
          <w:p w14:paraId="7A8CF01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-0.5</w:t>
            </w:r>
            <w:r w:rsidR="008B32DD" w:rsidRPr="00037C61">
              <w:rPr>
                <w:sz w:val="20"/>
                <w:szCs w:val="20"/>
                <w:lang w:val="en-GB"/>
              </w:rPr>
              <w:t>%</w:t>
            </w:r>
          </w:p>
        </w:tc>
        <w:tc>
          <w:tcPr>
            <w:tcW w:w="1350" w:type="dxa"/>
            <w:noWrap/>
            <w:hideMark/>
          </w:tcPr>
          <w:p w14:paraId="0BE4B6D2"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GB"/>
              </w:rPr>
            </w:pPr>
            <w:r w:rsidRPr="00037C61">
              <w:rPr>
                <w:sz w:val="20"/>
                <w:szCs w:val="20"/>
                <w:lang w:val="en-GB"/>
              </w:rPr>
              <w:t>0.7</w:t>
            </w:r>
            <w:r w:rsidR="008B32DD" w:rsidRPr="00037C61">
              <w:rPr>
                <w:sz w:val="20"/>
                <w:szCs w:val="20"/>
                <w:lang w:val="en-GB"/>
              </w:rPr>
              <w:t>%</w:t>
            </w:r>
          </w:p>
        </w:tc>
      </w:tr>
    </w:tbl>
    <w:p w14:paraId="066894C5" w14:textId="77777777" w:rsidR="00A0707B" w:rsidRPr="00037C61" w:rsidRDefault="00A0707B" w:rsidP="00A0707B">
      <w:pPr>
        <w:pStyle w:val="InterregROHUBullet1"/>
        <w:numPr>
          <w:ilvl w:val="0"/>
          <w:numId w:val="0"/>
        </w:numPr>
        <w:rPr>
          <w:i/>
          <w:color w:val="012751" w:themeColor="text2"/>
          <w:sz w:val="18"/>
        </w:rPr>
      </w:pPr>
      <w:r w:rsidRPr="00037C61">
        <w:rPr>
          <w:i/>
          <w:color w:val="012751" w:themeColor="text2"/>
          <w:sz w:val="18"/>
        </w:rPr>
        <w:t>Source: INS, THEIR</w:t>
      </w:r>
    </w:p>
    <w:p w14:paraId="4633A3ED" w14:textId="220506BE" w:rsidR="00A0707B" w:rsidRPr="00037C61" w:rsidRDefault="00A0707B" w:rsidP="56CF913B">
      <w:pPr>
        <w:rPr>
          <w:i/>
          <w:iCs/>
          <w:lang w:val="en-GB"/>
        </w:rPr>
      </w:pPr>
      <w:r w:rsidRPr="00037C61">
        <w:rPr>
          <w:lang w:val="en-GB"/>
        </w:rPr>
        <w:t xml:space="preserve">The decline of the birth rate and the deepening of the aging process determine mainly </w:t>
      </w:r>
      <w:r w:rsidRPr="00037C61">
        <w:rPr>
          <w:b/>
          <w:bCs/>
          <w:lang w:val="en-GB"/>
        </w:rPr>
        <w:t xml:space="preserve">a decrease of the number of graduates in the </w:t>
      </w:r>
      <w:r w:rsidR="005171E7" w:rsidRPr="00037C61">
        <w:rPr>
          <w:b/>
          <w:bCs/>
          <w:lang w:val="en-GB"/>
        </w:rPr>
        <w:t>programme area</w:t>
      </w:r>
      <w:r w:rsidRPr="00037C61">
        <w:rPr>
          <w:lang w:val="en-GB"/>
        </w:rPr>
        <w:t>. The comparative analysis of the evolution of graduates’ numbers indicates disparities in the period 2014 – 2018 between counties from Romania and Hungary. In Hungarian counties, the main disparities are (</w:t>
      </w:r>
      <w:r w:rsidRPr="00037C61">
        <w:rPr>
          <w:lang w:val="en-GB"/>
        </w:rPr>
        <w:fldChar w:fldCharType="begin"/>
      </w:r>
      <w:r w:rsidRPr="00037C61">
        <w:rPr>
          <w:lang w:val="en-GB"/>
        </w:rPr>
        <w:instrText xml:space="preserve"> REF _Ref50635963 \h </w:instrText>
      </w:r>
      <w:r w:rsidR="008B32DD" w:rsidRPr="00037C61">
        <w:rPr>
          <w:lang w:val="en-GB"/>
        </w:rPr>
        <w:instrText xml:space="preserve"> \* MERGEFORMAT </w:instrText>
      </w:r>
      <w:r w:rsidRPr="00037C61">
        <w:rPr>
          <w:lang w:val="en-GB"/>
        </w:rPr>
      </w:r>
      <w:r w:rsidRPr="00037C61">
        <w:rPr>
          <w:lang w:val="en-GB"/>
        </w:rPr>
        <w:fldChar w:fldCharType="separate"/>
      </w:r>
      <w:r w:rsidR="00A633B8" w:rsidRPr="00037C61">
        <w:rPr>
          <w:lang w:val="en-GB"/>
        </w:rPr>
        <w:t>Table 8</w:t>
      </w:r>
      <w:r w:rsidRPr="00037C61">
        <w:rPr>
          <w:lang w:val="en-GB"/>
        </w:rPr>
        <w:fldChar w:fldCharType="end"/>
      </w:r>
      <w:r w:rsidRPr="00037C61">
        <w:rPr>
          <w:lang w:val="en-GB"/>
        </w:rPr>
        <w:t>):</w:t>
      </w:r>
    </w:p>
    <w:p w14:paraId="4624A2CC" w14:textId="566BA63C" w:rsidR="00A0707B" w:rsidRPr="00037C61" w:rsidRDefault="6446A0E8" w:rsidP="005E0849">
      <w:pPr>
        <w:pStyle w:val="InterregROHUBullet1"/>
        <w:ind w:left="426"/>
      </w:pPr>
      <w:r w:rsidRPr="00037C61">
        <w:lastRenderedPageBreak/>
        <w:t>In case of primary and lower secondary education – in Csongrád-Csanád there was an increase of the number of graduates, while in the other counties the trend is negative. The highest decrease in the number of graduates was registered in Szabolcs-Szatmár-Bereg.</w:t>
      </w:r>
    </w:p>
    <w:p w14:paraId="068654F0" w14:textId="19C8C672" w:rsidR="00A0707B" w:rsidRPr="00037C61" w:rsidRDefault="2C549B0C" w:rsidP="005E0849">
      <w:pPr>
        <w:pStyle w:val="InterregROHUBullet1"/>
        <w:ind w:left="426"/>
      </w:pPr>
      <w:r w:rsidRPr="00037C61">
        <w:t>In case of high-school and vocational education, the decrease of the number of graduates varies a lot between -7.4% in Szabolcs-Szatmár-Bereg and -22.3% in Csongrád-Csanád.</w:t>
      </w:r>
    </w:p>
    <w:p w14:paraId="6A753315" w14:textId="641FF425" w:rsidR="00A0707B" w:rsidRPr="00037C61" w:rsidRDefault="00A0707B" w:rsidP="005E0849">
      <w:pPr>
        <w:pStyle w:val="InterregROHUBullet1"/>
        <w:ind w:left="426"/>
      </w:pPr>
      <w:r w:rsidRPr="00037C61">
        <w:t>For tertiary education the decre</w:t>
      </w:r>
      <w:r w:rsidRPr="004B7868">
        <w:t xml:space="preserve">ase is between -9.5% in Hajdú-Bihar </w:t>
      </w:r>
      <w:r w:rsidR="00FC5058" w:rsidRPr="004B7868">
        <w:t xml:space="preserve">(the similar decrease in overall population aged 20-29) </w:t>
      </w:r>
      <w:r w:rsidRPr="004B7868">
        <w:t>and -22.4% in Szabolcs-Szatmár-Bereg.</w:t>
      </w:r>
      <w:r w:rsidR="00BB7DCB" w:rsidRPr="00DB74BF">
        <w:rPr>
          <w:rFonts w:ascii="Arial" w:hAnsi="Arial" w:cs="Arial"/>
          <w:sz w:val="20"/>
          <w:szCs w:val="20"/>
          <w:shd w:val="clear" w:color="auto" w:fill="FFFFFF"/>
        </w:rPr>
        <w:t xml:space="preserve"> Hajdú-Bihar (-9,5%) and Csongrád</w:t>
      </w:r>
      <w:r w:rsidR="00DE7D07">
        <w:rPr>
          <w:rFonts w:ascii="Arial" w:hAnsi="Arial" w:cs="Arial"/>
          <w:sz w:val="20"/>
          <w:szCs w:val="20"/>
          <w:shd w:val="clear" w:color="auto" w:fill="FFFFFF"/>
        </w:rPr>
        <w:t>-Csan</w:t>
      </w:r>
      <w:r w:rsidR="00DE7D07" w:rsidRPr="005F773B">
        <w:rPr>
          <w:rFonts w:ascii="Arial" w:hAnsi="Arial" w:cs="Arial"/>
          <w:sz w:val="20"/>
          <w:szCs w:val="20"/>
          <w:shd w:val="clear" w:color="auto" w:fill="FFFFFF"/>
        </w:rPr>
        <w:t>ád</w:t>
      </w:r>
      <w:r w:rsidR="00DE7D07">
        <w:rPr>
          <w:rFonts w:ascii="Arial" w:hAnsi="Arial" w:cs="Arial"/>
          <w:sz w:val="20"/>
          <w:szCs w:val="20"/>
          <w:shd w:val="clear" w:color="auto" w:fill="FFFFFF"/>
        </w:rPr>
        <w:t xml:space="preserve"> </w:t>
      </w:r>
      <w:r w:rsidR="00BB7DCB" w:rsidRPr="00DB74BF">
        <w:rPr>
          <w:rFonts w:ascii="Arial" w:hAnsi="Arial" w:cs="Arial"/>
          <w:sz w:val="20"/>
          <w:szCs w:val="20"/>
          <w:shd w:val="clear" w:color="auto" w:fill="FFFFFF"/>
        </w:rPr>
        <w:t>(-11,6%) have relatively lower decrease in number of tertiary graduates than Békés (14,3%) or especially Szabolcs Szatmár-Bereg (22,4%) due to the attractiveness of the Debrecen and Szeged universities that have benefited from significant investments and expanded educational offer in the past years.</w:t>
      </w:r>
    </w:p>
    <w:p w14:paraId="2D3599CD" w14:textId="451910CA" w:rsidR="00A0707B" w:rsidRPr="00037C61" w:rsidRDefault="00A0707B" w:rsidP="005E0849">
      <w:pPr>
        <w:ind w:left="66"/>
        <w:rPr>
          <w:lang w:val="en-GB"/>
        </w:rPr>
      </w:pPr>
      <w:r w:rsidRPr="00037C61">
        <w:rPr>
          <w:lang w:val="en-GB"/>
        </w:rPr>
        <w:t>For Romanian counties (</w:t>
      </w:r>
      <w:r w:rsidRPr="00037C61">
        <w:rPr>
          <w:lang w:val="en-GB"/>
        </w:rPr>
        <w:fldChar w:fldCharType="begin"/>
      </w:r>
      <w:r w:rsidRPr="00037C61">
        <w:rPr>
          <w:lang w:val="en-GB"/>
        </w:rPr>
        <w:instrText xml:space="preserve"> REF _Ref50635963 \h </w:instrText>
      </w:r>
      <w:r w:rsidR="008B32DD" w:rsidRPr="00037C61">
        <w:rPr>
          <w:lang w:val="en-GB"/>
        </w:rPr>
        <w:instrText xml:space="preserve"> \* MERGEFORMAT </w:instrText>
      </w:r>
      <w:r w:rsidRPr="00037C61">
        <w:rPr>
          <w:lang w:val="en-GB"/>
        </w:rPr>
      </w:r>
      <w:r w:rsidRPr="00037C61">
        <w:rPr>
          <w:lang w:val="en-GB"/>
        </w:rPr>
        <w:fldChar w:fldCharType="separate"/>
      </w:r>
      <w:r w:rsidR="00A633B8" w:rsidRPr="00037C61">
        <w:rPr>
          <w:lang w:val="en-GB"/>
        </w:rPr>
        <w:t>Table 8</w:t>
      </w:r>
      <w:r w:rsidRPr="00037C61">
        <w:rPr>
          <w:lang w:val="en-GB"/>
        </w:rPr>
        <w:fldChar w:fldCharType="end"/>
      </w:r>
      <w:r w:rsidRPr="00037C61">
        <w:rPr>
          <w:lang w:val="en-GB"/>
        </w:rPr>
        <w:t>):</w:t>
      </w:r>
    </w:p>
    <w:p w14:paraId="7C5A19E5" w14:textId="4671B085" w:rsidR="00A0707B" w:rsidRPr="00037C61" w:rsidRDefault="00A0707B" w:rsidP="005E0849">
      <w:pPr>
        <w:pStyle w:val="InterregROHUBullet1"/>
        <w:ind w:left="426"/>
      </w:pPr>
      <w:r w:rsidRPr="00037C61">
        <w:t xml:space="preserve">In case of primary and lower secondary education – the lowest decrease was in </w:t>
      </w:r>
      <w:r w:rsidR="008B32DD" w:rsidRPr="00037C61">
        <w:t>Timiș</w:t>
      </w:r>
      <w:r w:rsidRPr="00037C61">
        <w:t xml:space="preserve"> (-2.5%) and the highest in Arad (-7%).</w:t>
      </w:r>
    </w:p>
    <w:p w14:paraId="27A070E3" w14:textId="39389D20" w:rsidR="00A0707B" w:rsidRPr="00037C61" w:rsidRDefault="00A0707B" w:rsidP="005E0849">
      <w:pPr>
        <w:pStyle w:val="InterregROHUBullet1"/>
        <w:ind w:left="426"/>
      </w:pPr>
      <w:r w:rsidRPr="00037C61">
        <w:t>In case of high</w:t>
      </w:r>
      <w:r w:rsidR="21D92D31" w:rsidRPr="00037C61">
        <w:t>-</w:t>
      </w:r>
      <w:r w:rsidRPr="00037C61">
        <w:t>school</w:t>
      </w:r>
      <w:r w:rsidR="00124940" w:rsidRPr="00037C61">
        <w:t xml:space="preserve"> and </w:t>
      </w:r>
      <w:r w:rsidRPr="00037C61">
        <w:t>vocational education the decrease of the number of graduates varies a lot between -10.2% in Arad and -22.1% in Satu Mare.</w:t>
      </w:r>
    </w:p>
    <w:p w14:paraId="51177055" w14:textId="60B3D386" w:rsidR="00A0707B" w:rsidRPr="00037C61" w:rsidRDefault="76158E8F" w:rsidP="56CF913B">
      <w:pPr>
        <w:pStyle w:val="InterregROHUBullet1"/>
        <w:ind w:left="426"/>
        <w:rPr>
          <w:rFonts w:asciiTheme="minorHAnsi" w:eastAsiaTheme="minorEastAsia" w:hAnsiTheme="minorHAnsi" w:cstheme="minorBidi"/>
        </w:rPr>
      </w:pPr>
      <w:r w:rsidRPr="00037C61">
        <w:t>For tertiary education the decrease is between -9.2% in Timiș and -27.6% in Arad</w:t>
      </w:r>
      <w:r w:rsidR="00FC5058" w:rsidRPr="00037C61">
        <w:t>: this is due to a significant reduction in population aged 15-19 and 20-29 in Arad (-20%, -18% between 2009-2018) and Timiș (-24%, -21%) – however with Timișoara still managing to attract students due to its</w:t>
      </w:r>
      <w:r w:rsidRPr="00037C61">
        <w:t xml:space="preserve"> </w:t>
      </w:r>
      <w:r w:rsidR="00FC5058" w:rsidRPr="00037C61">
        <w:t xml:space="preserve">more </w:t>
      </w:r>
      <w:r w:rsidRPr="00037C61">
        <w:rPr>
          <w:rFonts w:eastAsia="Calibri" w:cs="Calibri"/>
        </w:rPr>
        <w:t>varied university educational offe</w:t>
      </w:r>
      <w:r w:rsidR="00FC5058" w:rsidRPr="00037C61">
        <w:rPr>
          <w:rFonts w:eastAsia="Calibri" w:cs="Calibri"/>
        </w:rPr>
        <w:t>r</w:t>
      </w:r>
      <w:r w:rsidRPr="00037C61">
        <w:t>. Satu Mare is an outlier because there was an increase of 22.9</w:t>
      </w:r>
      <w:r w:rsidR="004A0614" w:rsidRPr="00037C61">
        <w:t>%</w:t>
      </w:r>
      <w:r w:rsidRPr="00037C61">
        <w:t xml:space="preserve"> of number of graduates of tertiary education, in part due to the very low enrolment in tertiary education to begin with (1.9% in 2018), and possibly also due to recent development of the educational offer in the county (branches of the „Vasile Goldiș” Arad University, UBB Cluj-Napoca, UTCN, Academia Comercială and Universitatea Spiru Haret). </w:t>
      </w:r>
    </w:p>
    <w:p w14:paraId="0B3D4BBE" w14:textId="38E6290D" w:rsidR="00A0707B" w:rsidRPr="00037C61" w:rsidRDefault="00A0707B" w:rsidP="00A0707B">
      <w:pPr>
        <w:pStyle w:val="Caption"/>
        <w:jc w:val="both"/>
        <w:rPr>
          <w:lang w:val="en-GB"/>
        </w:rPr>
      </w:pPr>
      <w:bookmarkStart w:id="196" w:name="_Ref50635963"/>
      <w:bookmarkStart w:id="197" w:name="_Toc58237632"/>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10</w:t>
      </w:r>
      <w:r w:rsidR="00552808" w:rsidRPr="00037C61">
        <w:rPr>
          <w:lang w:val="en-GB"/>
        </w:rPr>
        <w:fldChar w:fldCharType="end"/>
      </w:r>
      <w:bookmarkEnd w:id="196"/>
      <w:r w:rsidR="00EA5E72" w:rsidRPr="00037C61">
        <w:rPr>
          <w:lang w:val="en-GB"/>
        </w:rPr>
        <w:t xml:space="preserve"> -</w:t>
      </w:r>
      <w:r w:rsidRPr="00037C61">
        <w:rPr>
          <w:lang w:val="en-GB"/>
        </w:rPr>
        <w:t xml:space="preserve"> Number of graduates by level of education, trends between 2014 - 2017</w:t>
      </w:r>
      <w:bookmarkEnd w:id="197"/>
    </w:p>
    <w:tbl>
      <w:tblPr>
        <w:tblStyle w:val="ListTable3-Accent1"/>
        <w:tblW w:w="9079" w:type="dxa"/>
        <w:tblLook w:val="04A0" w:firstRow="1" w:lastRow="0" w:firstColumn="1" w:lastColumn="0" w:noHBand="0" w:noVBand="1"/>
      </w:tblPr>
      <w:tblGrid>
        <w:gridCol w:w="2384"/>
        <w:gridCol w:w="1564"/>
        <w:gridCol w:w="1976"/>
        <w:gridCol w:w="1482"/>
        <w:gridCol w:w="1673"/>
      </w:tblGrid>
      <w:tr w:rsidR="00A0707B" w:rsidRPr="00037C61" w14:paraId="224ABA91" w14:textId="77777777" w:rsidTr="74CEAA85">
        <w:trPr>
          <w:cnfStyle w:val="100000000000" w:firstRow="1" w:lastRow="0" w:firstColumn="0" w:lastColumn="0" w:oddVBand="0" w:evenVBand="0" w:oddHBand="0" w:evenHBand="0" w:firstRowFirstColumn="0" w:firstRowLastColumn="0" w:lastRowFirstColumn="0" w:lastRowLastColumn="0"/>
          <w:trHeight w:val="229"/>
        </w:trPr>
        <w:tc>
          <w:tcPr>
            <w:cnfStyle w:val="001000000100" w:firstRow="0" w:lastRow="0" w:firstColumn="1" w:lastColumn="0" w:oddVBand="0" w:evenVBand="0" w:oddHBand="0" w:evenHBand="0" w:firstRowFirstColumn="1" w:firstRowLastColumn="0" w:lastRowFirstColumn="0" w:lastRowLastColumn="0"/>
            <w:tcW w:w="2384" w:type="dxa"/>
            <w:vMerge w:val="restart"/>
            <w:noWrap/>
            <w:vAlign w:val="center"/>
            <w:hideMark/>
          </w:tcPr>
          <w:p w14:paraId="498F69DA" w14:textId="77777777" w:rsidR="00A0707B" w:rsidRPr="00037C61" w:rsidRDefault="00A0707B" w:rsidP="00A0707B">
            <w:pPr>
              <w:jc w:val="left"/>
              <w:rPr>
                <w:rFonts w:cs="Calibri"/>
                <w:color w:val="auto"/>
                <w:sz w:val="18"/>
                <w:szCs w:val="18"/>
                <w:lang w:val="en-GB"/>
              </w:rPr>
            </w:pPr>
            <w:r w:rsidRPr="00037C61">
              <w:rPr>
                <w:rFonts w:cs="Calibri"/>
                <w:sz w:val="18"/>
                <w:szCs w:val="18"/>
                <w:lang w:val="en-GB"/>
              </w:rPr>
              <w:t>County</w:t>
            </w:r>
          </w:p>
        </w:tc>
        <w:tc>
          <w:tcPr>
            <w:tcW w:w="1564" w:type="dxa"/>
            <w:noWrap/>
            <w:vAlign w:val="center"/>
            <w:hideMark/>
          </w:tcPr>
          <w:p w14:paraId="1DDCA205"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ISCED 1 + 2</w:t>
            </w:r>
          </w:p>
        </w:tc>
        <w:tc>
          <w:tcPr>
            <w:tcW w:w="1976" w:type="dxa"/>
            <w:noWrap/>
            <w:vAlign w:val="center"/>
            <w:hideMark/>
          </w:tcPr>
          <w:p w14:paraId="34405AC8"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ISCED 3</w:t>
            </w:r>
          </w:p>
        </w:tc>
        <w:tc>
          <w:tcPr>
            <w:tcW w:w="1482" w:type="dxa"/>
            <w:noWrap/>
            <w:vAlign w:val="center"/>
            <w:hideMark/>
          </w:tcPr>
          <w:p w14:paraId="23E770A4"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ISCED 4</w:t>
            </w:r>
          </w:p>
        </w:tc>
        <w:tc>
          <w:tcPr>
            <w:tcW w:w="1673" w:type="dxa"/>
            <w:noWrap/>
            <w:vAlign w:val="center"/>
            <w:hideMark/>
          </w:tcPr>
          <w:p w14:paraId="00D91016" w14:textId="11319C1F"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ISCED 5 AND ABOVE</w:t>
            </w:r>
          </w:p>
        </w:tc>
      </w:tr>
      <w:tr w:rsidR="00A0707B" w:rsidRPr="004A5488" w14:paraId="324B01B8" w14:textId="77777777" w:rsidTr="74CEAA8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384" w:type="dxa"/>
            <w:vMerge/>
            <w:noWrap/>
            <w:hideMark/>
          </w:tcPr>
          <w:p w14:paraId="27E4045A" w14:textId="77777777" w:rsidR="00A0707B" w:rsidRPr="00037C61" w:rsidRDefault="00A0707B" w:rsidP="00A0707B">
            <w:pPr>
              <w:jc w:val="left"/>
              <w:rPr>
                <w:rFonts w:cs="Calibri"/>
                <w:color w:val="000000"/>
                <w:sz w:val="18"/>
                <w:szCs w:val="18"/>
                <w:lang w:val="en-GB"/>
              </w:rPr>
            </w:pPr>
          </w:p>
        </w:tc>
        <w:tc>
          <w:tcPr>
            <w:tcW w:w="1564" w:type="dxa"/>
            <w:noWrap/>
            <w:vAlign w:val="center"/>
            <w:hideMark/>
          </w:tcPr>
          <w:p w14:paraId="7187AE19" w14:textId="1B4CD5D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 xml:space="preserve">primary + lower </w:t>
            </w:r>
            <w:r w:rsidR="00772613" w:rsidRPr="00037C61">
              <w:rPr>
                <w:rFonts w:cs="Calibri"/>
                <w:color w:val="000000"/>
                <w:sz w:val="18"/>
                <w:szCs w:val="18"/>
                <w:lang w:val="en-GB"/>
              </w:rPr>
              <w:t>secondary</w:t>
            </w:r>
            <w:r w:rsidRPr="00037C61">
              <w:rPr>
                <w:rFonts w:cs="Calibri"/>
                <w:color w:val="000000"/>
                <w:sz w:val="18"/>
                <w:szCs w:val="18"/>
                <w:lang w:val="en-GB"/>
              </w:rPr>
              <w:t xml:space="preserve"> education</w:t>
            </w:r>
          </w:p>
        </w:tc>
        <w:tc>
          <w:tcPr>
            <w:tcW w:w="1976" w:type="dxa"/>
            <w:noWrap/>
            <w:vAlign w:val="center"/>
            <w:hideMark/>
          </w:tcPr>
          <w:p w14:paraId="7D2EDC84"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highschool education + vocational education</w:t>
            </w:r>
          </w:p>
        </w:tc>
        <w:tc>
          <w:tcPr>
            <w:tcW w:w="1482" w:type="dxa"/>
            <w:noWrap/>
            <w:vAlign w:val="center"/>
            <w:hideMark/>
          </w:tcPr>
          <w:p w14:paraId="09CEBE0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post-secondary non-tertiary education</w:t>
            </w:r>
          </w:p>
        </w:tc>
        <w:tc>
          <w:tcPr>
            <w:tcW w:w="1673" w:type="dxa"/>
            <w:noWrap/>
            <w:vAlign w:val="center"/>
            <w:hideMark/>
          </w:tcPr>
          <w:p w14:paraId="5B5DA335"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tertiary education (public and private)</w:t>
            </w:r>
          </w:p>
        </w:tc>
      </w:tr>
      <w:tr w:rsidR="00A0707B" w:rsidRPr="00037C61" w14:paraId="145AF841" w14:textId="77777777" w:rsidTr="74CEAA85">
        <w:trPr>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028DC50B" w14:textId="77777777" w:rsidR="00A0707B" w:rsidRPr="00037C61" w:rsidRDefault="00A0707B" w:rsidP="00A0707B">
            <w:pPr>
              <w:jc w:val="left"/>
              <w:rPr>
                <w:rFonts w:cs="Calibri"/>
                <w:color w:val="000000"/>
                <w:sz w:val="18"/>
                <w:szCs w:val="18"/>
                <w:lang w:val="en-GB"/>
              </w:rPr>
            </w:pPr>
            <w:r w:rsidRPr="00037C61">
              <w:rPr>
                <w:rFonts w:cs="Calibri"/>
                <w:color w:val="000000"/>
                <w:sz w:val="18"/>
                <w:szCs w:val="18"/>
                <w:lang w:val="en-GB"/>
              </w:rPr>
              <w:t>Hajdú-Bihar</w:t>
            </w:r>
          </w:p>
        </w:tc>
        <w:tc>
          <w:tcPr>
            <w:tcW w:w="1564" w:type="dxa"/>
            <w:noWrap/>
            <w:vAlign w:val="center"/>
            <w:hideMark/>
          </w:tcPr>
          <w:p w14:paraId="13CCD844"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-1.9</w:t>
            </w:r>
            <w:r w:rsidR="3A6E8E1E" w:rsidRPr="00037C61">
              <w:rPr>
                <w:rFonts w:cs="Calibri"/>
                <w:color w:val="000000" w:themeColor="text1"/>
                <w:sz w:val="18"/>
                <w:szCs w:val="18"/>
                <w:lang w:val="en-GB"/>
              </w:rPr>
              <w:t>%</w:t>
            </w:r>
          </w:p>
        </w:tc>
        <w:tc>
          <w:tcPr>
            <w:tcW w:w="1976" w:type="dxa"/>
            <w:noWrap/>
            <w:vAlign w:val="center"/>
            <w:hideMark/>
          </w:tcPr>
          <w:p w14:paraId="3491750F"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-19.5</w:t>
            </w:r>
            <w:r w:rsidR="3A6E8E1E" w:rsidRPr="00037C61">
              <w:rPr>
                <w:rFonts w:cs="Calibri"/>
                <w:color w:val="000000" w:themeColor="text1"/>
                <w:sz w:val="18"/>
                <w:szCs w:val="18"/>
                <w:lang w:val="en-GB"/>
              </w:rPr>
              <w:t>%</w:t>
            </w:r>
          </w:p>
        </w:tc>
        <w:tc>
          <w:tcPr>
            <w:tcW w:w="1482" w:type="dxa"/>
            <w:noWrap/>
            <w:vAlign w:val="center"/>
            <w:hideMark/>
          </w:tcPr>
          <w:p w14:paraId="4B448E73"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no data</w:t>
            </w:r>
          </w:p>
        </w:tc>
        <w:tc>
          <w:tcPr>
            <w:tcW w:w="1673" w:type="dxa"/>
            <w:noWrap/>
            <w:vAlign w:val="center"/>
            <w:hideMark/>
          </w:tcPr>
          <w:p w14:paraId="2019AEF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-9.5</w:t>
            </w:r>
            <w:r w:rsidR="3A6E8E1E" w:rsidRPr="00037C61">
              <w:rPr>
                <w:rFonts w:cs="Calibri"/>
                <w:color w:val="000000" w:themeColor="text1"/>
                <w:sz w:val="18"/>
                <w:szCs w:val="18"/>
                <w:lang w:val="en-GB"/>
              </w:rPr>
              <w:t>%</w:t>
            </w:r>
          </w:p>
        </w:tc>
      </w:tr>
      <w:tr w:rsidR="00A0707B" w:rsidRPr="00037C61" w14:paraId="0D1E1C12" w14:textId="77777777" w:rsidTr="74CEAA8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00F28F03" w14:textId="77777777" w:rsidR="00A0707B" w:rsidRPr="00037C61" w:rsidRDefault="00A0707B" w:rsidP="00A0707B">
            <w:pPr>
              <w:jc w:val="left"/>
              <w:rPr>
                <w:rFonts w:cs="Calibri"/>
                <w:color w:val="000000"/>
                <w:sz w:val="18"/>
                <w:szCs w:val="18"/>
                <w:lang w:val="en-GB"/>
              </w:rPr>
            </w:pPr>
            <w:r w:rsidRPr="00037C61">
              <w:rPr>
                <w:rFonts w:cs="Calibri"/>
                <w:color w:val="000000"/>
                <w:sz w:val="18"/>
                <w:szCs w:val="18"/>
                <w:lang w:val="en-GB"/>
              </w:rPr>
              <w:t>Szabolcs-Szatmár-Bereg</w:t>
            </w:r>
          </w:p>
        </w:tc>
        <w:tc>
          <w:tcPr>
            <w:tcW w:w="1564" w:type="dxa"/>
            <w:noWrap/>
            <w:vAlign w:val="center"/>
            <w:hideMark/>
          </w:tcPr>
          <w:p w14:paraId="74651ECF"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-9.2</w:t>
            </w:r>
            <w:r w:rsidR="3A6E8E1E" w:rsidRPr="00037C61">
              <w:rPr>
                <w:rFonts w:cs="Calibri"/>
                <w:color w:val="000000" w:themeColor="text1"/>
                <w:sz w:val="18"/>
                <w:szCs w:val="18"/>
                <w:lang w:val="en-GB"/>
              </w:rPr>
              <w:t>%</w:t>
            </w:r>
          </w:p>
        </w:tc>
        <w:tc>
          <w:tcPr>
            <w:tcW w:w="1976" w:type="dxa"/>
            <w:noWrap/>
            <w:vAlign w:val="center"/>
            <w:hideMark/>
          </w:tcPr>
          <w:p w14:paraId="665BD84B"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-7.4</w:t>
            </w:r>
            <w:r w:rsidR="3A6E8E1E" w:rsidRPr="00037C61">
              <w:rPr>
                <w:rFonts w:cs="Calibri"/>
                <w:color w:val="000000" w:themeColor="text1"/>
                <w:sz w:val="18"/>
                <w:szCs w:val="18"/>
                <w:lang w:val="en-GB"/>
              </w:rPr>
              <w:t>%</w:t>
            </w:r>
          </w:p>
        </w:tc>
        <w:tc>
          <w:tcPr>
            <w:tcW w:w="1482" w:type="dxa"/>
            <w:noWrap/>
            <w:vAlign w:val="center"/>
            <w:hideMark/>
          </w:tcPr>
          <w:p w14:paraId="6C85AC9B"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no data</w:t>
            </w:r>
          </w:p>
        </w:tc>
        <w:tc>
          <w:tcPr>
            <w:tcW w:w="1673" w:type="dxa"/>
            <w:noWrap/>
            <w:vAlign w:val="center"/>
            <w:hideMark/>
          </w:tcPr>
          <w:p w14:paraId="5F3B9DB5"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-22.4</w:t>
            </w:r>
            <w:r w:rsidR="3A6E8E1E" w:rsidRPr="00037C61">
              <w:rPr>
                <w:rFonts w:cs="Calibri"/>
                <w:color w:val="000000" w:themeColor="text1"/>
                <w:sz w:val="18"/>
                <w:szCs w:val="18"/>
                <w:lang w:val="en-GB"/>
              </w:rPr>
              <w:t>%</w:t>
            </w:r>
          </w:p>
        </w:tc>
      </w:tr>
      <w:tr w:rsidR="00A0707B" w:rsidRPr="00037C61" w14:paraId="4663FD9B" w14:textId="77777777" w:rsidTr="74CEAA85">
        <w:trPr>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5727A6EB" w14:textId="77777777" w:rsidR="00A0707B" w:rsidRPr="00037C61" w:rsidRDefault="00A0707B" w:rsidP="00A0707B">
            <w:pPr>
              <w:jc w:val="left"/>
              <w:rPr>
                <w:rFonts w:cs="Calibri"/>
                <w:color w:val="000000"/>
                <w:sz w:val="18"/>
                <w:szCs w:val="18"/>
                <w:lang w:val="en-GB"/>
              </w:rPr>
            </w:pPr>
            <w:r w:rsidRPr="00037C61">
              <w:rPr>
                <w:rFonts w:cs="Calibri"/>
                <w:color w:val="000000"/>
                <w:sz w:val="18"/>
                <w:szCs w:val="18"/>
                <w:lang w:val="en-GB"/>
              </w:rPr>
              <w:t>Békés</w:t>
            </w:r>
          </w:p>
        </w:tc>
        <w:tc>
          <w:tcPr>
            <w:tcW w:w="1564" w:type="dxa"/>
            <w:noWrap/>
            <w:vAlign w:val="center"/>
            <w:hideMark/>
          </w:tcPr>
          <w:p w14:paraId="273B710B"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-1.2</w:t>
            </w:r>
            <w:r w:rsidR="3A6E8E1E" w:rsidRPr="00037C61">
              <w:rPr>
                <w:rFonts w:cs="Calibri"/>
                <w:color w:val="000000" w:themeColor="text1"/>
                <w:sz w:val="18"/>
                <w:szCs w:val="18"/>
                <w:lang w:val="en-GB"/>
              </w:rPr>
              <w:t>%</w:t>
            </w:r>
          </w:p>
        </w:tc>
        <w:tc>
          <w:tcPr>
            <w:tcW w:w="1976" w:type="dxa"/>
            <w:noWrap/>
            <w:vAlign w:val="center"/>
            <w:hideMark/>
          </w:tcPr>
          <w:p w14:paraId="2E6C8D83"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-14.4</w:t>
            </w:r>
            <w:r w:rsidR="3A6E8E1E" w:rsidRPr="00037C61">
              <w:rPr>
                <w:rFonts w:cs="Calibri"/>
                <w:color w:val="000000" w:themeColor="text1"/>
                <w:sz w:val="18"/>
                <w:szCs w:val="18"/>
                <w:lang w:val="en-GB"/>
              </w:rPr>
              <w:t>%</w:t>
            </w:r>
          </w:p>
        </w:tc>
        <w:tc>
          <w:tcPr>
            <w:tcW w:w="1482" w:type="dxa"/>
            <w:noWrap/>
            <w:vAlign w:val="center"/>
            <w:hideMark/>
          </w:tcPr>
          <w:p w14:paraId="157D9E4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no data</w:t>
            </w:r>
          </w:p>
        </w:tc>
        <w:tc>
          <w:tcPr>
            <w:tcW w:w="1673" w:type="dxa"/>
            <w:noWrap/>
            <w:vAlign w:val="center"/>
            <w:hideMark/>
          </w:tcPr>
          <w:p w14:paraId="0F2CD7EB"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-14.3</w:t>
            </w:r>
            <w:r w:rsidR="3A6E8E1E" w:rsidRPr="00037C61">
              <w:rPr>
                <w:rFonts w:cs="Calibri"/>
                <w:color w:val="000000" w:themeColor="text1"/>
                <w:sz w:val="18"/>
                <w:szCs w:val="18"/>
                <w:lang w:val="en-GB"/>
              </w:rPr>
              <w:t>%</w:t>
            </w:r>
          </w:p>
        </w:tc>
      </w:tr>
      <w:tr w:rsidR="00A0707B" w:rsidRPr="00037C61" w14:paraId="632D3964" w14:textId="77777777" w:rsidTr="74CEAA8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0504F5BC" w14:textId="0EEECEC4" w:rsidR="00A0707B" w:rsidRPr="00037C61" w:rsidRDefault="6446A0E8" w:rsidP="6446A0E8">
            <w:pPr>
              <w:jc w:val="left"/>
              <w:rPr>
                <w:rFonts w:cs="Calibri"/>
                <w:color w:val="000000"/>
                <w:sz w:val="18"/>
                <w:szCs w:val="18"/>
                <w:lang w:val="en-GB"/>
              </w:rPr>
            </w:pPr>
            <w:r w:rsidRPr="00037C61">
              <w:rPr>
                <w:rFonts w:cs="Calibri"/>
                <w:color w:val="000000" w:themeColor="text1"/>
                <w:sz w:val="18"/>
                <w:szCs w:val="18"/>
                <w:lang w:val="en-GB"/>
              </w:rPr>
              <w:t>Csongrád-Csanád</w:t>
            </w:r>
          </w:p>
        </w:tc>
        <w:tc>
          <w:tcPr>
            <w:tcW w:w="1564" w:type="dxa"/>
            <w:noWrap/>
            <w:vAlign w:val="center"/>
            <w:hideMark/>
          </w:tcPr>
          <w:p w14:paraId="2A53D948"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2.8</w:t>
            </w:r>
            <w:r w:rsidR="3A6E8E1E" w:rsidRPr="00037C61">
              <w:rPr>
                <w:rFonts w:cs="Calibri"/>
                <w:color w:val="000000" w:themeColor="text1"/>
                <w:sz w:val="18"/>
                <w:szCs w:val="18"/>
                <w:lang w:val="en-GB"/>
              </w:rPr>
              <w:t>%</w:t>
            </w:r>
          </w:p>
        </w:tc>
        <w:tc>
          <w:tcPr>
            <w:tcW w:w="1976" w:type="dxa"/>
            <w:noWrap/>
            <w:vAlign w:val="center"/>
            <w:hideMark/>
          </w:tcPr>
          <w:p w14:paraId="6DC36A88"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-22.3</w:t>
            </w:r>
            <w:r w:rsidR="3A6E8E1E" w:rsidRPr="00037C61">
              <w:rPr>
                <w:rFonts w:cs="Calibri"/>
                <w:color w:val="000000" w:themeColor="text1"/>
                <w:sz w:val="18"/>
                <w:szCs w:val="18"/>
                <w:lang w:val="en-GB"/>
              </w:rPr>
              <w:t>%</w:t>
            </w:r>
          </w:p>
        </w:tc>
        <w:tc>
          <w:tcPr>
            <w:tcW w:w="1482" w:type="dxa"/>
            <w:noWrap/>
            <w:vAlign w:val="center"/>
            <w:hideMark/>
          </w:tcPr>
          <w:p w14:paraId="7CDAD944"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no data</w:t>
            </w:r>
          </w:p>
        </w:tc>
        <w:tc>
          <w:tcPr>
            <w:tcW w:w="1673" w:type="dxa"/>
            <w:noWrap/>
            <w:vAlign w:val="center"/>
            <w:hideMark/>
          </w:tcPr>
          <w:p w14:paraId="72CDFB4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-11.6</w:t>
            </w:r>
            <w:r w:rsidR="3A6E8E1E" w:rsidRPr="00037C61">
              <w:rPr>
                <w:rFonts w:cs="Calibri"/>
                <w:color w:val="000000" w:themeColor="text1"/>
                <w:sz w:val="18"/>
                <w:szCs w:val="18"/>
                <w:lang w:val="en-GB"/>
              </w:rPr>
              <w:t>%</w:t>
            </w:r>
          </w:p>
        </w:tc>
      </w:tr>
      <w:tr w:rsidR="00A0707B" w:rsidRPr="00037C61" w14:paraId="15781929" w14:textId="77777777" w:rsidTr="74CEAA85">
        <w:trPr>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58FF9B80" w14:textId="77777777" w:rsidR="00A0707B" w:rsidRPr="00037C61" w:rsidRDefault="00A0707B" w:rsidP="00A0707B">
            <w:pPr>
              <w:jc w:val="left"/>
              <w:rPr>
                <w:rFonts w:cs="Calibri"/>
                <w:color w:val="000000"/>
                <w:sz w:val="18"/>
                <w:szCs w:val="18"/>
                <w:lang w:val="en-GB"/>
              </w:rPr>
            </w:pPr>
            <w:r w:rsidRPr="00037C61">
              <w:rPr>
                <w:rFonts w:cs="Calibri"/>
                <w:color w:val="000000"/>
                <w:sz w:val="18"/>
                <w:szCs w:val="18"/>
                <w:lang w:val="en-GB"/>
              </w:rPr>
              <w:t>Bihor</w:t>
            </w:r>
          </w:p>
        </w:tc>
        <w:tc>
          <w:tcPr>
            <w:tcW w:w="1564" w:type="dxa"/>
            <w:noWrap/>
            <w:vAlign w:val="center"/>
            <w:hideMark/>
          </w:tcPr>
          <w:p w14:paraId="60FD6619"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-6.7</w:t>
            </w:r>
            <w:r w:rsidR="3A6E8E1E" w:rsidRPr="00037C61">
              <w:rPr>
                <w:rFonts w:cs="Calibri"/>
                <w:color w:val="000000" w:themeColor="text1"/>
                <w:sz w:val="18"/>
                <w:szCs w:val="18"/>
                <w:lang w:val="en-GB"/>
              </w:rPr>
              <w:t>%</w:t>
            </w:r>
          </w:p>
        </w:tc>
        <w:tc>
          <w:tcPr>
            <w:tcW w:w="1976" w:type="dxa"/>
            <w:noWrap/>
            <w:vAlign w:val="center"/>
            <w:hideMark/>
          </w:tcPr>
          <w:p w14:paraId="7442BCCC"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-17.7</w:t>
            </w:r>
            <w:r w:rsidR="3A6E8E1E" w:rsidRPr="00037C61">
              <w:rPr>
                <w:rFonts w:cs="Calibri"/>
                <w:color w:val="000000" w:themeColor="text1"/>
                <w:sz w:val="18"/>
                <w:szCs w:val="18"/>
                <w:lang w:val="en-GB"/>
              </w:rPr>
              <w:t>%</w:t>
            </w:r>
          </w:p>
        </w:tc>
        <w:tc>
          <w:tcPr>
            <w:tcW w:w="1482" w:type="dxa"/>
            <w:noWrap/>
            <w:vAlign w:val="center"/>
            <w:hideMark/>
          </w:tcPr>
          <w:p w14:paraId="3F51D7A5"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-12.3</w:t>
            </w:r>
            <w:r w:rsidR="3A6E8E1E" w:rsidRPr="00037C61">
              <w:rPr>
                <w:rFonts w:cs="Calibri"/>
                <w:color w:val="000000" w:themeColor="text1"/>
                <w:sz w:val="18"/>
                <w:szCs w:val="18"/>
                <w:lang w:val="en-GB"/>
              </w:rPr>
              <w:t>%</w:t>
            </w:r>
          </w:p>
        </w:tc>
        <w:tc>
          <w:tcPr>
            <w:tcW w:w="1673" w:type="dxa"/>
            <w:noWrap/>
            <w:vAlign w:val="center"/>
            <w:hideMark/>
          </w:tcPr>
          <w:p w14:paraId="41CAA065"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-6.7</w:t>
            </w:r>
            <w:r w:rsidR="3A6E8E1E" w:rsidRPr="00037C61">
              <w:rPr>
                <w:rFonts w:cs="Calibri"/>
                <w:color w:val="000000" w:themeColor="text1"/>
                <w:sz w:val="18"/>
                <w:szCs w:val="18"/>
                <w:lang w:val="en-GB"/>
              </w:rPr>
              <w:t>%</w:t>
            </w:r>
          </w:p>
        </w:tc>
      </w:tr>
      <w:tr w:rsidR="00A0707B" w:rsidRPr="00037C61" w14:paraId="5A04F477" w14:textId="77777777" w:rsidTr="74CEAA8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3B6A04E6" w14:textId="77777777" w:rsidR="00A0707B" w:rsidRPr="00037C61" w:rsidRDefault="00A0707B" w:rsidP="00A0707B">
            <w:pPr>
              <w:jc w:val="left"/>
              <w:rPr>
                <w:rFonts w:cs="Calibri"/>
                <w:color w:val="000000"/>
                <w:sz w:val="18"/>
                <w:szCs w:val="18"/>
                <w:lang w:val="en-GB"/>
              </w:rPr>
            </w:pPr>
            <w:r w:rsidRPr="00037C61">
              <w:rPr>
                <w:rFonts w:cs="Calibri"/>
                <w:color w:val="000000"/>
                <w:sz w:val="18"/>
                <w:szCs w:val="18"/>
                <w:lang w:val="en-GB"/>
              </w:rPr>
              <w:t>Satu Mare</w:t>
            </w:r>
          </w:p>
        </w:tc>
        <w:tc>
          <w:tcPr>
            <w:tcW w:w="1564" w:type="dxa"/>
            <w:noWrap/>
            <w:vAlign w:val="center"/>
            <w:hideMark/>
          </w:tcPr>
          <w:p w14:paraId="6D4ABE9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-5.6</w:t>
            </w:r>
            <w:r w:rsidR="3A6E8E1E" w:rsidRPr="00037C61">
              <w:rPr>
                <w:rFonts w:cs="Calibri"/>
                <w:color w:val="000000" w:themeColor="text1"/>
                <w:sz w:val="18"/>
                <w:szCs w:val="18"/>
                <w:lang w:val="en-GB"/>
              </w:rPr>
              <w:t>%</w:t>
            </w:r>
          </w:p>
        </w:tc>
        <w:tc>
          <w:tcPr>
            <w:tcW w:w="1976" w:type="dxa"/>
            <w:noWrap/>
            <w:vAlign w:val="center"/>
            <w:hideMark/>
          </w:tcPr>
          <w:p w14:paraId="677DF121"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-22.1</w:t>
            </w:r>
            <w:r w:rsidR="3A6E8E1E" w:rsidRPr="00037C61">
              <w:rPr>
                <w:rFonts w:cs="Calibri"/>
                <w:color w:val="000000" w:themeColor="text1"/>
                <w:sz w:val="18"/>
                <w:szCs w:val="18"/>
                <w:lang w:val="en-GB"/>
              </w:rPr>
              <w:t>%</w:t>
            </w:r>
          </w:p>
        </w:tc>
        <w:tc>
          <w:tcPr>
            <w:tcW w:w="1482" w:type="dxa"/>
            <w:noWrap/>
            <w:vAlign w:val="center"/>
            <w:hideMark/>
          </w:tcPr>
          <w:p w14:paraId="65987632"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0.2</w:t>
            </w:r>
            <w:r w:rsidR="3A6E8E1E" w:rsidRPr="00037C61">
              <w:rPr>
                <w:rFonts w:cs="Calibri"/>
                <w:color w:val="000000" w:themeColor="text1"/>
                <w:sz w:val="18"/>
                <w:szCs w:val="18"/>
                <w:lang w:val="en-GB"/>
              </w:rPr>
              <w:t>%</w:t>
            </w:r>
          </w:p>
        </w:tc>
        <w:tc>
          <w:tcPr>
            <w:tcW w:w="1673" w:type="dxa"/>
            <w:noWrap/>
            <w:vAlign w:val="center"/>
            <w:hideMark/>
          </w:tcPr>
          <w:p w14:paraId="24FB5BF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22.9</w:t>
            </w:r>
            <w:r w:rsidR="3A6E8E1E" w:rsidRPr="00037C61">
              <w:rPr>
                <w:rFonts w:cs="Calibri"/>
                <w:color w:val="000000" w:themeColor="text1"/>
                <w:sz w:val="18"/>
                <w:szCs w:val="18"/>
                <w:lang w:val="en-GB"/>
              </w:rPr>
              <w:t>%</w:t>
            </w:r>
          </w:p>
        </w:tc>
      </w:tr>
      <w:tr w:rsidR="00A0707B" w:rsidRPr="00037C61" w14:paraId="39C16281" w14:textId="77777777" w:rsidTr="74CEAA85">
        <w:trPr>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0B23673B" w14:textId="77777777" w:rsidR="00A0707B" w:rsidRPr="00037C61" w:rsidRDefault="00A0707B" w:rsidP="00A0707B">
            <w:pPr>
              <w:jc w:val="left"/>
              <w:rPr>
                <w:rFonts w:cs="Calibri"/>
                <w:color w:val="000000"/>
                <w:sz w:val="18"/>
                <w:szCs w:val="18"/>
                <w:lang w:val="en-GB"/>
              </w:rPr>
            </w:pPr>
            <w:r w:rsidRPr="00037C61">
              <w:rPr>
                <w:rFonts w:cs="Calibri"/>
                <w:color w:val="000000"/>
                <w:sz w:val="18"/>
                <w:szCs w:val="18"/>
                <w:lang w:val="en-GB"/>
              </w:rPr>
              <w:t>Arad</w:t>
            </w:r>
          </w:p>
        </w:tc>
        <w:tc>
          <w:tcPr>
            <w:tcW w:w="1564" w:type="dxa"/>
            <w:noWrap/>
            <w:vAlign w:val="center"/>
            <w:hideMark/>
          </w:tcPr>
          <w:p w14:paraId="683BE86C"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-7.0</w:t>
            </w:r>
            <w:r w:rsidR="3A6E8E1E" w:rsidRPr="00037C61">
              <w:rPr>
                <w:rFonts w:cs="Calibri"/>
                <w:color w:val="000000" w:themeColor="text1"/>
                <w:sz w:val="18"/>
                <w:szCs w:val="18"/>
                <w:lang w:val="en-GB"/>
              </w:rPr>
              <w:t>%</w:t>
            </w:r>
          </w:p>
        </w:tc>
        <w:tc>
          <w:tcPr>
            <w:tcW w:w="1976" w:type="dxa"/>
            <w:noWrap/>
            <w:vAlign w:val="center"/>
            <w:hideMark/>
          </w:tcPr>
          <w:p w14:paraId="5D505498"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-10.2</w:t>
            </w:r>
            <w:r w:rsidR="3A6E8E1E" w:rsidRPr="00037C61">
              <w:rPr>
                <w:rFonts w:cs="Calibri"/>
                <w:color w:val="000000" w:themeColor="text1"/>
                <w:sz w:val="18"/>
                <w:szCs w:val="18"/>
                <w:lang w:val="en-GB"/>
              </w:rPr>
              <w:t>%</w:t>
            </w:r>
          </w:p>
        </w:tc>
        <w:tc>
          <w:tcPr>
            <w:tcW w:w="1482" w:type="dxa"/>
            <w:noWrap/>
            <w:vAlign w:val="center"/>
            <w:hideMark/>
          </w:tcPr>
          <w:p w14:paraId="6DCA317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6.0</w:t>
            </w:r>
            <w:r w:rsidR="3A6E8E1E" w:rsidRPr="00037C61">
              <w:rPr>
                <w:rFonts w:cs="Calibri"/>
                <w:color w:val="000000" w:themeColor="text1"/>
                <w:sz w:val="18"/>
                <w:szCs w:val="18"/>
                <w:lang w:val="en-GB"/>
              </w:rPr>
              <w:t>%</w:t>
            </w:r>
          </w:p>
        </w:tc>
        <w:tc>
          <w:tcPr>
            <w:tcW w:w="1673" w:type="dxa"/>
            <w:noWrap/>
            <w:vAlign w:val="center"/>
            <w:hideMark/>
          </w:tcPr>
          <w:p w14:paraId="00D9ACA8"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-27.6</w:t>
            </w:r>
            <w:r w:rsidR="3A6E8E1E" w:rsidRPr="00037C61">
              <w:rPr>
                <w:rFonts w:cs="Calibri"/>
                <w:color w:val="000000" w:themeColor="text1"/>
                <w:sz w:val="18"/>
                <w:szCs w:val="18"/>
                <w:lang w:val="en-GB"/>
              </w:rPr>
              <w:t>%</w:t>
            </w:r>
          </w:p>
        </w:tc>
      </w:tr>
      <w:tr w:rsidR="00A0707B" w:rsidRPr="00037C61" w14:paraId="6D4BDEA4" w14:textId="77777777" w:rsidTr="74CEAA8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384" w:type="dxa"/>
            <w:noWrap/>
            <w:hideMark/>
          </w:tcPr>
          <w:p w14:paraId="4AECAE8E" w14:textId="7A7EFF14" w:rsidR="00A0707B" w:rsidRPr="00037C61" w:rsidRDefault="008B32DD" w:rsidP="00A0707B">
            <w:pPr>
              <w:jc w:val="left"/>
              <w:rPr>
                <w:rFonts w:cs="Calibri"/>
                <w:color w:val="000000"/>
                <w:sz w:val="18"/>
                <w:szCs w:val="18"/>
                <w:lang w:val="en-GB"/>
              </w:rPr>
            </w:pPr>
            <w:r w:rsidRPr="00037C61">
              <w:rPr>
                <w:rFonts w:cs="Calibri"/>
                <w:color w:val="000000"/>
                <w:sz w:val="18"/>
                <w:szCs w:val="18"/>
                <w:lang w:val="en-GB"/>
              </w:rPr>
              <w:t>Timiș</w:t>
            </w:r>
          </w:p>
        </w:tc>
        <w:tc>
          <w:tcPr>
            <w:tcW w:w="1564" w:type="dxa"/>
            <w:noWrap/>
            <w:vAlign w:val="center"/>
            <w:hideMark/>
          </w:tcPr>
          <w:p w14:paraId="74F14BA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-2.5</w:t>
            </w:r>
            <w:r w:rsidR="3A6E8E1E" w:rsidRPr="00037C61">
              <w:rPr>
                <w:rFonts w:cs="Calibri"/>
                <w:color w:val="000000" w:themeColor="text1"/>
                <w:sz w:val="18"/>
                <w:szCs w:val="18"/>
                <w:lang w:val="en-GB"/>
              </w:rPr>
              <w:t>%</w:t>
            </w:r>
          </w:p>
        </w:tc>
        <w:tc>
          <w:tcPr>
            <w:tcW w:w="1976" w:type="dxa"/>
            <w:noWrap/>
            <w:vAlign w:val="center"/>
            <w:hideMark/>
          </w:tcPr>
          <w:p w14:paraId="67F07692"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-13.7</w:t>
            </w:r>
            <w:r w:rsidR="3A6E8E1E" w:rsidRPr="00037C61">
              <w:rPr>
                <w:rFonts w:cs="Calibri"/>
                <w:color w:val="000000" w:themeColor="text1"/>
                <w:sz w:val="18"/>
                <w:szCs w:val="18"/>
                <w:lang w:val="en-GB"/>
              </w:rPr>
              <w:t>%</w:t>
            </w:r>
          </w:p>
        </w:tc>
        <w:tc>
          <w:tcPr>
            <w:tcW w:w="1482" w:type="dxa"/>
            <w:noWrap/>
            <w:vAlign w:val="center"/>
            <w:hideMark/>
          </w:tcPr>
          <w:p w14:paraId="0F01B9B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-24.8</w:t>
            </w:r>
            <w:r w:rsidR="3A6E8E1E" w:rsidRPr="00037C61">
              <w:rPr>
                <w:rFonts w:cs="Calibri"/>
                <w:color w:val="000000" w:themeColor="text1"/>
                <w:sz w:val="18"/>
                <w:szCs w:val="18"/>
                <w:lang w:val="en-GB"/>
              </w:rPr>
              <w:t>%</w:t>
            </w:r>
          </w:p>
        </w:tc>
        <w:tc>
          <w:tcPr>
            <w:tcW w:w="1673" w:type="dxa"/>
            <w:noWrap/>
            <w:vAlign w:val="center"/>
            <w:hideMark/>
          </w:tcPr>
          <w:p w14:paraId="503DC8C4"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-9.2</w:t>
            </w:r>
            <w:r w:rsidR="3A6E8E1E" w:rsidRPr="00037C61">
              <w:rPr>
                <w:rFonts w:cs="Calibri"/>
                <w:color w:val="000000" w:themeColor="text1"/>
                <w:sz w:val="18"/>
                <w:szCs w:val="18"/>
                <w:lang w:val="en-GB"/>
              </w:rPr>
              <w:t>%</w:t>
            </w:r>
          </w:p>
        </w:tc>
      </w:tr>
    </w:tbl>
    <w:p w14:paraId="3B7244A2" w14:textId="4FB6B62E" w:rsidR="74CEAA85" w:rsidRPr="00037C61" w:rsidRDefault="74CEAA85">
      <w:pPr>
        <w:rPr>
          <w:lang w:val="en-GB"/>
        </w:rPr>
      </w:pPr>
    </w:p>
    <w:p w14:paraId="12A938CF" w14:textId="77777777" w:rsidR="00A0707B" w:rsidRPr="00037C61" w:rsidRDefault="00A0707B" w:rsidP="00A0707B">
      <w:pPr>
        <w:pStyle w:val="InterregROHUBullet1"/>
        <w:numPr>
          <w:ilvl w:val="0"/>
          <w:numId w:val="0"/>
        </w:numPr>
        <w:rPr>
          <w:i/>
          <w:color w:val="012751" w:themeColor="text2"/>
          <w:sz w:val="18"/>
        </w:rPr>
      </w:pPr>
      <w:r w:rsidRPr="00037C61">
        <w:rPr>
          <w:i/>
          <w:color w:val="012751" w:themeColor="text2"/>
          <w:sz w:val="18"/>
        </w:rPr>
        <w:t>Source: INS, THEIR</w:t>
      </w:r>
    </w:p>
    <w:p w14:paraId="55A25E7D" w14:textId="74817C5A" w:rsidR="0050128F" w:rsidRPr="00037C61" w:rsidRDefault="0050128F" w:rsidP="005E0849">
      <w:pPr>
        <w:pStyle w:val="InterregROHUBullet1"/>
        <w:numPr>
          <w:ilvl w:val="0"/>
          <w:numId w:val="0"/>
        </w:numPr>
        <w:spacing w:after="0"/>
      </w:pPr>
      <w:r w:rsidRPr="00037C61">
        <w:t xml:space="preserve">In what concerns education infrastructure, </w:t>
      </w:r>
      <w:r w:rsidR="005E6D92" w:rsidRPr="00037C61">
        <w:t xml:space="preserve">the distribution of education units favours the Hungarian counties, with 2055 units in total </w:t>
      </w:r>
      <w:r w:rsidR="005E6D92" w:rsidRPr="00037C61">
        <w:rPr>
          <w:b/>
          <w:bCs w:val="0"/>
        </w:rPr>
        <w:t>– 2.8 times higher than the Romanian side</w:t>
      </w:r>
      <w:r w:rsidR="005E6D92" w:rsidRPr="00037C61">
        <w:t xml:space="preserve"> (734), which is a significant disparity. However, when analysing the number of classrooms, it becomes apparent that an important part of the disparity is also very much related to the size of the education institutions. </w:t>
      </w:r>
      <w:r w:rsidR="005E6D92" w:rsidRPr="00037C61">
        <w:lastRenderedPageBreak/>
        <w:t xml:space="preserve">At ISCED 1+2 level, the average unit across the Hungarian side has 4.6 classrooms (KSH data, 2018). In Romania, this number is 19.4 (INS data, for 2018) </w:t>
      </w:r>
      <w:r w:rsidR="005E6D92" w:rsidRPr="00037C61">
        <w:rPr>
          <w:b/>
          <w:bCs w:val="0"/>
        </w:rPr>
        <w:t>– almost 5 times higher</w:t>
      </w:r>
      <w:r w:rsidR="005E6D92" w:rsidRPr="00037C61">
        <w:t xml:space="preserve">. </w:t>
      </w:r>
    </w:p>
    <w:p w14:paraId="268C8E12" w14:textId="77777777" w:rsidR="002B176F" w:rsidRPr="00037C61" w:rsidRDefault="002B176F" w:rsidP="005E0849">
      <w:pPr>
        <w:pStyle w:val="InterregROHUBullet1"/>
        <w:numPr>
          <w:ilvl w:val="0"/>
          <w:numId w:val="0"/>
        </w:numPr>
        <w:spacing w:after="0"/>
      </w:pPr>
    </w:p>
    <w:p w14:paraId="36AAFD28" w14:textId="0F45C148" w:rsidR="009332E5" w:rsidRPr="00037C61" w:rsidRDefault="009332E5" w:rsidP="009332E5">
      <w:pPr>
        <w:pStyle w:val="Caption"/>
        <w:keepNext/>
        <w:jc w:val="both"/>
        <w:rPr>
          <w:lang w:val="en-GB"/>
        </w:rPr>
      </w:pPr>
      <w:bookmarkStart w:id="198" w:name="_Toc6461098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36</w:t>
      </w:r>
      <w:r w:rsidR="00412697">
        <w:rPr>
          <w:lang w:val="en-GB"/>
        </w:rPr>
        <w:fldChar w:fldCharType="end"/>
      </w:r>
      <w:r w:rsidRPr="00037C61">
        <w:rPr>
          <w:lang w:val="en-GB"/>
        </w:rPr>
        <w:t xml:space="preserve"> - Education infrastructure in the PA</w:t>
      </w:r>
      <w:bookmarkEnd w:id="198"/>
    </w:p>
    <w:p w14:paraId="5BEDD9F1" w14:textId="741FECCA" w:rsidR="005E6D92" w:rsidRPr="00037C61" w:rsidRDefault="005E6D92" w:rsidP="00A0707B">
      <w:pPr>
        <w:pStyle w:val="InterregROHUBullet1"/>
        <w:numPr>
          <w:ilvl w:val="0"/>
          <w:numId w:val="0"/>
        </w:numPr>
      </w:pPr>
      <w:r w:rsidRPr="00037C61">
        <w:rPr>
          <w:noProof/>
          <w:lang w:val="ro-RO" w:eastAsia="ro-RO"/>
        </w:rPr>
        <mc:AlternateContent>
          <mc:Choice Requires="wpg">
            <w:drawing>
              <wp:inline distT="0" distB="0" distL="0" distR="0" wp14:anchorId="04B7ABCB" wp14:editId="10299990">
                <wp:extent cx="5486400" cy="2876550"/>
                <wp:effectExtent l="19050" t="19050" r="19050" b="19050"/>
                <wp:docPr id="1490160181" name="Group 1490160181"/>
                <wp:cNvGraphicFramePr/>
                <a:graphic xmlns:a="http://schemas.openxmlformats.org/drawingml/2006/main">
                  <a:graphicData uri="http://schemas.microsoft.com/office/word/2010/wordprocessingGroup">
                    <wpg:wgp>
                      <wpg:cNvGrpSpPr/>
                      <wpg:grpSpPr>
                        <a:xfrm>
                          <a:off x="0" y="0"/>
                          <a:ext cx="5486400" cy="2876550"/>
                          <a:chOff x="0" y="0"/>
                          <a:chExt cx="6115050" cy="3076575"/>
                        </a:xfrm>
                      </wpg:grpSpPr>
                      <wpg:graphicFrame>
                        <wpg:cNvPr id="1490160179" name="Chart 1490160179">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ECF553-355F-48F1-AF11-E73E1ABB6F41}"/>
                            </a:ext>
                          </a:extLst>
                        </wpg:cNvPr>
                        <wpg:cNvFrPr/>
                        <wpg:xfrm>
                          <a:off x="0" y="0"/>
                          <a:ext cx="3019425" cy="3076575"/>
                        </wpg:xfrm>
                        <a:graphic>
                          <a:graphicData uri="http://schemas.openxmlformats.org/drawingml/2006/chart">
                            <c:chart xmlns:c="http://schemas.openxmlformats.org/drawingml/2006/chart" xmlns:r="http://schemas.openxmlformats.org/officeDocument/2006/relationships" r:id="rId99"/>
                          </a:graphicData>
                        </a:graphic>
                      </wpg:graphicFrame>
                      <wpg:graphicFrame>
                        <wpg:cNvPr id="1490160180" name="Chart 149016018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444162-4E78-45FD-AA4D-4D5B44A5CF57}"/>
                            </a:ext>
                          </a:extLst>
                        </wpg:cNvPr>
                        <wpg:cNvFrPr/>
                        <wpg:xfrm>
                          <a:off x="3057525" y="0"/>
                          <a:ext cx="3057525" cy="3076575"/>
                        </wpg:xfrm>
                        <a:graphic>
                          <a:graphicData uri="http://schemas.openxmlformats.org/drawingml/2006/chart">
                            <c:chart xmlns:c="http://schemas.openxmlformats.org/drawingml/2006/chart" xmlns:r="http://schemas.openxmlformats.org/officeDocument/2006/relationships" r:id="rId100"/>
                          </a:graphicData>
                        </a:graphic>
                      </wpg:graphicFrame>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190610" id="Group 1490160181" o:spid="_x0000_s1026" style="width:6in;height:226.5pt;mso-position-horizontal-relative:char;mso-position-vertical-relative:line" coordsize="61150,30765"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490160179" o:spid="_x0000_s1027" type="#_x0000_t75" style="position:absolute;left:-135;top:-130;width:30506;height:31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">
                  <v:imagedata r:id="rId101" o:title=""/>
                  <o:lock v:ext="edit" aspectratio="f"/>
                </v:shape>
                <v:shape id="Chart 1490160180" o:spid="_x0000_s1028" type="#_x0000_t75" style="position:absolute;left:30439;top:-130;width:30847;height:31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">
                  <v:imagedata r:id="rId102" o:title=""/>
                  <o:lock v:ext="edit" aspectratio="f"/>
                </v:shape>
                <w10:anchorlock/>
              </v:group>
            </w:pict>
          </mc:Fallback>
        </mc:AlternateContent>
      </w:r>
      <w:r w:rsidR="79ED43D6" w:rsidRPr="00037C61">
        <w:t xml:space="preserve"> </w:t>
      </w:r>
    </w:p>
    <w:p w14:paraId="6F1E4E23" w14:textId="59823E38" w:rsidR="005E6D92" w:rsidRPr="00037C61" w:rsidRDefault="009332E5" w:rsidP="009332E5">
      <w:pPr>
        <w:pStyle w:val="Caption"/>
        <w:keepNext/>
        <w:jc w:val="both"/>
        <w:rPr>
          <w:lang w:val="en-GB"/>
        </w:rPr>
      </w:pPr>
      <w:r w:rsidRPr="00037C61">
        <w:rPr>
          <w:lang w:val="en-GB"/>
        </w:rPr>
        <w:t>Source: INS, KSH</w:t>
      </w:r>
    </w:p>
    <w:p w14:paraId="7499CC46" w14:textId="77777777" w:rsidR="009332E5" w:rsidRPr="00037C61" w:rsidRDefault="009332E5" w:rsidP="009332E5">
      <w:pPr>
        <w:rPr>
          <w:lang w:val="en-GB"/>
        </w:rPr>
      </w:pPr>
    </w:p>
    <w:p w14:paraId="35F396E3" w14:textId="77777777" w:rsidR="00716B71" w:rsidRPr="00037C61" w:rsidRDefault="00716B71" w:rsidP="005E0849">
      <w:pPr>
        <w:rPr>
          <w:lang w:val="en-GB"/>
        </w:rPr>
      </w:pPr>
      <w:r w:rsidRPr="00037C61">
        <w:rPr>
          <w:lang w:val="en-GB"/>
        </w:rPr>
        <w:t xml:space="preserve">In 2018, the number of students per classroom in the PA present similar values for the Romanian and Hungarian side. We can see that the best ratio students per classroom, can be found in Szabolcs-Szatmár-Bereg, Békés and Satu Mare. Although, the value for the entire PA are significantly above national averages (both Hungary and Romania) and above the EU-27 average. Regarding ISCED 3 level, we can observe a better infrastructure distribution/development on the Romanian PA, with values under the national and European average, while Hungarian PA is marginally in-line or above the national EU-27 average. </w:t>
      </w:r>
    </w:p>
    <w:p w14:paraId="5CF0502A" w14:textId="70C1A9FE" w:rsidR="00716B71" w:rsidRPr="00037C61" w:rsidRDefault="00716B71" w:rsidP="00716B71">
      <w:pPr>
        <w:pStyle w:val="Caption"/>
        <w:keepNext/>
        <w:jc w:val="left"/>
        <w:rPr>
          <w:lang w:val="en-GB"/>
        </w:rPr>
      </w:pPr>
      <w:bookmarkStart w:id="199" w:name="_Toc58237633"/>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11</w:t>
      </w:r>
      <w:r w:rsidRPr="00037C61">
        <w:rPr>
          <w:lang w:val="en-GB"/>
        </w:rPr>
        <w:fldChar w:fldCharType="end"/>
      </w:r>
      <w:r w:rsidRPr="00037C61">
        <w:rPr>
          <w:lang w:val="en-GB"/>
        </w:rPr>
        <w:t xml:space="preserve"> - Number of pupils to a classroom, 2018</w:t>
      </w:r>
      <w:bookmarkEnd w:id="199"/>
    </w:p>
    <w:tbl>
      <w:tblPr>
        <w:tblStyle w:val="ListTable3-Accent11"/>
        <w:tblW w:w="9345" w:type="dxa"/>
        <w:tblLayout w:type="fixed"/>
        <w:tblLook w:val="04A0" w:firstRow="1" w:lastRow="0" w:firstColumn="1" w:lastColumn="0" w:noHBand="0" w:noVBand="1"/>
      </w:tblPr>
      <w:tblGrid>
        <w:gridCol w:w="2283"/>
        <w:gridCol w:w="3520"/>
        <w:gridCol w:w="3542"/>
      </w:tblGrid>
      <w:tr w:rsidR="00716B71" w:rsidRPr="00037C61" w14:paraId="04AAC29B" w14:textId="77777777" w:rsidTr="74CEAA85">
        <w:trPr>
          <w:cnfStyle w:val="100000000000" w:firstRow="1" w:lastRow="0" w:firstColumn="0" w:lastColumn="0" w:oddVBand="0" w:evenVBand="0" w:oddHBand="0" w:evenHBand="0" w:firstRowFirstColumn="0" w:firstRowLastColumn="0" w:lastRowFirstColumn="0" w:lastRowLastColumn="0"/>
          <w:trHeight w:val="266"/>
        </w:trPr>
        <w:tc>
          <w:tcPr>
            <w:cnfStyle w:val="001000000100" w:firstRow="0" w:lastRow="0" w:firstColumn="1" w:lastColumn="0" w:oddVBand="0" w:evenVBand="0" w:oddHBand="0" w:evenHBand="0" w:firstRowFirstColumn="1" w:firstRowLastColumn="0" w:lastRowFirstColumn="0" w:lastRowLastColumn="0"/>
            <w:tcW w:w="2285" w:type="dxa"/>
            <w:tcBorders>
              <w:top w:val="single" w:sz="4" w:space="0" w:color="034FA3" w:themeColor="accent1"/>
              <w:left w:val="single" w:sz="4" w:space="0" w:color="034FA3" w:themeColor="accent1"/>
            </w:tcBorders>
            <w:noWrap/>
            <w:hideMark/>
          </w:tcPr>
          <w:p w14:paraId="0A4042F6" w14:textId="77777777" w:rsidR="00716B71" w:rsidRPr="00037C61" w:rsidRDefault="00716B71">
            <w:pPr>
              <w:rPr>
                <w:lang w:val="en-GB"/>
              </w:rPr>
            </w:pPr>
          </w:p>
        </w:tc>
        <w:tc>
          <w:tcPr>
            <w:tcW w:w="3522" w:type="dxa"/>
            <w:tcBorders>
              <w:top w:val="single" w:sz="4" w:space="0" w:color="034FA3" w:themeColor="accent1"/>
              <w:left w:val="nil"/>
              <w:bottom w:val="nil"/>
              <w:right w:val="nil"/>
            </w:tcBorders>
            <w:noWrap/>
            <w:hideMark/>
          </w:tcPr>
          <w:p w14:paraId="5E5599D4" w14:textId="77777777" w:rsidR="00716B71" w:rsidRPr="00037C61" w:rsidRDefault="00716B71">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sz w:val="20"/>
                <w:szCs w:val="20"/>
                <w:lang w:val="en-GB" w:eastAsia="en-GB"/>
              </w:rPr>
            </w:pPr>
            <w:r w:rsidRPr="00037C61">
              <w:rPr>
                <w:rFonts w:eastAsia="Times New Roman" w:cs="Calibri"/>
                <w:sz w:val="20"/>
                <w:szCs w:val="20"/>
                <w:lang w:val="en-GB" w:eastAsia="en-GB"/>
              </w:rPr>
              <w:t>ISCED 1+2</w:t>
            </w:r>
          </w:p>
        </w:tc>
        <w:tc>
          <w:tcPr>
            <w:tcW w:w="3544" w:type="dxa"/>
            <w:tcBorders>
              <w:top w:val="single" w:sz="4" w:space="0" w:color="034FA3" w:themeColor="accent1"/>
              <w:left w:val="nil"/>
              <w:bottom w:val="nil"/>
              <w:right w:val="single" w:sz="4" w:space="0" w:color="034FA3" w:themeColor="accent1"/>
            </w:tcBorders>
            <w:noWrap/>
            <w:hideMark/>
          </w:tcPr>
          <w:p w14:paraId="14FB3847" w14:textId="77777777" w:rsidR="00716B71" w:rsidRPr="00037C61" w:rsidRDefault="00716B71">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sz w:val="20"/>
                <w:szCs w:val="20"/>
                <w:lang w:val="en-GB" w:eastAsia="en-GB"/>
              </w:rPr>
            </w:pPr>
            <w:r w:rsidRPr="00037C61">
              <w:rPr>
                <w:rFonts w:eastAsia="Times New Roman" w:cs="Calibri"/>
                <w:sz w:val="20"/>
                <w:szCs w:val="20"/>
                <w:lang w:val="en-GB" w:eastAsia="en-GB"/>
              </w:rPr>
              <w:t>ISCED 3</w:t>
            </w:r>
          </w:p>
        </w:tc>
      </w:tr>
      <w:tr w:rsidR="00716B71" w:rsidRPr="00037C61" w14:paraId="4D6B363B" w14:textId="77777777" w:rsidTr="74CEAA85">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034FA3" w:themeColor="accent1"/>
            </w:tcBorders>
            <w:shd w:val="clear" w:color="auto" w:fill="FBD1D2" w:themeFill="accent3" w:themeFillTint="33"/>
            <w:hideMark/>
          </w:tcPr>
          <w:p w14:paraId="25F85A60"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Hajdú-Bihar</w:t>
            </w:r>
          </w:p>
        </w:tc>
        <w:tc>
          <w:tcPr>
            <w:tcW w:w="0" w:type="dxa"/>
            <w:tcBorders>
              <w:left w:val="nil"/>
              <w:right w:val="nil"/>
            </w:tcBorders>
            <w:shd w:val="clear" w:color="auto" w:fill="FBD1D2" w:themeFill="accent3" w:themeFillTint="33"/>
            <w:noWrap/>
            <w:hideMark/>
          </w:tcPr>
          <w:p w14:paraId="43AFD2D7"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20.79</w:t>
            </w:r>
          </w:p>
        </w:tc>
        <w:tc>
          <w:tcPr>
            <w:tcW w:w="0" w:type="dxa"/>
            <w:tcBorders>
              <w:left w:val="nil"/>
              <w:right w:val="single" w:sz="4" w:space="0" w:color="034FA3" w:themeColor="accent1"/>
            </w:tcBorders>
            <w:shd w:val="clear" w:color="auto" w:fill="FBD1D2" w:themeFill="accent3" w:themeFillTint="33"/>
            <w:noWrap/>
            <w:hideMark/>
          </w:tcPr>
          <w:p w14:paraId="4B386443"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14.40</w:t>
            </w:r>
          </w:p>
        </w:tc>
      </w:tr>
      <w:tr w:rsidR="00981D6C" w:rsidRPr="00037C61" w14:paraId="38E1CEA9" w14:textId="77777777" w:rsidTr="74CEAA85">
        <w:trPr>
          <w:trHeight w:val="244"/>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034FA3" w:themeColor="accent1"/>
              <w:bottom w:val="nil"/>
            </w:tcBorders>
            <w:shd w:val="clear" w:color="auto" w:fill="FBD1D2" w:themeFill="accent3" w:themeFillTint="33"/>
            <w:hideMark/>
          </w:tcPr>
          <w:p w14:paraId="250C51BF"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Szabolcs-Szatmár-Bereg</w:t>
            </w:r>
          </w:p>
        </w:tc>
        <w:tc>
          <w:tcPr>
            <w:tcW w:w="0" w:type="dxa"/>
            <w:tcBorders>
              <w:top w:val="nil"/>
              <w:left w:val="nil"/>
              <w:bottom w:val="nil"/>
              <w:right w:val="nil"/>
            </w:tcBorders>
            <w:shd w:val="clear" w:color="auto" w:fill="FBD1D2" w:themeFill="accent3" w:themeFillTint="33"/>
            <w:noWrap/>
            <w:hideMark/>
          </w:tcPr>
          <w:p w14:paraId="64A8DDD5"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17.61</w:t>
            </w:r>
          </w:p>
        </w:tc>
        <w:tc>
          <w:tcPr>
            <w:tcW w:w="0" w:type="dxa"/>
            <w:tcBorders>
              <w:top w:val="nil"/>
              <w:left w:val="nil"/>
              <w:bottom w:val="nil"/>
              <w:right w:val="single" w:sz="4" w:space="0" w:color="034FA3" w:themeColor="accent1"/>
            </w:tcBorders>
            <w:shd w:val="clear" w:color="auto" w:fill="FBD1D2" w:themeFill="accent3" w:themeFillTint="33"/>
            <w:noWrap/>
            <w:hideMark/>
          </w:tcPr>
          <w:p w14:paraId="3D531F3A"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12.85</w:t>
            </w:r>
          </w:p>
        </w:tc>
      </w:tr>
      <w:tr w:rsidR="00716B71" w:rsidRPr="00037C61" w14:paraId="366E929D" w14:textId="77777777" w:rsidTr="74CEAA8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034FA3" w:themeColor="accent1"/>
            </w:tcBorders>
            <w:shd w:val="clear" w:color="auto" w:fill="FBD1D2" w:themeFill="accent3" w:themeFillTint="33"/>
            <w:hideMark/>
          </w:tcPr>
          <w:p w14:paraId="49C1F406"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Békés</w:t>
            </w:r>
          </w:p>
        </w:tc>
        <w:tc>
          <w:tcPr>
            <w:tcW w:w="0" w:type="dxa"/>
            <w:tcBorders>
              <w:left w:val="nil"/>
              <w:right w:val="nil"/>
            </w:tcBorders>
            <w:shd w:val="clear" w:color="auto" w:fill="FBD1D2" w:themeFill="accent3" w:themeFillTint="33"/>
            <w:noWrap/>
            <w:hideMark/>
          </w:tcPr>
          <w:p w14:paraId="30BB60B9"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17.09</w:t>
            </w:r>
          </w:p>
        </w:tc>
        <w:tc>
          <w:tcPr>
            <w:tcW w:w="0" w:type="dxa"/>
            <w:tcBorders>
              <w:left w:val="nil"/>
              <w:right w:val="single" w:sz="4" w:space="0" w:color="034FA3" w:themeColor="accent1"/>
            </w:tcBorders>
            <w:shd w:val="clear" w:color="auto" w:fill="FBD1D2" w:themeFill="accent3" w:themeFillTint="33"/>
            <w:noWrap/>
            <w:hideMark/>
          </w:tcPr>
          <w:p w14:paraId="1F7A6B2E"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11.62</w:t>
            </w:r>
          </w:p>
        </w:tc>
      </w:tr>
      <w:tr w:rsidR="00981D6C" w:rsidRPr="00037C61" w14:paraId="7A6BD5EF" w14:textId="77777777" w:rsidTr="74CEAA85">
        <w:trPr>
          <w:trHeight w:val="266"/>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034FA3" w:themeColor="accent1"/>
              <w:bottom w:val="nil"/>
            </w:tcBorders>
            <w:shd w:val="clear" w:color="auto" w:fill="FBD1D2" w:themeFill="accent3" w:themeFillTint="33"/>
            <w:hideMark/>
          </w:tcPr>
          <w:p w14:paraId="4AFB4EC7"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Csongrád</w:t>
            </w:r>
          </w:p>
        </w:tc>
        <w:tc>
          <w:tcPr>
            <w:tcW w:w="0" w:type="dxa"/>
            <w:tcBorders>
              <w:top w:val="nil"/>
              <w:left w:val="nil"/>
              <w:bottom w:val="nil"/>
              <w:right w:val="nil"/>
            </w:tcBorders>
            <w:shd w:val="clear" w:color="auto" w:fill="FBD1D2" w:themeFill="accent3" w:themeFillTint="33"/>
            <w:noWrap/>
            <w:hideMark/>
          </w:tcPr>
          <w:p w14:paraId="2609F58C"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23.85</w:t>
            </w:r>
          </w:p>
        </w:tc>
        <w:tc>
          <w:tcPr>
            <w:tcW w:w="0" w:type="dxa"/>
            <w:tcBorders>
              <w:top w:val="nil"/>
              <w:left w:val="nil"/>
              <w:bottom w:val="nil"/>
              <w:right w:val="single" w:sz="4" w:space="0" w:color="034FA3" w:themeColor="accent1"/>
            </w:tcBorders>
            <w:shd w:val="clear" w:color="auto" w:fill="FBD1D2" w:themeFill="accent3" w:themeFillTint="33"/>
            <w:noWrap/>
            <w:hideMark/>
          </w:tcPr>
          <w:p w14:paraId="671DB9C0"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12.71</w:t>
            </w:r>
          </w:p>
        </w:tc>
      </w:tr>
      <w:tr w:rsidR="00716B71" w:rsidRPr="00037C61" w14:paraId="7294C39D" w14:textId="77777777" w:rsidTr="74CEAA8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034FA3" w:themeColor="accent1"/>
            </w:tcBorders>
            <w:shd w:val="clear" w:color="auto" w:fill="D3E8FE" w:themeFill="text2" w:themeFillTint="1A"/>
            <w:hideMark/>
          </w:tcPr>
          <w:p w14:paraId="15FB3434"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Bihor</w:t>
            </w:r>
          </w:p>
        </w:tc>
        <w:tc>
          <w:tcPr>
            <w:tcW w:w="0" w:type="dxa"/>
            <w:tcBorders>
              <w:left w:val="nil"/>
              <w:right w:val="nil"/>
            </w:tcBorders>
            <w:shd w:val="clear" w:color="auto" w:fill="D3E8FE" w:themeFill="text2" w:themeFillTint="1A"/>
            <w:noWrap/>
            <w:hideMark/>
          </w:tcPr>
          <w:p w14:paraId="610E6476"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23.75</w:t>
            </w:r>
          </w:p>
        </w:tc>
        <w:tc>
          <w:tcPr>
            <w:tcW w:w="0" w:type="dxa"/>
            <w:tcBorders>
              <w:left w:val="nil"/>
              <w:right w:val="single" w:sz="4" w:space="0" w:color="034FA3" w:themeColor="accent1"/>
            </w:tcBorders>
            <w:shd w:val="clear" w:color="auto" w:fill="D3E8FE" w:themeFill="text2" w:themeFillTint="1A"/>
            <w:noWrap/>
            <w:hideMark/>
          </w:tcPr>
          <w:p w14:paraId="0030FE34"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7.10</w:t>
            </w:r>
          </w:p>
        </w:tc>
      </w:tr>
      <w:tr w:rsidR="00981D6C" w:rsidRPr="00037C61" w14:paraId="041172C3" w14:textId="77777777" w:rsidTr="74CEAA85">
        <w:trPr>
          <w:trHeight w:val="266"/>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034FA3" w:themeColor="accent1"/>
              <w:bottom w:val="nil"/>
            </w:tcBorders>
            <w:shd w:val="clear" w:color="auto" w:fill="D3E8FE" w:themeFill="text2" w:themeFillTint="1A"/>
            <w:hideMark/>
          </w:tcPr>
          <w:p w14:paraId="50215D1D"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Satu Mare</w:t>
            </w:r>
          </w:p>
        </w:tc>
        <w:tc>
          <w:tcPr>
            <w:tcW w:w="0" w:type="dxa"/>
            <w:tcBorders>
              <w:top w:val="nil"/>
              <w:left w:val="nil"/>
              <w:bottom w:val="nil"/>
              <w:right w:val="nil"/>
            </w:tcBorders>
            <w:shd w:val="clear" w:color="auto" w:fill="D3E8FE" w:themeFill="text2" w:themeFillTint="1A"/>
            <w:noWrap/>
            <w:hideMark/>
          </w:tcPr>
          <w:p w14:paraId="2AFE0C29"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19.14</w:t>
            </w:r>
          </w:p>
        </w:tc>
        <w:tc>
          <w:tcPr>
            <w:tcW w:w="0" w:type="dxa"/>
            <w:tcBorders>
              <w:top w:val="nil"/>
              <w:left w:val="nil"/>
              <w:bottom w:val="nil"/>
              <w:right w:val="single" w:sz="4" w:space="0" w:color="034FA3" w:themeColor="accent1"/>
            </w:tcBorders>
            <w:shd w:val="clear" w:color="auto" w:fill="D3E8FE" w:themeFill="text2" w:themeFillTint="1A"/>
            <w:noWrap/>
            <w:hideMark/>
          </w:tcPr>
          <w:p w14:paraId="6F254693"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9.77</w:t>
            </w:r>
          </w:p>
        </w:tc>
      </w:tr>
      <w:tr w:rsidR="00716B71" w:rsidRPr="00037C61" w14:paraId="0933076D" w14:textId="77777777" w:rsidTr="74CEAA8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034FA3" w:themeColor="accent1"/>
            </w:tcBorders>
            <w:shd w:val="clear" w:color="auto" w:fill="D3E8FE" w:themeFill="text2" w:themeFillTint="1A"/>
            <w:hideMark/>
          </w:tcPr>
          <w:p w14:paraId="2C6C51F9"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Arad</w:t>
            </w:r>
          </w:p>
        </w:tc>
        <w:tc>
          <w:tcPr>
            <w:tcW w:w="0" w:type="dxa"/>
            <w:tcBorders>
              <w:left w:val="nil"/>
              <w:right w:val="nil"/>
            </w:tcBorders>
            <w:shd w:val="clear" w:color="auto" w:fill="D3E8FE" w:themeFill="text2" w:themeFillTint="1A"/>
            <w:noWrap/>
            <w:hideMark/>
          </w:tcPr>
          <w:p w14:paraId="52917A99"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20.03</w:t>
            </w:r>
          </w:p>
        </w:tc>
        <w:tc>
          <w:tcPr>
            <w:tcW w:w="0" w:type="dxa"/>
            <w:tcBorders>
              <w:left w:val="nil"/>
              <w:right w:val="single" w:sz="4" w:space="0" w:color="034FA3" w:themeColor="accent1"/>
            </w:tcBorders>
            <w:shd w:val="clear" w:color="auto" w:fill="D3E8FE" w:themeFill="text2" w:themeFillTint="1A"/>
            <w:noWrap/>
            <w:hideMark/>
          </w:tcPr>
          <w:p w14:paraId="321921D0"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lang w:val="en-GB"/>
              </w:rPr>
              <w:t>7.09</w:t>
            </w:r>
          </w:p>
        </w:tc>
      </w:tr>
      <w:tr w:rsidR="00981D6C" w:rsidRPr="00037C61" w14:paraId="0D691384" w14:textId="77777777" w:rsidTr="74CEAA85">
        <w:trPr>
          <w:trHeight w:val="266"/>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034FA3" w:themeColor="accent1"/>
              <w:bottom w:val="nil"/>
            </w:tcBorders>
            <w:shd w:val="clear" w:color="auto" w:fill="D3E8FE" w:themeFill="text2" w:themeFillTint="1A"/>
            <w:hideMark/>
          </w:tcPr>
          <w:p w14:paraId="05B0926E"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Timis</w:t>
            </w:r>
          </w:p>
        </w:tc>
        <w:tc>
          <w:tcPr>
            <w:tcW w:w="0" w:type="dxa"/>
            <w:tcBorders>
              <w:top w:val="nil"/>
              <w:left w:val="nil"/>
              <w:bottom w:val="nil"/>
              <w:right w:val="nil"/>
            </w:tcBorders>
            <w:shd w:val="clear" w:color="auto" w:fill="D3E8FE" w:themeFill="text2" w:themeFillTint="1A"/>
            <w:noWrap/>
            <w:hideMark/>
          </w:tcPr>
          <w:p w14:paraId="61EE316B"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22.29</w:t>
            </w:r>
          </w:p>
        </w:tc>
        <w:tc>
          <w:tcPr>
            <w:tcW w:w="0" w:type="dxa"/>
            <w:tcBorders>
              <w:top w:val="nil"/>
              <w:left w:val="nil"/>
              <w:bottom w:val="nil"/>
              <w:right w:val="single" w:sz="4" w:space="0" w:color="034FA3" w:themeColor="accent1"/>
            </w:tcBorders>
            <w:shd w:val="clear" w:color="auto" w:fill="D3E8FE" w:themeFill="text2" w:themeFillTint="1A"/>
            <w:noWrap/>
            <w:hideMark/>
          </w:tcPr>
          <w:p w14:paraId="09EABD33"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lang w:val="en-GB"/>
              </w:rPr>
              <w:t>7.32</w:t>
            </w:r>
          </w:p>
        </w:tc>
      </w:tr>
      <w:tr w:rsidR="00716B71" w:rsidRPr="00037C61" w14:paraId="704553A7" w14:textId="77777777" w:rsidTr="74CEAA8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034FA3" w:themeColor="accent1"/>
            </w:tcBorders>
            <w:shd w:val="clear" w:color="auto" w:fill="FBD1D2" w:themeFill="accent3" w:themeFillTint="33"/>
            <w:hideMark/>
          </w:tcPr>
          <w:p w14:paraId="131E5518"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 xml:space="preserve">Hungary </w:t>
            </w:r>
          </w:p>
        </w:tc>
        <w:tc>
          <w:tcPr>
            <w:tcW w:w="0" w:type="dxa"/>
            <w:tcBorders>
              <w:left w:val="nil"/>
              <w:right w:val="nil"/>
            </w:tcBorders>
            <w:shd w:val="clear" w:color="auto" w:fill="FBD1D2" w:themeFill="accent3" w:themeFillTint="33"/>
            <w:noWrap/>
            <w:hideMark/>
          </w:tcPr>
          <w:p w14:paraId="0DB33EA8"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lang w:val="en-GB"/>
              </w:rPr>
            </w:pPr>
            <w:r w:rsidRPr="00037C61">
              <w:rPr>
                <w:lang w:val="en-GB"/>
              </w:rPr>
              <w:t>10.6</w:t>
            </w:r>
          </w:p>
        </w:tc>
        <w:tc>
          <w:tcPr>
            <w:tcW w:w="0" w:type="dxa"/>
            <w:tcBorders>
              <w:left w:val="nil"/>
              <w:right w:val="single" w:sz="4" w:space="0" w:color="034FA3" w:themeColor="accent1"/>
            </w:tcBorders>
            <w:shd w:val="clear" w:color="auto" w:fill="FBD1D2" w:themeFill="accent3" w:themeFillTint="33"/>
            <w:noWrap/>
            <w:hideMark/>
          </w:tcPr>
          <w:p w14:paraId="30776AB4"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lang w:val="en-GB"/>
              </w:rPr>
            </w:pPr>
            <w:r w:rsidRPr="00037C61">
              <w:rPr>
                <w:lang w:val="en-GB"/>
              </w:rPr>
              <w:t>11.9</w:t>
            </w:r>
          </w:p>
        </w:tc>
      </w:tr>
      <w:tr w:rsidR="00981D6C" w:rsidRPr="00037C61" w14:paraId="5E2E6002" w14:textId="77777777" w:rsidTr="74CEAA85">
        <w:trPr>
          <w:trHeight w:val="266"/>
        </w:trPr>
        <w:tc>
          <w:tcPr>
            <w:cnfStyle w:val="001000000000" w:firstRow="0" w:lastRow="0" w:firstColumn="1" w:lastColumn="0" w:oddVBand="0" w:evenVBand="0" w:oddHBand="0" w:evenHBand="0" w:firstRowFirstColumn="0" w:firstRowLastColumn="0" w:lastRowFirstColumn="0" w:lastRowLastColumn="0"/>
            <w:tcW w:w="0" w:type="dxa"/>
            <w:tcBorders>
              <w:top w:val="nil"/>
              <w:left w:val="single" w:sz="4" w:space="0" w:color="034FA3" w:themeColor="accent1"/>
              <w:bottom w:val="nil"/>
            </w:tcBorders>
            <w:shd w:val="clear" w:color="auto" w:fill="D3E8FE" w:themeFill="text2" w:themeFillTint="1A"/>
            <w:hideMark/>
          </w:tcPr>
          <w:p w14:paraId="2EA72CD3"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Romania</w:t>
            </w:r>
          </w:p>
        </w:tc>
        <w:tc>
          <w:tcPr>
            <w:tcW w:w="0" w:type="dxa"/>
            <w:tcBorders>
              <w:top w:val="nil"/>
              <w:left w:val="nil"/>
              <w:bottom w:val="nil"/>
              <w:right w:val="nil"/>
            </w:tcBorders>
            <w:shd w:val="clear" w:color="auto" w:fill="D3E8FE" w:themeFill="text2" w:themeFillTint="1A"/>
            <w:noWrap/>
            <w:hideMark/>
          </w:tcPr>
          <w:p w14:paraId="5E6F5791"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lang w:val="en-GB"/>
              </w:rPr>
            </w:pPr>
            <w:r w:rsidRPr="00037C61">
              <w:rPr>
                <w:lang w:val="en-GB"/>
              </w:rPr>
              <w:t>15</w:t>
            </w:r>
          </w:p>
        </w:tc>
        <w:tc>
          <w:tcPr>
            <w:tcW w:w="0" w:type="dxa"/>
            <w:tcBorders>
              <w:top w:val="nil"/>
              <w:left w:val="nil"/>
              <w:bottom w:val="nil"/>
              <w:right w:val="single" w:sz="4" w:space="0" w:color="034FA3" w:themeColor="accent1"/>
            </w:tcBorders>
            <w:shd w:val="clear" w:color="auto" w:fill="D3E8FE" w:themeFill="text2" w:themeFillTint="1A"/>
            <w:noWrap/>
            <w:hideMark/>
          </w:tcPr>
          <w:p w14:paraId="707F495D" w14:textId="77777777" w:rsidR="00716B71" w:rsidRPr="00037C61" w:rsidRDefault="00716B71">
            <w:pPr>
              <w:jc w:val="center"/>
              <w:cnfStyle w:val="000000000000" w:firstRow="0" w:lastRow="0" w:firstColumn="0" w:lastColumn="0" w:oddVBand="0" w:evenVBand="0" w:oddHBand="0" w:evenHBand="0" w:firstRowFirstColumn="0" w:firstRowLastColumn="0" w:lastRowFirstColumn="0" w:lastRowLastColumn="0"/>
              <w:rPr>
                <w:lang w:val="en-GB"/>
              </w:rPr>
            </w:pPr>
            <w:r w:rsidRPr="00037C61">
              <w:rPr>
                <w:lang w:val="en-GB"/>
              </w:rPr>
              <w:t>13.6</w:t>
            </w:r>
          </w:p>
        </w:tc>
      </w:tr>
      <w:tr w:rsidR="00716B71" w:rsidRPr="00037C61" w14:paraId="4ED45D22" w14:textId="77777777" w:rsidTr="74CEAA8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285" w:type="dxa"/>
            <w:tcBorders>
              <w:left w:val="single" w:sz="4" w:space="0" w:color="034FA3" w:themeColor="accent1"/>
            </w:tcBorders>
            <w:hideMark/>
          </w:tcPr>
          <w:p w14:paraId="342603DF" w14:textId="77777777" w:rsidR="00716B71" w:rsidRPr="00037C61" w:rsidRDefault="00716B71">
            <w:pPr>
              <w:jc w:val="left"/>
              <w:rPr>
                <w:rFonts w:eastAsia="Times New Roman" w:cs="Calibri"/>
                <w:color w:val="000000"/>
                <w:sz w:val="20"/>
                <w:szCs w:val="20"/>
                <w:lang w:val="en-GB" w:eastAsia="en-GB"/>
              </w:rPr>
            </w:pPr>
            <w:r w:rsidRPr="00037C61">
              <w:rPr>
                <w:rFonts w:eastAsia="Times New Roman" w:cs="Calibri"/>
                <w:color w:val="000000"/>
                <w:sz w:val="20"/>
                <w:szCs w:val="20"/>
                <w:lang w:val="en-GB" w:eastAsia="en-GB"/>
              </w:rPr>
              <w:t>EU-27</w:t>
            </w:r>
          </w:p>
        </w:tc>
        <w:tc>
          <w:tcPr>
            <w:tcW w:w="3522" w:type="dxa"/>
            <w:tcBorders>
              <w:left w:val="nil"/>
              <w:right w:val="nil"/>
            </w:tcBorders>
            <w:noWrap/>
            <w:hideMark/>
          </w:tcPr>
          <w:p w14:paraId="316F3F01"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lang w:val="en-GB"/>
              </w:rPr>
            </w:pPr>
            <w:r w:rsidRPr="00037C61">
              <w:rPr>
                <w:lang w:val="en-GB"/>
              </w:rPr>
              <w:t>12.8</w:t>
            </w:r>
          </w:p>
        </w:tc>
        <w:tc>
          <w:tcPr>
            <w:tcW w:w="3544" w:type="dxa"/>
            <w:tcBorders>
              <w:left w:val="nil"/>
              <w:right w:val="single" w:sz="4" w:space="0" w:color="034FA3" w:themeColor="accent1"/>
            </w:tcBorders>
            <w:noWrap/>
            <w:hideMark/>
          </w:tcPr>
          <w:p w14:paraId="13D0DDA9" w14:textId="77777777" w:rsidR="00716B71" w:rsidRPr="00037C61" w:rsidRDefault="00716B71">
            <w:pPr>
              <w:jc w:val="center"/>
              <w:cnfStyle w:val="000000100000" w:firstRow="0" w:lastRow="0" w:firstColumn="0" w:lastColumn="0" w:oddVBand="0" w:evenVBand="0" w:oddHBand="1" w:evenHBand="0" w:firstRowFirstColumn="0" w:firstRowLastColumn="0" w:lastRowFirstColumn="0" w:lastRowLastColumn="0"/>
              <w:rPr>
                <w:lang w:val="en-GB"/>
              </w:rPr>
            </w:pPr>
            <w:r w:rsidRPr="00037C61">
              <w:rPr>
                <w:lang w:val="en-GB"/>
              </w:rPr>
              <w:t>11.3</w:t>
            </w:r>
          </w:p>
        </w:tc>
      </w:tr>
    </w:tbl>
    <w:p w14:paraId="30CBC954" w14:textId="2B9548AF" w:rsidR="005E6D92" w:rsidRPr="00037C61" w:rsidRDefault="0071321A" w:rsidP="005E0849">
      <w:pPr>
        <w:pStyle w:val="InterregROHUBullet1"/>
        <w:numPr>
          <w:ilvl w:val="0"/>
          <w:numId w:val="0"/>
        </w:numPr>
        <w:spacing w:before="240"/>
        <w:rPr>
          <w:rFonts w:cstheme="minorBidi"/>
          <w:bCs w:val="0"/>
          <w:i/>
          <w:iCs/>
          <w:color w:val="012751" w:themeColor="text2"/>
          <w:sz w:val="18"/>
          <w:szCs w:val="18"/>
        </w:rPr>
      </w:pPr>
      <w:r w:rsidRPr="00037C61">
        <w:rPr>
          <w:rFonts w:cstheme="minorBidi"/>
          <w:bCs w:val="0"/>
          <w:i/>
          <w:iCs/>
          <w:color w:val="012751" w:themeColor="text2"/>
          <w:sz w:val="18"/>
          <w:szCs w:val="18"/>
        </w:rPr>
        <w:t xml:space="preserve">Source: INS, KSH and Eurostat   </w:t>
      </w:r>
    </w:p>
    <w:p w14:paraId="00F5212A" w14:textId="7814BC1E" w:rsidR="00A0707B" w:rsidRPr="00037C61" w:rsidRDefault="00A0707B" w:rsidP="48589249">
      <w:pPr>
        <w:pStyle w:val="InterregROHUBullet1"/>
        <w:numPr>
          <w:ilvl w:val="0"/>
          <w:numId w:val="0"/>
        </w:numPr>
      </w:pPr>
      <w:r w:rsidRPr="00037C61">
        <w:rPr>
          <w:b/>
        </w:rPr>
        <w:t>Number of pupils per teacher</w:t>
      </w:r>
      <w:r w:rsidRPr="00037C61">
        <w:t xml:space="preserve"> is one of the main indicator</w:t>
      </w:r>
      <w:r w:rsidR="00BD784F" w:rsidRPr="00037C61">
        <w:t>s</w:t>
      </w:r>
      <w:r w:rsidRPr="00037C61">
        <w:t xml:space="preserve"> for quality of education. In the </w:t>
      </w:r>
      <w:r w:rsidR="005171E7" w:rsidRPr="00037C61">
        <w:t>programme area</w:t>
      </w:r>
      <w:r w:rsidRPr="00037C61">
        <w:t xml:space="preserve"> there are high disparities between Romanian and Hungarian counties in case of primary and </w:t>
      </w:r>
      <w:r w:rsidRPr="00037C61">
        <w:lastRenderedPageBreak/>
        <w:t>lower secondary education and post-secondary education. At EU level</w:t>
      </w:r>
      <w:r w:rsidR="00441AB0" w:rsidRPr="00037C61">
        <w:t>,</w:t>
      </w:r>
      <w:r w:rsidRPr="00037C61">
        <w:t xml:space="preserve"> the average number of pupils per primary </w:t>
      </w:r>
      <w:r w:rsidR="00441AB0" w:rsidRPr="00037C61">
        <w:t xml:space="preserve">school teacher was 13.6 (2018), while for the lower secondary education, this figure was 12.0 (EUROSTAT, [educ_uoe_perp04]).  These figures are different in the PA, which records lower than EU average figures for Hungary and significantly higher ones for Romania </w:t>
      </w:r>
      <w:r w:rsidRPr="00037C61">
        <w:t>(</w:t>
      </w:r>
      <w:r w:rsidRPr="00037C61">
        <w:fldChar w:fldCharType="begin"/>
      </w:r>
      <w:r w:rsidRPr="00037C61">
        <w:instrText xml:space="preserve"> REF _Ref50641174 \h </w:instrText>
      </w:r>
      <w:r w:rsidR="00441AB0" w:rsidRPr="00037C61">
        <w:instrText xml:space="preserve"> \* MERGEFORMAT </w:instrText>
      </w:r>
      <w:r w:rsidRPr="00037C61">
        <w:fldChar w:fldCharType="separate"/>
      </w:r>
      <w:r w:rsidR="00001B24" w:rsidRPr="00037C61">
        <w:t xml:space="preserve">Table </w:t>
      </w:r>
      <w:r w:rsidR="00441AB0" w:rsidRPr="00037C61">
        <w:t>10</w:t>
      </w:r>
      <w:r w:rsidRPr="00037C61">
        <w:fldChar w:fldCharType="end"/>
      </w:r>
      <w:r w:rsidRPr="00037C61">
        <w:t>)</w:t>
      </w:r>
      <w:r w:rsidR="07A41C3D" w:rsidRPr="00037C61">
        <w:t xml:space="preserve"> </w:t>
      </w:r>
    </w:p>
    <w:p w14:paraId="5705F211" w14:textId="5E3A204C" w:rsidR="00A0707B" w:rsidRPr="00037C61" w:rsidRDefault="76158E8F" w:rsidP="005E0849">
      <w:pPr>
        <w:pStyle w:val="InterregROHUBullet1"/>
        <w:ind w:left="709"/>
        <w:rPr>
          <w:color w:val="000000" w:themeColor="text1"/>
        </w:rPr>
      </w:pPr>
      <w:r w:rsidRPr="00037C61">
        <w:t xml:space="preserve">The Hungarian </w:t>
      </w:r>
      <w:r w:rsidR="00001B24" w:rsidRPr="00037C61">
        <w:t xml:space="preserve">PA </w:t>
      </w:r>
      <w:r w:rsidRPr="00037C61">
        <w:t xml:space="preserve">counties have an average of number of pupils per a primary and lower secondary school teacher below or similar to the national average value. At the same time, in Romania the </w:t>
      </w:r>
      <w:r w:rsidR="00001B24" w:rsidRPr="00037C61">
        <w:t xml:space="preserve">PA </w:t>
      </w:r>
      <w:r w:rsidRPr="00037C61">
        <w:t xml:space="preserve">counties registered values bigger than the national values. The average number of pupils per a primary and lower secondary school teacher varies from 33 in Arad to 44.1 in Bihor. </w:t>
      </w:r>
    </w:p>
    <w:p w14:paraId="1A245DA8" w14:textId="38EC18F4" w:rsidR="00A0707B" w:rsidRPr="00037C61" w:rsidRDefault="00A0707B" w:rsidP="005E0849">
      <w:pPr>
        <w:pStyle w:val="InterregROHUBullet1"/>
        <w:ind w:left="709"/>
      </w:pPr>
      <w:r w:rsidRPr="00037C61">
        <w:t>In early and pre-primary education</w:t>
      </w:r>
      <w:r w:rsidR="00EC1CAB" w:rsidRPr="00037C61">
        <w:t>,</w:t>
      </w:r>
      <w:r w:rsidRPr="00037C61">
        <w:t xml:space="preserve"> the average values are bigger in Romanian </w:t>
      </w:r>
      <w:r w:rsidR="00001B24" w:rsidRPr="00037C61">
        <w:t xml:space="preserve">PA </w:t>
      </w:r>
      <w:r w:rsidRPr="00037C61">
        <w:t>counties. The values var</w:t>
      </w:r>
      <w:r w:rsidR="00BD784F" w:rsidRPr="00037C61">
        <w:t>y</w:t>
      </w:r>
      <w:r w:rsidRPr="00037C61">
        <w:t xml:space="preserve"> from 13.7 pupils/ teacher in Bihor to 16 pupils/teacher in Arad. In Hungarian counties the values are between 9.9 in Békés and 11.8 in Szabolcs-Szatmár-Bereg.</w:t>
      </w:r>
    </w:p>
    <w:p w14:paraId="0029AF0E" w14:textId="2AA13FA6" w:rsidR="00A0707B" w:rsidRPr="00037C61" w:rsidRDefault="76158E8F" w:rsidP="005E0849">
      <w:pPr>
        <w:pStyle w:val="InterregROHUBullet1"/>
        <w:ind w:left="709"/>
      </w:pPr>
      <w:r w:rsidRPr="00037C61">
        <w:t>In Tertiary education</w:t>
      </w:r>
      <w:r w:rsidR="00001B24" w:rsidRPr="00037C61">
        <w:t>,</w:t>
      </w:r>
      <w:r w:rsidRPr="00037C61">
        <w:t xml:space="preserve"> there are disparities between Hungarian counties of the programme area where Csongrád-Csanád and Hajdú-Bihar have an average below 5 students/ teacher, while Békés and Szabolcs-Szatmár-Bereg register more than 28 students/ teacher. In Romanian counties, the average number of pupils per university teacher varies between 16.1 in Arad, 16.4 in Bihor, 17.1 in Timi</w:t>
      </w:r>
      <w:r w:rsidR="591F94A3" w:rsidRPr="00037C61">
        <w:t>ș</w:t>
      </w:r>
      <w:r w:rsidRPr="00037C61">
        <w:t xml:space="preserve"> and 162.2 in Satu Mare.  </w:t>
      </w:r>
    </w:p>
    <w:p w14:paraId="5A2D6854" w14:textId="50A3600C" w:rsidR="00A0707B" w:rsidRPr="00037C61" w:rsidRDefault="00A0707B" w:rsidP="00A0707B">
      <w:pPr>
        <w:pStyle w:val="Caption"/>
        <w:jc w:val="both"/>
        <w:rPr>
          <w:lang w:val="en-GB"/>
        </w:rPr>
      </w:pPr>
      <w:bookmarkStart w:id="200" w:name="_Ref50641174"/>
      <w:bookmarkStart w:id="201" w:name="_Toc58237634"/>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12</w:t>
      </w:r>
      <w:r w:rsidR="00552808" w:rsidRPr="00037C61">
        <w:rPr>
          <w:lang w:val="en-GB"/>
        </w:rPr>
        <w:fldChar w:fldCharType="end"/>
      </w:r>
      <w:bookmarkEnd w:id="200"/>
      <w:r w:rsidR="00EA5E72" w:rsidRPr="00037C61">
        <w:rPr>
          <w:lang w:val="en-GB"/>
        </w:rPr>
        <w:t xml:space="preserve"> -</w:t>
      </w:r>
      <w:r w:rsidRPr="00037C61">
        <w:rPr>
          <w:lang w:val="en-GB"/>
        </w:rPr>
        <w:t xml:space="preserve"> Average number of pupils per a school teacher by ISCED categories in 2018</w:t>
      </w:r>
      <w:bookmarkEnd w:id="201"/>
    </w:p>
    <w:tbl>
      <w:tblPr>
        <w:tblStyle w:val="ListTable3-Accent1"/>
        <w:tblW w:w="9715" w:type="dxa"/>
        <w:tblLook w:val="04A0" w:firstRow="1" w:lastRow="0" w:firstColumn="1" w:lastColumn="0" w:noHBand="0" w:noVBand="1"/>
      </w:tblPr>
      <w:tblGrid>
        <w:gridCol w:w="2605"/>
        <w:gridCol w:w="1350"/>
        <w:gridCol w:w="1350"/>
        <w:gridCol w:w="1440"/>
        <w:gridCol w:w="1620"/>
        <w:gridCol w:w="1350"/>
      </w:tblGrid>
      <w:tr w:rsidR="00A0707B" w:rsidRPr="00037C61" w14:paraId="33058A21" w14:textId="77777777" w:rsidTr="43A5E8B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605" w:type="dxa"/>
            <w:vMerge w:val="restart"/>
            <w:noWrap/>
            <w:vAlign w:val="center"/>
            <w:hideMark/>
          </w:tcPr>
          <w:p w14:paraId="1B0839DB" w14:textId="77777777" w:rsidR="00A0707B" w:rsidRPr="00037C61" w:rsidRDefault="00A0707B" w:rsidP="00A0707B">
            <w:pPr>
              <w:jc w:val="left"/>
              <w:rPr>
                <w:color w:val="auto"/>
                <w:sz w:val="18"/>
                <w:szCs w:val="18"/>
                <w:lang w:val="en-GB"/>
              </w:rPr>
            </w:pPr>
            <w:r w:rsidRPr="00037C61">
              <w:rPr>
                <w:sz w:val="18"/>
                <w:szCs w:val="18"/>
                <w:lang w:val="en-GB"/>
              </w:rPr>
              <w:t>County</w:t>
            </w:r>
          </w:p>
        </w:tc>
        <w:tc>
          <w:tcPr>
            <w:tcW w:w="1350" w:type="dxa"/>
            <w:noWrap/>
            <w:vAlign w:val="center"/>
            <w:hideMark/>
          </w:tcPr>
          <w:p w14:paraId="25A05888"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037C61">
              <w:rPr>
                <w:sz w:val="18"/>
                <w:szCs w:val="18"/>
                <w:lang w:val="en-GB"/>
              </w:rPr>
              <w:t>ISCED 0</w:t>
            </w:r>
          </w:p>
        </w:tc>
        <w:tc>
          <w:tcPr>
            <w:tcW w:w="1350" w:type="dxa"/>
            <w:noWrap/>
            <w:vAlign w:val="center"/>
            <w:hideMark/>
          </w:tcPr>
          <w:p w14:paraId="1371284F"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037C61">
              <w:rPr>
                <w:sz w:val="18"/>
                <w:szCs w:val="18"/>
                <w:lang w:val="en-GB"/>
              </w:rPr>
              <w:t>ISCED 1 + 2</w:t>
            </w:r>
          </w:p>
        </w:tc>
        <w:tc>
          <w:tcPr>
            <w:tcW w:w="1440" w:type="dxa"/>
            <w:noWrap/>
            <w:vAlign w:val="center"/>
            <w:hideMark/>
          </w:tcPr>
          <w:p w14:paraId="77241C70"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037C61">
              <w:rPr>
                <w:sz w:val="18"/>
                <w:szCs w:val="18"/>
                <w:lang w:val="en-GB"/>
              </w:rPr>
              <w:t>ISCED 3</w:t>
            </w:r>
          </w:p>
        </w:tc>
        <w:tc>
          <w:tcPr>
            <w:tcW w:w="1620" w:type="dxa"/>
            <w:noWrap/>
            <w:vAlign w:val="center"/>
            <w:hideMark/>
          </w:tcPr>
          <w:p w14:paraId="3F63E84D"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037C61">
              <w:rPr>
                <w:sz w:val="18"/>
                <w:szCs w:val="18"/>
                <w:lang w:val="en-GB"/>
              </w:rPr>
              <w:t>ISCED 4</w:t>
            </w:r>
          </w:p>
        </w:tc>
        <w:tc>
          <w:tcPr>
            <w:tcW w:w="1350" w:type="dxa"/>
            <w:noWrap/>
            <w:vAlign w:val="center"/>
            <w:hideMark/>
          </w:tcPr>
          <w:p w14:paraId="76D3B64C"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szCs w:val="18"/>
                <w:lang w:val="en-GB"/>
              </w:rPr>
            </w:pPr>
            <w:r w:rsidRPr="00037C61">
              <w:rPr>
                <w:sz w:val="18"/>
                <w:szCs w:val="18"/>
                <w:lang w:val="en-GB"/>
              </w:rPr>
              <w:t>ISCED 5 AND ABOVE</w:t>
            </w:r>
          </w:p>
        </w:tc>
      </w:tr>
      <w:tr w:rsidR="00A0707B" w:rsidRPr="004A5488" w14:paraId="03AA2CFC" w14:textId="77777777" w:rsidTr="43A5E8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vMerge/>
            <w:noWrap/>
            <w:hideMark/>
          </w:tcPr>
          <w:p w14:paraId="7690EC07" w14:textId="77777777" w:rsidR="00A0707B" w:rsidRPr="00037C61" w:rsidRDefault="00A0707B" w:rsidP="00A0707B">
            <w:pPr>
              <w:jc w:val="left"/>
              <w:rPr>
                <w:color w:val="000000"/>
                <w:sz w:val="18"/>
                <w:szCs w:val="18"/>
                <w:lang w:val="en-GB"/>
              </w:rPr>
            </w:pPr>
          </w:p>
        </w:tc>
        <w:tc>
          <w:tcPr>
            <w:tcW w:w="1350" w:type="dxa"/>
            <w:noWrap/>
            <w:vAlign w:val="center"/>
            <w:hideMark/>
          </w:tcPr>
          <w:p w14:paraId="30BBB2CB" w14:textId="308F099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color w:val="000000"/>
                <w:sz w:val="18"/>
                <w:szCs w:val="18"/>
                <w:lang w:val="en-GB"/>
              </w:rPr>
              <w:t xml:space="preserve">early education + </w:t>
            </w:r>
            <w:r w:rsidR="00772613" w:rsidRPr="00037C61">
              <w:rPr>
                <w:color w:val="000000"/>
                <w:sz w:val="18"/>
                <w:szCs w:val="18"/>
                <w:lang w:val="en-GB"/>
              </w:rPr>
              <w:t>pre-primary</w:t>
            </w:r>
            <w:r w:rsidRPr="00037C61">
              <w:rPr>
                <w:color w:val="000000"/>
                <w:sz w:val="18"/>
                <w:szCs w:val="18"/>
                <w:lang w:val="en-GB"/>
              </w:rPr>
              <w:t xml:space="preserve"> education</w:t>
            </w:r>
          </w:p>
        </w:tc>
        <w:tc>
          <w:tcPr>
            <w:tcW w:w="1350" w:type="dxa"/>
            <w:noWrap/>
            <w:vAlign w:val="center"/>
            <w:hideMark/>
          </w:tcPr>
          <w:p w14:paraId="2BC6DF1A" w14:textId="27BBB3A5"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color w:val="000000"/>
                <w:sz w:val="18"/>
                <w:szCs w:val="18"/>
                <w:lang w:val="en-GB"/>
              </w:rPr>
              <w:t xml:space="preserve">primary + lower </w:t>
            </w:r>
            <w:r w:rsidR="00772613" w:rsidRPr="00037C61">
              <w:rPr>
                <w:color w:val="000000"/>
                <w:sz w:val="18"/>
                <w:szCs w:val="18"/>
                <w:lang w:val="en-GB"/>
              </w:rPr>
              <w:t>secondary</w:t>
            </w:r>
            <w:r w:rsidRPr="00037C61">
              <w:rPr>
                <w:color w:val="000000"/>
                <w:sz w:val="18"/>
                <w:szCs w:val="18"/>
                <w:lang w:val="en-GB"/>
              </w:rPr>
              <w:t xml:space="preserve"> education</w:t>
            </w:r>
          </w:p>
        </w:tc>
        <w:tc>
          <w:tcPr>
            <w:tcW w:w="1440" w:type="dxa"/>
            <w:noWrap/>
            <w:vAlign w:val="center"/>
            <w:hideMark/>
          </w:tcPr>
          <w:p w14:paraId="0769BB9F" w14:textId="2A6E230E"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color w:val="000000" w:themeColor="text1"/>
                <w:sz w:val="18"/>
                <w:szCs w:val="18"/>
                <w:lang w:val="en-GB"/>
              </w:rPr>
              <w:t>high</w:t>
            </w:r>
            <w:r w:rsidR="6534FCE1" w:rsidRPr="00037C61">
              <w:rPr>
                <w:color w:val="000000" w:themeColor="text1"/>
                <w:sz w:val="18"/>
                <w:szCs w:val="18"/>
                <w:lang w:val="en-GB"/>
              </w:rPr>
              <w:t xml:space="preserve"> </w:t>
            </w:r>
            <w:r w:rsidRPr="00037C61">
              <w:rPr>
                <w:color w:val="000000" w:themeColor="text1"/>
                <w:sz w:val="18"/>
                <w:szCs w:val="18"/>
                <w:lang w:val="en-GB"/>
              </w:rPr>
              <w:t>school education + vocational education</w:t>
            </w:r>
          </w:p>
        </w:tc>
        <w:tc>
          <w:tcPr>
            <w:tcW w:w="1620" w:type="dxa"/>
            <w:noWrap/>
            <w:vAlign w:val="center"/>
            <w:hideMark/>
          </w:tcPr>
          <w:p w14:paraId="7E4F67B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color w:val="000000"/>
                <w:sz w:val="18"/>
                <w:szCs w:val="18"/>
                <w:lang w:val="en-GB"/>
              </w:rPr>
              <w:t>post secondary education + foremen`s vocational</w:t>
            </w:r>
          </w:p>
        </w:tc>
        <w:tc>
          <w:tcPr>
            <w:tcW w:w="1350" w:type="dxa"/>
            <w:noWrap/>
            <w:vAlign w:val="center"/>
            <w:hideMark/>
          </w:tcPr>
          <w:p w14:paraId="474A2CE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color w:val="000000"/>
                <w:sz w:val="18"/>
                <w:szCs w:val="18"/>
                <w:lang w:val="en-GB"/>
              </w:rPr>
              <w:t>tertiary education (public and private)</w:t>
            </w:r>
          </w:p>
        </w:tc>
      </w:tr>
      <w:tr w:rsidR="00A0707B" w:rsidRPr="00037C61" w14:paraId="33ED543B" w14:textId="77777777" w:rsidTr="43A5E8BA">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328C6B75" w14:textId="77777777" w:rsidR="00A0707B" w:rsidRPr="00037C61" w:rsidRDefault="00A0707B" w:rsidP="00A0707B">
            <w:pPr>
              <w:jc w:val="left"/>
              <w:rPr>
                <w:color w:val="000000"/>
                <w:sz w:val="18"/>
                <w:szCs w:val="18"/>
                <w:lang w:val="en-GB"/>
              </w:rPr>
            </w:pPr>
            <w:r w:rsidRPr="00037C61">
              <w:rPr>
                <w:color w:val="000000"/>
                <w:sz w:val="18"/>
                <w:szCs w:val="18"/>
                <w:lang w:val="en-GB"/>
              </w:rPr>
              <w:t>Hajdú-Bihar</w:t>
            </w:r>
          </w:p>
        </w:tc>
        <w:tc>
          <w:tcPr>
            <w:tcW w:w="1350" w:type="dxa"/>
            <w:noWrap/>
            <w:hideMark/>
          </w:tcPr>
          <w:p w14:paraId="50032BEA"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11.0</w:t>
            </w:r>
          </w:p>
        </w:tc>
        <w:tc>
          <w:tcPr>
            <w:tcW w:w="1350" w:type="dxa"/>
            <w:noWrap/>
            <w:hideMark/>
          </w:tcPr>
          <w:p w14:paraId="24B883A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9.7</w:t>
            </w:r>
          </w:p>
        </w:tc>
        <w:tc>
          <w:tcPr>
            <w:tcW w:w="1440" w:type="dxa"/>
            <w:noWrap/>
            <w:hideMark/>
          </w:tcPr>
          <w:p w14:paraId="559E863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10.5</w:t>
            </w:r>
          </w:p>
        </w:tc>
        <w:tc>
          <w:tcPr>
            <w:tcW w:w="1620" w:type="dxa"/>
            <w:noWrap/>
            <w:hideMark/>
          </w:tcPr>
          <w:p w14:paraId="3D90A854"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9.7</w:t>
            </w:r>
          </w:p>
        </w:tc>
        <w:tc>
          <w:tcPr>
            <w:tcW w:w="1350" w:type="dxa"/>
            <w:noWrap/>
            <w:hideMark/>
          </w:tcPr>
          <w:p w14:paraId="7196740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4.7</w:t>
            </w:r>
          </w:p>
        </w:tc>
      </w:tr>
      <w:tr w:rsidR="00A0707B" w:rsidRPr="00037C61" w14:paraId="2AD02D62" w14:textId="77777777" w:rsidTr="43A5E8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32C53DAA" w14:textId="77777777" w:rsidR="00A0707B" w:rsidRPr="00037C61" w:rsidRDefault="00A0707B" w:rsidP="00A0707B">
            <w:pPr>
              <w:jc w:val="left"/>
              <w:rPr>
                <w:color w:val="000000"/>
                <w:sz w:val="18"/>
                <w:szCs w:val="18"/>
                <w:lang w:val="en-GB"/>
              </w:rPr>
            </w:pPr>
            <w:r w:rsidRPr="00037C61">
              <w:rPr>
                <w:color w:val="000000"/>
                <w:sz w:val="18"/>
                <w:szCs w:val="18"/>
                <w:lang w:val="en-GB"/>
              </w:rPr>
              <w:t>Szabolcs-Szatmár-Bereg</w:t>
            </w:r>
          </w:p>
        </w:tc>
        <w:tc>
          <w:tcPr>
            <w:tcW w:w="1350" w:type="dxa"/>
            <w:noWrap/>
            <w:hideMark/>
          </w:tcPr>
          <w:p w14:paraId="53DB819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11.8</w:t>
            </w:r>
          </w:p>
        </w:tc>
        <w:tc>
          <w:tcPr>
            <w:tcW w:w="1350" w:type="dxa"/>
            <w:noWrap/>
            <w:hideMark/>
          </w:tcPr>
          <w:p w14:paraId="2708629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9.5</w:t>
            </w:r>
          </w:p>
        </w:tc>
        <w:tc>
          <w:tcPr>
            <w:tcW w:w="1440" w:type="dxa"/>
            <w:noWrap/>
            <w:hideMark/>
          </w:tcPr>
          <w:p w14:paraId="07BB0CA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9.5</w:t>
            </w:r>
          </w:p>
        </w:tc>
        <w:tc>
          <w:tcPr>
            <w:tcW w:w="1620" w:type="dxa"/>
            <w:noWrap/>
            <w:hideMark/>
          </w:tcPr>
          <w:p w14:paraId="2DE2302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8.7</w:t>
            </w:r>
          </w:p>
        </w:tc>
        <w:tc>
          <w:tcPr>
            <w:tcW w:w="1350" w:type="dxa"/>
            <w:noWrap/>
            <w:hideMark/>
          </w:tcPr>
          <w:p w14:paraId="595EF454"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28.5</w:t>
            </w:r>
          </w:p>
        </w:tc>
      </w:tr>
      <w:tr w:rsidR="00A0707B" w:rsidRPr="00037C61" w14:paraId="423D8A30" w14:textId="77777777" w:rsidTr="43A5E8BA">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F69CD8A" w14:textId="77777777" w:rsidR="00A0707B" w:rsidRPr="00037C61" w:rsidRDefault="00A0707B" w:rsidP="00A0707B">
            <w:pPr>
              <w:jc w:val="left"/>
              <w:rPr>
                <w:color w:val="000000"/>
                <w:sz w:val="18"/>
                <w:szCs w:val="18"/>
                <w:lang w:val="en-GB"/>
              </w:rPr>
            </w:pPr>
            <w:r w:rsidRPr="00037C61">
              <w:rPr>
                <w:color w:val="000000"/>
                <w:sz w:val="18"/>
                <w:szCs w:val="18"/>
                <w:lang w:val="en-GB"/>
              </w:rPr>
              <w:t>Békés</w:t>
            </w:r>
          </w:p>
        </w:tc>
        <w:tc>
          <w:tcPr>
            <w:tcW w:w="1350" w:type="dxa"/>
            <w:noWrap/>
            <w:hideMark/>
          </w:tcPr>
          <w:p w14:paraId="68FEDEC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9.9</w:t>
            </w:r>
          </w:p>
        </w:tc>
        <w:tc>
          <w:tcPr>
            <w:tcW w:w="1350" w:type="dxa"/>
            <w:noWrap/>
            <w:hideMark/>
          </w:tcPr>
          <w:p w14:paraId="14B65D1B"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9.0</w:t>
            </w:r>
          </w:p>
        </w:tc>
        <w:tc>
          <w:tcPr>
            <w:tcW w:w="1440" w:type="dxa"/>
            <w:noWrap/>
            <w:hideMark/>
          </w:tcPr>
          <w:p w14:paraId="331E873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9.1</w:t>
            </w:r>
          </w:p>
        </w:tc>
        <w:tc>
          <w:tcPr>
            <w:tcW w:w="1620" w:type="dxa"/>
            <w:noWrap/>
            <w:hideMark/>
          </w:tcPr>
          <w:p w14:paraId="3536EC0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8.5</w:t>
            </w:r>
          </w:p>
        </w:tc>
        <w:tc>
          <w:tcPr>
            <w:tcW w:w="1350" w:type="dxa"/>
            <w:noWrap/>
            <w:hideMark/>
          </w:tcPr>
          <w:p w14:paraId="1708A8B9"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29.3</w:t>
            </w:r>
          </w:p>
        </w:tc>
      </w:tr>
      <w:tr w:rsidR="00A0707B" w:rsidRPr="00037C61" w14:paraId="450F9DB1" w14:textId="77777777" w:rsidTr="43A5E8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4DEB2A21" w14:textId="49327E0E" w:rsidR="00A0707B" w:rsidRPr="00037C61" w:rsidRDefault="6446A0E8" w:rsidP="6446A0E8">
            <w:pPr>
              <w:jc w:val="left"/>
              <w:rPr>
                <w:color w:val="000000"/>
                <w:sz w:val="18"/>
                <w:szCs w:val="18"/>
                <w:lang w:val="en-GB"/>
              </w:rPr>
            </w:pPr>
            <w:r w:rsidRPr="00037C61">
              <w:rPr>
                <w:color w:val="000000" w:themeColor="text1"/>
                <w:sz w:val="18"/>
                <w:szCs w:val="18"/>
                <w:lang w:val="en-GB"/>
              </w:rPr>
              <w:t>Csongrád-Csanád</w:t>
            </w:r>
          </w:p>
        </w:tc>
        <w:tc>
          <w:tcPr>
            <w:tcW w:w="1350" w:type="dxa"/>
            <w:noWrap/>
            <w:hideMark/>
          </w:tcPr>
          <w:p w14:paraId="51BC13E5"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10.3</w:t>
            </w:r>
          </w:p>
        </w:tc>
        <w:tc>
          <w:tcPr>
            <w:tcW w:w="1350" w:type="dxa"/>
            <w:noWrap/>
            <w:hideMark/>
          </w:tcPr>
          <w:p w14:paraId="3754253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9.6</w:t>
            </w:r>
          </w:p>
        </w:tc>
        <w:tc>
          <w:tcPr>
            <w:tcW w:w="1440" w:type="dxa"/>
            <w:noWrap/>
            <w:hideMark/>
          </w:tcPr>
          <w:p w14:paraId="32246D7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9.3</w:t>
            </w:r>
          </w:p>
        </w:tc>
        <w:tc>
          <w:tcPr>
            <w:tcW w:w="1620" w:type="dxa"/>
            <w:noWrap/>
            <w:hideMark/>
          </w:tcPr>
          <w:p w14:paraId="3A88812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7.8</w:t>
            </w:r>
          </w:p>
        </w:tc>
        <w:tc>
          <w:tcPr>
            <w:tcW w:w="1350" w:type="dxa"/>
            <w:noWrap/>
            <w:hideMark/>
          </w:tcPr>
          <w:p w14:paraId="21D009AB"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3.8</w:t>
            </w:r>
          </w:p>
        </w:tc>
      </w:tr>
      <w:tr w:rsidR="00A0707B" w:rsidRPr="00037C61" w14:paraId="067D05FB" w14:textId="77777777" w:rsidTr="43A5E8BA">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3216E77" w14:textId="77777777" w:rsidR="00A0707B" w:rsidRPr="00037C61" w:rsidRDefault="00A0707B" w:rsidP="00A0707B">
            <w:pPr>
              <w:jc w:val="left"/>
              <w:rPr>
                <w:color w:val="000000"/>
                <w:sz w:val="18"/>
                <w:szCs w:val="18"/>
                <w:lang w:val="en-GB"/>
              </w:rPr>
            </w:pPr>
            <w:r w:rsidRPr="00037C61">
              <w:rPr>
                <w:color w:val="000000"/>
                <w:sz w:val="18"/>
                <w:szCs w:val="18"/>
                <w:lang w:val="en-GB"/>
              </w:rPr>
              <w:t>Bihor</w:t>
            </w:r>
          </w:p>
        </w:tc>
        <w:tc>
          <w:tcPr>
            <w:tcW w:w="1350" w:type="dxa"/>
            <w:noWrap/>
            <w:hideMark/>
          </w:tcPr>
          <w:p w14:paraId="3497729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13.7</w:t>
            </w:r>
          </w:p>
        </w:tc>
        <w:tc>
          <w:tcPr>
            <w:tcW w:w="1350" w:type="dxa"/>
            <w:noWrap/>
            <w:hideMark/>
          </w:tcPr>
          <w:p w14:paraId="31130C6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44.1</w:t>
            </w:r>
          </w:p>
        </w:tc>
        <w:tc>
          <w:tcPr>
            <w:tcW w:w="1440" w:type="dxa"/>
            <w:noWrap/>
            <w:hideMark/>
          </w:tcPr>
          <w:p w14:paraId="42CEBEB4"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4.5</w:t>
            </w:r>
          </w:p>
        </w:tc>
        <w:tc>
          <w:tcPr>
            <w:tcW w:w="1620" w:type="dxa"/>
            <w:noWrap/>
            <w:hideMark/>
          </w:tcPr>
          <w:p w14:paraId="1076D496"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no data</w:t>
            </w:r>
          </w:p>
        </w:tc>
        <w:tc>
          <w:tcPr>
            <w:tcW w:w="1350" w:type="dxa"/>
            <w:noWrap/>
            <w:hideMark/>
          </w:tcPr>
          <w:p w14:paraId="39C6462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16.4</w:t>
            </w:r>
          </w:p>
        </w:tc>
      </w:tr>
      <w:tr w:rsidR="00A0707B" w:rsidRPr="00037C61" w14:paraId="6CF552E6" w14:textId="77777777" w:rsidTr="43A5E8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055B252F" w14:textId="77777777" w:rsidR="00A0707B" w:rsidRPr="00037C61" w:rsidRDefault="00A0707B" w:rsidP="00A0707B">
            <w:pPr>
              <w:jc w:val="left"/>
              <w:rPr>
                <w:color w:val="000000"/>
                <w:sz w:val="18"/>
                <w:szCs w:val="18"/>
                <w:lang w:val="en-GB"/>
              </w:rPr>
            </w:pPr>
            <w:r w:rsidRPr="00037C61">
              <w:rPr>
                <w:color w:val="000000"/>
                <w:sz w:val="18"/>
                <w:szCs w:val="18"/>
                <w:lang w:val="en-GB"/>
              </w:rPr>
              <w:t>Satu Mare</w:t>
            </w:r>
          </w:p>
        </w:tc>
        <w:tc>
          <w:tcPr>
            <w:tcW w:w="1350" w:type="dxa"/>
            <w:noWrap/>
            <w:hideMark/>
          </w:tcPr>
          <w:p w14:paraId="14AE3BF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14.1</w:t>
            </w:r>
          </w:p>
        </w:tc>
        <w:tc>
          <w:tcPr>
            <w:tcW w:w="1350" w:type="dxa"/>
            <w:noWrap/>
            <w:hideMark/>
          </w:tcPr>
          <w:p w14:paraId="7B40306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35.1</w:t>
            </w:r>
          </w:p>
        </w:tc>
        <w:tc>
          <w:tcPr>
            <w:tcW w:w="1440" w:type="dxa"/>
            <w:noWrap/>
            <w:hideMark/>
          </w:tcPr>
          <w:p w14:paraId="688EA56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7.5</w:t>
            </w:r>
          </w:p>
        </w:tc>
        <w:tc>
          <w:tcPr>
            <w:tcW w:w="1620" w:type="dxa"/>
            <w:noWrap/>
            <w:hideMark/>
          </w:tcPr>
          <w:p w14:paraId="436D531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76.3</w:t>
            </w:r>
          </w:p>
        </w:tc>
        <w:tc>
          <w:tcPr>
            <w:tcW w:w="1350" w:type="dxa"/>
            <w:noWrap/>
            <w:hideMark/>
          </w:tcPr>
          <w:p w14:paraId="541962EF"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162.2</w:t>
            </w:r>
          </w:p>
        </w:tc>
      </w:tr>
      <w:tr w:rsidR="00A0707B" w:rsidRPr="00037C61" w14:paraId="3EE19CD1" w14:textId="77777777" w:rsidTr="43A5E8BA">
        <w:trPr>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1A7A26DC" w14:textId="77777777" w:rsidR="00A0707B" w:rsidRPr="00037C61" w:rsidRDefault="00A0707B" w:rsidP="00A0707B">
            <w:pPr>
              <w:jc w:val="left"/>
              <w:rPr>
                <w:color w:val="000000"/>
                <w:sz w:val="18"/>
                <w:szCs w:val="18"/>
                <w:lang w:val="en-GB"/>
              </w:rPr>
            </w:pPr>
            <w:r w:rsidRPr="00037C61">
              <w:rPr>
                <w:color w:val="000000"/>
                <w:sz w:val="18"/>
                <w:szCs w:val="18"/>
                <w:lang w:val="en-GB"/>
              </w:rPr>
              <w:t>Arad</w:t>
            </w:r>
          </w:p>
        </w:tc>
        <w:tc>
          <w:tcPr>
            <w:tcW w:w="1350" w:type="dxa"/>
            <w:noWrap/>
            <w:hideMark/>
          </w:tcPr>
          <w:p w14:paraId="5B318F93"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16.0</w:t>
            </w:r>
          </w:p>
        </w:tc>
        <w:tc>
          <w:tcPr>
            <w:tcW w:w="1350" w:type="dxa"/>
            <w:noWrap/>
            <w:hideMark/>
          </w:tcPr>
          <w:p w14:paraId="175DE973"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33.0</w:t>
            </w:r>
          </w:p>
        </w:tc>
        <w:tc>
          <w:tcPr>
            <w:tcW w:w="1440" w:type="dxa"/>
            <w:noWrap/>
            <w:hideMark/>
          </w:tcPr>
          <w:p w14:paraId="08D19B9A"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6.9</w:t>
            </w:r>
          </w:p>
        </w:tc>
        <w:tc>
          <w:tcPr>
            <w:tcW w:w="1620" w:type="dxa"/>
            <w:noWrap/>
            <w:hideMark/>
          </w:tcPr>
          <w:p w14:paraId="6C4B069C"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36.8</w:t>
            </w:r>
          </w:p>
        </w:tc>
        <w:tc>
          <w:tcPr>
            <w:tcW w:w="1350" w:type="dxa"/>
            <w:noWrap/>
            <w:hideMark/>
          </w:tcPr>
          <w:p w14:paraId="15497A3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szCs w:val="18"/>
                <w:lang w:val="en-GB"/>
              </w:rPr>
            </w:pPr>
            <w:r w:rsidRPr="00037C61">
              <w:rPr>
                <w:sz w:val="18"/>
                <w:szCs w:val="18"/>
                <w:lang w:val="en-GB"/>
              </w:rPr>
              <w:t>16.1</w:t>
            </w:r>
          </w:p>
        </w:tc>
      </w:tr>
      <w:tr w:rsidR="00A0707B" w:rsidRPr="00037C61" w14:paraId="3B436364" w14:textId="77777777" w:rsidTr="43A5E8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5" w:type="dxa"/>
            <w:noWrap/>
            <w:hideMark/>
          </w:tcPr>
          <w:p w14:paraId="7049D0CB" w14:textId="311AB33B" w:rsidR="00A0707B" w:rsidRPr="00037C61" w:rsidRDefault="008B32DD" w:rsidP="00A0707B">
            <w:pPr>
              <w:jc w:val="left"/>
              <w:rPr>
                <w:color w:val="000000"/>
                <w:sz w:val="18"/>
                <w:szCs w:val="18"/>
                <w:lang w:val="en-GB"/>
              </w:rPr>
            </w:pPr>
            <w:r w:rsidRPr="00037C61">
              <w:rPr>
                <w:color w:val="000000"/>
                <w:sz w:val="18"/>
                <w:szCs w:val="18"/>
                <w:lang w:val="en-GB"/>
              </w:rPr>
              <w:t>Timiș</w:t>
            </w:r>
          </w:p>
        </w:tc>
        <w:tc>
          <w:tcPr>
            <w:tcW w:w="1350" w:type="dxa"/>
            <w:noWrap/>
            <w:hideMark/>
          </w:tcPr>
          <w:p w14:paraId="5ADBF7E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14.4</w:t>
            </w:r>
          </w:p>
        </w:tc>
        <w:tc>
          <w:tcPr>
            <w:tcW w:w="1350" w:type="dxa"/>
            <w:noWrap/>
            <w:hideMark/>
          </w:tcPr>
          <w:p w14:paraId="43C23202" w14:textId="137E4123"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36.9</w:t>
            </w:r>
          </w:p>
        </w:tc>
        <w:tc>
          <w:tcPr>
            <w:tcW w:w="1440" w:type="dxa"/>
            <w:noWrap/>
            <w:hideMark/>
          </w:tcPr>
          <w:p w14:paraId="0C054F72"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5.8</w:t>
            </w:r>
          </w:p>
        </w:tc>
        <w:tc>
          <w:tcPr>
            <w:tcW w:w="1620" w:type="dxa"/>
            <w:noWrap/>
            <w:hideMark/>
          </w:tcPr>
          <w:p w14:paraId="42C57E4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80.9</w:t>
            </w:r>
          </w:p>
        </w:tc>
        <w:tc>
          <w:tcPr>
            <w:tcW w:w="1350" w:type="dxa"/>
            <w:noWrap/>
            <w:hideMark/>
          </w:tcPr>
          <w:p w14:paraId="2D8AA75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r w:rsidRPr="00037C61">
              <w:rPr>
                <w:sz w:val="18"/>
                <w:szCs w:val="18"/>
                <w:lang w:val="en-GB"/>
              </w:rPr>
              <w:t>17.1</w:t>
            </w:r>
          </w:p>
        </w:tc>
      </w:tr>
    </w:tbl>
    <w:p w14:paraId="347268FF" w14:textId="133714FE" w:rsidR="45504615" w:rsidRPr="00037C61" w:rsidRDefault="00A0707B" w:rsidP="005E0849">
      <w:pPr>
        <w:pStyle w:val="InterregROHUBullet1"/>
        <w:numPr>
          <w:ilvl w:val="0"/>
          <w:numId w:val="0"/>
        </w:numPr>
      </w:pPr>
      <w:r w:rsidRPr="00037C61">
        <w:rPr>
          <w:i/>
          <w:color w:val="012751" w:themeColor="text2"/>
          <w:sz w:val="18"/>
        </w:rPr>
        <w:t>Source: INS, THEIR</w:t>
      </w:r>
    </w:p>
    <w:p w14:paraId="5AEB7416" w14:textId="29844D73" w:rsidR="00A0707B" w:rsidRPr="00037C61" w:rsidRDefault="1C774ED0" w:rsidP="009027CD">
      <w:pPr>
        <w:pStyle w:val="Heading3"/>
      </w:pPr>
      <w:bookmarkStart w:id="202" w:name="_Toc53137186"/>
      <w:bookmarkStart w:id="203" w:name="_Ref53439784"/>
      <w:bookmarkStart w:id="204" w:name="_Toc64619527"/>
      <w:bookmarkStart w:id="205" w:name="_Toc49841971"/>
      <w:r w:rsidRPr="00037C61">
        <w:t>Health</w:t>
      </w:r>
      <w:bookmarkEnd w:id="202"/>
      <w:bookmarkEnd w:id="203"/>
      <w:bookmarkEnd w:id="204"/>
      <w:r w:rsidRPr="00037C61">
        <w:t xml:space="preserve"> </w:t>
      </w:r>
      <w:bookmarkEnd w:id="205"/>
    </w:p>
    <w:p w14:paraId="15D16675" w14:textId="4380F222" w:rsidR="00A0707B" w:rsidRPr="00037C61" w:rsidRDefault="00A0707B" w:rsidP="00A0707B">
      <w:pPr>
        <w:rPr>
          <w:lang w:val="en-GB"/>
        </w:rPr>
      </w:pPr>
      <w:r w:rsidRPr="00037C61">
        <w:rPr>
          <w:lang w:val="en-GB"/>
        </w:rPr>
        <w:t xml:space="preserve">Life expectancy at birth has increased in the counties of the </w:t>
      </w:r>
      <w:r w:rsidR="005171E7" w:rsidRPr="00037C61">
        <w:rPr>
          <w:lang w:val="en-GB"/>
        </w:rPr>
        <w:t>programme area</w:t>
      </w:r>
      <w:r w:rsidRPr="00037C61">
        <w:rPr>
          <w:lang w:val="en-GB"/>
        </w:rPr>
        <w:t xml:space="preserve"> in the last eight years due to the improvements of the quality of life areas – health, education, environment, housing etc. </w:t>
      </w:r>
      <w:r w:rsidR="00695EEC" w:rsidRPr="00037C61">
        <w:rPr>
          <w:lang w:val="en-GB"/>
        </w:rPr>
        <w:t>For the male population, t</w:t>
      </w:r>
      <w:r w:rsidRPr="00037C61">
        <w:rPr>
          <w:lang w:val="en-GB"/>
        </w:rPr>
        <w:t>he highest values</w:t>
      </w:r>
      <w:r w:rsidR="2CF683C2" w:rsidRPr="00037C61">
        <w:rPr>
          <w:lang w:val="en-GB"/>
        </w:rPr>
        <w:t xml:space="preserve"> </w:t>
      </w:r>
      <w:r w:rsidRPr="00037C61">
        <w:rPr>
          <w:lang w:val="en-GB"/>
        </w:rPr>
        <w:t xml:space="preserve">are registered in </w:t>
      </w:r>
      <w:r w:rsidR="6446A0E8" w:rsidRPr="00037C61">
        <w:rPr>
          <w:lang w:val="en-GB"/>
        </w:rPr>
        <w:t>Timiș</w:t>
      </w:r>
      <w:r w:rsidRPr="00037C61">
        <w:rPr>
          <w:lang w:val="en-GB"/>
        </w:rPr>
        <w:t xml:space="preserve"> (73.91), Csongrád</w:t>
      </w:r>
      <w:r w:rsidR="00DE7D07">
        <w:rPr>
          <w:lang w:val="en-GB"/>
        </w:rPr>
        <w:t>-Csan</w:t>
      </w:r>
      <w:r w:rsidR="00DE7D07" w:rsidRPr="00DB74BF">
        <w:rPr>
          <w:rFonts w:ascii="Arial" w:hAnsi="Arial" w:cs="Arial"/>
          <w:sz w:val="20"/>
          <w:szCs w:val="20"/>
          <w:shd w:val="clear" w:color="auto" w:fill="FFFFFF"/>
          <w:lang w:val="en-GB"/>
        </w:rPr>
        <w:t>ád</w:t>
      </w:r>
      <w:r w:rsidRPr="00037C61">
        <w:rPr>
          <w:lang w:val="en-GB"/>
        </w:rPr>
        <w:t xml:space="preserve"> (73.1) and Hajdú-Bihar (73). </w:t>
      </w:r>
      <w:r w:rsidR="00695EEC" w:rsidRPr="00037C61">
        <w:rPr>
          <w:lang w:val="en-GB"/>
        </w:rPr>
        <w:t>For female population, the</w:t>
      </w:r>
      <w:r w:rsidRPr="00037C61">
        <w:rPr>
          <w:lang w:val="en-GB"/>
        </w:rPr>
        <w:t xml:space="preserve"> highest values of life expectancy are in </w:t>
      </w:r>
      <w:r w:rsidR="6446A0E8" w:rsidRPr="00037C61">
        <w:rPr>
          <w:lang w:val="en-GB"/>
        </w:rPr>
        <w:t>Timiș</w:t>
      </w:r>
      <w:r w:rsidRPr="00037C61">
        <w:rPr>
          <w:lang w:val="en-GB"/>
        </w:rPr>
        <w:t xml:space="preserve"> (79.29), Csongrád</w:t>
      </w:r>
      <w:r w:rsidR="00DE7D07">
        <w:rPr>
          <w:lang w:val="en-GB"/>
        </w:rPr>
        <w:t>-Csan</w:t>
      </w:r>
      <w:r w:rsidR="00DE7D07" w:rsidRPr="00DB74BF">
        <w:rPr>
          <w:rFonts w:ascii="Arial" w:hAnsi="Arial" w:cs="Arial"/>
          <w:sz w:val="20"/>
          <w:szCs w:val="20"/>
          <w:shd w:val="clear" w:color="auto" w:fill="FFFFFF"/>
          <w:lang w:val="en-GB"/>
        </w:rPr>
        <w:t>ád</w:t>
      </w:r>
      <w:r w:rsidRPr="00037C61">
        <w:rPr>
          <w:lang w:val="en-GB"/>
        </w:rPr>
        <w:t xml:space="preserve"> (79.7), Hajdú-Bihar (79.2) and Békés (79.1). Between 2012 and 2018 there were slight increases in the life expectancy at birth values both for male and women</w:t>
      </w:r>
      <w:r w:rsidR="00695EEC" w:rsidRPr="00037C61">
        <w:rPr>
          <w:lang w:val="en-GB"/>
        </w:rPr>
        <w:t xml:space="preserve">, which corroborated with decreasing fertility </w:t>
      </w:r>
      <w:r w:rsidRPr="00037C61">
        <w:rPr>
          <w:lang w:val="en-GB"/>
        </w:rPr>
        <w:t xml:space="preserve">imposes some specific measures related to healthcare or social services in the </w:t>
      </w:r>
      <w:r w:rsidR="005171E7" w:rsidRPr="00037C61">
        <w:rPr>
          <w:lang w:val="en-GB"/>
        </w:rPr>
        <w:t>programme area</w:t>
      </w:r>
      <w:r w:rsidRPr="00037C61">
        <w:rPr>
          <w:lang w:val="en-GB"/>
        </w:rPr>
        <w:t>.   (</w:t>
      </w:r>
      <w:r w:rsidRPr="00037C61">
        <w:rPr>
          <w:lang w:val="en-GB"/>
        </w:rPr>
        <w:fldChar w:fldCharType="begin"/>
      </w:r>
      <w:r w:rsidRPr="00037C61">
        <w:rPr>
          <w:lang w:val="en-GB"/>
        </w:rPr>
        <w:instrText xml:space="preserve"> REF _Ref50642214 \h </w:instrText>
      </w:r>
      <w:r w:rsidRPr="00037C61">
        <w:rPr>
          <w:lang w:val="en-GB"/>
        </w:rPr>
      </w:r>
      <w:r w:rsidRPr="00037C61">
        <w:rPr>
          <w:lang w:val="en-GB"/>
        </w:rPr>
        <w:fldChar w:fldCharType="separate"/>
      </w:r>
      <w:r w:rsidR="00A633B8" w:rsidRPr="00037C61">
        <w:rPr>
          <w:lang w:val="en-GB"/>
        </w:rPr>
        <w:t xml:space="preserve">Table </w:t>
      </w:r>
      <w:r w:rsidR="00A633B8" w:rsidRPr="00037C61">
        <w:rPr>
          <w:noProof/>
          <w:lang w:val="en-GB"/>
        </w:rPr>
        <w:t>11</w:t>
      </w:r>
      <w:r w:rsidRPr="00037C61">
        <w:rPr>
          <w:lang w:val="en-GB"/>
        </w:rPr>
        <w:fldChar w:fldCharType="end"/>
      </w:r>
      <w:r w:rsidRPr="00037C61">
        <w:rPr>
          <w:lang w:val="en-GB"/>
        </w:rPr>
        <w:t>)</w:t>
      </w:r>
    </w:p>
    <w:p w14:paraId="1D5450A7" w14:textId="26A8800E" w:rsidR="00A0707B" w:rsidRPr="00037C61" w:rsidRDefault="00A0707B" w:rsidP="00A0707B">
      <w:pPr>
        <w:pStyle w:val="Caption"/>
        <w:jc w:val="left"/>
        <w:rPr>
          <w:lang w:val="en-GB"/>
        </w:rPr>
      </w:pPr>
      <w:bookmarkStart w:id="206" w:name="_Ref50642214"/>
      <w:bookmarkStart w:id="207" w:name="_Toc58237635"/>
      <w:r w:rsidRPr="00037C61">
        <w:rPr>
          <w:lang w:val="en-GB"/>
        </w:rPr>
        <w:t xml:space="preserve">Table </w:t>
      </w:r>
      <w:r w:rsidR="00D8714D" w:rsidRPr="00037C61">
        <w:rPr>
          <w:lang w:val="en-GB"/>
        </w:rPr>
        <w:fldChar w:fldCharType="begin"/>
      </w:r>
      <w:r w:rsidR="00D8714D" w:rsidRPr="00037C61">
        <w:rPr>
          <w:lang w:val="en-GB"/>
        </w:rPr>
        <w:instrText xml:space="preserve"> SEQ Table \* ARABIC </w:instrText>
      </w:r>
      <w:r w:rsidR="00D8714D" w:rsidRPr="00037C61">
        <w:rPr>
          <w:lang w:val="en-GB"/>
        </w:rPr>
        <w:fldChar w:fldCharType="separate"/>
      </w:r>
      <w:r w:rsidR="005A7BD8">
        <w:rPr>
          <w:noProof/>
          <w:lang w:val="en-GB"/>
        </w:rPr>
        <w:t>13</w:t>
      </w:r>
      <w:r w:rsidR="00D8714D" w:rsidRPr="00037C61">
        <w:rPr>
          <w:lang w:val="en-GB"/>
        </w:rPr>
        <w:fldChar w:fldCharType="end"/>
      </w:r>
      <w:bookmarkEnd w:id="206"/>
      <w:r w:rsidR="00EA5E72" w:rsidRPr="00037C61">
        <w:rPr>
          <w:lang w:val="en-GB"/>
        </w:rPr>
        <w:t xml:space="preserve"> -</w:t>
      </w:r>
      <w:r w:rsidRPr="00037C61">
        <w:rPr>
          <w:lang w:val="en-GB"/>
        </w:rPr>
        <w:t xml:space="preserve"> Life expectancy at birth, 2012 and 2018</w:t>
      </w:r>
      <w:bookmarkEnd w:id="207"/>
    </w:p>
    <w:tbl>
      <w:tblPr>
        <w:tblStyle w:val="ListTable3-Accent1"/>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1463"/>
        <w:gridCol w:w="1465"/>
        <w:gridCol w:w="1463"/>
        <w:gridCol w:w="1805"/>
      </w:tblGrid>
      <w:tr w:rsidR="00A0707B" w:rsidRPr="00037C61" w14:paraId="0EB39176" w14:textId="77777777" w:rsidTr="35D5BAB1">
        <w:trPr>
          <w:cnfStyle w:val="100000000000" w:firstRow="1" w:lastRow="0" w:firstColumn="0" w:lastColumn="0" w:oddVBand="0" w:evenVBand="0" w:oddHBand="0" w:evenHBand="0" w:firstRowFirstColumn="0" w:firstRowLastColumn="0" w:lastRowFirstColumn="0" w:lastRowLastColumn="0"/>
          <w:trHeight w:val="346"/>
        </w:trPr>
        <w:tc>
          <w:tcPr>
            <w:cnfStyle w:val="001000000100" w:firstRow="0" w:lastRow="0" w:firstColumn="1" w:lastColumn="0" w:oddVBand="0" w:evenVBand="0" w:oddHBand="0" w:evenHBand="0" w:firstRowFirstColumn="1" w:firstRowLastColumn="0" w:lastRowFirstColumn="0" w:lastRowLastColumn="0"/>
            <w:tcW w:w="2898" w:type="dxa"/>
            <w:vMerge w:val="restart"/>
            <w:shd w:val="clear" w:color="auto" w:fill="002060"/>
          </w:tcPr>
          <w:p w14:paraId="46A6C858" w14:textId="77777777" w:rsidR="00A0707B" w:rsidRPr="00037C61" w:rsidRDefault="00A0707B" w:rsidP="00A0707B">
            <w:pPr>
              <w:rPr>
                <w:sz w:val="20"/>
                <w:szCs w:val="20"/>
                <w:lang w:val="en-GB"/>
              </w:rPr>
            </w:pPr>
            <w:r w:rsidRPr="00037C61">
              <w:rPr>
                <w:sz w:val="20"/>
                <w:szCs w:val="20"/>
                <w:lang w:val="en-GB"/>
              </w:rPr>
              <w:t>County</w:t>
            </w:r>
          </w:p>
        </w:tc>
        <w:tc>
          <w:tcPr>
            <w:tcW w:w="2928" w:type="dxa"/>
            <w:gridSpan w:val="2"/>
            <w:shd w:val="clear" w:color="auto" w:fill="002060"/>
          </w:tcPr>
          <w:p w14:paraId="0760C239"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2012</w:t>
            </w:r>
          </w:p>
        </w:tc>
        <w:tc>
          <w:tcPr>
            <w:tcW w:w="3268" w:type="dxa"/>
            <w:gridSpan w:val="2"/>
            <w:shd w:val="clear" w:color="auto" w:fill="002060"/>
          </w:tcPr>
          <w:p w14:paraId="2607A78D"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2018</w:t>
            </w:r>
          </w:p>
        </w:tc>
      </w:tr>
      <w:tr w:rsidR="00A0707B" w:rsidRPr="00037C61" w14:paraId="6150D555" w14:textId="77777777" w:rsidTr="35D5BAB1">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98" w:type="dxa"/>
            <w:vMerge/>
          </w:tcPr>
          <w:p w14:paraId="19E0090D" w14:textId="77777777" w:rsidR="00A0707B" w:rsidRPr="00037C61" w:rsidRDefault="00A0707B" w:rsidP="00A0707B">
            <w:pPr>
              <w:rPr>
                <w:sz w:val="20"/>
                <w:szCs w:val="20"/>
                <w:lang w:val="en-GB"/>
              </w:rPr>
            </w:pPr>
          </w:p>
        </w:tc>
        <w:tc>
          <w:tcPr>
            <w:tcW w:w="1463" w:type="dxa"/>
            <w:shd w:val="clear" w:color="auto" w:fill="002060"/>
          </w:tcPr>
          <w:p w14:paraId="42C7FF81"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Male</w:t>
            </w:r>
          </w:p>
        </w:tc>
        <w:tc>
          <w:tcPr>
            <w:tcW w:w="1464" w:type="dxa"/>
            <w:shd w:val="clear" w:color="auto" w:fill="002060"/>
          </w:tcPr>
          <w:p w14:paraId="0DA1D228"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Female</w:t>
            </w:r>
          </w:p>
        </w:tc>
        <w:tc>
          <w:tcPr>
            <w:tcW w:w="1463" w:type="dxa"/>
            <w:shd w:val="clear" w:color="auto" w:fill="002060"/>
          </w:tcPr>
          <w:p w14:paraId="1407F74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Male</w:t>
            </w:r>
          </w:p>
        </w:tc>
        <w:tc>
          <w:tcPr>
            <w:tcW w:w="1804" w:type="dxa"/>
            <w:shd w:val="clear" w:color="auto" w:fill="002060"/>
          </w:tcPr>
          <w:p w14:paraId="10A6928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Female</w:t>
            </w:r>
          </w:p>
        </w:tc>
      </w:tr>
      <w:tr w:rsidR="00A0707B" w:rsidRPr="00037C61" w14:paraId="1F87646C" w14:textId="77777777" w:rsidTr="35D5BAB1">
        <w:trPr>
          <w:trHeight w:val="346"/>
        </w:trPr>
        <w:tc>
          <w:tcPr>
            <w:cnfStyle w:val="001000000000" w:firstRow="0" w:lastRow="0" w:firstColumn="1" w:lastColumn="0" w:oddVBand="0" w:evenVBand="0" w:oddHBand="0" w:evenHBand="0" w:firstRowFirstColumn="0" w:firstRowLastColumn="0" w:lastRowFirstColumn="0" w:lastRowLastColumn="0"/>
            <w:tcW w:w="2898" w:type="dxa"/>
            <w:shd w:val="clear" w:color="auto" w:fill="FBD1D2" w:themeFill="accent3" w:themeFillTint="33"/>
          </w:tcPr>
          <w:p w14:paraId="7514FADD" w14:textId="77777777" w:rsidR="00A0707B" w:rsidRPr="00037C61" w:rsidRDefault="00A0707B" w:rsidP="00A0707B">
            <w:pPr>
              <w:rPr>
                <w:b w:val="0"/>
                <w:sz w:val="20"/>
                <w:szCs w:val="20"/>
                <w:lang w:val="en-GB"/>
              </w:rPr>
            </w:pPr>
            <w:r w:rsidRPr="00037C61">
              <w:rPr>
                <w:sz w:val="20"/>
                <w:szCs w:val="20"/>
                <w:lang w:val="en-GB"/>
              </w:rPr>
              <w:t>Hajdú-Bihar</w:t>
            </w:r>
          </w:p>
        </w:tc>
        <w:tc>
          <w:tcPr>
            <w:tcW w:w="1463" w:type="dxa"/>
            <w:shd w:val="clear" w:color="auto" w:fill="FBD1D2" w:themeFill="accent3" w:themeFillTint="33"/>
          </w:tcPr>
          <w:p w14:paraId="40E8DA16"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71.83</w:t>
            </w:r>
          </w:p>
        </w:tc>
        <w:tc>
          <w:tcPr>
            <w:tcW w:w="1464" w:type="dxa"/>
            <w:shd w:val="clear" w:color="auto" w:fill="FBD1D2" w:themeFill="accent3" w:themeFillTint="33"/>
          </w:tcPr>
          <w:p w14:paraId="400343C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79.23</w:t>
            </w:r>
          </w:p>
        </w:tc>
        <w:tc>
          <w:tcPr>
            <w:tcW w:w="1463" w:type="dxa"/>
            <w:shd w:val="clear" w:color="auto" w:fill="FBD1D2" w:themeFill="accent3" w:themeFillTint="33"/>
          </w:tcPr>
          <w:p w14:paraId="584AFAB5"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73</w:t>
            </w:r>
          </w:p>
        </w:tc>
        <w:tc>
          <w:tcPr>
            <w:tcW w:w="1804" w:type="dxa"/>
            <w:shd w:val="clear" w:color="auto" w:fill="FBD1D2" w:themeFill="accent3" w:themeFillTint="33"/>
          </w:tcPr>
          <w:p w14:paraId="4F80E96A"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79.2</w:t>
            </w:r>
          </w:p>
        </w:tc>
      </w:tr>
      <w:tr w:rsidR="00A0707B" w:rsidRPr="00037C61" w14:paraId="74B3A044" w14:textId="77777777" w:rsidTr="35D5BAB1">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98" w:type="dxa"/>
            <w:shd w:val="clear" w:color="auto" w:fill="FBD1D2" w:themeFill="accent3" w:themeFillTint="33"/>
          </w:tcPr>
          <w:p w14:paraId="28243FB4" w14:textId="77777777" w:rsidR="00A0707B" w:rsidRPr="00037C61" w:rsidRDefault="00A0707B" w:rsidP="00A0707B">
            <w:pPr>
              <w:rPr>
                <w:b w:val="0"/>
                <w:sz w:val="20"/>
                <w:szCs w:val="20"/>
                <w:lang w:val="en-GB"/>
              </w:rPr>
            </w:pPr>
            <w:r w:rsidRPr="00037C61">
              <w:rPr>
                <w:sz w:val="20"/>
                <w:szCs w:val="20"/>
                <w:lang w:val="en-GB"/>
              </w:rPr>
              <w:t>Szabolcs-Szatmár-Bereg</w:t>
            </w:r>
          </w:p>
        </w:tc>
        <w:tc>
          <w:tcPr>
            <w:tcW w:w="1463" w:type="dxa"/>
            <w:shd w:val="clear" w:color="auto" w:fill="FBD1D2" w:themeFill="accent3" w:themeFillTint="33"/>
          </w:tcPr>
          <w:p w14:paraId="11ACA646"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70.05</w:t>
            </w:r>
          </w:p>
        </w:tc>
        <w:tc>
          <w:tcPr>
            <w:tcW w:w="1464" w:type="dxa"/>
            <w:shd w:val="clear" w:color="auto" w:fill="FBD1D2" w:themeFill="accent3" w:themeFillTint="33"/>
          </w:tcPr>
          <w:p w14:paraId="277382A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78.26</w:t>
            </w:r>
          </w:p>
        </w:tc>
        <w:tc>
          <w:tcPr>
            <w:tcW w:w="1463" w:type="dxa"/>
            <w:shd w:val="clear" w:color="auto" w:fill="FBD1D2" w:themeFill="accent3" w:themeFillTint="33"/>
          </w:tcPr>
          <w:p w14:paraId="1568157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71</w:t>
            </w:r>
          </w:p>
        </w:tc>
        <w:tc>
          <w:tcPr>
            <w:tcW w:w="1804" w:type="dxa"/>
            <w:shd w:val="clear" w:color="auto" w:fill="FBD1D2" w:themeFill="accent3" w:themeFillTint="33"/>
          </w:tcPr>
          <w:p w14:paraId="550D2790"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78.3</w:t>
            </w:r>
          </w:p>
        </w:tc>
      </w:tr>
      <w:tr w:rsidR="00A0707B" w:rsidRPr="00037C61" w14:paraId="59D64B78" w14:textId="77777777" w:rsidTr="35D5BAB1">
        <w:trPr>
          <w:trHeight w:val="323"/>
        </w:trPr>
        <w:tc>
          <w:tcPr>
            <w:cnfStyle w:val="001000000000" w:firstRow="0" w:lastRow="0" w:firstColumn="1" w:lastColumn="0" w:oddVBand="0" w:evenVBand="0" w:oddHBand="0" w:evenHBand="0" w:firstRowFirstColumn="0" w:firstRowLastColumn="0" w:lastRowFirstColumn="0" w:lastRowLastColumn="0"/>
            <w:tcW w:w="2898" w:type="dxa"/>
            <w:shd w:val="clear" w:color="auto" w:fill="FBD1D2" w:themeFill="accent3" w:themeFillTint="33"/>
          </w:tcPr>
          <w:p w14:paraId="2A18528E" w14:textId="77777777" w:rsidR="00A0707B" w:rsidRPr="00037C61" w:rsidRDefault="00A0707B" w:rsidP="00A0707B">
            <w:pPr>
              <w:rPr>
                <w:b w:val="0"/>
                <w:sz w:val="20"/>
                <w:szCs w:val="20"/>
                <w:lang w:val="en-GB"/>
              </w:rPr>
            </w:pPr>
            <w:r w:rsidRPr="00037C61">
              <w:rPr>
                <w:sz w:val="20"/>
                <w:szCs w:val="20"/>
                <w:lang w:val="en-GB"/>
              </w:rPr>
              <w:t>Békés</w:t>
            </w:r>
          </w:p>
        </w:tc>
        <w:tc>
          <w:tcPr>
            <w:tcW w:w="1463" w:type="dxa"/>
            <w:shd w:val="clear" w:color="auto" w:fill="FBD1D2" w:themeFill="accent3" w:themeFillTint="33"/>
          </w:tcPr>
          <w:p w14:paraId="0223E33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71.06</w:t>
            </w:r>
          </w:p>
        </w:tc>
        <w:tc>
          <w:tcPr>
            <w:tcW w:w="1464" w:type="dxa"/>
            <w:shd w:val="clear" w:color="auto" w:fill="FBD1D2" w:themeFill="accent3" w:themeFillTint="33"/>
          </w:tcPr>
          <w:p w14:paraId="35CF547F"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77.54</w:t>
            </w:r>
          </w:p>
        </w:tc>
        <w:tc>
          <w:tcPr>
            <w:tcW w:w="1463" w:type="dxa"/>
            <w:shd w:val="clear" w:color="auto" w:fill="FBD1D2" w:themeFill="accent3" w:themeFillTint="33"/>
          </w:tcPr>
          <w:p w14:paraId="6DE95E7C"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72.3</w:t>
            </w:r>
          </w:p>
        </w:tc>
        <w:tc>
          <w:tcPr>
            <w:tcW w:w="1804" w:type="dxa"/>
            <w:shd w:val="clear" w:color="auto" w:fill="FBD1D2" w:themeFill="accent3" w:themeFillTint="33"/>
          </w:tcPr>
          <w:p w14:paraId="2CDA9D6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79.1</w:t>
            </w:r>
          </w:p>
        </w:tc>
      </w:tr>
      <w:tr w:rsidR="00A0707B" w:rsidRPr="00037C61" w14:paraId="3063124A" w14:textId="77777777" w:rsidTr="35D5BAB1">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98" w:type="dxa"/>
            <w:shd w:val="clear" w:color="auto" w:fill="FBD1D2" w:themeFill="accent3" w:themeFillTint="33"/>
          </w:tcPr>
          <w:p w14:paraId="0D1A1184" w14:textId="380F1B89" w:rsidR="00A0707B" w:rsidRPr="00037C61" w:rsidRDefault="6446A0E8" w:rsidP="00A0707B">
            <w:pPr>
              <w:rPr>
                <w:b w:val="0"/>
                <w:bCs w:val="0"/>
                <w:sz w:val="20"/>
                <w:szCs w:val="20"/>
                <w:lang w:val="en-GB"/>
              </w:rPr>
            </w:pPr>
            <w:r w:rsidRPr="00037C61">
              <w:rPr>
                <w:sz w:val="20"/>
                <w:szCs w:val="20"/>
                <w:lang w:val="en-GB"/>
              </w:rPr>
              <w:t>Csongrád-Csanád</w:t>
            </w:r>
          </w:p>
        </w:tc>
        <w:tc>
          <w:tcPr>
            <w:tcW w:w="1463" w:type="dxa"/>
            <w:shd w:val="clear" w:color="auto" w:fill="FBD1D2" w:themeFill="accent3" w:themeFillTint="33"/>
          </w:tcPr>
          <w:p w14:paraId="3C1E9D0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71.50</w:t>
            </w:r>
          </w:p>
        </w:tc>
        <w:tc>
          <w:tcPr>
            <w:tcW w:w="1464" w:type="dxa"/>
            <w:shd w:val="clear" w:color="auto" w:fill="FBD1D2" w:themeFill="accent3" w:themeFillTint="33"/>
          </w:tcPr>
          <w:p w14:paraId="7D7B694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78.78</w:t>
            </w:r>
          </w:p>
        </w:tc>
        <w:tc>
          <w:tcPr>
            <w:tcW w:w="1463" w:type="dxa"/>
            <w:shd w:val="clear" w:color="auto" w:fill="FBD1D2" w:themeFill="accent3" w:themeFillTint="33"/>
          </w:tcPr>
          <w:p w14:paraId="028321D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73.1</w:t>
            </w:r>
          </w:p>
        </w:tc>
        <w:tc>
          <w:tcPr>
            <w:tcW w:w="1804" w:type="dxa"/>
            <w:shd w:val="clear" w:color="auto" w:fill="FBD1D2" w:themeFill="accent3" w:themeFillTint="33"/>
          </w:tcPr>
          <w:p w14:paraId="7BB6D700"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79.7</w:t>
            </w:r>
          </w:p>
        </w:tc>
      </w:tr>
      <w:tr w:rsidR="00A0707B" w:rsidRPr="00037C61" w14:paraId="62021D20" w14:textId="77777777" w:rsidTr="35D5BAB1">
        <w:trPr>
          <w:trHeight w:val="323"/>
        </w:trPr>
        <w:tc>
          <w:tcPr>
            <w:cnfStyle w:val="001000000000" w:firstRow="0" w:lastRow="0" w:firstColumn="1" w:lastColumn="0" w:oddVBand="0" w:evenVBand="0" w:oddHBand="0" w:evenHBand="0" w:firstRowFirstColumn="0" w:firstRowLastColumn="0" w:lastRowFirstColumn="0" w:lastRowLastColumn="0"/>
            <w:tcW w:w="2898" w:type="dxa"/>
            <w:shd w:val="clear" w:color="auto" w:fill="EAEDF6" w:themeFill="accent2" w:themeFillTint="33"/>
          </w:tcPr>
          <w:p w14:paraId="63C17207" w14:textId="77777777" w:rsidR="00A0707B" w:rsidRPr="00037C61" w:rsidRDefault="00A0707B" w:rsidP="00A0707B">
            <w:pPr>
              <w:rPr>
                <w:b w:val="0"/>
                <w:sz w:val="20"/>
                <w:szCs w:val="20"/>
                <w:lang w:val="en-GB"/>
              </w:rPr>
            </w:pPr>
            <w:r w:rsidRPr="00037C61">
              <w:rPr>
                <w:sz w:val="20"/>
                <w:szCs w:val="20"/>
                <w:lang w:val="en-GB"/>
              </w:rPr>
              <w:t>Bihor</w:t>
            </w:r>
          </w:p>
        </w:tc>
        <w:tc>
          <w:tcPr>
            <w:tcW w:w="1463" w:type="dxa"/>
            <w:shd w:val="clear" w:color="auto" w:fill="EAEDF6" w:themeFill="accent2" w:themeFillTint="33"/>
          </w:tcPr>
          <w:p w14:paraId="0F406BE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70.5</w:t>
            </w:r>
          </w:p>
        </w:tc>
        <w:tc>
          <w:tcPr>
            <w:tcW w:w="1464" w:type="dxa"/>
            <w:shd w:val="clear" w:color="auto" w:fill="EAEDF6" w:themeFill="accent2" w:themeFillTint="33"/>
          </w:tcPr>
          <w:p w14:paraId="357781D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77.28</w:t>
            </w:r>
          </w:p>
        </w:tc>
        <w:tc>
          <w:tcPr>
            <w:tcW w:w="1463" w:type="dxa"/>
            <w:shd w:val="clear" w:color="auto" w:fill="EAEDF6" w:themeFill="accent2" w:themeFillTint="33"/>
          </w:tcPr>
          <w:p w14:paraId="44BBD1B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72.05</w:t>
            </w:r>
          </w:p>
        </w:tc>
        <w:tc>
          <w:tcPr>
            <w:tcW w:w="1804" w:type="dxa"/>
            <w:shd w:val="clear" w:color="auto" w:fill="EAEDF6" w:themeFill="accent2" w:themeFillTint="33"/>
          </w:tcPr>
          <w:p w14:paraId="746857E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78.48</w:t>
            </w:r>
          </w:p>
        </w:tc>
      </w:tr>
      <w:tr w:rsidR="00A0707B" w:rsidRPr="00037C61" w14:paraId="35EA681A" w14:textId="77777777" w:rsidTr="35D5BAB1">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898" w:type="dxa"/>
            <w:shd w:val="clear" w:color="auto" w:fill="EAEDF6" w:themeFill="accent2" w:themeFillTint="33"/>
          </w:tcPr>
          <w:p w14:paraId="0624428C" w14:textId="77777777" w:rsidR="00A0707B" w:rsidRPr="00037C61" w:rsidRDefault="00A0707B" w:rsidP="00A0707B">
            <w:pPr>
              <w:rPr>
                <w:b w:val="0"/>
                <w:sz w:val="20"/>
                <w:szCs w:val="20"/>
                <w:lang w:val="en-GB"/>
              </w:rPr>
            </w:pPr>
            <w:r w:rsidRPr="00037C61">
              <w:rPr>
                <w:sz w:val="20"/>
                <w:szCs w:val="20"/>
                <w:lang w:val="en-GB"/>
              </w:rPr>
              <w:t>Satu Mare</w:t>
            </w:r>
          </w:p>
        </w:tc>
        <w:tc>
          <w:tcPr>
            <w:tcW w:w="1463" w:type="dxa"/>
            <w:shd w:val="clear" w:color="auto" w:fill="EAEDF6" w:themeFill="accent2" w:themeFillTint="33"/>
          </w:tcPr>
          <w:p w14:paraId="3819BA3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68.72</w:t>
            </w:r>
          </w:p>
        </w:tc>
        <w:tc>
          <w:tcPr>
            <w:tcW w:w="1464" w:type="dxa"/>
            <w:shd w:val="clear" w:color="auto" w:fill="EAEDF6" w:themeFill="accent2" w:themeFillTint="33"/>
          </w:tcPr>
          <w:p w14:paraId="4E0ABE01"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76.66</w:t>
            </w:r>
          </w:p>
        </w:tc>
        <w:tc>
          <w:tcPr>
            <w:tcW w:w="1463" w:type="dxa"/>
            <w:shd w:val="clear" w:color="auto" w:fill="EAEDF6" w:themeFill="accent2" w:themeFillTint="33"/>
          </w:tcPr>
          <w:p w14:paraId="0D281245"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70.08</w:t>
            </w:r>
          </w:p>
        </w:tc>
        <w:tc>
          <w:tcPr>
            <w:tcW w:w="1804" w:type="dxa"/>
            <w:shd w:val="clear" w:color="auto" w:fill="EAEDF6" w:themeFill="accent2" w:themeFillTint="33"/>
          </w:tcPr>
          <w:p w14:paraId="555195B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77.27</w:t>
            </w:r>
          </w:p>
        </w:tc>
      </w:tr>
      <w:tr w:rsidR="00A0707B" w:rsidRPr="00037C61" w14:paraId="3FF31094" w14:textId="77777777" w:rsidTr="35D5BAB1">
        <w:trPr>
          <w:trHeight w:val="346"/>
        </w:trPr>
        <w:tc>
          <w:tcPr>
            <w:cnfStyle w:val="001000000000" w:firstRow="0" w:lastRow="0" w:firstColumn="1" w:lastColumn="0" w:oddVBand="0" w:evenVBand="0" w:oddHBand="0" w:evenHBand="0" w:firstRowFirstColumn="0" w:firstRowLastColumn="0" w:lastRowFirstColumn="0" w:lastRowLastColumn="0"/>
            <w:tcW w:w="2898" w:type="dxa"/>
            <w:shd w:val="clear" w:color="auto" w:fill="EAEDF6" w:themeFill="accent2" w:themeFillTint="33"/>
          </w:tcPr>
          <w:p w14:paraId="7CA86B42" w14:textId="77777777" w:rsidR="00A0707B" w:rsidRPr="00037C61" w:rsidRDefault="00A0707B" w:rsidP="00A0707B">
            <w:pPr>
              <w:rPr>
                <w:b w:val="0"/>
                <w:sz w:val="20"/>
                <w:szCs w:val="20"/>
                <w:lang w:val="en-GB"/>
              </w:rPr>
            </w:pPr>
            <w:r w:rsidRPr="00037C61">
              <w:rPr>
                <w:sz w:val="20"/>
                <w:szCs w:val="20"/>
                <w:lang w:val="en-GB"/>
              </w:rPr>
              <w:t>Arad</w:t>
            </w:r>
          </w:p>
        </w:tc>
        <w:tc>
          <w:tcPr>
            <w:tcW w:w="1463" w:type="dxa"/>
            <w:shd w:val="clear" w:color="auto" w:fill="EAEDF6" w:themeFill="accent2" w:themeFillTint="33"/>
          </w:tcPr>
          <w:p w14:paraId="6427BD8F"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70.93</w:t>
            </w:r>
          </w:p>
        </w:tc>
        <w:tc>
          <w:tcPr>
            <w:tcW w:w="1464" w:type="dxa"/>
            <w:shd w:val="clear" w:color="auto" w:fill="EAEDF6" w:themeFill="accent2" w:themeFillTint="33"/>
          </w:tcPr>
          <w:p w14:paraId="639FF715"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77.4</w:t>
            </w:r>
          </w:p>
        </w:tc>
        <w:tc>
          <w:tcPr>
            <w:tcW w:w="1463" w:type="dxa"/>
            <w:shd w:val="clear" w:color="auto" w:fill="EAEDF6" w:themeFill="accent2" w:themeFillTint="33"/>
          </w:tcPr>
          <w:p w14:paraId="0AD6BC3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71.74</w:t>
            </w:r>
          </w:p>
        </w:tc>
        <w:tc>
          <w:tcPr>
            <w:tcW w:w="1804" w:type="dxa"/>
            <w:shd w:val="clear" w:color="auto" w:fill="EAEDF6" w:themeFill="accent2" w:themeFillTint="33"/>
          </w:tcPr>
          <w:p w14:paraId="6AFE7C4A"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78.15</w:t>
            </w:r>
          </w:p>
        </w:tc>
      </w:tr>
      <w:tr w:rsidR="00A0707B" w:rsidRPr="00037C61" w14:paraId="7F148FA5" w14:textId="77777777" w:rsidTr="35D5BAB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898" w:type="dxa"/>
            <w:shd w:val="clear" w:color="auto" w:fill="EAEDF6" w:themeFill="accent2" w:themeFillTint="33"/>
          </w:tcPr>
          <w:p w14:paraId="6ACFD49B" w14:textId="36A032B5" w:rsidR="00A0707B" w:rsidRPr="00037C61" w:rsidRDefault="008B32DD" w:rsidP="00A0707B">
            <w:pPr>
              <w:rPr>
                <w:b w:val="0"/>
                <w:sz w:val="20"/>
                <w:szCs w:val="20"/>
                <w:lang w:val="en-GB"/>
              </w:rPr>
            </w:pPr>
            <w:r w:rsidRPr="00037C61">
              <w:rPr>
                <w:sz w:val="20"/>
                <w:szCs w:val="20"/>
                <w:lang w:val="en-GB"/>
              </w:rPr>
              <w:t>Timiș</w:t>
            </w:r>
          </w:p>
        </w:tc>
        <w:tc>
          <w:tcPr>
            <w:tcW w:w="1463" w:type="dxa"/>
            <w:shd w:val="clear" w:color="auto" w:fill="EAEDF6" w:themeFill="accent2" w:themeFillTint="33"/>
          </w:tcPr>
          <w:p w14:paraId="421C2C2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71.95</w:t>
            </w:r>
          </w:p>
        </w:tc>
        <w:tc>
          <w:tcPr>
            <w:tcW w:w="1464" w:type="dxa"/>
            <w:shd w:val="clear" w:color="auto" w:fill="EAEDF6" w:themeFill="accent2" w:themeFillTint="33"/>
          </w:tcPr>
          <w:p w14:paraId="4DD6B91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78.2</w:t>
            </w:r>
          </w:p>
        </w:tc>
        <w:tc>
          <w:tcPr>
            <w:tcW w:w="1463" w:type="dxa"/>
            <w:shd w:val="clear" w:color="auto" w:fill="EAEDF6" w:themeFill="accent2" w:themeFillTint="33"/>
          </w:tcPr>
          <w:p w14:paraId="4187C142"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73.91</w:t>
            </w:r>
          </w:p>
        </w:tc>
        <w:tc>
          <w:tcPr>
            <w:tcW w:w="1804" w:type="dxa"/>
            <w:shd w:val="clear" w:color="auto" w:fill="EAEDF6" w:themeFill="accent2" w:themeFillTint="33"/>
          </w:tcPr>
          <w:p w14:paraId="100DDE44"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79.29</w:t>
            </w:r>
          </w:p>
        </w:tc>
      </w:tr>
    </w:tbl>
    <w:p w14:paraId="52D7AEF1" w14:textId="77777777" w:rsidR="00A0707B" w:rsidRPr="00037C61" w:rsidRDefault="00A0707B" w:rsidP="00A0707B">
      <w:pPr>
        <w:pStyle w:val="InterregROHUBullet1"/>
        <w:numPr>
          <w:ilvl w:val="0"/>
          <w:numId w:val="0"/>
        </w:numPr>
        <w:rPr>
          <w:i/>
          <w:color w:val="012751" w:themeColor="text2"/>
          <w:sz w:val="18"/>
        </w:rPr>
      </w:pPr>
      <w:r w:rsidRPr="00037C61">
        <w:rPr>
          <w:i/>
          <w:color w:val="012751" w:themeColor="text2"/>
          <w:sz w:val="18"/>
        </w:rPr>
        <w:t>Source: KSH, INS</w:t>
      </w:r>
    </w:p>
    <w:p w14:paraId="375F3316" w14:textId="7E2FA7F7" w:rsidR="00A0707B" w:rsidRPr="00037C61" w:rsidRDefault="00A0707B" w:rsidP="00A0707B">
      <w:pPr>
        <w:rPr>
          <w:lang w:val="en-GB"/>
        </w:rPr>
      </w:pPr>
      <w:r w:rsidRPr="00037C61">
        <w:rPr>
          <w:b/>
          <w:bCs/>
          <w:lang w:val="en-GB"/>
        </w:rPr>
        <w:t>Infant mortality rate</w:t>
      </w:r>
      <w:r w:rsidRPr="00037C61">
        <w:rPr>
          <w:lang w:val="en-GB"/>
        </w:rPr>
        <w:t xml:space="preserve"> decrease</w:t>
      </w:r>
      <w:r w:rsidR="00630A33" w:rsidRPr="00037C61">
        <w:rPr>
          <w:lang w:val="en-GB"/>
        </w:rPr>
        <w:t>d</w:t>
      </w:r>
      <w:r w:rsidRPr="00037C61">
        <w:rPr>
          <w:lang w:val="en-GB"/>
        </w:rPr>
        <w:t xml:space="preserve"> in all counties from </w:t>
      </w:r>
      <w:r w:rsidR="005171E7" w:rsidRPr="00037C61">
        <w:rPr>
          <w:lang w:val="en-GB"/>
        </w:rPr>
        <w:t>programme area</w:t>
      </w:r>
      <w:r w:rsidRPr="00037C61">
        <w:rPr>
          <w:lang w:val="en-GB"/>
        </w:rPr>
        <w:t xml:space="preserve"> during the period 2009 and 2018. According to the data</w:t>
      </w:r>
      <w:r w:rsidR="00695EEC" w:rsidRPr="00037C61">
        <w:rPr>
          <w:lang w:val="en-GB"/>
        </w:rPr>
        <w:t xml:space="preserve"> from KSH and INS,</w:t>
      </w:r>
      <w:r w:rsidRPr="00037C61">
        <w:rPr>
          <w:lang w:val="en-GB"/>
        </w:rPr>
        <w:t xml:space="preserve"> the highest decrease of mortality rate </w:t>
      </w:r>
      <w:r w:rsidR="00695EEC" w:rsidRPr="00037C61">
        <w:rPr>
          <w:lang w:val="en-GB"/>
        </w:rPr>
        <w:t xml:space="preserve">was </w:t>
      </w:r>
      <w:r w:rsidRPr="00037C61">
        <w:rPr>
          <w:lang w:val="en-GB"/>
        </w:rPr>
        <w:t>registered in Romanian</w:t>
      </w:r>
      <w:r w:rsidR="00695EEC" w:rsidRPr="00037C61">
        <w:rPr>
          <w:lang w:val="en-GB"/>
        </w:rPr>
        <w:t xml:space="preserve"> PA</w:t>
      </w:r>
      <w:r w:rsidRPr="00037C61">
        <w:rPr>
          <w:lang w:val="en-GB"/>
        </w:rPr>
        <w:t xml:space="preserve"> counties and varies between </w:t>
      </w:r>
      <w:r w:rsidR="00695EEC" w:rsidRPr="00037C61">
        <w:rPr>
          <w:lang w:val="en-GB"/>
        </w:rPr>
        <w:t>-</w:t>
      </w:r>
      <w:r w:rsidRPr="00037C61">
        <w:rPr>
          <w:lang w:val="en-GB"/>
        </w:rPr>
        <w:t xml:space="preserve">7.3 in </w:t>
      </w:r>
      <w:r w:rsidR="008B32DD" w:rsidRPr="00037C61">
        <w:rPr>
          <w:lang w:val="en-GB"/>
        </w:rPr>
        <w:t>Timiș</w:t>
      </w:r>
      <w:r w:rsidRPr="00037C61">
        <w:rPr>
          <w:lang w:val="en-GB"/>
        </w:rPr>
        <w:t xml:space="preserve"> (from 11.5</w:t>
      </w:r>
      <w:r w:rsidRPr="00037C61">
        <w:rPr>
          <w:rFonts w:cs="Calibri"/>
          <w:lang w:val="en-GB"/>
        </w:rPr>
        <w:t>‰</w:t>
      </w:r>
      <w:r w:rsidRPr="00037C61">
        <w:rPr>
          <w:lang w:val="en-GB"/>
        </w:rPr>
        <w:t xml:space="preserve"> in 2012 to 4.2</w:t>
      </w:r>
      <w:r w:rsidRPr="00037C61">
        <w:rPr>
          <w:rFonts w:cs="Calibri"/>
          <w:lang w:val="en-GB"/>
        </w:rPr>
        <w:t>‰</w:t>
      </w:r>
      <w:r w:rsidRPr="00037C61">
        <w:rPr>
          <w:lang w:val="en-GB"/>
        </w:rPr>
        <w:t xml:space="preserve"> in 2018), -6.6 in Bihor (from 13.4</w:t>
      </w:r>
      <w:r w:rsidRPr="00037C61">
        <w:rPr>
          <w:rFonts w:cs="Calibri"/>
          <w:lang w:val="en-GB"/>
        </w:rPr>
        <w:t>‰</w:t>
      </w:r>
      <w:r w:rsidRPr="00037C61">
        <w:rPr>
          <w:lang w:val="en-GB"/>
        </w:rPr>
        <w:t xml:space="preserve"> in 2012 to 6.8</w:t>
      </w:r>
      <w:r w:rsidRPr="00037C61">
        <w:rPr>
          <w:rFonts w:cs="Calibri"/>
          <w:lang w:val="en-GB"/>
        </w:rPr>
        <w:t>‰</w:t>
      </w:r>
      <w:r w:rsidRPr="00037C61">
        <w:rPr>
          <w:lang w:val="en-GB"/>
        </w:rPr>
        <w:t xml:space="preserve"> in 2018) and -4 in Satu Mare. Despite this decrease, the Romanian counties from the </w:t>
      </w:r>
      <w:r w:rsidR="005171E7" w:rsidRPr="00037C61">
        <w:rPr>
          <w:lang w:val="en-GB"/>
        </w:rPr>
        <w:t>programme area</w:t>
      </w:r>
      <w:r w:rsidRPr="00037C61">
        <w:rPr>
          <w:lang w:val="en-GB"/>
        </w:rPr>
        <w:t xml:space="preserve"> have registered highest values of the mortality rate that vary from 4.2</w:t>
      </w:r>
      <w:r w:rsidRPr="00037C61">
        <w:rPr>
          <w:rFonts w:cs="Calibri"/>
          <w:lang w:val="en-GB"/>
        </w:rPr>
        <w:t>‰</w:t>
      </w:r>
      <w:r w:rsidRPr="00037C61">
        <w:rPr>
          <w:lang w:val="en-GB"/>
        </w:rPr>
        <w:t xml:space="preserve"> in </w:t>
      </w:r>
      <w:r w:rsidR="008B32DD" w:rsidRPr="00037C61">
        <w:rPr>
          <w:lang w:val="en-GB"/>
        </w:rPr>
        <w:t>Timiș</w:t>
      </w:r>
      <w:r w:rsidRPr="00037C61">
        <w:rPr>
          <w:lang w:val="en-GB"/>
        </w:rPr>
        <w:t xml:space="preserve"> to 7</w:t>
      </w:r>
      <w:r w:rsidRPr="00037C61">
        <w:rPr>
          <w:rFonts w:cs="Calibri"/>
          <w:lang w:val="en-GB"/>
        </w:rPr>
        <w:t>‰</w:t>
      </w:r>
      <w:r w:rsidRPr="00037C61">
        <w:rPr>
          <w:lang w:val="en-GB"/>
        </w:rPr>
        <w:t xml:space="preserve"> in Satu Mare. From the Hungarian counties, the outlier is Szabolcs-Szatmár-Bereg where the mortality rate was 5.1</w:t>
      </w:r>
      <w:r w:rsidRPr="00037C61">
        <w:rPr>
          <w:rFonts w:cs="Calibri"/>
          <w:lang w:val="en-GB"/>
        </w:rPr>
        <w:t>‰</w:t>
      </w:r>
      <w:r w:rsidRPr="00037C61">
        <w:rPr>
          <w:lang w:val="en-GB"/>
        </w:rPr>
        <w:t>. (</w:t>
      </w:r>
      <w:r w:rsidRPr="00037C61">
        <w:rPr>
          <w:lang w:val="en-GB"/>
        </w:rPr>
        <w:fldChar w:fldCharType="begin"/>
      </w:r>
      <w:r w:rsidRPr="00037C61">
        <w:rPr>
          <w:lang w:val="en-GB"/>
        </w:rPr>
        <w:instrText xml:space="preserve"> REF _Ref50643622 \h </w:instrText>
      </w:r>
      <w:r w:rsidRPr="00037C61">
        <w:rPr>
          <w:lang w:val="en-GB"/>
        </w:rPr>
      </w:r>
      <w:r w:rsidRPr="00037C61">
        <w:rPr>
          <w:lang w:val="en-GB"/>
        </w:rPr>
        <w:fldChar w:fldCharType="separate"/>
      </w:r>
      <w:r w:rsidR="00A633B8" w:rsidRPr="00037C61">
        <w:rPr>
          <w:lang w:val="en-GB"/>
        </w:rPr>
        <w:t xml:space="preserve">Figure </w:t>
      </w:r>
      <w:r w:rsidR="00A633B8" w:rsidRPr="00037C61">
        <w:rPr>
          <w:noProof/>
          <w:lang w:val="en-GB"/>
        </w:rPr>
        <w:t>33</w:t>
      </w:r>
      <w:r w:rsidRPr="00037C61">
        <w:rPr>
          <w:lang w:val="en-GB"/>
        </w:rPr>
        <w:fldChar w:fldCharType="end"/>
      </w:r>
      <w:r w:rsidRPr="00037C61">
        <w:rPr>
          <w:lang w:val="en-GB"/>
        </w:rPr>
        <w:t>)</w:t>
      </w:r>
    </w:p>
    <w:p w14:paraId="65B642E8" w14:textId="77777777" w:rsidR="009332E5" w:rsidRPr="00037C61" w:rsidRDefault="009332E5" w:rsidP="00A0707B">
      <w:pPr>
        <w:rPr>
          <w:lang w:val="en-GB"/>
        </w:rPr>
      </w:pPr>
    </w:p>
    <w:p w14:paraId="5A379D2C" w14:textId="7A206B6E" w:rsidR="00A0707B" w:rsidRPr="00037C61" w:rsidRDefault="00A0707B" w:rsidP="00A0707B">
      <w:pPr>
        <w:pStyle w:val="Caption"/>
        <w:jc w:val="both"/>
        <w:rPr>
          <w:lang w:val="en-GB"/>
        </w:rPr>
      </w:pPr>
      <w:bookmarkStart w:id="208" w:name="_Ref50643622"/>
      <w:bookmarkStart w:id="209" w:name="_Toc50657546"/>
      <w:bookmarkStart w:id="210" w:name="_Toc6461098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37</w:t>
      </w:r>
      <w:r w:rsidR="00412697">
        <w:rPr>
          <w:lang w:val="en-GB"/>
        </w:rPr>
        <w:fldChar w:fldCharType="end"/>
      </w:r>
      <w:bookmarkEnd w:id="208"/>
      <w:r w:rsidRPr="00037C61">
        <w:rPr>
          <w:lang w:val="en-GB"/>
        </w:rPr>
        <w:t>. Infant mortality rate evolution between 2009 and 2018</w:t>
      </w:r>
      <w:bookmarkEnd w:id="209"/>
      <w:bookmarkEnd w:id="210"/>
    </w:p>
    <w:p w14:paraId="22957415" w14:textId="77777777" w:rsidR="00A0707B" w:rsidRPr="00037C61" w:rsidRDefault="00A0707B" w:rsidP="00A0707B">
      <w:pPr>
        <w:spacing w:after="0"/>
        <w:rPr>
          <w:lang w:val="en-GB"/>
        </w:rPr>
      </w:pPr>
      <w:r w:rsidRPr="00037C61">
        <w:rPr>
          <w:noProof/>
          <w:lang w:val="ro-RO" w:eastAsia="ro-RO"/>
        </w:rPr>
        <w:drawing>
          <wp:inline distT="0" distB="0" distL="0" distR="0" wp14:anchorId="6D9487DD" wp14:editId="7D35A196">
            <wp:extent cx="5731510" cy="2301240"/>
            <wp:effectExtent l="0" t="0" r="2540" b="3810"/>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A930DF6" w14:textId="77777777" w:rsidR="00A0707B" w:rsidRPr="00037C61" w:rsidRDefault="00A0707B" w:rsidP="00A0707B">
      <w:pPr>
        <w:pStyle w:val="InterregROHUBullet1"/>
        <w:numPr>
          <w:ilvl w:val="0"/>
          <w:numId w:val="0"/>
        </w:numPr>
        <w:rPr>
          <w:i/>
          <w:color w:val="012751" w:themeColor="text2"/>
          <w:sz w:val="18"/>
        </w:rPr>
      </w:pPr>
      <w:r w:rsidRPr="00037C61">
        <w:rPr>
          <w:i/>
          <w:color w:val="012751" w:themeColor="text2"/>
          <w:sz w:val="18"/>
        </w:rPr>
        <w:t>Source: KSH, INS</w:t>
      </w:r>
    </w:p>
    <w:p w14:paraId="45E3E8A9" w14:textId="29456ECE" w:rsidR="00EC1CAB" w:rsidRPr="00037C61" w:rsidRDefault="76158E8F" w:rsidP="76158E8F">
      <w:pPr>
        <w:rPr>
          <w:b/>
          <w:bCs/>
          <w:lang w:val="en-GB"/>
        </w:rPr>
      </w:pPr>
      <w:r w:rsidRPr="00037C61">
        <w:rPr>
          <w:b/>
          <w:bCs/>
          <w:lang w:val="en-GB"/>
        </w:rPr>
        <w:t>Population access to healthcare services</w:t>
      </w:r>
      <w:r w:rsidRPr="00037C61">
        <w:rPr>
          <w:lang w:val="en-GB"/>
        </w:rPr>
        <w:t xml:space="preserve"> is extremely important for quality of life and is dependent from health infrastructure. Timișoara is one of first five most important university </w:t>
      </w:r>
      <w:r w:rsidR="63C8491E" w:rsidRPr="00037C61">
        <w:rPr>
          <w:lang w:val="en-GB"/>
        </w:rPr>
        <w:t>centres</w:t>
      </w:r>
      <w:r w:rsidRPr="00037C61">
        <w:rPr>
          <w:lang w:val="en-GB"/>
        </w:rPr>
        <w:t xml:space="preserve"> for medicine</w:t>
      </w:r>
      <w:r w:rsidR="00695EEC" w:rsidRPr="00037C61">
        <w:rPr>
          <w:lang w:val="en-GB"/>
        </w:rPr>
        <w:t xml:space="preserve"> in Romania, and </w:t>
      </w:r>
      <w:r w:rsidRPr="00037C61">
        <w:rPr>
          <w:rFonts w:eastAsia="Calibri" w:cs="Calibri"/>
          <w:lang w:val="en-GB"/>
        </w:rPr>
        <w:t>Oradea (capital of Bihor county), Debrecen (Hajdú-Bihar)</w:t>
      </w:r>
      <w:r w:rsidR="004B7868">
        <w:rPr>
          <w:rFonts w:eastAsia="Calibri" w:cs="Calibri"/>
          <w:lang w:val="en-GB"/>
        </w:rPr>
        <w:t xml:space="preserve">, </w:t>
      </w:r>
      <w:r w:rsidRPr="00037C61">
        <w:rPr>
          <w:rFonts w:eastAsia="Calibri" w:cs="Calibri"/>
          <w:lang w:val="en-GB"/>
        </w:rPr>
        <w:t xml:space="preserve">Szeged (from Csongrád-Csanád) </w:t>
      </w:r>
      <w:r w:rsidR="004B7868">
        <w:rPr>
          <w:rFonts w:eastAsia="Calibri" w:cs="Calibri"/>
          <w:lang w:val="en-GB"/>
        </w:rPr>
        <w:t xml:space="preserve">and </w:t>
      </w:r>
      <w:r w:rsidR="004B7868" w:rsidRPr="00DB74BF">
        <w:rPr>
          <w:lang w:val="en-GB"/>
        </w:rPr>
        <w:t>Nyíregyháza</w:t>
      </w:r>
      <w:r w:rsidR="004B7868" w:rsidRPr="00037C61">
        <w:rPr>
          <w:rFonts w:eastAsia="Calibri" w:cs="Calibri"/>
          <w:lang w:val="en-GB"/>
        </w:rPr>
        <w:t xml:space="preserve"> </w:t>
      </w:r>
      <w:r w:rsidR="004B7868">
        <w:rPr>
          <w:rFonts w:eastAsia="Calibri" w:cs="Calibri"/>
          <w:lang w:val="en-GB"/>
        </w:rPr>
        <w:t>(</w:t>
      </w:r>
      <w:r w:rsidR="004B7868" w:rsidRPr="004B7868">
        <w:rPr>
          <w:rFonts w:eastAsia="Calibri" w:cs="Calibri"/>
          <w:lang w:val="en-GB"/>
        </w:rPr>
        <w:t>Szabolcs-Szatmár-Bereg</w:t>
      </w:r>
      <w:r w:rsidR="004B7868">
        <w:rPr>
          <w:rFonts w:eastAsia="Calibri" w:cs="Calibri"/>
          <w:lang w:val="en-GB"/>
        </w:rPr>
        <w:t>)</w:t>
      </w:r>
      <w:r w:rsidR="004B7868" w:rsidRPr="004B7868">
        <w:rPr>
          <w:rFonts w:eastAsia="Calibri" w:cs="Calibri"/>
          <w:lang w:val="en-GB"/>
        </w:rPr>
        <w:t xml:space="preserve"> </w:t>
      </w:r>
      <w:r w:rsidRPr="00037C61">
        <w:rPr>
          <w:rFonts w:eastAsia="Calibri" w:cs="Calibri"/>
          <w:lang w:val="en-GB"/>
        </w:rPr>
        <w:t>have a medicine university</w:t>
      </w:r>
      <w:r w:rsidR="004B7868">
        <w:rPr>
          <w:rFonts w:eastAsia="Calibri" w:cs="Calibri"/>
          <w:lang w:val="en-GB"/>
        </w:rPr>
        <w:t xml:space="preserve"> or faculty (case of N</w:t>
      </w:r>
      <w:r w:rsidR="004B7868" w:rsidRPr="00DB74BF">
        <w:rPr>
          <w:lang w:val="en-GB"/>
        </w:rPr>
        <w:t xml:space="preserve"> yíregyháza)</w:t>
      </w:r>
      <w:r w:rsidRPr="00037C61">
        <w:rPr>
          <w:rFonts w:eastAsia="Calibri" w:cs="Calibri"/>
          <w:lang w:val="en-GB"/>
        </w:rPr>
        <w:t xml:space="preserve">. </w:t>
      </w:r>
      <w:r w:rsidR="00695EEC" w:rsidRPr="00037C61">
        <w:rPr>
          <w:rFonts w:eastAsia="Calibri" w:cs="Calibri"/>
          <w:lang w:val="en-GB"/>
        </w:rPr>
        <w:t xml:space="preserve">This is a factor for the high </w:t>
      </w:r>
      <w:r w:rsidRPr="00037C61">
        <w:rPr>
          <w:rFonts w:eastAsia="Calibri" w:cs="Calibri"/>
          <w:lang w:val="en-GB"/>
        </w:rPr>
        <w:t>number of medics in Timiș county (5722), Bihor (4581), Hajdú-Bihar (3047) and Csongrád-Csanád (2502).</w:t>
      </w:r>
      <w:r w:rsidRPr="00037C61">
        <w:rPr>
          <w:lang w:val="en-GB"/>
        </w:rPr>
        <w:t xml:space="preserve"> The number of hospital beds in Hungarian counties</w:t>
      </w:r>
      <w:r w:rsidR="00695EEC" w:rsidRPr="00037C61">
        <w:rPr>
          <w:lang w:val="en-GB"/>
        </w:rPr>
        <w:t xml:space="preserve"> is</w:t>
      </w:r>
      <w:r w:rsidRPr="00037C61">
        <w:rPr>
          <w:lang w:val="en-GB"/>
        </w:rPr>
        <w:t xml:space="preserve"> higher </w:t>
      </w:r>
      <w:r w:rsidR="00695EEC" w:rsidRPr="00037C61">
        <w:rPr>
          <w:lang w:val="en-GB"/>
        </w:rPr>
        <w:t xml:space="preserve">on </w:t>
      </w:r>
      <w:r w:rsidRPr="00037C61">
        <w:rPr>
          <w:lang w:val="en-GB"/>
        </w:rPr>
        <w:t>average than the Romanian side, varying</w:t>
      </w:r>
      <w:r w:rsidR="26694FD1" w:rsidRPr="00037C61">
        <w:rPr>
          <w:lang w:val="en-GB"/>
        </w:rPr>
        <w:t xml:space="preserve"> </w:t>
      </w:r>
      <w:r w:rsidRPr="00037C61">
        <w:rPr>
          <w:lang w:val="en-GB"/>
        </w:rPr>
        <w:t>between 2429 (Békés) and 3558 (Szabolcs-Szatmár-Bereg). The number of hospital beds/1000 inhabitants is largest in Timiș (8.2‰) and Bihor (8.1‰), and lowest in Satu Mare (5.5‰)</w:t>
      </w:r>
      <w:r w:rsidR="00B22436" w:rsidRPr="00037C61">
        <w:rPr>
          <w:lang w:val="en-GB"/>
        </w:rPr>
        <w:t xml:space="preserve">, with </w:t>
      </w:r>
      <w:r w:rsidR="00B22436" w:rsidRPr="00037C61">
        <w:rPr>
          <w:b/>
          <w:bCs/>
          <w:lang w:val="en-GB"/>
        </w:rPr>
        <w:t xml:space="preserve">all figures over the EU-27 average. </w:t>
      </w:r>
    </w:p>
    <w:p w14:paraId="568B8962" w14:textId="44D5ECE6" w:rsidR="00A0707B" w:rsidRPr="00037C61" w:rsidRDefault="00A0707B" w:rsidP="2C549B0C">
      <w:pPr>
        <w:rPr>
          <w:rFonts w:eastAsia="Calibri" w:cs="Calibri"/>
          <w:lang w:val="en-GB"/>
        </w:rPr>
      </w:pPr>
      <w:r w:rsidRPr="00037C61">
        <w:rPr>
          <w:rFonts w:eastAsia="Calibri" w:cs="Calibri"/>
          <w:lang w:val="en-GB"/>
        </w:rPr>
        <w:lastRenderedPageBreak/>
        <w:t xml:space="preserve">The biggest number of medics/1000 </w:t>
      </w:r>
      <w:r w:rsidR="6446A0E8" w:rsidRPr="00037C61">
        <w:rPr>
          <w:rFonts w:eastAsia="Calibri" w:cs="Calibri"/>
          <w:lang w:val="en-GB"/>
        </w:rPr>
        <w:t>inhabitants</w:t>
      </w:r>
      <w:r w:rsidRPr="00037C61">
        <w:rPr>
          <w:rFonts w:eastAsia="Calibri" w:cs="Calibri"/>
          <w:lang w:val="en-GB"/>
        </w:rPr>
        <w:t xml:space="preserve"> is registered in </w:t>
      </w:r>
      <w:r w:rsidRPr="00037C61">
        <w:rPr>
          <w:rFonts w:eastAsia="Calibri" w:cs="Calibri"/>
          <w:color w:val="000000"/>
          <w:lang w:val="en-GB"/>
        </w:rPr>
        <w:t>Csongrád</w:t>
      </w:r>
      <w:r w:rsidR="00DE7D07">
        <w:rPr>
          <w:lang w:val="en-GB"/>
        </w:rPr>
        <w:t>-Csan</w:t>
      </w:r>
      <w:r w:rsidR="00DE7D07" w:rsidRPr="00DB74BF">
        <w:rPr>
          <w:rFonts w:ascii="Arial" w:hAnsi="Arial" w:cs="Arial"/>
          <w:sz w:val="20"/>
          <w:szCs w:val="20"/>
          <w:shd w:val="clear" w:color="auto" w:fill="FFFFFF"/>
          <w:lang w:val="en-GB"/>
        </w:rPr>
        <w:t>ád</w:t>
      </w:r>
      <w:r w:rsidRPr="00037C61">
        <w:rPr>
          <w:rFonts w:eastAsia="Calibri" w:cs="Calibri"/>
          <w:color w:val="000000"/>
          <w:lang w:val="en-GB"/>
        </w:rPr>
        <w:t xml:space="preserve"> (6.3‰) and </w:t>
      </w:r>
      <w:r w:rsidR="6446A0E8" w:rsidRPr="00037C61">
        <w:rPr>
          <w:rFonts w:eastAsia="Calibri" w:cs="Calibri"/>
          <w:color w:val="000000" w:themeColor="text1"/>
          <w:lang w:val="en-GB"/>
        </w:rPr>
        <w:t>Timiș</w:t>
      </w:r>
      <w:r w:rsidRPr="00037C61">
        <w:rPr>
          <w:rFonts w:eastAsia="Calibri" w:cs="Calibri"/>
          <w:color w:val="000000"/>
          <w:lang w:val="en-GB"/>
        </w:rPr>
        <w:t xml:space="preserve"> (6.2‰), while the lowest is in Satu Mare (1.9‰), Arad (2.7‰) and </w:t>
      </w:r>
      <w:r w:rsidRPr="00037C61">
        <w:rPr>
          <w:rFonts w:eastAsia="Calibri" w:cs="Calibri"/>
          <w:lang w:val="en-GB"/>
        </w:rPr>
        <w:t xml:space="preserve">Szabolcs-Szatmár-Bereg </w:t>
      </w:r>
      <w:r w:rsidRPr="00037C61">
        <w:rPr>
          <w:rFonts w:eastAsia="Calibri" w:cs="Calibri"/>
          <w:color w:val="000000"/>
          <w:lang w:val="en-GB"/>
        </w:rPr>
        <w:t>(2.7‰)</w:t>
      </w:r>
      <w:r w:rsidR="00B22436" w:rsidRPr="00037C61">
        <w:rPr>
          <w:rFonts w:eastAsia="Calibri" w:cs="Calibri"/>
          <w:color w:val="000000"/>
          <w:lang w:val="en-GB"/>
        </w:rPr>
        <w:t>, lower than the national averages (Table 10)</w:t>
      </w:r>
      <w:r w:rsidRPr="00037C61">
        <w:rPr>
          <w:rFonts w:eastAsia="Calibri" w:cs="Calibri"/>
          <w:lang w:val="en-GB"/>
        </w:rPr>
        <w:t>. In Hungarian counties</w:t>
      </w:r>
      <w:r w:rsidR="6446A0E8" w:rsidRPr="00037C61">
        <w:rPr>
          <w:rFonts w:eastAsia="Calibri" w:cs="Calibri"/>
          <w:lang w:val="en-GB"/>
        </w:rPr>
        <w:t>,</w:t>
      </w:r>
      <w:r w:rsidRPr="00037C61">
        <w:rPr>
          <w:rFonts w:eastAsia="Calibri" w:cs="Calibri"/>
          <w:lang w:val="en-GB"/>
        </w:rPr>
        <w:t xml:space="preserve"> the number of ambulatories is higher and varies from 16 in Csongrád, to 24 in Békés and 36 in Szabolcs-Szatmár-Bereg. </w:t>
      </w:r>
      <w:r w:rsidR="6446A0E8" w:rsidRPr="00037C61">
        <w:rPr>
          <w:rFonts w:eastAsia="Calibri" w:cs="Calibri"/>
          <w:lang w:val="en-GB"/>
        </w:rPr>
        <w:t xml:space="preserve">Overall, the best performance for the analysed indicators is registered in Timiș, while the lowest is also on the Romanian side, in Satu Mare. </w:t>
      </w:r>
    </w:p>
    <w:p w14:paraId="42224779" w14:textId="67B8A6E1" w:rsidR="00A0707B" w:rsidRPr="00037C61" w:rsidRDefault="00A0707B" w:rsidP="00A0707B">
      <w:pPr>
        <w:pStyle w:val="Caption"/>
        <w:jc w:val="both"/>
        <w:rPr>
          <w:lang w:val="en-GB"/>
        </w:rPr>
      </w:pPr>
      <w:bookmarkStart w:id="211" w:name="_Ref50645415"/>
      <w:bookmarkStart w:id="212" w:name="_Toc58237636"/>
      <w:r w:rsidRPr="00037C61">
        <w:rPr>
          <w:lang w:val="en-GB"/>
        </w:rPr>
        <w:t xml:space="preserve">Table </w:t>
      </w:r>
      <w:r w:rsidR="00D8714D" w:rsidRPr="00037C61">
        <w:rPr>
          <w:lang w:val="en-GB"/>
        </w:rPr>
        <w:fldChar w:fldCharType="begin"/>
      </w:r>
      <w:r w:rsidR="00D8714D" w:rsidRPr="00037C61">
        <w:rPr>
          <w:lang w:val="en-GB"/>
        </w:rPr>
        <w:instrText xml:space="preserve"> SEQ Table \* ARABIC </w:instrText>
      </w:r>
      <w:r w:rsidR="00D8714D" w:rsidRPr="00037C61">
        <w:rPr>
          <w:lang w:val="en-GB"/>
        </w:rPr>
        <w:fldChar w:fldCharType="separate"/>
      </w:r>
      <w:r w:rsidR="005A7BD8">
        <w:rPr>
          <w:noProof/>
          <w:lang w:val="en-GB"/>
        </w:rPr>
        <w:t>14</w:t>
      </w:r>
      <w:r w:rsidR="00D8714D" w:rsidRPr="00037C61">
        <w:rPr>
          <w:lang w:val="en-GB"/>
        </w:rPr>
        <w:fldChar w:fldCharType="end"/>
      </w:r>
      <w:bookmarkEnd w:id="211"/>
      <w:r w:rsidR="00EA5E72" w:rsidRPr="00037C61">
        <w:rPr>
          <w:lang w:val="en-GB"/>
        </w:rPr>
        <w:t xml:space="preserve"> -</w:t>
      </w:r>
      <w:r w:rsidRPr="00037C61">
        <w:rPr>
          <w:lang w:val="en-GB"/>
        </w:rPr>
        <w:t xml:space="preserve"> Health infrastructure in the </w:t>
      </w:r>
      <w:r w:rsidR="005171E7" w:rsidRPr="00037C61">
        <w:rPr>
          <w:lang w:val="en-GB"/>
        </w:rPr>
        <w:t>programme area</w:t>
      </w:r>
      <w:bookmarkEnd w:id="212"/>
    </w:p>
    <w:tbl>
      <w:tblPr>
        <w:tblStyle w:val="ListTable3-Accent1"/>
        <w:tblW w:w="9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90"/>
        <w:gridCol w:w="1570"/>
        <w:gridCol w:w="1256"/>
        <w:gridCol w:w="1134"/>
        <w:gridCol w:w="1276"/>
        <w:gridCol w:w="1405"/>
      </w:tblGrid>
      <w:tr w:rsidR="00457478" w:rsidRPr="00037C61" w14:paraId="1256F64C" w14:textId="77777777" w:rsidTr="00EA5E72">
        <w:trPr>
          <w:cnfStyle w:val="100000000000" w:firstRow="1" w:lastRow="0" w:firstColumn="0" w:lastColumn="0" w:oddVBand="0" w:evenVBand="0" w:oddHBand="0" w:evenHBand="0" w:firstRowFirstColumn="0" w:firstRowLastColumn="0" w:lastRowFirstColumn="0" w:lastRowLastColumn="0"/>
          <w:trHeight w:val="502"/>
        </w:trPr>
        <w:tc>
          <w:tcPr>
            <w:cnfStyle w:val="001000000100" w:firstRow="0" w:lastRow="0" w:firstColumn="1" w:lastColumn="0" w:oddVBand="0" w:evenVBand="0" w:oddHBand="0" w:evenHBand="0" w:firstRowFirstColumn="1" w:firstRowLastColumn="0" w:lastRowFirstColumn="0" w:lastRowLastColumn="0"/>
            <w:tcW w:w="1555" w:type="dxa"/>
            <w:shd w:val="clear" w:color="auto" w:fill="002060"/>
            <w:noWrap/>
            <w:hideMark/>
          </w:tcPr>
          <w:p w14:paraId="381CC2C0" w14:textId="77777777" w:rsidR="00A0707B" w:rsidRPr="00037C61" w:rsidRDefault="00A0707B" w:rsidP="00A0707B">
            <w:pPr>
              <w:jc w:val="left"/>
              <w:rPr>
                <w:sz w:val="18"/>
                <w:lang w:val="en-GB"/>
              </w:rPr>
            </w:pPr>
            <w:r w:rsidRPr="00037C61">
              <w:rPr>
                <w:sz w:val="18"/>
                <w:lang w:val="en-GB"/>
              </w:rPr>
              <w:t>County</w:t>
            </w:r>
          </w:p>
        </w:tc>
        <w:tc>
          <w:tcPr>
            <w:tcW w:w="859" w:type="dxa"/>
            <w:shd w:val="clear" w:color="auto" w:fill="002060"/>
            <w:noWrap/>
            <w:vAlign w:val="center"/>
            <w:hideMark/>
          </w:tcPr>
          <w:p w14:paraId="426818C4"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No. of hospitals</w:t>
            </w:r>
          </w:p>
        </w:tc>
        <w:tc>
          <w:tcPr>
            <w:tcW w:w="1570" w:type="dxa"/>
            <w:shd w:val="clear" w:color="auto" w:fill="002060"/>
            <w:noWrap/>
            <w:vAlign w:val="center"/>
            <w:hideMark/>
          </w:tcPr>
          <w:p w14:paraId="2E8AE8F4"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No. of ambulatories</w:t>
            </w:r>
          </w:p>
        </w:tc>
        <w:tc>
          <w:tcPr>
            <w:tcW w:w="1256" w:type="dxa"/>
            <w:shd w:val="clear" w:color="auto" w:fill="002060"/>
            <w:noWrap/>
            <w:vAlign w:val="center"/>
            <w:hideMark/>
          </w:tcPr>
          <w:p w14:paraId="221792A3"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No. of hospital beds</w:t>
            </w:r>
          </w:p>
        </w:tc>
        <w:tc>
          <w:tcPr>
            <w:tcW w:w="1134" w:type="dxa"/>
            <w:shd w:val="clear" w:color="auto" w:fill="002060"/>
            <w:noWrap/>
            <w:vAlign w:val="center"/>
            <w:hideMark/>
          </w:tcPr>
          <w:p w14:paraId="7D614151"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No. of medics</w:t>
            </w:r>
          </w:p>
        </w:tc>
        <w:tc>
          <w:tcPr>
            <w:tcW w:w="1276" w:type="dxa"/>
            <w:shd w:val="clear" w:color="auto" w:fill="002060"/>
            <w:noWrap/>
            <w:vAlign w:val="center"/>
            <w:hideMark/>
          </w:tcPr>
          <w:p w14:paraId="1713B2EB" w14:textId="7D2B1580"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Hospital beds</w:t>
            </w:r>
            <w:r w:rsidR="00695EEC" w:rsidRPr="00037C61">
              <w:rPr>
                <w:sz w:val="18"/>
                <w:lang w:val="en-GB"/>
              </w:rPr>
              <w:t xml:space="preserve"> </w:t>
            </w:r>
            <w:r w:rsidRPr="00037C61">
              <w:rPr>
                <w:sz w:val="18"/>
                <w:lang w:val="en-GB"/>
              </w:rPr>
              <w:t>/ 1000 inh</w:t>
            </w:r>
          </w:p>
        </w:tc>
        <w:tc>
          <w:tcPr>
            <w:tcW w:w="1405" w:type="dxa"/>
            <w:shd w:val="clear" w:color="auto" w:fill="002060"/>
            <w:noWrap/>
            <w:vAlign w:val="center"/>
            <w:hideMark/>
          </w:tcPr>
          <w:p w14:paraId="69C3A9D3" w14:textId="77777777" w:rsidR="00A0707B" w:rsidRPr="00037C61" w:rsidRDefault="00A0707B" w:rsidP="00A0707B">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Medics/ 1000 inh</w:t>
            </w:r>
          </w:p>
        </w:tc>
      </w:tr>
      <w:tr w:rsidR="00457478" w:rsidRPr="00037C61" w14:paraId="04797FC0" w14:textId="77777777" w:rsidTr="00EA5E7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2D3371A4" w14:textId="77777777" w:rsidR="00A0707B" w:rsidRPr="00037C61" w:rsidRDefault="00A0707B" w:rsidP="00A0707B">
            <w:pPr>
              <w:jc w:val="left"/>
              <w:rPr>
                <w:color w:val="000000"/>
                <w:sz w:val="18"/>
                <w:lang w:val="en-GB"/>
              </w:rPr>
            </w:pPr>
            <w:r w:rsidRPr="00037C61">
              <w:rPr>
                <w:color w:val="000000"/>
                <w:sz w:val="18"/>
                <w:lang w:val="en-GB"/>
              </w:rPr>
              <w:t>Hajdú-Bihar</w:t>
            </w:r>
          </w:p>
        </w:tc>
        <w:tc>
          <w:tcPr>
            <w:tcW w:w="859" w:type="dxa"/>
            <w:shd w:val="clear" w:color="auto" w:fill="FBD1D2" w:themeFill="accent3" w:themeFillTint="33"/>
            <w:noWrap/>
            <w:vAlign w:val="center"/>
            <w:hideMark/>
          </w:tcPr>
          <w:p w14:paraId="299B649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10</w:t>
            </w:r>
          </w:p>
        </w:tc>
        <w:tc>
          <w:tcPr>
            <w:tcW w:w="1570" w:type="dxa"/>
            <w:shd w:val="clear" w:color="auto" w:fill="FBD1D2" w:themeFill="accent3" w:themeFillTint="33"/>
            <w:noWrap/>
            <w:vAlign w:val="center"/>
            <w:hideMark/>
          </w:tcPr>
          <w:p w14:paraId="496FB22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28</w:t>
            </w:r>
          </w:p>
        </w:tc>
        <w:tc>
          <w:tcPr>
            <w:tcW w:w="1256" w:type="dxa"/>
            <w:shd w:val="clear" w:color="auto" w:fill="FBD1D2" w:themeFill="accent3" w:themeFillTint="33"/>
            <w:noWrap/>
            <w:vAlign w:val="center"/>
            <w:hideMark/>
          </w:tcPr>
          <w:p w14:paraId="5D134BB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3524</w:t>
            </w:r>
          </w:p>
        </w:tc>
        <w:tc>
          <w:tcPr>
            <w:tcW w:w="1134" w:type="dxa"/>
            <w:shd w:val="clear" w:color="auto" w:fill="FBD1D2" w:themeFill="accent3" w:themeFillTint="33"/>
            <w:noWrap/>
            <w:vAlign w:val="center"/>
            <w:hideMark/>
          </w:tcPr>
          <w:p w14:paraId="484C0CAF"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3047</w:t>
            </w:r>
          </w:p>
        </w:tc>
        <w:tc>
          <w:tcPr>
            <w:tcW w:w="1276" w:type="dxa"/>
            <w:shd w:val="clear" w:color="auto" w:fill="FBD1D2" w:themeFill="accent3" w:themeFillTint="33"/>
            <w:noWrap/>
            <w:vAlign w:val="center"/>
            <w:hideMark/>
          </w:tcPr>
          <w:p w14:paraId="288F7CAD"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6.6</w:t>
            </w:r>
          </w:p>
        </w:tc>
        <w:tc>
          <w:tcPr>
            <w:tcW w:w="1405" w:type="dxa"/>
            <w:shd w:val="clear" w:color="auto" w:fill="FBD1D2" w:themeFill="accent3" w:themeFillTint="33"/>
            <w:noWrap/>
            <w:vAlign w:val="center"/>
            <w:hideMark/>
          </w:tcPr>
          <w:p w14:paraId="23AED04B"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5.7</w:t>
            </w:r>
          </w:p>
        </w:tc>
      </w:tr>
      <w:tr w:rsidR="00457478" w:rsidRPr="00037C61" w14:paraId="3442C5CF" w14:textId="77777777" w:rsidTr="00EA5E72">
        <w:trPr>
          <w:trHeight w:val="236"/>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4426AC8F" w14:textId="77777777" w:rsidR="00A0707B" w:rsidRPr="00037C61" w:rsidRDefault="00A0707B" w:rsidP="00A0707B">
            <w:pPr>
              <w:jc w:val="left"/>
              <w:rPr>
                <w:color w:val="000000"/>
                <w:sz w:val="18"/>
                <w:lang w:val="en-GB"/>
              </w:rPr>
            </w:pPr>
            <w:r w:rsidRPr="00037C61">
              <w:rPr>
                <w:color w:val="000000"/>
                <w:sz w:val="18"/>
                <w:lang w:val="en-GB"/>
              </w:rPr>
              <w:t>Szabolcs-Szatmár-Bereg</w:t>
            </w:r>
          </w:p>
        </w:tc>
        <w:tc>
          <w:tcPr>
            <w:tcW w:w="859" w:type="dxa"/>
            <w:shd w:val="clear" w:color="auto" w:fill="FBD1D2" w:themeFill="accent3" w:themeFillTint="33"/>
            <w:noWrap/>
            <w:vAlign w:val="center"/>
            <w:hideMark/>
          </w:tcPr>
          <w:p w14:paraId="1AB6D28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4</w:t>
            </w:r>
          </w:p>
        </w:tc>
        <w:tc>
          <w:tcPr>
            <w:tcW w:w="1570" w:type="dxa"/>
            <w:shd w:val="clear" w:color="auto" w:fill="FBD1D2" w:themeFill="accent3" w:themeFillTint="33"/>
            <w:noWrap/>
            <w:vAlign w:val="center"/>
            <w:hideMark/>
          </w:tcPr>
          <w:p w14:paraId="72B83493"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36</w:t>
            </w:r>
          </w:p>
        </w:tc>
        <w:tc>
          <w:tcPr>
            <w:tcW w:w="1256" w:type="dxa"/>
            <w:shd w:val="clear" w:color="auto" w:fill="FBD1D2" w:themeFill="accent3" w:themeFillTint="33"/>
            <w:noWrap/>
            <w:vAlign w:val="center"/>
            <w:hideMark/>
          </w:tcPr>
          <w:p w14:paraId="1FC5E4F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3558</w:t>
            </w:r>
          </w:p>
        </w:tc>
        <w:tc>
          <w:tcPr>
            <w:tcW w:w="1134" w:type="dxa"/>
            <w:shd w:val="clear" w:color="auto" w:fill="FBD1D2" w:themeFill="accent3" w:themeFillTint="33"/>
            <w:noWrap/>
            <w:vAlign w:val="center"/>
            <w:hideMark/>
          </w:tcPr>
          <w:p w14:paraId="05EC96A5"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1514</w:t>
            </w:r>
          </w:p>
        </w:tc>
        <w:tc>
          <w:tcPr>
            <w:tcW w:w="1276" w:type="dxa"/>
            <w:shd w:val="clear" w:color="auto" w:fill="FBD1D2" w:themeFill="accent3" w:themeFillTint="33"/>
            <w:noWrap/>
            <w:vAlign w:val="center"/>
            <w:hideMark/>
          </w:tcPr>
          <w:p w14:paraId="605BE80B"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6.4</w:t>
            </w:r>
          </w:p>
        </w:tc>
        <w:tc>
          <w:tcPr>
            <w:tcW w:w="1405" w:type="dxa"/>
            <w:shd w:val="clear" w:color="auto" w:fill="FBD1D2" w:themeFill="accent3" w:themeFillTint="33"/>
            <w:noWrap/>
            <w:vAlign w:val="center"/>
            <w:hideMark/>
          </w:tcPr>
          <w:p w14:paraId="40E1DF5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2.7</w:t>
            </w:r>
          </w:p>
        </w:tc>
      </w:tr>
      <w:tr w:rsidR="00457478" w:rsidRPr="00037C61" w14:paraId="796F7CE6" w14:textId="77777777" w:rsidTr="00EA5E72">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00AB5392" w14:textId="77777777" w:rsidR="00A0707B" w:rsidRPr="00037C61" w:rsidRDefault="00A0707B" w:rsidP="00A0707B">
            <w:pPr>
              <w:jc w:val="left"/>
              <w:rPr>
                <w:color w:val="000000"/>
                <w:sz w:val="18"/>
                <w:lang w:val="en-GB"/>
              </w:rPr>
            </w:pPr>
            <w:r w:rsidRPr="00037C61">
              <w:rPr>
                <w:color w:val="000000"/>
                <w:sz w:val="18"/>
                <w:lang w:val="en-GB"/>
              </w:rPr>
              <w:t>Békés</w:t>
            </w:r>
          </w:p>
        </w:tc>
        <w:tc>
          <w:tcPr>
            <w:tcW w:w="859" w:type="dxa"/>
            <w:shd w:val="clear" w:color="auto" w:fill="FBD1D2" w:themeFill="accent3" w:themeFillTint="33"/>
            <w:noWrap/>
            <w:vAlign w:val="center"/>
            <w:hideMark/>
          </w:tcPr>
          <w:p w14:paraId="47B1B27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10</w:t>
            </w:r>
          </w:p>
        </w:tc>
        <w:tc>
          <w:tcPr>
            <w:tcW w:w="1570" w:type="dxa"/>
            <w:shd w:val="clear" w:color="auto" w:fill="FBD1D2" w:themeFill="accent3" w:themeFillTint="33"/>
            <w:noWrap/>
            <w:vAlign w:val="center"/>
            <w:hideMark/>
          </w:tcPr>
          <w:p w14:paraId="0717B84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24</w:t>
            </w:r>
          </w:p>
        </w:tc>
        <w:tc>
          <w:tcPr>
            <w:tcW w:w="1256" w:type="dxa"/>
            <w:shd w:val="clear" w:color="auto" w:fill="FBD1D2" w:themeFill="accent3" w:themeFillTint="33"/>
            <w:noWrap/>
            <w:vAlign w:val="center"/>
            <w:hideMark/>
          </w:tcPr>
          <w:p w14:paraId="34053A36"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2429</w:t>
            </w:r>
          </w:p>
        </w:tc>
        <w:tc>
          <w:tcPr>
            <w:tcW w:w="1134" w:type="dxa"/>
            <w:shd w:val="clear" w:color="auto" w:fill="FBD1D2" w:themeFill="accent3" w:themeFillTint="33"/>
            <w:noWrap/>
            <w:vAlign w:val="center"/>
            <w:hideMark/>
          </w:tcPr>
          <w:p w14:paraId="4796E8DB"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990</w:t>
            </w:r>
          </w:p>
        </w:tc>
        <w:tc>
          <w:tcPr>
            <w:tcW w:w="1276" w:type="dxa"/>
            <w:shd w:val="clear" w:color="auto" w:fill="FBD1D2" w:themeFill="accent3" w:themeFillTint="33"/>
            <w:noWrap/>
            <w:vAlign w:val="center"/>
            <w:hideMark/>
          </w:tcPr>
          <w:p w14:paraId="036FFF17"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7.2</w:t>
            </w:r>
          </w:p>
        </w:tc>
        <w:tc>
          <w:tcPr>
            <w:tcW w:w="1405" w:type="dxa"/>
            <w:shd w:val="clear" w:color="auto" w:fill="FBD1D2" w:themeFill="accent3" w:themeFillTint="33"/>
            <w:noWrap/>
            <w:vAlign w:val="center"/>
            <w:hideMark/>
          </w:tcPr>
          <w:p w14:paraId="7A99CD8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2.9</w:t>
            </w:r>
          </w:p>
        </w:tc>
      </w:tr>
      <w:tr w:rsidR="00457478" w:rsidRPr="00037C61" w14:paraId="21997B95" w14:textId="77777777" w:rsidTr="00EA5E72">
        <w:trPr>
          <w:trHeight w:val="231"/>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45178C4D" w14:textId="288D8D7F" w:rsidR="00A0707B" w:rsidRPr="00037C61" w:rsidRDefault="6446A0E8" w:rsidP="6446A0E8">
            <w:pPr>
              <w:jc w:val="left"/>
              <w:rPr>
                <w:color w:val="000000"/>
                <w:sz w:val="18"/>
                <w:szCs w:val="18"/>
                <w:lang w:val="en-GB"/>
              </w:rPr>
            </w:pPr>
            <w:r w:rsidRPr="00037C61">
              <w:rPr>
                <w:color w:val="000000" w:themeColor="text1"/>
                <w:sz w:val="18"/>
                <w:szCs w:val="18"/>
                <w:lang w:val="en-GB"/>
              </w:rPr>
              <w:t>Csongrád-Csanád</w:t>
            </w:r>
          </w:p>
        </w:tc>
        <w:tc>
          <w:tcPr>
            <w:tcW w:w="859" w:type="dxa"/>
            <w:shd w:val="clear" w:color="auto" w:fill="FBD1D2" w:themeFill="accent3" w:themeFillTint="33"/>
            <w:noWrap/>
            <w:vAlign w:val="center"/>
            <w:hideMark/>
          </w:tcPr>
          <w:p w14:paraId="336E2C7B"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12</w:t>
            </w:r>
          </w:p>
        </w:tc>
        <w:tc>
          <w:tcPr>
            <w:tcW w:w="1570" w:type="dxa"/>
            <w:shd w:val="clear" w:color="auto" w:fill="FBD1D2" w:themeFill="accent3" w:themeFillTint="33"/>
            <w:noWrap/>
            <w:vAlign w:val="center"/>
            <w:hideMark/>
          </w:tcPr>
          <w:p w14:paraId="24AD419A"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16</w:t>
            </w:r>
          </w:p>
        </w:tc>
        <w:tc>
          <w:tcPr>
            <w:tcW w:w="1256" w:type="dxa"/>
            <w:shd w:val="clear" w:color="auto" w:fill="FBD1D2" w:themeFill="accent3" w:themeFillTint="33"/>
            <w:noWrap/>
            <w:vAlign w:val="center"/>
            <w:hideMark/>
          </w:tcPr>
          <w:p w14:paraId="25BA7F66"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3057</w:t>
            </w:r>
          </w:p>
        </w:tc>
        <w:tc>
          <w:tcPr>
            <w:tcW w:w="1134" w:type="dxa"/>
            <w:shd w:val="clear" w:color="auto" w:fill="FBD1D2" w:themeFill="accent3" w:themeFillTint="33"/>
            <w:noWrap/>
            <w:vAlign w:val="center"/>
            <w:hideMark/>
          </w:tcPr>
          <w:p w14:paraId="7EB62658"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2506</w:t>
            </w:r>
          </w:p>
        </w:tc>
        <w:tc>
          <w:tcPr>
            <w:tcW w:w="1276" w:type="dxa"/>
            <w:shd w:val="clear" w:color="auto" w:fill="FBD1D2" w:themeFill="accent3" w:themeFillTint="33"/>
            <w:noWrap/>
            <w:vAlign w:val="center"/>
            <w:hideMark/>
          </w:tcPr>
          <w:p w14:paraId="2CEA0A5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7.6</w:t>
            </w:r>
          </w:p>
        </w:tc>
        <w:tc>
          <w:tcPr>
            <w:tcW w:w="1405" w:type="dxa"/>
            <w:shd w:val="clear" w:color="auto" w:fill="FBD1D2" w:themeFill="accent3" w:themeFillTint="33"/>
            <w:noWrap/>
            <w:vAlign w:val="center"/>
            <w:hideMark/>
          </w:tcPr>
          <w:p w14:paraId="299A5AC8"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6.3</w:t>
            </w:r>
          </w:p>
        </w:tc>
      </w:tr>
      <w:tr w:rsidR="00457478" w:rsidRPr="00037C61" w14:paraId="23A0D840" w14:textId="77777777" w:rsidTr="00EA5E72">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1826BD33" w14:textId="77777777" w:rsidR="00A0707B" w:rsidRPr="00037C61" w:rsidRDefault="00A0707B" w:rsidP="00A0707B">
            <w:pPr>
              <w:jc w:val="left"/>
              <w:rPr>
                <w:color w:val="000000"/>
                <w:sz w:val="18"/>
                <w:lang w:val="en-GB"/>
              </w:rPr>
            </w:pPr>
            <w:r w:rsidRPr="00037C61">
              <w:rPr>
                <w:color w:val="000000"/>
                <w:sz w:val="18"/>
                <w:lang w:val="en-GB"/>
              </w:rPr>
              <w:t>Bihor</w:t>
            </w:r>
          </w:p>
        </w:tc>
        <w:tc>
          <w:tcPr>
            <w:tcW w:w="859" w:type="dxa"/>
            <w:shd w:val="clear" w:color="auto" w:fill="EAEDF6" w:themeFill="accent2" w:themeFillTint="33"/>
            <w:noWrap/>
            <w:vAlign w:val="center"/>
            <w:hideMark/>
          </w:tcPr>
          <w:p w14:paraId="21351E9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12</w:t>
            </w:r>
          </w:p>
        </w:tc>
        <w:tc>
          <w:tcPr>
            <w:tcW w:w="1570" w:type="dxa"/>
            <w:shd w:val="clear" w:color="auto" w:fill="EAEDF6" w:themeFill="accent2" w:themeFillTint="33"/>
            <w:noWrap/>
            <w:vAlign w:val="center"/>
            <w:hideMark/>
          </w:tcPr>
          <w:p w14:paraId="0DE3C1F4"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13</w:t>
            </w:r>
          </w:p>
        </w:tc>
        <w:tc>
          <w:tcPr>
            <w:tcW w:w="1256" w:type="dxa"/>
            <w:shd w:val="clear" w:color="auto" w:fill="EAEDF6" w:themeFill="accent2" w:themeFillTint="33"/>
            <w:noWrap/>
            <w:vAlign w:val="center"/>
            <w:hideMark/>
          </w:tcPr>
          <w:p w14:paraId="75947678"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4581</w:t>
            </w:r>
          </w:p>
        </w:tc>
        <w:tc>
          <w:tcPr>
            <w:tcW w:w="1134" w:type="dxa"/>
            <w:shd w:val="clear" w:color="auto" w:fill="EAEDF6" w:themeFill="accent2" w:themeFillTint="33"/>
            <w:noWrap/>
            <w:vAlign w:val="center"/>
            <w:hideMark/>
          </w:tcPr>
          <w:p w14:paraId="5B91C8B6"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2128</w:t>
            </w:r>
          </w:p>
        </w:tc>
        <w:tc>
          <w:tcPr>
            <w:tcW w:w="1276" w:type="dxa"/>
            <w:shd w:val="clear" w:color="auto" w:fill="EAEDF6" w:themeFill="accent2" w:themeFillTint="33"/>
            <w:noWrap/>
            <w:vAlign w:val="center"/>
            <w:hideMark/>
          </w:tcPr>
          <w:p w14:paraId="02CDD65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8.1</w:t>
            </w:r>
          </w:p>
        </w:tc>
        <w:tc>
          <w:tcPr>
            <w:tcW w:w="1405" w:type="dxa"/>
            <w:shd w:val="clear" w:color="auto" w:fill="EAEDF6" w:themeFill="accent2" w:themeFillTint="33"/>
            <w:noWrap/>
            <w:vAlign w:val="center"/>
            <w:hideMark/>
          </w:tcPr>
          <w:p w14:paraId="2DA4BAD9"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3.8</w:t>
            </w:r>
          </w:p>
        </w:tc>
      </w:tr>
      <w:tr w:rsidR="00457478" w:rsidRPr="00037C61" w14:paraId="2F6B83B6" w14:textId="77777777" w:rsidTr="00EA5E72">
        <w:trPr>
          <w:trHeight w:val="231"/>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6C94C951" w14:textId="77777777" w:rsidR="00A0707B" w:rsidRPr="00037C61" w:rsidRDefault="00A0707B" w:rsidP="00A0707B">
            <w:pPr>
              <w:jc w:val="left"/>
              <w:rPr>
                <w:color w:val="000000"/>
                <w:sz w:val="18"/>
                <w:lang w:val="en-GB"/>
              </w:rPr>
            </w:pPr>
            <w:r w:rsidRPr="00037C61">
              <w:rPr>
                <w:color w:val="000000"/>
                <w:sz w:val="18"/>
                <w:lang w:val="en-GB"/>
              </w:rPr>
              <w:t>Satu Mare</w:t>
            </w:r>
          </w:p>
        </w:tc>
        <w:tc>
          <w:tcPr>
            <w:tcW w:w="859" w:type="dxa"/>
            <w:shd w:val="clear" w:color="auto" w:fill="EAEDF6" w:themeFill="accent2" w:themeFillTint="33"/>
            <w:noWrap/>
            <w:vAlign w:val="center"/>
            <w:hideMark/>
          </w:tcPr>
          <w:p w14:paraId="22FC1FD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4</w:t>
            </w:r>
          </w:p>
        </w:tc>
        <w:tc>
          <w:tcPr>
            <w:tcW w:w="1570" w:type="dxa"/>
            <w:shd w:val="clear" w:color="auto" w:fill="EAEDF6" w:themeFill="accent2" w:themeFillTint="33"/>
            <w:noWrap/>
            <w:vAlign w:val="center"/>
            <w:hideMark/>
          </w:tcPr>
          <w:p w14:paraId="3D5F2971"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5</w:t>
            </w:r>
          </w:p>
        </w:tc>
        <w:tc>
          <w:tcPr>
            <w:tcW w:w="1256" w:type="dxa"/>
            <w:shd w:val="clear" w:color="auto" w:fill="EAEDF6" w:themeFill="accent2" w:themeFillTint="33"/>
            <w:noWrap/>
            <w:vAlign w:val="center"/>
            <w:hideMark/>
          </w:tcPr>
          <w:p w14:paraId="06C5AAD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1853</w:t>
            </w:r>
          </w:p>
        </w:tc>
        <w:tc>
          <w:tcPr>
            <w:tcW w:w="1134" w:type="dxa"/>
            <w:shd w:val="clear" w:color="auto" w:fill="EAEDF6" w:themeFill="accent2" w:themeFillTint="33"/>
            <w:noWrap/>
            <w:vAlign w:val="center"/>
            <w:hideMark/>
          </w:tcPr>
          <w:p w14:paraId="6836FAC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622</w:t>
            </w:r>
          </w:p>
        </w:tc>
        <w:tc>
          <w:tcPr>
            <w:tcW w:w="1276" w:type="dxa"/>
            <w:shd w:val="clear" w:color="auto" w:fill="EAEDF6" w:themeFill="accent2" w:themeFillTint="33"/>
            <w:noWrap/>
            <w:vAlign w:val="center"/>
            <w:hideMark/>
          </w:tcPr>
          <w:p w14:paraId="20407360"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5.5</w:t>
            </w:r>
          </w:p>
        </w:tc>
        <w:tc>
          <w:tcPr>
            <w:tcW w:w="1405" w:type="dxa"/>
            <w:shd w:val="clear" w:color="auto" w:fill="EAEDF6" w:themeFill="accent2" w:themeFillTint="33"/>
            <w:noWrap/>
            <w:vAlign w:val="center"/>
            <w:hideMark/>
          </w:tcPr>
          <w:p w14:paraId="6396E8BD"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1.9</w:t>
            </w:r>
          </w:p>
        </w:tc>
      </w:tr>
      <w:tr w:rsidR="00457478" w:rsidRPr="00037C61" w14:paraId="3D1541E2" w14:textId="77777777" w:rsidTr="00EA5E72">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4AA8A9EB" w14:textId="77777777" w:rsidR="00A0707B" w:rsidRPr="00037C61" w:rsidRDefault="00A0707B" w:rsidP="00A0707B">
            <w:pPr>
              <w:jc w:val="left"/>
              <w:rPr>
                <w:color w:val="000000"/>
                <w:sz w:val="18"/>
                <w:lang w:val="en-GB"/>
              </w:rPr>
            </w:pPr>
            <w:r w:rsidRPr="00037C61">
              <w:rPr>
                <w:color w:val="000000"/>
                <w:sz w:val="18"/>
                <w:lang w:val="en-GB"/>
              </w:rPr>
              <w:t>Arad</w:t>
            </w:r>
          </w:p>
        </w:tc>
        <w:tc>
          <w:tcPr>
            <w:tcW w:w="859" w:type="dxa"/>
            <w:shd w:val="clear" w:color="auto" w:fill="EAEDF6" w:themeFill="accent2" w:themeFillTint="33"/>
            <w:noWrap/>
            <w:vAlign w:val="center"/>
            <w:hideMark/>
          </w:tcPr>
          <w:p w14:paraId="438B7D2E"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7</w:t>
            </w:r>
          </w:p>
        </w:tc>
        <w:tc>
          <w:tcPr>
            <w:tcW w:w="1570" w:type="dxa"/>
            <w:shd w:val="clear" w:color="auto" w:fill="EAEDF6" w:themeFill="accent2" w:themeFillTint="33"/>
            <w:noWrap/>
            <w:vAlign w:val="center"/>
            <w:hideMark/>
          </w:tcPr>
          <w:p w14:paraId="594E1B4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w:t>
            </w:r>
          </w:p>
        </w:tc>
        <w:tc>
          <w:tcPr>
            <w:tcW w:w="1256" w:type="dxa"/>
            <w:shd w:val="clear" w:color="auto" w:fill="EAEDF6" w:themeFill="accent2" w:themeFillTint="33"/>
            <w:noWrap/>
            <w:vAlign w:val="center"/>
            <w:hideMark/>
          </w:tcPr>
          <w:p w14:paraId="2478B31B"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2427</w:t>
            </w:r>
          </w:p>
        </w:tc>
        <w:tc>
          <w:tcPr>
            <w:tcW w:w="1134" w:type="dxa"/>
            <w:shd w:val="clear" w:color="auto" w:fill="EAEDF6" w:themeFill="accent2" w:themeFillTint="33"/>
            <w:noWrap/>
            <w:vAlign w:val="center"/>
            <w:hideMark/>
          </w:tcPr>
          <w:p w14:paraId="457BDD83"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1134</w:t>
            </w:r>
          </w:p>
        </w:tc>
        <w:tc>
          <w:tcPr>
            <w:tcW w:w="1276" w:type="dxa"/>
            <w:shd w:val="clear" w:color="auto" w:fill="EAEDF6" w:themeFill="accent2" w:themeFillTint="33"/>
            <w:noWrap/>
            <w:vAlign w:val="center"/>
            <w:hideMark/>
          </w:tcPr>
          <w:p w14:paraId="3BEDC81A"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5.8</w:t>
            </w:r>
          </w:p>
        </w:tc>
        <w:tc>
          <w:tcPr>
            <w:tcW w:w="1405" w:type="dxa"/>
            <w:shd w:val="clear" w:color="auto" w:fill="EAEDF6" w:themeFill="accent2" w:themeFillTint="33"/>
            <w:noWrap/>
            <w:vAlign w:val="center"/>
            <w:hideMark/>
          </w:tcPr>
          <w:p w14:paraId="2C225B4C" w14:textId="77777777" w:rsidR="00A0707B" w:rsidRPr="00037C61" w:rsidRDefault="00A0707B"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2.7</w:t>
            </w:r>
          </w:p>
        </w:tc>
      </w:tr>
      <w:tr w:rsidR="00457478" w:rsidRPr="00037C61" w14:paraId="5507B926" w14:textId="77777777" w:rsidTr="00EA5E72">
        <w:trPr>
          <w:trHeight w:val="241"/>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738D5BAE" w14:textId="597A0851" w:rsidR="00A0707B" w:rsidRPr="00037C61" w:rsidRDefault="008B32DD" w:rsidP="00A0707B">
            <w:pPr>
              <w:jc w:val="left"/>
              <w:rPr>
                <w:color w:val="000000"/>
                <w:sz w:val="18"/>
                <w:lang w:val="en-GB"/>
              </w:rPr>
            </w:pPr>
            <w:r w:rsidRPr="00037C61">
              <w:rPr>
                <w:color w:val="000000"/>
                <w:sz w:val="18"/>
                <w:lang w:val="en-GB"/>
              </w:rPr>
              <w:t>Timiș</w:t>
            </w:r>
          </w:p>
        </w:tc>
        <w:tc>
          <w:tcPr>
            <w:tcW w:w="859" w:type="dxa"/>
            <w:shd w:val="clear" w:color="auto" w:fill="EAEDF6" w:themeFill="accent2" w:themeFillTint="33"/>
            <w:noWrap/>
            <w:vAlign w:val="center"/>
            <w:hideMark/>
          </w:tcPr>
          <w:p w14:paraId="11032796"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15</w:t>
            </w:r>
          </w:p>
        </w:tc>
        <w:tc>
          <w:tcPr>
            <w:tcW w:w="1570" w:type="dxa"/>
            <w:shd w:val="clear" w:color="auto" w:fill="EAEDF6" w:themeFill="accent2" w:themeFillTint="33"/>
            <w:noWrap/>
            <w:vAlign w:val="center"/>
            <w:hideMark/>
          </w:tcPr>
          <w:p w14:paraId="41126542"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18</w:t>
            </w:r>
          </w:p>
        </w:tc>
        <w:tc>
          <w:tcPr>
            <w:tcW w:w="1256" w:type="dxa"/>
            <w:shd w:val="clear" w:color="auto" w:fill="EAEDF6" w:themeFill="accent2" w:themeFillTint="33"/>
            <w:noWrap/>
            <w:vAlign w:val="center"/>
            <w:hideMark/>
          </w:tcPr>
          <w:p w14:paraId="79C35E8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5722</w:t>
            </w:r>
          </w:p>
        </w:tc>
        <w:tc>
          <w:tcPr>
            <w:tcW w:w="1134" w:type="dxa"/>
            <w:shd w:val="clear" w:color="auto" w:fill="EAEDF6" w:themeFill="accent2" w:themeFillTint="33"/>
            <w:noWrap/>
            <w:vAlign w:val="center"/>
            <w:hideMark/>
          </w:tcPr>
          <w:p w14:paraId="570F55A9"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4376</w:t>
            </w:r>
          </w:p>
        </w:tc>
        <w:tc>
          <w:tcPr>
            <w:tcW w:w="1276" w:type="dxa"/>
            <w:shd w:val="clear" w:color="auto" w:fill="EAEDF6" w:themeFill="accent2" w:themeFillTint="33"/>
            <w:noWrap/>
            <w:vAlign w:val="center"/>
            <w:hideMark/>
          </w:tcPr>
          <w:p w14:paraId="025619C7"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8.2</w:t>
            </w:r>
          </w:p>
        </w:tc>
        <w:tc>
          <w:tcPr>
            <w:tcW w:w="1405" w:type="dxa"/>
            <w:shd w:val="clear" w:color="auto" w:fill="EAEDF6" w:themeFill="accent2" w:themeFillTint="33"/>
            <w:noWrap/>
            <w:vAlign w:val="center"/>
            <w:hideMark/>
          </w:tcPr>
          <w:p w14:paraId="3C27918E" w14:textId="77777777" w:rsidR="00A0707B" w:rsidRPr="00037C61" w:rsidRDefault="00A0707B"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6.2</w:t>
            </w:r>
          </w:p>
        </w:tc>
      </w:tr>
      <w:tr w:rsidR="00B22436" w:rsidRPr="00037C61" w14:paraId="5474F5B9" w14:textId="77777777" w:rsidTr="00EA5E7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6374" w:type="dxa"/>
            <w:gridSpan w:val="5"/>
            <w:shd w:val="clear" w:color="auto" w:fill="FBD1D2" w:themeFill="accent3" w:themeFillTint="33"/>
          </w:tcPr>
          <w:p w14:paraId="5ED0426C" w14:textId="3AF781F1" w:rsidR="00B22436" w:rsidRPr="00037C61" w:rsidRDefault="00B22436" w:rsidP="005E0849">
            <w:pPr>
              <w:jc w:val="left"/>
              <w:rPr>
                <w:color w:val="000000"/>
                <w:sz w:val="18"/>
                <w:lang w:val="en-GB"/>
              </w:rPr>
            </w:pPr>
            <w:r w:rsidRPr="00037C61">
              <w:rPr>
                <w:color w:val="000000"/>
                <w:sz w:val="18"/>
                <w:lang w:val="en-GB"/>
              </w:rPr>
              <w:t>Hungary</w:t>
            </w:r>
          </w:p>
        </w:tc>
        <w:tc>
          <w:tcPr>
            <w:tcW w:w="1276" w:type="dxa"/>
            <w:shd w:val="clear" w:color="auto" w:fill="FBD1D2" w:themeFill="accent3" w:themeFillTint="33"/>
            <w:noWrap/>
            <w:vAlign w:val="center"/>
          </w:tcPr>
          <w:p w14:paraId="769101CC" w14:textId="3B15D513" w:rsidR="00B22436" w:rsidRPr="00037C61" w:rsidRDefault="00B22436"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7.01</w:t>
            </w:r>
          </w:p>
        </w:tc>
        <w:tc>
          <w:tcPr>
            <w:tcW w:w="1405" w:type="dxa"/>
            <w:shd w:val="clear" w:color="auto" w:fill="FBD1D2" w:themeFill="accent3" w:themeFillTint="33"/>
            <w:noWrap/>
            <w:vAlign w:val="center"/>
          </w:tcPr>
          <w:p w14:paraId="33FEE3C6" w14:textId="26C0B45C" w:rsidR="00B22436" w:rsidRPr="00037C61" w:rsidRDefault="00B22436"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3.38</w:t>
            </w:r>
          </w:p>
        </w:tc>
      </w:tr>
      <w:tr w:rsidR="00B22436" w:rsidRPr="00037C61" w14:paraId="45EAC446" w14:textId="77777777" w:rsidTr="00EA5E72">
        <w:trPr>
          <w:trHeight w:val="241"/>
        </w:trPr>
        <w:tc>
          <w:tcPr>
            <w:cnfStyle w:val="001000000000" w:firstRow="0" w:lastRow="0" w:firstColumn="1" w:lastColumn="0" w:oddVBand="0" w:evenVBand="0" w:oddHBand="0" w:evenHBand="0" w:firstRowFirstColumn="0" w:firstRowLastColumn="0" w:lastRowFirstColumn="0" w:lastRowLastColumn="0"/>
            <w:tcW w:w="6374" w:type="dxa"/>
            <w:gridSpan w:val="5"/>
            <w:shd w:val="clear" w:color="auto" w:fill="EAEDF6" w:themeFill="accent2" w:themeFillTint="33"/>
          </w:tcPr>
          <w:p w14:paraId="758C288B" w14:textId="0986B3C4" w:rsidR="00B22436" w:rsidRPr="00037C61" w:rsidRDefault="00B22436" w:rsidP="005E0849">
            <w:pPr>
              <w:jc w:val="left"/>
              <w:rPr>
                <w:color w:val="000000"/>
                <w:sz w:val="18"/>
                <w:lang w:val="en-GB"/>
              </w:rPr>
            </w:pPr>
            <w:r w:rsidRPr="00037C61">
              <w:rPr>
                <w:color w:val="000000"/>
                <w:sz w:val="18"/>
                <w:lang w:val="en-GB"/>
              </w:rPr>
              <w:t>Romania</w:t>
            </w:r>
          </w:p>
        </w:tc>
        <w:tc>
          <w:tcPr>
            <w:tcW w:w="1276" w:type="dxa"/>
            <w:shd w:val="clear" w:color="auto" w:fill="EAEDF6" w:themeFill="accent2" w:themeFillTint="33"/>
            <w:noWrap/>
            <w:vAlign w:val="center"/>
          </w:tcPr>
          <w:p w14:paraId="1CFC6637" w14:textId="57003395" w:rsidR="00B22436" w:rsidRPr="00037C61" w:rsidRDefault="00B22436"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6.96</w:t>
            </w:r>
          </w:p>
        </w:tc>
        <w:tc>
          <w:tcPr>
            <w:tcW w:w="1405" w:type="dxa"/>
            <w:shd w:val="clear" w:color="auto" w:fill="EAEDF6" w:themeFill="accent2" w:themeFillTint="33"/>
            <w:noWrap/>
            <w:vAlign w:val="center"/>
          </w:tcPr>
          <w:p w14:paraId="19EA206D" w14:textId="7F1B48BF" w:rsidR="00B22436" w:rsidRPr="00037C61" w:rsidRDefault="00B22436" w:rsidP="00A0707B">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3.04</w:t>
            </w:r>
          </w:p>
        </w:tc>
      </w:tr>
      <w:tr w:rsidR="00B22436" w:rsidRPr="00037C61" w14:paraId="0543B001" w14:textId="77777777" w:rsidTr="00EA5E72">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6374" w:type="dxa"/>
            <w:gridSpan w:val="5"/>
            <w:shd w:val="clear" w:color="auto" w:fill="F2F2F2" w:themeFill="background1" w:themeFillShade="F2"/>
          </w:tcPr>
          <w:p w14:paraId="76891C90" w14:textId="219A1725" w:rsidR="00B22436" w:rsidRPr="00037C61" w:rsidRDefault="00B22436" w:rsidP="005E0849">
            <w:pPr>
              <w:jc w:val="left"/>
              <w:rPr>
                <w:color w:val="000000"/>
                <w:sz w:val="18"/>
                <w:lang w:val="en-GB"/>
              </w:rPr>
            </w:pPr>
            <w:r w:rsidRPr="00037C61">
              <w:rPr>
                <w:color w:val="000000"/>
                <w:sz w:val="18"/>
                <w:lang w:val="en-GB"/>
              </w:rPr>
              <w:t xml:space="preserve">European Union – 27 </w:t>
            </w:r>
          </w:p>
        </w:tc>
        <w:tc>
          <w:tcPr>
            <w:tcW w:w="1276" w:type="dxa"/>
            <w:shd w:val="clear" w:color="auto" w:fill="F2F2F2" w:themeFill="background1" w:themeFillShade="F2"/>
            <w:noWrap/>
            <w:vAlign w:val="center"/>
          </w:tcPr>
          <w:p w14:paraId="0519B056" w14:textId="786CFDFD" w:rsidR="00B22436" w:rsidRPr="00037C61" w:rsidRDefault="00B22436"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5.37</w:t>
            </w:r>
          </w:p>
        </w:tc>
        <w:tc>
          <w:tcPr>
            <w:tcW w:w="1405" w:type="dxa"/>
            <w:shd w:val="clear" w:color="auto" w:fill="F2F2F2" w:themeFill="background1" w:themeFillShade="F2"/>
            <w:noWrap/>
            <w:vAlign w:val="center"/>
          </w:tcPr>
          <w:p w14:paraId="458E75A2" w14:textId="22D04FD7" w:rsidR="00B22436" w:rsidRPr="00037C61" w:rsidRDefault="00B22436" w:rsidP="00A0707B">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N/A</w:t>
            </w:r>
          </w:p>
        </w:tc>
      </w:tr>
    </w:tbl>
    <w:p w14:paraId="1682389D" w14:textId="6DE5F929" w:rsidR="00152695" w:rsidRPr="00037C61" w:rsidRDefault="00A0707B" w:rsidP="00A0707B">
      <w:pPr>
        <w:pStyle w:val="InterregROHUBullet1"/>
        <w:numPr>
          <w:ilvl w:val="0"/>
          <w:numId w:val="0"/>
        </w:numPr>
        <w:rPr>
          <w:i/>
          <w:color w:val="012751" w:themeColor="text2"/>
          <w:sz w:val="18"/>
        </w:rPr>
      </w:pPr>
      <w:r w:rsidRPr="00037C61">
        <w:rPr>
          <w:i/>
          <w:color w:val="012751" w:themeColor="text2"/>
          <w:sz w:val="18"/>
        </w:rPr>
        <w:t>Source: KSH, IN</w:t>
      </w:r>
      <w:r w:rsidR="00743CF6" w:rsidRPr="00037C61">
        <w:rPr>
          <w:i/>
          <w:color w:val="012751" w:themeColor="text2"/>
          <w:sz w:val="18"/>
        </w:rPr>
        <w:t>S</w:t>
      </w:r>
      <w:r w:rsidRPr="00037C61">
        <w:rPr>
          <w:i/>
          <w:color w:val="012751" w:themeColor="text2"/>
          <w:sz w:val="18"/>
        </w:rPr>
        <w:t>S</w:t>
      </w:r>
      <w:r w:rsidR="00B22436" w:rsidRPr="00037C61">
        <w:rPr>
          <w:i/>
          <w:color w:val="012751" w:themeColor="text2"/>
          <w:sz w:val="18"/>
        </w:rPr>
        <w:t>, Eurostat TPS00046, TPS00044</w:t>
      </w:r>
    </w:p>
    <w:p w14:paraId="2A949993" w14:textId="77777777" w:rsidR="0032601C" w:rsidRPr="00037C61" w:rsidRDefault="0032601C" w:rsidP="00A0707B">
      <w:pPr>
        <w:pStyle w:val="InterregROHUBullet1"/>
        <w:numPr>
          <w:ilvl w:val="0"/>
          <w:numId w:val="0"/>
        </w:numPr>
        <w:rPr>
          <w:i/>
          <w:color w:val="012751" w:themeColor="text2"/>
          <w:sz w:val="18"/>
        </w:rPr>
      </w:pPr>
    </w:p>
    <w:p w14:paraId="5C361A92" w14:textId="3B145EE2" w:rsidR="00152695" w:rsidRPr="00037C61" w:rsidRDefault="00152695" w:rsidP="00152695">
      <w:pPr>
        <w:pStyle w:val="Heading3"/>
      </w:pPr>
      <w:r w:rsidRPr="00037C61">
        <w:t xml:space="preserve"> </w:t>
      </w:r>
      <w:bookmarkStart w:id="213" w:name="_Toc64619528"/>
      <w:r w:rsidRPr="00037C61">
        <w:t>Distribution of health and education public functions</w:t>
      </w:r>
      <w:bookmarkEnd w:id="213"/>
      <w:r w:rsidRPr="00037C61">
        <w:t xml:space="preserve"> </w:t>
      </w:r>
    </w:p>
    <w:p w14:paraId="5BBEA730" w14:textId="341D06DE" w:rsidR="00663813" w:rsidRPr="00037C61" w:rsidRDefault="00663813" w:rsidP="005E0849">
      <w:pPr>
        <w:pStyle w:val="Heading4"/>
        <w:rPr>
          <w:lang w:val="en-GB"/>
        </w:rPr>
      </w:pPr>
      <w:r w:rsidRPr="00037C61">
        <w:rPr>
          <w:lang w:val="en-GB"/>
        </w:rPr>
        <w:t>Health infrastructure</w:t>
      </w:r>
    </w:p>
    <w:p w14:paraId="73976AF4" w14:textId="45B62041" w:rsidR="00AF0BC7" w:rsidRPr="00037C61" w:rsidRDefault="00AF0BC7" w:rsidP="005E0849">
      <w:pPr>
        <w:rPr>
          <w:lang w:val="en-GB"/>
        </w:rPr>
      </w:pPr>
      <w:r w:rsidRPr="00037C61">
        <w:rPr>
          <w:lang w:val="en-GB"/>
        </w:rPr>
        <w:t>The PA has a total of 74 hospitals (38 on the Romanian side and 36 on the Hungarian side) and 145 ambulatories (41 on the Romanian side and 104 on</w:t>
      </w:r>
      <w:r w:rsidR="5119CA9C" w:rsidRPr="00037C61">
        <w:rPr>
          <w:lang w:val="en-GB"/>
        </w:rPr>
        <w:t xml:space="preserve"> </w:t>
      </w:r>
      <w:r w:rsidRPr="00037C61">
        <w:rPr>
          <w:lang w:val="en-GB"/>
        </w:rPr>
        <w:t>the Hungarian side). From the point of view of ambulatories number/distribution, the Hungarian PA has a better developed health infrastructure, while the distribution is balanced in what concerns hospitals. This balance is reflected in the spatialisation of health distribution infrastructure, for LAU2 settlements with more than 5000 inhabitants:</w:t>
      </w:r>
    </w:p>
    <w:p w14:paraId="6127EE9C" w14:textId="77777777" w:rsidR="0032601C" w:rsidRPr="00037C61" w:rsidRDefault="0032601C" w:rsidP="0032601C">
      <w:pPr>
        <w:rPr>
          <w:lang w:val="en-GB"/>
        </w:rPr>
      </w:pPr>
      <w:r w:rsidRPr="00037C61">
        <w:rPr>
          <w:lang w:val="en-GB"/>
        </w:rPr>
        <w:t xml:space="preserve">The density of ambulatories on the Hungarian side is higher compared to the Romanian PA, which presents an elevated degree of rural disadvantaged areas especially in the East, towards mountains, where settlements are not that easily accessible (and also where there is a low density of population and increased values of total age dependency ratio).  In the Romanian side, health facilities are mainly found around the settlement clusters around a major city. A homogeneous distribution of ambulatories and hospitals can be observed on the Hungarian side, near border, meaning that there is the potential of creating a shared health infrastructure, in this way improving the situation for rural settlements near the border. </w:t>
      </w:r>
    </w:p>
    <w:p w14:paraId="2E59D33A" w14:textId="77777777" w:rsidR="0032601C" w:rsidRPr="00037C61" w:rsidRDefault="0032601C" w:rsidP="0032601C">
      <w:pPr>
        <w:rPr>
          <w:lang w:val="en-GB"/>
        </w:rPr>
      </w:pPr>
      <w:r w:rsidRPr="00037C61">
        <w:rPr>
          <w:lang w:val="en-GB"/>
        </w:rPr>
        <w:t xml:space="preserve">Judging by the health infrastructure distribution against the population density we can observe a series of disadvantaged areas, especially the rural settlements with a higher population density in the northern part of Satu Mare.  Other disadvantaged areas, the rural environment in the hills and mountains side, have a lower population density, hence not being as vulnerable as the areas mentioned before, but is important to point out that the fact that they are not easy accessible by road or rails represents a main issue. </w:t>
      </w:r>
    </w:p>
    <w:p w14:paraId="77004A1B" w14:textId="77777777" w:rsidR="0032601C" w:rsidRPr="00037C61" w:rsidRDefault="0032601C" w:rsidP="005E0849">
      <w:pPr>
        <w:rPr>
          <w:lang w:val="en-GB"/>
        </w:rPr>
      </w:pPr>
    </w:p>
    <w:p w14:paraId="12EF085B" w14:textId="2EDABA46" w:rsidR="00AF0BC7" w:rsidRPr="00037C61" w:rsidRDefault="00AF0BC7" w:rsidP="00AF0BC7">
      <w:pPr>
        <w:keepNext/>
        <w:spacing w:after="0"/>
        <w:rPr>
          <w:lang w:val="en-GB"/>
        </w:rPr>
      </w:pPr>
      <w:r w:rsidRPr="00037C61">
        <w:rPr>
          <w:noProof/>
          <w:lang w:val="ro-RO" w:eastAsia="ro-RO"/>
        </w:rPr>
        <w:drawing>
          <wp:inline distT="0" distB="0" distL="0" distR="0" wp14:anchorId="46061DD4" wp14:editId="2D7EA0A7">
            <wp:extent cx="5635256" cy="7430546"/>
            <wp:effectExtent l="0" t="0" r="3810" b="0"/>
            <wp:docPr id="1490160172" name="Picture 149016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5646465" cy="7445326"/>
                    </a:xfrm>
                    <a:prstGeom prst="rect">
                      <a:avLst/>
                    </a:prstGeom>
                    <a:ln>
                      <a:noFill/>
                    </a:ln>
                    <a:extLst>
                      <a:ext uri="{53640926-AAD7-44D8-BBD7-CCE9431645EC}">
                        <a14:shadowObscured xmlns:a14="http://schemas.microsoft.com/office/drawing/2010/main"/>
                      </a:ext>
                    </a:extLst>
                  </pic:spPr>
                </pic:pic>
              </a:graphicData>
            </a:graphic>
          </wp:inline>
        </w:drawing>
      </w:r>
    </w:p>
    <w:p w14:paraId="77204C51" w14:textId="61AF4692" w:rsidR="00AF0BC7" w:rsidRPr="00037C61" w:rsidRDefault="00AF0BC7" w:rsidP="00AF0BC7">
      <w:pPr>
        <w:pStyle w:val="Caption"/>
        <w:jc w:val="both"/>
        <w:rPr>
          <w:lang w:val="en-GB"/>
        </w:rPr>
      </w:pPr>
      <w:bookmarkStart w:id="214" w:name="_Ref53905266"/>
      <w:bookmarkStart w:id="215" w:name="_Toc6461098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38</w:t>
      </w:r>
      <w:r w:rsidR="00412697">
        <w:rPr>
          <w:lang w:val="en-GB"/>
        </w:rPr>
        <w:fldChar w:fldCharType="end"/>
      </w:r>
      <w:r w:rsidRPr="00037C61">
        <w:rPr>
          <w:lang w:val="en-GB"/>
        </w:rPr>
        <w:t xml:space="preserve"> - Distribution of Health Infrastructure against population density distribution</w:t>
      </w:r>
      <w:bookmarkEnd w:id="214"/>
      <w:bookmarkEnd w:id="215"/>
      <w:r w:rsidRPr="00037C61">
        <w:rPr>
          <w:lang w:val="en-GB"/>
        </w:rPr>
        <w:t xml:space="preserve"> </w:t>
      </w:r>
    </w:p>
    <w:p w14:paraId="2D1CC7A6" w14:textId="77777777" w:rsidR="00AF0BC7" w:rsidRPr="00037C61" w:rsidRDefault="00AF0BC7" w:rsidP="00AF0BC7">
      <w:pPr>
        <w:pStyle w:val="Caption"/>
        <w:jc w:val="both"/>
        <w:rPr>
          <w:lang w:val="en-GB"/>
        </w:rPr>
      </w:pPr>
      <w:r w:rsidRPr="00037C61">
        <w:rPr>
          <w:lang w:val="en-GB"/>
        </w:rPr>
        <w:t>Source: INS, KSH, desk research</w:t>
      </w:r>
    </w:p>
    <w:p w14:paraId="639AD3A4" w14:textId="77777777" w:rsidR="0032601C" w:rsidRPr="00037C61" w:rsidRDefault="0032601C" w:rsidP="00AF0BC7">
      <w:pPr>
        <w:rPr>
          <w:lang w:val="en-GB"/>
        </w:rPr>
      </w:pPr>
    </w:p>
    <w:p w14:paraId="6018AA7B" w14:textId="77777777" w:rsidR="00663813" w:rsidRPr="00037C61" w:rsidRDefault="00663813" w:rsidP="00AF0BC7">
      <w:pPr>
        <w:rPr>
          <w:lang w:val="en-GB"/>
        </w:rPr>
      </w:pPr>
    </w:p>
    <w:p w14:paraId="2E592D07" w14:textId="467EC5DA" w:rsidR="00AF0BC7" w:rsidRPr="00037C61" w:rsidRDefault="00AF0BC7" w:rsidP="005E0849">
      <w:pPr>
        <w:pStyle w:val="Heading4"/>
        <w:rPr>
          <w:lang w:val="en-GB"/>
        </w:rPr>
      </w:pPr>
      <w:r w:rsidRPr="00037C61">
        <w:rPr>
          <w:lang w:val="en-GB"/>
        </w:rPr>
        <w:lastRenderedPageBreak/>
        <w:t xml:space="preserve">Education infrastructure </w:t>
      </w:r>
    </w:p>
    <w:p w14:paraId="4BF05371" w14:textId="6D90B0E1" w:rsidR="00663813" w:rsidRPr="00037C61" w:rsidRDefault="00663813" w:rsidP="00AF0BC7">
      <w:pPr>
        <w:rPr>
          <w:lang w:val="en-GB"/>
        </w:rPr>
      </w:pPr>
      <w:r w:rsidRPr="00037C61">
        <w:rPr>
          <w:noProof/>
          <w:lang w:val="ro-RO" w:eastAsia="ro-RO"/>
        </w:rPr>
        <w:drawing>
          <wp:anchor distT="0" distB="0" distL="114300" distR="114300" simplePos="0" relativeHeight="251689472" behindDoc="0" locked="0" layoutInCell="1" allowOverlap="1" wp14:anchorId="3C547F7D" wp14:editId="4139182C">
            <wp:simplePos x="0" y="0"/>
            <wp:positionH relativeFrom="margin">
              <wp:posOffset>2133600</wp:posOffset>
            </wp:positionH>
            <wp:positionV relativeFrom="paragraph">
              <wp:posOffset>59055</wp:posOffset>
            </wp:positionV>
            <wp:extent cx="3588385" cy="469011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3588385" cy="4690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0BC7" w:rsidRPr="00037C61">
        <w:rPr>
          <w:lang w:val="en-GB"/>
        </w:rPr>
        <w:t xml:space="preserve">Regarding the territorial distribution of the education infrastructure, </w:t>
      </w:r>
      <w:r w:rsidR="00FB10FC" w:rsidRPr="00037C61">
        <w:rPr>
          <w:lang w:val="en-GB"/>
        </w:rPr>
        <w:t xml:space="preserve">the </w:t>
      </w:r>
      <w:r w:rsidRPr="00037C61">
        <w:rPr>
          <w:lang w:val="en-GB"/>
        </w:rPr>
        <w:t>development of the</w:t>
      </w:r>
      <w:r w:rsidR="00AF0BC7" w:rsidRPr="00037C61">
        <w:rPr>
          <w:lang w:val="en-GB"/>
        </w:rPr>
        <w:t xml:space="preserve"> ISCED 0 </w:t>
      </w:r>
      <w:r w:rsidRPr="00037C61">
        <w:rPr>
          <w:lang w:val="en-GB"/>
        </w:rPr>
        <w:t xml:space="preserve">– early education infrastructure presents the highest disparity between the counties on the Romanian side of the PA and the Hungarian ones, with the latter having a well-developed structure covering both urban and rural LAU 2 units. In the Romanian counties, ISCED 0 education infrastructure is only present in 33 cities and communes, out of 343 (under 10%). </w:t>
      </w:r>
    </w:p>
    <w:p w14:paraId="3F9D504E" w14:textId="6CB20C11" w:rsidR="00663813" w:rsidRPr="00037C61" w:rsidRDefault="00B93CBA" w:rsidP="00663813">
      <w:pPr>
        <w:keepNext/>
        <w:rPr>
          <w:lang w:val="en-GB"/>
        </w:rPr>
      </w:pPr>
      <w:r w:rsidRPr="00037C61">
        <w:rPr>
          <w:lang w:val="en-GB"/>
        </w:rPr>
        <w:t xml:space="preserve">This is a significant disparity, as ISCED 0 investments can represent a vehicle for cultural and societal development, promotion of learning environments early with a concrete return in later stages, including due to better language and social skills.   </w:t>
      </w:r>
    </w:p>
    <w:p w14:paraId="03E06CAF" w14:textId="6E319DD7" w:rsidR="00663813" w:rsidRPr="00037C61" w:rsidRDefault="00663813" w:rsidP="00663813">
      <w:pPr>
        <w:pStyle w:val="Caption"/>
        <w:jc w:val="both"/>
        <w:rPr>
          <w:lang w:val="en-GB"/>
        </w:rPr>
      </w:pPr>
      <w:bookmarkStart w:id="216" w:name="_Toc6461098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39</w:t>
      </w:r>
      <w:r w:rsidR="00412697">
        <w:rPr>
          <w:lang w:val="en-GB"/>
        </w:rPr>
        <w:fldChar w:fldCharType="end"/>
      </w:r>
      <w:r w:rsidRPr="00037C61">
        <w:rPr>
          <w:lang w:val="en-GB"/>
        </w:rPr>
        <w:t xml:space="preserve"> - ISCED 0 number of institutions versus population density</w:t>
      </w:r>
      <w:bookmarkEnd w:id="216"/>
      <w:r w:rsidRPr="00037C61">
        <w:rPr>
          <w:lang w:val="en-GB"/>
        </w:rPr>
        <w:t xml:space="preserve"> </w:t>
      </w:r>
    </w:p>
    <w:p w14:paraId="53B6272D" w14:textId="77777777" w:rsidR="00663813" w:rsidRPr="00037C61" w:rsidRDefault="00663813" w:rsidP="00663813">
      <w:pPr>
        <w:pStyle w:val="Caption"/>
        <w:jc w:val="both"/>
        <w:rPr>
          <w:lang w:val="en-GB"/>
        </w:rPr>
      </w:pPr>
      <w:r w:rsidRPr="00037C61">
        <w:rPr>
          <w:lang w:val="en-GB"/>
        </w:rPr>
        <w:t>Source: INS, KSH, desk research</w:t>
      </w:r>
    </w:p>
    <w:p w14:paraId="75688668" w14:textId="77777777" w:rsidR="00663813" w:rsidRPr="00037C61" w:rsidRDefault="00663813" w:rsidP="00AF0BC7">
      <w:pPr>
        <w:rPr>
          <w:lang w:val="en-GB"/>
        </w:rPr>
      </w:pPr>
    </w:p>
    <w:p w14:paraId="166BCAE4" w14:textId="55D1C537" w:rsidR="00AF0BC7" w:rsidRPr="00037C61" w:rsidRDefault="00663813" w:rsidP="00AF0BC7">
      <w:pPr>
        <w:keepNext/>
        <w:rPr>
          <w:lang w:val="en-GB"/>
        </w:rPr>
      </w:pPr>
      <w:r w:rsidRPr="00037C61">
        <w:rPr>
          <w:noProof/>
          <w:lang w:val="ro-RO" w:eastAsia="ro-RO"/>
        </w:rPr>
        <w:lastRenderedPageBreak/>
        <w:drawing>
          <wp:anchor distT="0" distB="0" distL="114300" distR="114300" simplePos="0" relativeHeight="251690496" behindDoc="0" locked="0" layoutInCell="1" allowOverlap="1" wp14:anchorId="254CD1FF" wp14:editId="46612AA6">
            <wp:simplePos x="0" y="0"/>
            <wp:positionH relativeFrom="margin">
              <wp:align>right</wp:align>
            </wp:positionH>
            <wp:positionV relativeFrom="paragraph">
              <wp:posOffset>635</wp:posOffset>
            </wp:positionV>
            <wp:extent cx="3282950" cy="428752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3282950" cy="4287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0BC7" w:rsidRPr="00037C61">
        <w:rPr>
          <w:lang w:val="en-GB"/>
        </w:rPr>
        <w:t>In the case of ISCED 1+2</w:t>
      </w:r>
      <w:r w:rsidR="00B05968" w:rsidRPr="00037C61">
        <w:rPr>
          <w:lang w:val="en-GB"/>
        </w:rPr>
        <w:t>, the</w:t>
      </w:r>
      <w:r w:rsidR="00AF0BC7" w:rsidRPr="00037C61">
        <w:rPr>
          <w:lang w:val="en-GB"/>
        </w:rPr>
        <w:t xml:space="preserve"> number of education institutions</w:t>
      </w:r>
      <w:r w:rsidRPr="00037C61">
        <w:rPr>
          <w:lang w:val="en-GB"/>
        </w:rPr>
        <w:t xml:space="preserve"> (primary and lower secondary education)</w:t>
      </w:r>
      <w:r w:rsidR="00AF0BC7" w:rsidRPr="00037C61">
        <w:rPr>
          <w:lang w:val="en-GB"/>
        </w:rPr>
        <w:t xml:space="preserve">, </w:t>
      </w:r>
      <w:r w:rsidR="00B05968" w:rsidRPr="00037C61">
        <w:rPr>
          <w:lang w:val="en-GB"/>
        </w:rPr>
        <w:t>presents a different snapshot</w:t>
      </w:r>
      <w:r w:rsidR="00B93CBA" w:rsidRPr="00037C61">
        <w:rPr>
          <w:lang w:val="en-GB"/>
        </w:rPr>
        <w:t>. T</w:t>
      </w:r>
      <w:r w:rsidR="00AF0BC7" w:rsidRPr="00037C61">
        <w:rPr>
          <w:lang w:val="en-GB"/>
        </w:rPr>
        <w:t>he PA</w:t>
      </w:r>
      <w:r w:rsidR="52482128" w:rsidRPr="00037C61">
        <w:rPr>
          <w:lang w:val="en-GB"/>
        </w:rPr>
        <w:t xml:space="preserve"> </w:t>
      </w:r>
      <w:r w:rsidR="00B05968" w:rsidRPr="00037C61">
        <w:rPr>
          <w:lang w:val="en-GB"/>
        </w:rPr>
        <w:t xml:space="preserve">has </w:t>
      </w:r>
      <w:r w:rsidR="00AF0BC7" w:rsidRPr="00037C61">
        <w:rPr>
          <w:lang w:val="en-GB"/>
        </w:rPr>
        <w:t>a relatively homogenous distribution</w:t>
      </w:r>
      <w:r w:rsidR="00B05968" w:rsidRPr="00037C61">
        <w:rPr>
          <w:lang w:val="en-GB"/>
        </w:rPr>
        <w:t xml:space="preserve"> of units</w:t>
      </w:r>
      <w:r w:rsidR="00AF0BC7" w:rsidRPr="00037C61">
        <w:rPr>
          <w:lang w:val="en-GB"/>
        </w:rPr>
        <w:t>, with some disadvantaged rural areas (with low density of population) in the eastern part, towards mountains</w:t>
      </w:r>
      <w:r w:rsidR="00B05968" w:rsidRPr="00037C61">
        <w:rPr>
          <w:lang w:val="en-GB"/>
        </w:rPr>
        <w:t xml:space="preserve">, which are deprived of institutions but can still access neighbouring commune infrastructure. </w:t>
      </w:r>
      <w:r w:rsidR="00AF0BC7" w:rsidRPr="00037C61">
        <w:rPr>
          <w:lang w:val="en-GB"/>
        </w:rPr>
        <w:t xml:space="preserve">Another case of </w:t>
      </w:r>
      <w:r w:rsidR="00B05968" w:rsidRPr="00037C61">
        <w:rPr>
          <w:lang w:val="en-GB"/>
        </w:rPr>
        <w:t>llow endowment areas</w:t>
      </w:r>
      <w:r w:rsidR="00AF0BC7" w:rsidRPr="00037C61">
        <w:rPr>
          <w:lang w:val="en-GB"/>
        </w:rPr>
        <w:t xml:space="preserve"> is the case of certain LAU2 settlements that are in proximity of urban centers</w:t>
      </w:r>
      <w:r w:rsidR="00B05968" w:rsidRPr="00037C61">
        <w:rPr>
          <w:lang w:val="en-GB"/>
        </w:rPr>
        <w:t>, with parents enrolling children in education in the centers in detriment to the peripheral communes / cities</w:t>
      </w:r>
      <w:r w:rsidR="00AF0BC7" w:rsidRPr="00037C61">
        <w:rPr>
          <w:lang w:val="en-GB"/>
        </w:rPr>
        <w:t>. We see that Debrecen and Szeged have the densest distribution of ISCED 1 and 2 institutions.</w:t>
      </w:r>
    </w:p>
    <w:p w14:paraId="40535848" w14:textId="7A6C33C5" w:rsidR="00AF0BC7" w:rsidRPr="00037C61" w:rsidRDefault="00AF0BC7" w:rsidP="00AF0BC7">
      <w:pPr>
        <w:pStyle w:val="Caption"/>
        <w:jc w:val="both"/>
        <w:rPr>
          <w:lang w:val="en-GB"/>
        </w:rPr>
      </w:pPr>
      <w:bookmarkStart w:id="217" w:name="_Toc6461098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40</w:t>
      </w:r>
      <w:r w:rsidR="00412697">
        <w:rPr>
          <w:lang w:val="en-GB"/>
        </w:rPr>
        <w:fldChar w:fldCharType="end"/>
      </w:r>
      <w:r w:rsidRPr="00037C61">
        <w:rPr>
          <w:lang w:val="en-GB"/>
        </w:rPr>
        <w:t xml:space="preserve"> - ISCED 1 and 2 number of institutions versus population density</w:t>
      </w:r>
      <w:bookmarkEnd w:id="217"/>
      <w:r w:rsidRPr="00037C61">
        <w:rPr>
          <w:lang w:val="en-GB"/>
        </w:rPr>
        <w:t xml:space="preserve"> </w:t>
      </w:r>
    </w:p>
    <w:p w14:paraId="586E989F" w14:textId="77777777" w:rsidR="00AF0BC7" w:rsidRPr="00037C61" w:rsidRDefault="00AF0BC7" w:rsidP="00AF0BC7">
      <w:pPr>
        <w:pStyle w:val="Caption"/>
        <w:jc w:val="both"/>
        <w:rPr>
          <w:lang w:val="en-GB"/>
        </w:rPr>
      </w:pPr>
      <w:r w:rsidRPr="00037C61">
        <w:rPr>
          <w:lang w:val="en-GB"/>
        </w:rPr>
        <w:t>Source: INS, KSH, desk research</w:t>
      </w:r>
    </w:p>
    <w:p w14:paraId="25E1FD21" w14:textId="459E969D" w:rsidR="00AF0BC7" w:rsidRPr="00037C61" w:rsidRDefault="00AF0BC7" w:rsidP="00AF0BC7">
      <w:pPr>
        <w:rPr>
          <w:lang w:val="en-GB"/>
        </w:rPr>
      </w:pPr>
    </w:p>
    <w:p w14:paraId="69B8AE02" w14:textId="1997D21F" w:rsidR="00AF0BC7" w:rsidRPr="00037C61" w:rsidRDefault="00FA055A" w:rsidP="00AF0BC7">
      <w:pPr>
        <w:rPr>
          <w:lang w:val="en-GB"/>
        </w:rPr>
      </w:pPr>
      <w:r w:rsidRPr="00037C61">
        <w:rPr>
          <w:noProof/>
          <w:lang w:val="ro-RO" w:eastAsia="ro-RO"/>
        </w:rPr>
        <w:drawing>
          <wp:anchor distT="0" distB="0" distL="114300" distR="114300" simplePos="0" relativeHeight="251668992" behindDoc="0" locked="0" layoutInCell="1" allowOverlap="1" wp14:anchorId="6493EC1A" wp14:editId="18ADF3E8">
            <wp:simplePos x="0" y="0"/>
            <wp:positionH relativeFrom="margin">
              <wp:align>left</wp:align>
            </wp:positionH>
            <wp:positionV relativeFrom="paragraph">
              <wp:posOffset>87630</wp:posOffset>
            </wp:positionV>
            <wp:extent cx="3013710" cy="3985895"/>
            <wp:effectExtent l="0" t="0" r="0" b="0"/>
            <wp:wrapSquare wrapText="bothSides"/>
            <wp:docPr id="799357036" name="Picture 79935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3013710" cy="3985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4D652" w14:textId="3CBC7A5C" w:rsidR="00663813" w:rsidRPr="00037C61" w:rsidRDefault="00B05968" w:rsidP="00663813">
      <w:pPr>
        <w:rPr>
          <w:lang w:val="en-GB"/>
        </w:rPr>
      </w:pPr>
      <w:r w:rsidRPr="00037C61">
        <w:rPr>
          <w:lang w:val="en-GB"/>
        </w:rPr>
        <w:t>At</w:t>
      </w:r>
      <w:r w:rsidR="00663813" w:rsidRPr="00037C61">
        <w:rPr>
          <w:lang w:val="en-GB"/>
        </w:rPr>
        <w:t xml:space="preserve"> ISCED 3 </w:t>
      </w:r>
      <w:r w:rsidRPr="00037C61">
        <w:rPr>
          <w:lang w:val="en-GB"/>
        </w:rPr>
        <w:t xml:space="preserve">level (high school infrastructure), the Hungarian counties in the PA present a more developed infrastructure network, more homogenously distributed at territorial level, </w:t>
      </w:r>
      <w:r w:rsidR="00663813" w:rsidRPr="00037C61">
        <w:rPr>
          <w:lang w:val="en-GB"/>
        </w:rPr>
        <w:t xml:space="preserve">with Debrecen and Szeged the densest areas, followed by Nyíregyháza. Despite the fact that Nyíregyháza has half the population of Timișoara, the distribution of institution is at the same level. </w:t>
      </w:r>
    </w:p>
    <w:p w14:paraId="56D90CC0" w14:textId="25AEE9F3" w:rsidR="00B05968" w:rsidRPr="00037C61" w:rsidRDefault="00B05968" w:rsidP="00B05968">
      <w:pPr>
        <w:rPr>
          <w:lang w:val="en-GB"/>
        </w:rPr>
      </w:pPr>
      <w:r w:rsidRPr="00037C61">
        <w:rPr>
          <w:lang w:val="en-GB"/>
        </w:rPr>
        <w:t xml:space="preserve">On the Romanian side, the number of units is </w:t>
      </w:r>
      <w:r w:rsidR="00FB10FC" w:rsidRPr="00037C61">
        <w:rPr>
          <w:lang w:val="en-GB"/>
        </w:rPr>
        <w:t>significantly</w:t>
      </w:r>
      <w:r w:rsidRPr="00037C61">
        <w:rPr>
          <w:lang w:val="en-GB"/>
        </w:rPr>
        <w:t xml:space="preserve"> lower, however particularities in terms of number of classrooms (higher in Romania) have to be taken into account when making an assessment. </w:t>
      </w:r>
    </w:p>
    <w:p w14:paraId="0F126507" w14:textId="4FBA6A33" w:rsidR="00B05968" w:rsidRPr="00037C61" w:rsidRDefault="00B05968" w:rsidP="00B05968">
      <w:pPr>
        <w:rPr>
          <w:lang w:val="en-GB"/>
        </w:rPr>
      </w:pPr>
    </w:p>
    <w:p w14:paraId="3D890A42" w14:textId="77777777" w:rsidR="00B05968" w:rsidRPr="00037C61" w:rsidRDefault="00B05968" w:rsidP="005E0849">
      <w:pPr>
        <w:rPr>
          <w:lang w:val="en-GB"/>
        </w:rPr>
      </w:pPr>
    </w:p>
    <w:p w14:paraId="5FCB17E9" w14:textId="50B62BA8" w:rsidR="00B05968" w:rsidRPr="00037C61" w:rsidRDefault="00B05968" w:rsidP="00B05968">
      <w:pPr>
        <w:pStyle w:val="Caption"/>
        <w:jc w:val="both"/>
        <w:rPr>
          <w:lang w:val="en-GB"/>
        </w:rPr>
      </w:pPr>
      <w:bookmarkStart w:id="218" w:name="_Toc6461099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41</w:t>
      </w:r>
      <w:r w:rsidR="00412697">
        <w:rPr>
          <w:lang w:val="en-GB"/>
        </w:rPr>
        <w:fldChar w:fldCharType="end"/>
      </w:r>
      <w:r w:rsidRPr="00037C61">
        <w:rPr>
          <w:lang w:val="en-GB"/>
        </w:rPr>
        <w:t xml:space="preserve"> - ISCED 3 number of institutions versus population density</w:t>
      </w:r>
      <w:bookmarkEnd w:id="218"/>
      <w:r w:rsidRPr="00037C61">
        <w:rPr>
          <w:lang w:val="en-GB"/>
        </w:rPr>
        <w:t xml:space="preserve"> </w:t>
      </w:r>
    </w:p>
    <w:p w14:paraId="0D6130A5" w14:textId="77777777" w:rsidR="00B05968" w:rsidRPr="00037C61" w:rsidRDefault="00B05968" w:rsidP="00B05968">
      <w:pPr>
        <w:pStyle w:val="Caption"/>
        <w:jc w:val="both"/>
        <w:rPr>
          <w:color w:val="auto"/>
          <w:lang w:val="en-GB"/>
        </w:rPr>
      </w:pPr>
      <w:r w:rsidRPr="00037C61">
        <w:rPr>
          <w:lang w:val="en-GB"/>
        </w:rPr>
        <w:t>Source: INS, KSH, desk research</w:t>
      </w:r>
    </w:p>
    <w:p w14:paraId="6CF86674" w14:textId="77777777" w:rsidR="00AF0BC7" w:rsidRPr="00037C61" w:rsidRDefault="00AF0BC7" w:rsidP="00AF0BC7">
      <w:pPr>
        <w:rPr>
          <w:lang w:val="en-GB"/>
        </w:rPr>
      </w:pPr>
    </w:p>
    <w:p w14:paraId="6FE8EA00" w14:textId="180C42E5" w:rsidR="00663813" w:rsidRPr="00037C61" w:rsidRDefault="00FA055A" w:rsidP="00663813">
      <w:pPr>
        <w:rPr>
          <w:noProof/>
          <w:lang w:val="en-GB"/>
        </w:rPr>
      </w:pPr>
      <w:r w:rsidRPr="00037C61">
        <w:rPr>
          <w:lang w:val="en-GB"/>
        </w:rPr>
        <w:lastRenderedPageBreak/>
        <w:t>Lastly, concerning the</w:t>
      </w:r>
      <w:r w:rsidR="00663813" w:rsidRPr="00037C61">
        <w:rPr>
          <w:lang w:val="en-GB"/>
        </w:rPr>
        <w:t xml:space="preserve"> university environment, even if the Hungarian PA has 3 university institutions (compared to 7 in the Romanian PA), the overall capacity (approximately number of students) is close to the Romanian PA: approximately 50 000 vs 64 500 - the Hungarian university cities have a denser population of university students.</w:t>
      </w:r>
      <w:r w:rsidRPr="00037C61">
        <w:rPr>
          <w:noProof/>
          <w:lang w:val="en-GB"/>
        </w:rPr>
        <w:t xml:space="preserve"> </w:t>
      </w:r>
    </w:p>
    <w:p w14:paraId="02A9E171" w14:textId="5441886B" w:rsidR="00AF0BC7" w:rsidRPr="00037C61" w:rsidRDefault="00FA055A" w:rsidP="00AF0BC7">
      <w:pPr>
        <w:rPr>
          <w:lang w:val="en-GB"/>
        </w:rPr>
      </w:pPr>
      <w:r w:rsidRPr="00037C61">
        <w:rPr>
          <w:lang w:val="en-GB"/>
        </w:rPr>
        <w:t>Overall, we</w:t>
      </w:r>
      <w:r w:rsidR="00663813" w:rsidRPr="00037C61">
        <w:rPr>
          <w:lang w:val="en-GB"/>
        </w:rPr>
        <w:t xml:space="preserve"> can observe that </w:t>
      </w:r>
      <w:r w:rsidRPr="00037C61">
        <w:rPr>
          <w:lang w:val="en-GB"/>
        </w:rPr>
        <w:t xml:space="preserve">the </w:t>
      </w:r>
      <w:r w:rsidR="00663813" w:rsidRPr="00037C61">
        <w:rPr>
          <w:lang w:val="en-GB"/>
        </w:rPr>
        <w:t xml:space="preserve">Hungarian PA has a better distribution of educational infrastructure (even with some </w:t>
      </w:r>
      <w:r w:rsidR="04C9F3EA" w:rsidRPr="00037C61">
        <w:rPr>
          <w:lang w:val="en-GB"/>
        </w:rPr>
        <w:t xml:space="preserve">comparable </w:t>
      </w:r>
      <w:r w:rsidR="00663813" w:rsidRPr="00037C61">
        <w:rPr>
          <w:lang w:val="en-GB"/>
        </w:rPr>
        <w:t>data missing, the differences are noticeable in the case of ISCED 0,1,2,3). The majority of settlements that form clusters around a major city relies on the respective city educational infrastructure, especially in the case of ISCED 3 educational level institutions – trend is more present on the Romania PA.</w:t>
      </w:r>
    </w:p>
    <w:p w14:paraId="2E0418CE" w14:textId="4B3DCC49" w:rsidR="0099298B" w:rsidRPr="00037C61" w:rsidRDefault="0099298B" w:rsidP="00B22436">
      <w:pPr>
        <w:pStyle w:val="InterregROHUBullet1"/>
        <w:numPr>
          <w:ilvl w:val="0"/>
          <w:numId w:val="0"/>
        </w:numPr>
      </w:pPr>
    </w:p>
    <w:p w14:paraId="6E386E93" w14:textId="4FA998AD" w:rsidR="00A0707B" w:rsidRPr="00037C61" w:rsidRDefault="1C774ED0" w:rsidP="009027CD">
      <w:pPr>
        <w:pStyle w:val="Heading3"/>
      </w:pPr>
      <w:bookmarkStart w:id="219" w:name="_Toc53894487"/>
      <w:bookmarkStart w:id="220" w:name="_Toc50723319"/>
      <w:bookmarkStart w:id="221" w:name="_Toc53137187"/>
      <w:bookmarkStart w:id="222" w:name="_Toc64619529"/>
      <w:bookmarkStart w:id="223" w:name="_Toc49841972"/>
      <w:bookmarkEnd w:id="219"/>
      <w:r w:rsidRPr="00037C61">
        <w:t>Poverty, social protection and social inclusion</w:t>
      </w:r>
      <w:bookmarkEnd w:id="220"/>
      <w:bookmarkEnd w:id="221"/>
      <w:bookmarkEnd w:id="222"/>
      <w:r w:rsidRPr="00037C61">
        <w:t xml:space="preserve"> </w:t>
      </w:r>
      <w:bookmarkEnd w:id="223"/>
    </w:p>
    <w:p w14:paraId="0DD82AB1" w14:textId="6673F6D6" w:rsidR="0011144F" w:rsidRPr="00037C61" w:rsidRDefault="005171E7" w:rsidP="5CA115F1">
      <w:pPr>
        <w:rPr>
          <w:lang w:val="en-GB"/>
        </w:rPr>
      </w:pPr>
      <w:r w:rsidRPr="00037C61">
        <w:rPr>
          <w:b/>
          <w:bCs/>
          <w:lang w:val="en-GB"/>
        </w:rPr>
        <w:t>At risk of poverty or social exclusion rate</w:t>
      </w:r>
      <w:r w:rsidRPr="00037C61">
        <w:rPr>
          <w:lang w:val="en-GB"/>
        </w:rPr>
        <w:t xml:space="preserve"> (AROPE rate) represents the share of the total </w:t>
      </w:r>
      <w:r w:rsidR="00E87399" w:rsidRPr="00037C61">
        <w:rPr>
          <w:lang w:val="en-GB"/>
        </w:rPr>
        <w:t>population,</w:t>
      </w:r>
      <w:r w:rsidRPr="00037C61">
        <w:rPr>
          <w:lang w:val="en-GB"/>
        </w:rPr>
        <w:t xml:space="preserve"> which is either at risk of poverty, or severely materially deprived or living in a household with a very low work intensity. After 2015, as an effect of the development of the economy and of the various measures to increase the capacities of human resources and social inclusion at the EU-28 level and at the national level it was a decrease of the AROPE rate.</w:t>
      </w:r>
      <w:r w:rsidR="00FB10FC" w:rsidRPr="00037C61">
        <w:rPr>
          <w:lang w:val="en-GB"/>
        </w:rPr>
        <w:t xml:space="preserve"> </w:t>
      </w:r>
      <w:r w:rsidRPr="00037C61">
        <w:rPr>
          <w:lang w:val="en-GB"/>
        </w:rPr>
        <w:t>In Hungary the AROPE rate was reduced with more than 9 percent (9.3%)</w:t>
      </w:r>
      <w:r w:rsidR="0011144F" w:rsidRPr="00037C61">
        <w:rPr>
          <w:lang w:val="en-GB"/>
        </w:rPr>
        <w:t>, to 18.9% (lower than the EU-27 average of 21.1%),</w:t>
      </w:r>
      <w:r w:rsidRPr="00037C61">
        <w:rPr>
          <w:lang w:val="en-GB"/>
        </w:rPr>
        <w:t xml:space="preserve"> and in Romania the decrease was of 6.2%</w:t>
      </w:r>
      <w:r w:rsidR="0011144F" w:rsidRPr="00037C61">
        <w:rPr>
          <w:lang w:val="en-GB"/>
        </w:rPr>
        <w:t>, to 31.2%.%.</w:t>
      </w:r>
      <w:r w:rsidRPr="00037C61">
        <w:rPr>
          <w:lang w:val="en-GB"/>
        </w:rPr>
        <w:t xml:space="preserve"> </w:t>
      </w:r>
    </w:p>
    <w:p w14:paraId="1E41E6EB" w14:textId="7448A0E1" w:rsidR="0011144F" w:rsidRPr="00037C61" w:rsidRDefault="0011144F" w:rsidP="5CA115F1">
      <w:pPr>
        <w:rPr>
          <w:lang w:val="en-GB"/>
        </w:rPr>
      </w:pPr>
      <w:r w:rsidRPr="00037C61">
        <w:rPr>
          <w:noProof/>
          <w:lang w:val="ro-RO" w:eastAsia="ro-RO"/>
        </w:rPr>
        <w:drawing>
          <wp:anchor distT="0" distB="0" distL="114300" distR="114300" simplePos="0" relativeHeight="251642368" behindDoc="0" locked="0" layoutInCell="1" allowOverlap="1" wp14:anchorId="7997874A" wp14:editId="6472B756">
            <wp:simplePos x="0" y="0"/>
            <wp:positionH relativeFrom="margin">
              <wp:align>right</wp:align>
            </wp:positionH>
            <wp:positionV relativeFrom="paragraph">
              <wp:posOffset>27305</wp:posOffset>
            </wp:positionV>
            <wp:extent cx="3430270" cy="2625090"/>
            <wp:effectExtent l="19050" t="19050" r="17780" b="22860"/>
            <wp:wrapSquare wrapText="bothSides"/>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005171E7" w:rsidRPr="00037C61">
        <w:rPr>
          <w:lang w:val="en-GB"/>
        </w:rPr>
        <w:t xml:space="preserve">The regions from the programme area </w:t>
      </w:r>
      <w:r w:rsidRPr="00037C61">
        <w:rPr>
          <w:lang w:val="en-GB"/>
        </w:rPr>
        <w:t xml:space="preserve">also </w:t>
      </w:r>
      <w:r w:rsidR="005171E7" w:rsidRPr="00037C61">
        <w:rPr>
          <w:lang w:val="en-GB"/>
        </w:rPr>
        <w:t xml:space="preserve">registered </w:t>
      </w:r>
      <w:r w:rsidRPr="00037C61">
        <w:rPr>
          <w:lang w:val="en-GB"/>
        </w:rPr>
        <w:t>an AROPE rate</w:t>
      </w:r>
      <w:r w:rsidR="005171E7" w:rsidRPr="00037C61">
        <w:rPr>
          <w:lang w:val="en-GB"/>
        </w:rPr>
        <w:t xml:space="preserve"> decrease</w:t>
      </w:r>
      <w:r w:rsidRPr="00037C61">
        <w:rPr>
          <w:lang w:val="en-GB"/>
        </w:rPr>
        <w:t>, ranging from 14.2% in Dél-Alföld to 10.1% in Vest</w:t>
      </w:r>
      <w:r w:rsidR="005171E7" w:rsidRPr="00037C61">
        <w:rPr>
          <w:lang w:val="en-GB"/>
        </w:rPr>
        <w:t xml:space="preserve">. </w:t>
      </w:r>
    </w:p>
    <w:p w14:paraId="092C7D70" w14:textId="0724BDB7" w:rsidR="00F0144C" w:rsidRPr="00037C61" w:rsidRDefault="0011144F" w:rsidP="005E0849">
      <w:pPr>
        <w:rPr>
          <w:lang w:val="en-GB"/>
        </w:rPr>
      </w:pPr>
      <w:r w:rsidRPr="00037C61">
        <w:rPr>
          <w:b/>
          <w:bCs/>
          <w:lang w:val="en-GB"/>
        </w:rPr>
        <w:t>Both Romanian regions outperform the national average, being around the European average</w:t>
      </w:r>
      <w:r w:rsidRPr="00037C61">
        <w:rPr>
          <w:lang w:val="en-GB"/>
        </w:rPr>
        <w:t xml:space="preserve"> (21.9% Vest, 19.3% Nord-Vest). The outlier is </w:t>
      </w:r>
      <w:r w:rsidRPr="00037C61">
        <w:rPr>
          <w:b/>
          <w:bCs/>
          <w:lang w:val="en-GB"/>
        </w:rPr>
        <w:t>Észak-Alföld</w:t>
      </w:r>
      <w:r w:rsidRPr="00037C61">
        <w:rPr>
          <w:lang w:val="en-GB"/>
        </w:rPr>
        <w:t xml:space="preserve">, with a rate of 24.2%, higher than the national and European ones, and highest in the PA.  </w:t>
      </w:r>
    </w:p>
    <w:p w14:paraId="7E712747" w14:textId="5BD162FF" w:rsidR="00F0144C" w:rsidRPr="00037C61" w:rsidRDefault="00F0144C" w:rsidP="00F0144C">
      <w:pPr>
        <w:pStyle w:val="Caption"/>
        <w:jc w:val="both"/>
        <w:rPr>
          <w:rFonts w:eastAsia="Calibri" w:cs="Calibri"/>
          <w:lang w:val="en-GB"/>
        </w:rPr>
      </w:pPr>
      <w:bookmarkStart w:id="224" w:name="_Toc6461099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42</w:t>
      </w:r>
      <w:r w:rsidR="00412697">
        <w:rPr>
          <w:lang w:val="en-GB"/>
        </w:rPr>
        <w:fldChar w:fldCharType="end"/>
      </w:r>
      <w:r w:rsidRPr="00037C61">
        <w:rPr>
          <w:lang w:val="en-GB"/>
        </w:rPr>
        <w:t xml:space="preserve"> - People at risk of poverty or social exclusion by NUTS regions</w:t>
      </w:r>
      <w:bookmarkEnd w:id="224"/>
    </w:p>
    <w:p w14:paraId="7A2A3D4E" w14:textId="12B212BF" w:rsidR="1C774ED0" w:rsidRPr="00DB74BF" w:rsidRDefault="1C774ED0" w:rsidP="00F60720">
      <w:pPr>
        <w:spacing w:line="257" w:lineRule="auto"/>
        <w:rPr>
          <w:rFonts w:eastAsia="Calibri" w:cs="Calibri"/>
          <w:lang w:val="fr-FR"/>
        </w:rPr>
      </w:pPr>
      <w:r w:rsidRPr="00DB74BF">
        <w:rPr>
          <w:rFonts w:eastAsia="Calibri" w:cs="Calibri"/>
          <w:i/>
          <w:iCs/>
          <w:color w:val="012751" w:themeColor="accent1" w:themeShade="80"/>
          <w:sz w:val="18"/>
          <w:szCs w:val="18"/>
          <w:lang w:val="fr-FR"/>
        </w:rPr>
        <w:t>Source: EUROSTAT, [ilc_peps11]</w:t>
      </w:r>
      <w:r w:rsidR="0011144F" w:rsidRPr="00DB74BF">
        <w:rPr>
          <w:rFonts w:eastAsia="Calibri" w:cs="Calibri"/>
          <w:i/>
          <w:iCs/>
          <w:color w:val="012751" w:themeColor="accent1" w:themeShade="80"/>
          <w:sz w:val="18"/>
          <w:szCs w:val="18"/>
          <w:lang w:val="fr-FR"/>
        </w:rPr>
        <w:t>, [ilc_peps01],</w:t>
      </w:r>
    </w:p>
    <w:p w14:paraId="4464EB93" w14:textId="256AF9F5" w:rsidR="0011144F" w:rsidRPr="00037C61" w:rsidRDefault="005171E7" w:rsidP="00F0144C">
      <w:pPr>
        <w:keepNext/>
        <w:rPr>
          <w:lang w:val="en-GB"/>
        </w:rPr>
      </w:pPr>
      <w:r w:rsidRPr="00037C61">
        <w:rPr>
          <w:lang w:val="en-GB"/>
        </w:rPr>
        <w:t>According to Eurostat data, the risk of poverty or social exclusion is higher in case of people with low education level, children, households with more than two children, elderly people and people living in rural areas. The percent of people at risk of poverty or social exclusion</w:t>
      </w:r>
      <w:r w:rsidR="0011144F" w:rsidRPr="00037C61">
        <w:rPr>
          <w:lang w:val="en-GB"/>
        </w:rPr>
        <w:t xml:space="preserve"> in Hungary</w:t>
      </w:r>
      <w:r w:rsidRPr="00037C61">
        <w:rPr>
          <w:lang w:val="en-GB"/>
        </w:rPr>
        <w:t xml:space="preserve"> is 8.2% higher </w:t>
      </w:r>
      <w:r w:rsidR="0011144F" w:rsidRPr="00037C61">
        <w:rPr>
          <w:lang w:val="en-GB"/>
        </w:rPr>
        <w:t xml:space="preserve">in rural areas </w:t>
      </w:r>
      <w:r w:rsidRPr="00037C61">
        <w:rPr>
          <w:lang w:val="en-GB"/>
        </w:rPr>
        <w:t>than in cities</w:t>
      </w:r>
      <w:r w:rsidR="0011144F" w:rsidRPr="00037C61">
        <w:rPr>
          <w:lang w:val="en-GB"/>
        </w:rPr>
        <w:t>,</w:t>
      </w:r>
      <w:r w:rsidR="00E87399" w:rsidRPr="00037C61">
        <w:rPr>
          <w:lang w:val="en-GB"/>
        </w:rPr>
        <w:t xml:space="preserve"> while in Romania, it is </w:t>
      </w:r>
      <w:r w:rsidR="0011144F" w:rsidRPr="00037C61">
        <w:rPr>
          <w:b/>
          <w:bCs/>
          <w:lang w:val="en-GB"/>
        </w:rPr>
        <w:t>almost three times higher in rural areas</w:t>
      </w:r>
      <w:r w:rsidR="0011144F" w:rsidRPr="00037C61">
        <w:rPr>
          <w:lang w:val="en-GB"/>
        </w:rPr>
        <w:t xml:space="preserve"> (44.3%) </w:t>
      </w:r>
      <w:r w:rsidR="0011144F" w:rsidRPr="00037C61">
        <w:rPr>
          <w:lang w:val="en-GB"/>
        </w:rPr>
        <w:lastRenderedPageBreak/>
        <w:t xml:space="preserve">compared to cities. This is a significant disparity, and highlights the importance of specific policies aimed at rural areas in the PA. </w:t>
      </w:r>
    </w:p>
    <w:p w14:paraId="4FDD7FC0" w14:textId="12B9BC8F" w:rsidR="00E87399" w:rsidRPr="00037C61" w:rsidRDefault="00E87399" w:rsidP="00F0144C">
      <w:pPr>
        <w:keepNext/>
        <w:rPr>
          <w:lang w:val="en-GB"/>
        </w:rPr>
      </w:pPr>
      <w:r w:rsidRPr="00037C61">
        <w:rPr>
          <w:b/>
          <w:bCs/>
          <w:noProof/>
          <w:shd w:val="clear" w:color="auto" w:fill="98A7D5" w:themeFill="accent2"/>
          <w:lang w:val="ro-RO" w:eastAsia="ro-RO"/>
        </w:rPr>
        <w:drawing>
          <wp:anchor distT="0" distB="0" distL="114300" distR="114300" simplePos="0" relativeHeight="251643392" behindDoc="0" locked="0" layoutInCell="1" allowOverlap="1" wp14:anchorId="562C9F16" wp14:editId="1FF056F4">
            <wp:simplePos x="0" y="0"/>
            <wp:positionH relativeFrom="margin">
              <wp:align>left</wp:align>
            </wp:positionH>
            <wp:positionV relativeFrom="paragraph">
              <wp:posOffset>34290</wp:posOffset>
            </wp:positionV>
            <wp:extent cx="3324860" cy="1953260"/>
            <wp:effectExtent l="19050" t="19050" r="27940" b="27940"/>
            <wp:wrapSquare wrapText="bothSides"/>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r w:rsidR="005171E7" w:rsidRPr="00037C61">
        <w:rPr>
          <w:b/>
          <w:bCs/>
          <w:lang w:val="en-GB"/>
        </w:rPr>
        <w:t>The percentage of population with no education</w:t>
      </w:r>
      <w:r w:rsidR="005171E7" w:rsidRPr="00037C61">
        <w:rPr>
          <w:lang w:val="en-GB"/>
        </w:rPr>
        <w:t xml:space="preserve"> registered higher values in Romania</w:t>
      </w:r>
      <w:r w:rsidRPr="00037C61">
        <w:rPr>
          <w:lang w:val="en-GB"/>
        </w:rPr>
        <w:t>n PA</w:t>
      </w:r>
      <w:r w:rsidR="005171E7" w:rsidRPr="00037C61">
        <w:rPr>
          <w:lang w:val="en-GB"/>
        </w:rPr>
        <w:t xml:space="preserve"> countie</w:t>
      </w:r>
      <w:r w:rsidRPr="00037C61">
        <w:rPr>
          <w:lang w:val="en-GB"/>
        </w:rPr>
        <w:t>s</w:t>
      </w:r>
      <w:r w:rsidR="005171E7" w:rsidRPr="00037C61">
        <w:rPr>
          <w:lang w:val="en-GB"/>
        </w:rPr>
        <w:t xml:space="preserve">. In the Romanian area the proportion of population with no education varies from 1.9% (Arad) to 3.1 in Satu Mare and Bihor. In Hungarian counties, this percent of population with no education is lower and varies from 0.4% in </w:t>
      </w:r>
      <w:r w:rsidR="005171E7" w:rsidRPr="00037C61">
        <w:rPr>
          <w:rFonts w:ascii="Arial" w:hAnsi="Arial"/>
          <w:color w:val="000000"/>
          <w:sz w:val="20"/>
          <w:szCs w:val="20"/>
          <w:lang w:val="en-GB"/>
        </w:rPr>
        <w:t>Csongrád</w:t>
      </w:r>
      <w:r w:rsidR="1D87F509" w:rsidRPr="00037C61">
        <w:rPr>
          <w:rFonts w:ascii="Arial" w:hAnsi="Arial"/>
          <w:color w:val="000000"/>
          <w:sz w:val="20"/>
          <w:szCs w:val="20"/>
          <w:lang w:val="en-GB"/>
        </w:rPr>
        <w:t>-Csanad</w:t>
      </w:r>
      <w:r w:rsidR="005171E7" w:rsidRPr="00037C61">
        <w:rPr>
          <w:rFonts w:ascii="Arial" w:hAnsi="Arial"/>
          <w:color w:val="000000"/>
          <w:sz w:val="20"/>
          <w:szCs w:val="20"/>
          <w:lang w:val="en-GB"/>
        </w:rPr>
        <w:t xml:space="preserve"> to 0.9% in </w:t>
      </w:r>
      <w:r w:rsidR="005171E7" w:rsidRPr="00037C61">
        <w:rPr>
          <w:lang w:val="en-GB"/>
        </w:rPr>
        <w:t>Szabolcs-Szatmár-Bereg. (</w:t>
      </w:r>
      <w:r w:rsidR="005171E7" w:rsidRPr="00037C61">
        <w:rPr>
          <w:lang w:val="en-GB"/>
        </w:rPr>
        <w:fldChar w:fldCharType="begin"/>
      </w:r>
      <w:r w:rsidR="005171E7" w:rsidRPr="00037C61">
        <w:rPr>
          <w:lang w:val="en-GB"/>
        </w:rPr>
        <w:instrText xml:space="preserve"> REF _Ref50645949 \h </w:instrText>
      </w:r>
      <w:r w:rsidR="005171E7" w:rsidRPr="00037C61">
        <w:rPr>
          <w:lang w:val="en-GB"/>
        </w:rPr>
      </w:r>
      <w:r w:rsidR="005171E7" w:rsidRPr="00037C61">
        <w:rPr>
          <w:lang w:val="en-GB"/>
        </w:rPr>
        <w:fldChar w:fldCharType="separate"/>
      </w:r>
      <w:r w:rsidR="00A633B8" w:rsidRPr="00037C61">
        <w:rPr>
          <w:lang w:val="en-GB"/>
        </w:rPr>
        <w:t xml:space="preserve">Figure </w:t>
      </w:r>
      <w:r w:rsidR="00A633B8" w:rsidRPr="00037C61">
        <w:rPr>
          <w:noProof/>
          <w:lang w:val="en-GB"/>
        </w:rPr>
        <w:t>39</w:t>
      </w:r>
      <w:r w:rsidR="005171E7" w:rsidRPr="00037C61">
        <w:rPr>
          <w:lang w:val="en-GB"/>
        </w:rPr>
        <w:fldChar w:fldCharType="end"/>
      </w:r>
      <w:r w:rsidR="005171E7" w:rsidRPr="00037C61">
        <w:rPr>
          <w:lang w:val="en-GB"/>
        </w:rPr>
        <w:t>)</w:t>
      </w:r>
    </w:p>
    <w:p w14:paraId="3E8D71D9" w14:textId="31E701F8" w:rsidR="00F0144C" w:rsidRPr="00037C61" w:rsidRDefault="00F0144C" w:rsidP="00F0144C">
      <w:pPr>
        <w:pStyle w:val="Caption"/>
        <w:jc w:val="both"/>
        <w:rPr>
          <w:rFonts w:eastAsia="Calibri" w:cs="Calibri"/>
          <w:lang w:val="en-GB"/>
        </w:rPr>
      </w:pPr>
      <w:bookmarkStart w:id="225" w:name="_Ref50645949"/>
      <w:bookmarkStart w:id="226" w:name="_Toc50657547"/>
      <w:bookmarkStart w:id="227" w:name="_Toc6461099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43</w:t>
      </w:r>
      <w:r w:rsidR="00412697">
        <w:rPr>
          <w:lang w:val="en-GB"/>
        </w:rPr>
        <w:fldChar w:fldCharType="end"/>
      </w:r>
      <w:bookmarkEnd w:id="225"/>
      <w:r w:rsidRPr="00037C61">
        <w:rPr>
          <w:lang w:val="en-GB"/>
        </w:rPr>
        <w:t xml:space="preserve"> - Percentage of population with no education, 2011</w:t>
      </w:r>
      <w:bookmarkEnd w:id="226"/>
      <w:bookmarkEnd w:id="227"/>
    </w:p>
    <w:p w14:paraId="0B4F8B17" w14:textId="0E38A49A" w:rsidR="1C774ED0" w:rsidRPr="00037C61" w:rsidRDefault="1C774ED0" w:rsidP="00F60720">
      <w:pPr>
        <w:spacing w:line="257" w:lineRule="auto"/>
        <w:rPr>
          <w:i/>
          <w:color w:val="012751" w:themeColor="text2"/>
          <w:sz w:val="18"/>
          <w:lang w:val="en-GB"/>
        </w:rPr>
      </w:pPr>
      <w:r w:rsidRPr="00037C61">
        <w:rPr>
          <w:rFonts w:eastAsia="Calibri" w:cs="Calibri"/>
          <w:i/>
          <w:iCs/>
          <w:color w:val="012751" w:themeColor="accent1" w:themeShade="80"/>
          <w:sz w:val="18"/>
          <w:szCs w:val="18"/>
          <w:lang w:val="en-GB"/>
        </w:rPr>
        <w:t xml:space="preserve">Source: </w:t>
      </w:r>
      <w:r w:rsidR="005171E7" w:rsidRPr="00037C61">
        <w:rPr>
          <w:i/>
          <w:color w:val="012751" w:themeColor="text2"/>
          <w:sz w:val="18"/>
          <w:lang w:val="en-GB"/>
        </w:rPr>
        <w:t>Romanian Population Census 2011</w:t>
      </w:r>
      <w:r w:rsidR="00E52E05" w:rsidRPr="00037C61">
        <w:rPr>
          <w:i/>
          <w:color w:val="012751" w:themeColor="text2"/>
          <w:sz w:val="18"/>
          <w:lang w:val="en-GB"/>
        </w:rPr>
        <w:t>(RPL)</w:t>
      </w:r>
      <w:r w:rsidR="005171E7" w:rsidRPr="00037C61">
        <w:rPr>
          <w:i/>
          <w:color w:val="012751" w:themeColor="text2"/>
          <w:sz w:val="18"/>
          <w:lang w:val="en-GB"/>
        </w:rPr>
        <w:t>; KSH, Hungary Population Census 2011</w:t>
      </w:r>
    </w:p>
    <w:p w14:paraId="5241B4F5" w14:textId="0A1A4AE4" w:rsidR="005171E7" w:rsidRPr="00037C61" w:rsidRDefault="005171E7" w:rsidP="005171E7">
      <w:pPr>
        <w:rPr>
          <w:lang w:val="en-GB"/>
        </w:rPr>
      </w:pPr>
      <w:r w:rsidRPr="00037C61">
        <w:rPr>
          <w:lang w:val="en-GB"/>
        </w:rPr>
        <w:t xml:space="preserve">In Hungary there are established settlements for territorial development (Decree XXI of 1996 on Spatial Development and Spatial Planning) </w:t>
      </w:r>
      <w:r w:rsidR="0099298B" w:rsidRPr="00037C61">
        <w:rPr>
          <w:lang w:val="en-GB"/>
        </w:rPr>
        <w:t>including</w:t>
      </w:r>
      <w:r w:rsidRPr="00037C61">
        <w:rPr>
          <w:lang w:val="en-GB"/>
        </w:rPr>
        <w:t xml:space="preserve"> two main </w:t>
      </w:r>
      <w:r w:rsidRPr="00037C61">
        <w:rPr>
          <w:b/>
          <w:bCs/>
          <w:lang w:val="en-GB"/>
        </w:rPr>
        <w:t>types of settlements that are considered disadvantaged</w:t>
      </w:r>
      <w:r w:rsidRPr="00037C61">
        <w:rPr>
          <w:lang w:val="en-GB"/>
        </w:rPr>
        <w:t xml:space="preserve">: settlements with significant unemployment (unemployment rate higher more than 1.75 times the national average) and socio-economically and infrastructurally </w:t>
      </w:r>
      <w:r w:rsidR="005F5D0B" w:rsidRPr="00037C61">
        <w:rPr>
          <w:lang w:val="en-GB"/>
        </w:rPr>
        <w:t>disadvantaged</w:t>
      </w:r>
      <w:r w:rsidRPr="00037C61">
        <w:rPr>
          <w:lang w:val="en-GB"/>
        </w:rPr>
        <w:t xml:space="preserve"> settlements (the most </w:t>
      </w:r>
      <w:r w:rsidR="005F5D0B" w:rsidRPr="00037C61">
        <w:rPr>
          <w:lang w:val="en-GB"/>
        </w:rPr>
        <w:t>unfavourable</w:t>
      </w:r>
      <w:r w:rsidRPr="00037C61">
        <w:rPr>
          <w:lang w:val="en-GB"/>
        </w:rPr>
        <w:t xml:space="preserve"> third of the settlements ranked according to the complex indicator). In 2018, in the four counties from the Hungarian programme area there were </w:t>
      </w:r>
      <w:r w:rsidR="0099298B" w:rsidRPr="00037C61">
        <w:rPr>
          <w:lang w:val="en-GB"/>
        </w:rPr>
        <w:t xml:space="preserve">a total of 34 beneficiary districts, with the majority </w:t>
      </w:r>
      <w:r w:rsidR="00812E3A" w:rsidRPr="00037C61">
        <w:rPr>
          <w:lang w:val="en-GB"/>
        </w:rPr>
        <w:t xml:space="preserve">in Szabolcs-Szatmár-Bereg </w:t>
      </w:r>
      <w:r w:rsidRPr="00037C61">
        <w:rPr>
          <w:lang w:val="en-GB"/>
        </w:rPr>
        <w:t>(</w:t>
      </w:r>
      <w:r w:rsidRPr="00037C61">
        <w:rPr>
          <w:lang w:val="en-GB"/>
        </w:rPr>
        <w:fldChar w:fldCharType="begin"/>
      </w:r>
      <w:r w:rsidRPr="00037C61">
        <w:rPr>
          <w:lang w:val="en-GB"/>
        </w:rPr>
        <w:instrText xml:space="preserve"> REF _Ref53414047 \h </w:instrText>
      </w:r>
      <w:r w:rsidRPr="00037C61">
        <w:rPr>
          <w:lang w:val="en-GB"/>
        </w:rPr>
      </w:r>
      <w:r w:rsidRPr="00037C61">
        <w:rPr>
          <w:lang w:val="en-GB"/>
        </w:rPr>
        <w:fldChar w:fldCharType="separate"/>
      </w:r>
      <w:r w:rsidR="00A633B8" w:rsidRPr="00037C61">
        <w:rPr>
          <w:lang w:val="en-GB"/>
        </w:rPr>
        <w:t xml:space="preserve">Table </w:t>
      </w:r>
      <w:r w:rsidR="00A633B8" w:rsidRPr="00037C61">
        <w:rPr>
          <w:noProof/>
          <w:lang w:val="en-GB"/>
        </w:rPr>
        <w:t>13</w:t>
      </w:r>
      <w:r w:rsidRPr="00037C61">
        <w:rPr>
          <w:lang w:val="en-GB"/>
        </w:rPr>
        <w:fldChar w:fldCharType="end"/>
      </w:r>
      <w:r w:rsidRPr="00037C61">
        <w:rPr>
          <w:lang w:val="en-GB"/>
        </w:rPr>
        <w:t>):</w:t>
      </w:r>
      <w:r w:rsidR="0099298B" w:rsidRPr="00037C61">
        <w:rPr>
          <w:lang w:val="en-GB"/>
        </w:rPr>
        <w:t xml:space="preserve"> </w:t>
      </w:r>
    </w:p>
    <w:p w14:paraId="25076BFA" w14:textId="06436715" w:rsidR="005171E7" w:rsidRPr="00037C61" w:rsidRDefault="005171E7" w:rsidP="00EA5E72">
      <w:pPr>
        <w:pStyle w:val="Caption"/>
        <w:jc w:val="left"/>
        <w:rPr>
          <w:lang w:val="en-GB"/>
        </w:rPr>
      </w:pPr>
      <w:bookmarkStart w:id="228" w:name="_Ref53414047"/>
      <w:bookmarkStart w:id="229" w:name="_Toc58237637"/>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15</w:t>
      </w:r>
      <w:r w:rsidRPr="00037C61">
        <w:rPr>
          <w:lang w:val="en-GB"/>
        </w:rPr>
        <w:fldChar w:fldCharType="end"/>
      </w:r>
      <w:bookmarkEnd w:id="228"/>
      <w:r w:rsidR="00EA5E72" w:rsidRPr="00037C61">
        <w:rPr>
          <w:lang w:val="en-GB"/>
        </w:rPr>
        <w:t xml:space="preserve"> -</w:t>
      </w:r>
      <w:r w:rsidRPr="00037C61">
        <w:rPr>
          <w:lang w:val="en-GB"/>
        </w:rPr>
        <w:t xml:space="preserve"> Beneficiary districts and settlements in Hungarian counties from programme area</w:t>
      </w:r>
      <w:bookmarkEnd w:id="229"/>
    </w:p>
    <w:tbl>
      <w:tblPr>
        <w:tblStyle w:val="ListTable3-Accent11"/>
        <w:tblW w:w="9031" w:type="dxa"/>
        <w:tblLook w:val="04A0" w:firstRow="1" w:lastRow="0" w:firstColumn="1" w:lastColumn="0" w:noHBand="0" w:noVBand="1"/>
      </w:tblPr>
      <w:tblGrid>
        <w:gridCol w:w="2262"/>
        <w:gridCol w:w="1147"/>
        <w:gridCol w:w="1548"/>
        <w:gridCol w:w="1570"/>
        <w:gridCol w:w="1244"/>
        <w:gridCol w:w="1260"/>
      </w:tblGrid>
      <w:tr w:rsidR="005171E7" w:rsidRPr="00037C61" w14:paraId="45FC9BE1" w14:textId="77777777" w:rsidTr="009332E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2" w:type="dxa"/>
          </w:tcPr>
          <w:p w14:paraId="28C62865" w14:textId="77777777" w:rsidR="005171E7" w:rsidRPr="00037C61" w:rsidRDefault="005171E7" w:rsidP="00204288">
            <w:pPr>
              <w:rPr>
                <w:sz w:val="20"/>
                <w:szCs w:val="20"/>
                <w:lang w:val="en-GB"/>
              </w:rPr>
            </w:pPr>
            <w:r w:rsidRPr="00037C61">
              <w:rPr>
                <w:sz w:val="20"/>
                <w:szCs w:val="20"/>
                <w:lang w:val="en-GB"/>
              </w:rPr>
              <w:t>County</w:t>
            </w:r>
          </w:p>
        </w:tc>
        <w:tc>
          <w:tcPr>
            <w:tcW w:w="1147" w:type="dxa"/>
            <w:vAlign w:val="center"/>
          </w:tcPr>
          <w:p w14:paraId="5508649C" w14:textId="77777777" w:rsidR="005171E7" w:rsidRPr="00037C61" w:rsidRDefault="005171E7" w:rsidP="00204288">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Beneficiary district</w:t>
            </w:r>
          </w:p>
        </w:tc>
        <w:tc>
          <w:tcPr>
            <w:tcW w:w="3118" w:type="dxa"/>
            <w:gridSpan w:val="2"/>
            <w:vAlign w:val="center"/>
          </w:tcPr>
          <w:p w14:paraId="3E089E2C" w14:textId="77777777" w:rsidR="005171E7" w:rsidRPr="00037C61" w:rsidRDefault="005171E7" w:rsidP="00204288">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Social-economically and infrastructurally beneficiary settlements</w:t>
            </w:r>
          </w:p>
        </w:tc>
        <w:tc>
          <w:tcPr>
            <w:tcW w:w="2504" w:type="dxa"/>
            <w:gridSpan w:val="2"/>
            <w:vAlign w:val="center"/>
          </w:tcPr>
          <w:p w14:paraId="6BA8CE3B" w14:textId="77777777" w:rsidR="005171E7" w:rsidRPr="00037C61" w:rsidRDefault="005171E7" w:rsidP="00204288">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Settlements with significant unemployment</w:t>
            </w:r>
          </w:p>
        </w:tc>
      </w:tr>
      <w:tr w:rsidR="005171E7" w:rsidRPr="00037C61" w14:paraId="79B27283" w14:textId="77777777" w:rsidTr="00933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2" w:type="dxa"/>
          </w:tcPr>
          <w:p w14:paraId="06F4D6B1" w14:textId="77777777" w:rsidR="005171E7" w:rsidRPr="00037C61" w:rsidRDefault="005171E7" w:rsidP="00204288">
            <w:pPr>
              <w:rPr>
                <w:sz w:val="20"/>
                <w:szCs w:val="20"/>
                <w:lang w:val="en-GB"/>
              </w:rPr>
            </w:pPr>
          </w:p>
        </w:tc>
        <w:tc>
          <w:tcPr>
            <w:tcW w:w="1147" w:type="dxa"/>
            <w:vAlign w:val="center"/>
          </w:tcPr>
          <w:p w14:paraId="79DCF081"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p>
        </w:tc>
        <w:tc>
          <w:tcPr>
            <w:tcW w:w="1548" w:type="dxa"/>
            <w:vAlign w:val="center"/>
          </w:tcPr>
          <w:p w14:paraId="2C038B83"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Urban</w:t>
            </w:r>
          </w:p>
        </w:tc>
        <w:tc>
          <w:tcPr>
            <w:tcW w:w="1565" w:type="dxa"/>
            <w:vAlign w:val="center"/>
          </w:tcPr>
          <w:p w14:paraId="1F0BE3CE"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Rural</w:t>
            </w:r>
          </w:p>
        </w:tc>
        <w:tc>
          <w:tcPr>
            <w:tcW w:w="1244" w:type="dxa"/>
            <w:vAlign w:val="center"/>
          </w:tcPr>
          <w:p w14:paraId="262F06B1"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Urban</w:t>
            </w:r>
          </w:p>
        </w:tc>
        <w:tc>
          <w:tcPr>
            <w:tcW w:w="1260" w:type="dxa"/>
            <w:vAlign w:val="center"/>
          </w:tcPr>
          <w:p w14:paraId="75207842"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Rural</w:t>
            </w:r>
          </w:p>
        </w:tc>
      </w:tr>
      <w:tr w:rsidR="005171E7" w:rsidRPr="00037C61" w14:paraId="4A902F50" w14:textId="77777777" w:rsidTr="009332E5">
        <w:tc>
          <w:tcPr>
            <w:cnfStyle w:val="001000000000" w:firstRow="0" w:lastRow="0" w:firstColumn="1" w:lastColumn="0" w:oddVBand="0" w:evenVBand="0" w:oddHBand="0" w:evenHBand="0" w:firstRowFirstColumn="0" w:firstRowLastColumn="0" w:lastRowFirstColumn="0" w:lastRowLastColumn="0"/>
            <w:tcW w:w="2262" w:type="dxa"/>
          </w:tcPr>
          <w:p w14:paraId="4DDFF337" w14:textId="77777777" w:rsidR="005171E7" w:rsidRPr="00037C61" w:rsidRDefault="005171E7" w:rsidP="00204288">
            <w:pPr>
              <w:rPr>
                <w:sz w:val="20"/>
                <w:szCs w:val="20"/>
                <w:lang w:val="en-GB"/>
              </w:rPr>
            </w:pPr>
            <w:r w:rsidRPr="00037C61">
              <w:rPr>
                <w:sz w:val="20"/>
                <w:szCs w:val="20"/>
                <w:lang w:val="en-GB"/>
              </w:rPr>
              <w:t>Hajdú-Bihar</w:t>
            </w:r>
          </w:p>
        </w:tc>
        <w:tc>
          <w:tcPr>
            <w:tcW w:w="1147" w:type="dxa"/>
            <w:vAlign w:val="center"/>
          </w:tcPr>
          <w:p w14:paraId="238266EA"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9</w:t>
            </w:r>
          </w:p>
        </w:tc>
        <w:tc>
          <w:tcPr>
            <w:tcW w:w="1548" w:type="dxa"/>
            <w:vAlign w:val="center"/>
          </w:tcPr>
          <w:p w14:paraId="5CB2E1FE"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3</w:t>
            </w:r>
          </w:p>
        </w:tc>
        <w:tc>
          <w:tcPr>
            <w:tcW w:w="1565" w:type="dxa"/>
            <w:vAlign w:val="center"/>
          </w:tcPr>
          <w:p w14:paraId="5594B5F3"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44</w:t>
            </w:r>
          </w:p>
        </w:tc>
        <w:tc>
          <w:tcPr>
            <w:tcW w:w="1244" w:type="dxa"/>
            <w:vAlign w:val="center"/>
          </w:tcPr>
          <w:p w14:paraId="4514FB9A"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10</w:t>
            </w:r>
          </w:p>
        </w:tc>
        <w:tc>
          <w:tcPr>
            <w:tcW w:w="1260" w:type="dxa"/>
            <w:vAlign w:val="center"/>
          </w:tcPr>
          <w:p w14:paraId="510511FE"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30</w:t>
            </w:r>
          </w:p>
        </w:tc>
      </w:tr>
      <w:tr w:rsidR="005171E7" w:rsidRPr="00037C61" w14:paraId="33B8161E" w14:textId="77777777" w:rsidTr="00933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2" w:type="dxa"/>
          </w:tcPr>
          <w:p w14:paraId="1873FB70" w14:textId="77777777" w:rsidR="005171E7" w:rsidRPr="00037C61" w:rsidRDefault="005171E7" w:rsidP="00204288">
            <w:pPr>
              <w:rPr>
                <w:sz w:val="20"/>
                <w:szCs w:val="20"/>
                <w:lang w:val="en-GB"/>
              </w:rPr>
            </w:pPr>
            <w:r w:rsidRPr="00037C61">
              <w:rPr>
                <w:sz w:val="20"/>
                <w:szCs w:val="20"/>
                <w:lang w:val="en-GB"/>
              </w:rPr>
              <w:t>Szabolcs-Szatmár-Bereg</w:t>
            </w:r>
          </w:p>
        </w:tc>
        <w:tc>
          <w:tcPr>
            <w:tcW w:w="1147" w:type="dxa"/>
            <w:vAlign w:val="center"/>
          </w:tcPr>
          <w:p w14:paraId="3481B654"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12</w:t>
            </w:r>
          </w:p>
        </w:tc>
        <w:tc>
          <w:tcPr>
            <w:tcW w:w="1548" w:type="dxa"/>
            <w:vAlign w:val="center"/>
          </w:tcPr>
          <w:p w14:paraId="6F3C88A8"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5</w:t>
            </w:r>
          </w:p>
        </w:tc>
        <w:tc>
          <w:tcPr>
            <w:tcW w:w="1565" w:type="dxa"/>
            <w:vAlign w:val="center"/>
          </w:tcPr>
          <w:p w14:paraId="00539490"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148</w:t>
            </w:r>
          </w:p>
        </w:tc>
        <w:tc>
          <w:tcPr>
            <w:tcW w:w="1244" w:type="dxa"/>
            <w:vAlign w:val="center"/>
          </w:tcPr>
          <w:p w14:paraId="217711C9"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15</w:t>
            </w:r>
          </w:p>
        </w:tc>
        <w:tc>
          <w:tcPr>
            <w:tcW w:w="1260" w:type="dxa"/>
            <w:vAlign w:val="center"/>
          </w:tcPr>
          <w:p w14:paraId="6FF20BB5"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139</w:t>
            </w:r>
          </w:p>
        </w:tc>
      </w:tr>
      <w:tr w:rsidR="005171E7" w:rsidRPr="00037C61" w14:paraId="063FADF0" w14:textId="77777777" w:rsidTr="009332E5">
        <w:tc>
          <w:tcPr>
            <w:cnfStyle w:val="001000000000" w:firstRow="0" w:lastRow="0" w:firstColumn="1" w:lastColumn="0" w:oddVBand="0" w:evenVBand="0" w:oddHBand="0" w:evenHBand="0" w:firstRowFirstColumn="0" w:firstRowLastColumn="0" w:lastRowFirstColumn="0" w:lastRowLastColumn="0"/>
            <w:tcW w:w="2262" w:type="dxa"/>
          </w:tcPr>
          <w:p w14:paraId="38353E03" w14:textId="77777777" w:rsidR="005171E7" w:rsidRPr="00037C61" w:rsidRDefault="005171E7" w:rsidP="00204288">
            <w:pPr>
              <w:rPr>
                <w:sz w:val="20"/>
                <w:szCs w:val="20"/>
                <w:lang w:val="en-GB"/>
              </w:rPr>
            </w:pPr>
            <w:r w:rsidRPr="00037C61">
              <w:rPr>
                <w:sz w:val="20"/>
                <w:szCs w:val="20"/>
                <w:lang w:val="en-GB"/>
              </w:rPr>
              <w:t>Békés</w:t>
            </w:r>
          </w:p>
        </w:tc>
        <w:tc>
          <w:tcPr>
            <w:tcW w:w="1147" w:type="dxa"/>
            <w:vAlign w:val="center"/>
          </w:tcPr>
          <w:p w14:paraId="6D98CD02"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7</w:t>
            </w:r>
          </w:p>
        </w:tc>
        <w:tc>
          <w:tcPr>
            <w:tcW w:w="1548" w:type="dxa"/>
            <w:vAlign w:val="center"/>
          </w:tcPr>
          <w:p w14:paraId="19FDB05A"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1</w:t>
            </w:r>
          </w:p>
        </w:tc>
        <w:tc>
          <w:tcPr>
            <w:tcW w:w="1565" w:type="dxa"/>
            <w:vAlign w:val="center"/>
          </w:tcPr>
          <w:p w14:paraId="34633274"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32</w:t>
            </w:r>
          </w:p>
        </w:tc>
        <w:tc>
          <w:tcPr>
            <w:tcW w:w="1244" w:type="dxa"/>
            <w:vAlign w:val="center"/>
          </w:tcPr>
          <w:p w14:paraId="5C936A19"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2</w:t>
            </w:r>
          </w:p>
        </w:tc>
        <w:tc>
          <w:tcPr>
            <w:tcW w:w="1260" w:type="dxa"/>
            <w:vAlign w:val="center"/>
          </w:tcPr>
          <w:p w14:paraId="1E5A38BF"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12</w:t>
            </w:r>
          </w:p>
        </w:tc>
      </w:tr>
      <w:tr w:rsidR="005171E7" w:rsidRPr="00037C61" w14:paraId="5BE61661" w14:textId="77777777" w:rsidTr="00933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2" w:type="dxa"/>
          </w:tcPr>
          <w:p w14:paraId="54008CA7" w14:textId="3508A4D3" w:rsidR="005171E7" w:rsidRPr="00037C61" w:rsidRDefault="005171E7" w:rsidP="00204288">
            <w:pPr>
              <w:rPr>
                <w:sz w:val="20"/>
                <w:szCs w:val="20"/>
                <w:lang w:val="en-GB"/>
              </w:rPr>
            </w:pPr>
            <w:r w:rsidRPr="00037C61">
              <w:rPr>
                <w:sz w:val="20"/>
                <w:szCs w:val="20"/>
                <w:lang w:val="en-GB"/>
              </w:rPr>
              <w:t>Csongrád</w:t>
            </w:r>
            <w:r w:rsidR="0A380714" w:rsidRPr="00037C61">
              <w:rPr>
                <w:sz w:val="20"/>
                <w:szCs w:val="20"/>
                <w:lang w:val="en-GB"/>
              </w:rPr>
              <w:t>-Csanad</w:t>
            </w:r>
          </w:p>
        </w:tc>
        <w:tc>
          <w:tcPr>
            <w:tcW w:w="1147" w:type="dxa"/>
            <w:vAlign w:val="center"/>
          </w:tcPr>
          <w:p w14:paraId="3420D2E9"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6</w:t>
            </w:r>
          </w:p>
        </w:tc>
        <w:tc>
          <w:tcPr>
            <w:tcW w:w="1548" w:type="dxa"/>
            <w:vAlign w:val="center"/>
          </w:tcPr>
          <w:p w14:paraId="6A48123A"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0</w:t>
            </w:r>
          </w:p>
        </w:tc>
        <w:tc>
          <w:tcPr>
            <w:tcW w:w="1565" w:type="dxa"/>
            <w:vAlign w:val="center"/>
          </w:tcPr>
          <w:p w14:paraId="69F03640"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20</w:t>
            </w:r>
          </w:p>
        </w:tc>
        <w:tc>
          <w:tcPr>
            <w:tcW w:w="1244" w:type="dxa"/>
            <w:vAlign w:val="center"/>
          </w:tcPr>
          <w:p w14:paraId="3F5E26C4"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0</w:t>
            </w:r>
          </w:p>
        </w:tc>
        <w:tc>
          <w:tcPr>
            <w:tcW w:w="1260" w:type="dxa"/>
            <w:vAlign w:val="center"/>
          </w:tcPr>
          <w:p w14:paraId="1A020E2A" w14:textId="77777777" w:rsidR="005171E7" w:rsidRPr="00037C61" w:rsidRDefault="005171E7" w:rsidP="00204288">
            <w:pPr>
              <w:jc w:val="center"/>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1</w:t>
            </w:r>
          </w:p>
        </w:tc>
      </w:tr>
      <w:tr w:rsidR="005171E7" w:rsidRPr="00037C61" w14:paraId="5827619E" w14:textId="77777777" w:rsidTr="009332E5">
        <w:tc>
          <w:tcPr>
            <w:cnfStyle w:val="001000000000" w:firstRow="0" w:lastRow="0" w:firstColumn="1" w:lastColumn="0" w:oddVBand="0" w:evenVBand="0" w:oddHBand="0" w:evenHBand="0" w:firstRowFirstColumn="0" w:firstRowLastColumn="0" w:lastRowFirstColumn="0" w:lastRowLastColumn="0"/>
            <w:tcW w:w="2262" w:type="dxa"/>
          </w:tcPr>
          <w:p w14:paraId="24F57F20" w14:textId="77777777" w:rsidR="005171E7" w:rsidRPr="00037C61" w:rsidRDefault="005171E7" w:rsidP="00204288">
            <w:pPr>
              <w:rPr>
                <w:sz w:val="20"/>
                <w:szCs w:val="20"/>
                <w:lang w:val="en-GB"/>
              </w:rPr>
            </w:pPr>
            <w:r w:rsidRPr="00037C61">
              <w:rPr>
                <w:sz w:val="20"/>
                <w:szCs w:val="20"/>
                <w:lang w:val="en-GB"/>
              </w:rPr>
              <w:t>Total</w:t>
            </w:r>
          </w:p>
        </w:tc>
        <w:tc>
          <w:tcPr>
            <w:tcW w:w="1147" w:type="dxa"/>
            <w:vAlign w:val="center"/>
          </w:tcPr>
          <w:p w14:paraId="791ABA13"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34</w:t>
            </w:r>
          </w:p>
        </w:tc>
        <w:tc>
          <w:tcPr>
            <w:tcW w:w="1548" w:type="dxa"/>
            <w:vAlign w:val="center"/>
          </w:tcPr>
          <w:p w14:paraId="116167BC"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9</w:t>
            </w:r>
          </w:p>
        </w:tc>
        <w:tc>
          <w:tcPr>
            <w:tcW w:w="1565" w:type="dxa"/>
            <w:vAlign w:val="center"/>
          </w:tcPr>
          <w:p w14:paraId="60D56273"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244</w:t>
            </w:r>
          </w:p>
        </w:tc>
        <w:tc>
          <w:tcPr>
            <w:tcW w:w="1244" w:type="dxa"/>
            <w:vAlign w:val="center"/>
          </w:tcPr>
          <w:p w14:paraId="752EB6BB"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27</w:t>
            </w:r>
          </w:p>
        </w:tc>
        <w:tc>
          <w:tcPr>
            <w:tcW w:w="1260" w:type="dxa"/>
            <w:vAlign w:val="center"/>
          </w:tcPr>
          <w:p w14:paraId="1C2525C9" w14:textId="77777777" w:rsidR="005171E7" w:rsidRPr="00037C61" w:rsidRDefault="005171E7" w:rsidP="00204288">
            <w:pPr>
              <w:jc w:val="center"/>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182</w:t>
            </w:r>
          </w:p>
        </w:tc>
      </w:tr>
    </w:tbl>
    <w:p w14:paraId="79D8BCD1" w14:textId="77777777" w:rsidR="005171E7" w:rsidRPr="00037C61" w:rsidRDefault="005171E7" w:rsidP="005E0849">
      <w:pPr>
        <w:pStyle w:val="Caption"/>
        <w:spacing w:after="240"/>
        <w:jc w:val="left"/>
        <w:rPr>
          <w:lang w:val="en-GB"/>
        </w:rPr>
      </w:pPr>
      <w:r w:rsidRPr="00037C61">
        <w:rPr>
          <w:lang w:val="en-GB"/>
        </w:rPr>
        <w:t>Source: TEIR, 2018</w:t>
      </w:r>
    </w:p>
    <w:p w14:paraId="7F2FB6AA" w14:textId="46D1DE25" w:rsidR="005171E7" w:rsidRPr="00037C61" w:rsidRDefault="00812E3A" w:rsidP="005171E7">
      <w:pPr>
        <w:rPr>
          <w:lang w:val="en-GB"/>
        </w:rPr>
      </w:pPr>
      <w:r w:rsidRPr="00037C61">
        <w:rPr>
          <w:lang w:val="en-GB"/>
        </w:rPr>
        <w:t>In Romanian PA counties, a</w:t>
      </w:r>
      <w:r w:rsidR="005171E7" w:rsidRPr="00037C61">
        <w:rPr>
          <w:lang w:val="en-GB"/>
        </w:rPr>
        <w:t xml:space="preserve">ccording to the </w:t>
      </w:r>
      <w:r w:rsidR="005171E7" w:rsidRPr="00037C61">
        <w:rPr>
          <w:b/>
          <w:bCs/>
          <w:lang w:val="en-GB"/>
        </w:rPr>
        <w:t>Atlas of marginalized rural areas</w:t>
      </w:r>
      <w:r w:rsidR="005171E7" w:rsidRPr="00037C61">
        <w:rPr>
          <w:lang w:val="en-GB"/>
        </w:rPr>
        <w:t xml:space="preserve">, in Romanian counties from the </w:t>
      </w:r>
      <w:r w:rsidR="00A0707B" w:rsidRPr="00037C61">
        <w:rPr>
          <w:lang w:val="en-GB"/>
        </w:rPr>
        <w:t>program</w:t>
      </w:r>
      <w:r w:rsidR="00614E52" w:rsidRPr="00037C61">
        <w:rPr>
          <w:lang w:val="en-GB"/>
        </w:rPr>
        <w:t>me</w:t>
      </w:r>
      <w:r w:rsidR="5ADBA96E" w:rsidRPr="00037C61">
        <w:rPr>
          <w:lang w:val="en-GB"/>
        </w:rPr>
        <w:t xml:space="preserve"> </w:t>
      </w:r>
      <w:r w:rsidR="005171E7" w:rsidRPr="00037C61">
        <w:rPr>
          <w:lang w:val="en-GB"/>
        </w:rPr>
        <w:t>area there are</w:t>
      </w:r>
      <w:r w:rsidRPr="00037C61">
        <w:rPr>
          <w:lang w:val="en-GB"/>
        </w:rPr>
        <w:t xml:space="preserve"> a total number of 65 marginalized rural communities, with the most recorded in Bihor (28), which also records the highest number of urban population living in marginalised communities (9701), followed by Arad (7599), Timiș (5940) and Satu Mare (5044). </w:t>
      </w:r>
    </w:p>
    <w:p w14:paraId="68B61D55" w14:textId="62D637E4" w:rsidR="005171E7" w:rsidRPr="00037C61" w:rsidRDefault="005171E7" w:rsidP="00E87399">
      <w:pPr>
        <w:pStyle w:val="Caption"/>
        <w:jc w:val="left"/>
        <w:rPr>
          <w:lang w:val="en-GB"/>
        </w:rPr>
      </w:pPr>
      <w:bookmarkStart w:id="230" w:name="_Ref50646410"/>
      <w:bookmarkStart w:id="231" w:name="_Toc58237638"/>
      <w:r w:rsidRPr="00037C61">
        <w:rPr>
          <w:lang w:val="en-GB"/>
        </w:rPr>
        <w:t xml:space="preserve">Table </w:t>
      </w:r>
      <w:r w:rsidRPr="00037C61">
        <w:rPr>
          <w:lang w:val="en-GB"/>
        </w:rPr>
        <w:fldChar w:fldCharType="begin"/>
      </w:r>
      <w:bookmarkEnd w:id="230"/>
      <w:r w:rsidRPr="00037C61">
        <w:rPr>
          <w:lang w:val="en-GB"/>
        </w:rPr>
        <w:instrText xml:space="preserve"> SEQ Table \* ARABIC </w:instrText>
      </w:r>
      <w:r w:rsidRPr="00037C61">
        <w:rPr>
          <w:lang w:val="en-GB"/>
        </w:rPr>
        <w:fldChar w:fldCharType="separate"/>
      </w:r>
      <w:r w:rsidR="005A7BD8">
        <w:rPr>
          <w:noProof/>
          <w:lang w:val="en-GB"/>
        </w:rPr>
        <w:t>16</w:t>
      </w:r>
      <w:r w:rsidRPr="00037C61">
        <w:rPr>
          <w:lang w:val="en-GB"/>
        </w:rPr>
        <w:fldChar w:fldCharType="end"/>
      </w:r>
      <w:r w:rsidR="00EA5E72" w:rsidRPr="00037C61">
        <w:rPr>
          <w:lang w:val="en-GB"/>
        </w:rPr>
        <w:t xml:space="preserve"> -</w:t>
      </w:r>
      <w:r w:rsidRPr="00037C61">
        <w:rPr>
          <w:lang w:val="en-GB"/>
        </w:rPr>
        <w:t xml:space="preserve"> Rural communities with population living in marginalized areas</w:t>
      </w:r>
      <w:bookmarkEnd w:id="231"/>
      <w:r w:rsidRPr="00037C61">
        <w:rPr>
          <w:lang w:val="en-GB"/>
        </w:rPr>
        <w:t xml:space="preserve"> </w:t>
      </w:r>
    </w:p>
    <w:tbl>
      <w:tblPr>
        <w:tblStyle w:val="ListTable3-Accent1"/>
        <w:tblW w:w="8922" w:type="dxa"/>
        <w:tblLook w:val="04A0" w:firstRow="1" w:lastRow="0" w:firstColumn="1" w:lastColumn="0" w:noHBand="0" w:noVBand="1"/>
      </w:tblPr>
      <w:tblGrid>
        <w:gridCol w:w="2511"/>
        <w:gridCol w:w="1612"/>
        <w:gridCol w:w="1732"/>
        <w:gridCol w:w="1590"/>
        <w:gridCol w:w="1477"/>
      </w:tblGrid>
      <w:tr w:rsidR="00E87399" w:rsidRPr="004A5488" w14:paraId="1DB4A95B" w14:textId="77777777" w:rsidTr="009332E5">
        <w:trPr>
          <w:cnfStyle w:val="100000000000" w:firstRow="1" w:lastRow="0" w:firstColumn="0" w:lastColumn="0" w:oddVBand="0" w:evenVBand="0" w:oddHBand="0" w:evenHBand="0" w:firstRowFirstColumn="0" w:firstRowLastColumn="0" w:lastRowFirstColumn="0" w:lastRowLastColumn="0"/>
          <w:trHeight w:val="370"/>
        </w:trPr>
        <w:tc>
          <w:tcPr>
            <w:cnfStyle w:val="001000000100" w:firstRow="0" w:lastRow="0" w:firstColumn="1" w:lastColumn="0" w:oddVBand="0" w:evenVBand="0" w:oddHBand="0" w:evenHBand="0" w:firstRowFirstColumn="1" w:firstRowLastColumn="0" w:lastRowFirstColumn="0" w:lastRowLastColumn="0"/>
            <w:tcW w:w="8922" w:type="dxa"/>
            <w:gridSpan w:val="5"/>
            <w:noWrap/>
            <w:hideMark/>
          </w:tcPr>
          <w:p w14:paraId="10B57E22" w14:textId="77777777" w:rsidR="00E87399" w:rsidRPr="00037C61" w:rsidRDefault="00E87399" w:rsidP="00555B8D">
            <w:pPr>
              <w:jc w:val="center"/>
              <w:rPr>
                <w:rFonts w:cs="Calibri"/>
                <w:sz w:val="20"/>
                <w:szCs w:val="20"/>
                <w:lang w:val="en-GB"/>
              </w:rPr>
            </w:pPr>
            <w:r w:rsidRPr="00037C61">
              <w:rPr>
                <w:rFonts w:cs="Calibri"/>
                <w:sz w:val="20"/>
                <w:szCs w:val="20"/>
                <w:lang w:val="en-GB"/>
              </w:rPr>
              <w:t>Number of rural communities with persons that live in marginalized areas</w:t>
            </w:r>
          </w:p>
        </w:tc>
      </w:tr>
      <w:tr w:rsidR="005171E7" w:rsidRPr="00037C61" w14:paraId="73893672" w14:textId="77777777" w:rsidTr="009332E5">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2511" w:type="dxa"/>
            <w:noWrap/>
            <w:hideMark/>
          </w:tcPr>
          <w:p w14:paraId="36D1DB14" w14:textId="77777777" w:rsidR="005171E7" w:rsidRPr="00037C61" w:rsidRDefault="005171E7" w:rsidP="00204288">
            <w:pPr>
              <w:jc w:val="left"/>
              <w:rPr>
                <w:rFonts w:cs="Calibri"/>
                <w:sz w:val="20"/>
                <w:szCs w:val="20"/>
                <w:lang w:val="en-GB"/>
              </w:rPr>
            </w:pPr>
          </w:p>
        </w:tc>
        <w:tc>
          <w:tcPr>
            <w:tcW w:w="1612" w:type="dxa"/>
            <w:noWrap/>
            <w:hideMark/>
          </w:tcPr>
          <w:p w14:paraId="2BCE71FF" w14:textId="77777777" w:rsidR="005171E7" w:rsidRPr="00037C61" w:rsidRDefault="005171E7" w:rsidP="00555B8D">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1-169 persons</w:t>
            </w:r>
          </w:p>
        </w:tc>
        <w:tc>
          <w:tcPr>
            <w:tcW w:w="1732" w:type="dxa"/>
            <w:noWrap/>
            <w:hideMark/>
          </w:tcPr>
          <w:p w14:paraId="29F81469" w14:textId="77777777" w:rsidR="005171E7" w:rsidRPr="00037C61" w:rsidRDefault="005171E7" w:rsidP="00FD4E9A">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170-256 persons</w:t>
            </w:r>
          </w:p>
        </w:tc>
        <w:tc>
          <w:tcPr>
            <w:tcW w:w="1590" w:type="dxa"/>
            <w:noWrap/>
            <w:hideMark/>
          </w:tcPr>
          <w:p w14:paraId="2D33D2A4" w14:textId="77777777" w:rsidR="005171E7" w:rsidRPr="00037C61" w:rsidRDefault="005171E7" w:rsidP="00817163">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257-418 persons</w:t>
            </w:r>
          </w:p>
        </w:tc>
        <w:tc>
          <w:tcPr>
            <w:tcW w:w="1477" w:type="dxa"/>
            <w:noWrap/>
            <w:hideMark/>
          </w:tcPr>
          <w:p w14:paraId="3824B6E5" w14:textId="77777777" w:rsidR="005171E7" w:rsidRPr="00037C61" w:rsidRDefault="005171E7" w:rsidP="00BB7D11">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419+ persons</w:t>
            </w:r>
          </w:p>
        </w:tc>
      </w:tr>
      <w:tr w:rsidR="005171E7" w:rsidRPr="00037C61" w14:paraId="252D82AA" w14:textId="77777777" w:rsidTr="009332E5">
        <w:trPr>
          <w:trHeight w:val="261"/>
        </w:trPr>
        <w:tc>
          <w:tcPr>
            <w:cnfStyle w:val="001000000000" w:firstRow="0" w:lastRow="0" w:firstColumn="1" w:lastColumn="0" w:oddVBand="0" w:evenVBand="0" w:oddHBand="0" w:evenHBand="0" w:firstRowFirstColumn="0" w:firstRowLastColumn="0" w:lastRowFirstColumn="0" w:lastRowLastColumn="0"/>
            <w:tcW w:w="2511" w:type="dxa"/>
            <w:noWrap/>
            <w:hideMark/>
          </w:tcPr>
          <w:p w14:paraId="71FAA9A6" w14:textId="77777777" w:rsidR="005171E7" w:rsidRPr="00037C61" w:rsidRDefault="005171E7" w:rsidP="00204288">
            <w:pPr>
              <w:jc w:val="left"/>
              <w:rPr>
                <w:rFonts w:cs="Calibri"/>
                <w:color w:val="000000"/>
                <w:sz w:val="20"/>
                <w:szCs w:val="20"/>
                <w:lang w:val="en-GB"/>
              </w:rPr>
            </w:pPr>
            <w:r w:rsidRPr="00037C61">
              <w:rPr>
                <w:rFonts w:cs="Calibri"/>
                <w:color w:val="000000"/>
                <w:sz w:val="20"/>
                <w:szCs w:val="20"/>
                <w:lang w:val="en-GB"/>
              </w:rPr>
              <w:t>Bihor</w:t>
            </w:r>
          </w:p>
        </w:tc>
        <w:tc>
          <w:tcPr>
            <w:tcW w:w="1612" w:type="dxa"/>
            <w:noWrap/>
            <w:hideMark/>
          </w:tcPr>
          <w:p w14:paraId="384B376C"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w:t>
            </w:r>
          </w:p>
        </w:tc>
        <w:tc>
          <w:tcPr>
            <w:tcW w:w="1732" w:type="dxa"/>
            <w:noWrap/>
            <w:hideMark/>
          </w:tcPr>
          <w:p w14:paraId="3899F64A"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w:t>
            </w:r>
          </w:p>
        </w:tc>
        <w:tc>
          <w:tcPr>
            <w:tcW w:w="1590" w:type="dxa"/>
            <w:noWrap/>
            <w:hideMark/>
          </w:tcPr>
          <w:p w14:paraId="058A3660"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7</w:t>
            </w:r>
          </w:p>
        </w:tc>
        <w:tc>
          <w:tcPr>
            <w:tcW w:w="1477" w:type="dxa"/>
            <w:noWrap/>
            <w:hideMark/>
          </w:tcPr>
          <w:p w14:paraId="2254AAE9"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15</w:t>
            </w:r>
          </w:p>
        </w:tc>
      </w:tr>
      <w:tr w:rsidR="005171E7" w:rsidRPr="00037C61" w14:paraId="621A0C5E" w14:textId="77777777" w:rsidTr="009332E5">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511" w:type="dxa"/>
            <w:noWrap/>
            <w:hideMark/>
          </w:tcPr>
          <w:p w14:paraId="5DFA7B50" w14:textId="77777777" w:rsidR="005171E7" w:rsidRPr="00037C61" w:rsidRDefault="005171E7" w:rsidP="00204288">
            <w:pPr>
              <w:jc w:val="left"/>
              <w:rPr>
                <w:rFonts w:cs="Calibri"/>
                <w:color w:val="000000"/>
                <w:sz w:val="20"/>
                <w:szCs w:val="20"/>
                <w:lang w:val="en-GB"/>
              </w:rPr>
            </w:pPr>
            <w:r w:rsidRPr="00037C61">
              <w:rPr>
                <w:rFonts w:cs="Calibri"/>
                <w:color w:val="000000"/>
                <w:sz w:val="20"/>
                <w:szCs w:val="20"/>
                <w:lang w:val="en-GB"/>
              </w:rPr>
              <w:t>Satu Mare</w:t>
            </w:r>
          </w:p>
        </w:tc>
        <w:tc>
          <w:tcPr>
            <w:tcW w:w="1612" w:type="dxa"/>
            <w:noWrap/>
            <w:hideMark/>
          </w:tcPr>
          <w:p w14:paraId="6D5997CF"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w:t>
            </w:r>
          </w:p>
        </w:tc>
        <w:tc>
          <w:tcPr>
            <w:tcW w:w="1732" w:type="dxa"/>
            <w:noWrap/>
            <w:hideMark/>
          </w:tcPr>
          <w:p w14:paraId="2121C1AF"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7</w:t>
            </w:r>
          </w:p>
        </w:tc>
        <w:tc>
          <w:tcPr>
            <w:tcW w:w="1590" w:type="dxa"/>
            <w:noWrap/>
            <w:hideMark/>
          </w:tcPr>
          <w:p w14:paraId="27101631"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9</w:t>
            </w:r>
          </w:p>
        </w:tc>
        <w:tc>
          <w:tcPr>
            <w:tcW w:w="1477" w:type="dxa"/>
            <w:noWrap/>
            <w:hideMark/>
          </w:tcPr>
          <w:p w14:paraId="2F301172"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w:t>
            </w:r>
          </w:p>
        </w:tc>
      </w:tr>
      <w:tr w:rsidR="005171E7" w:rsidRPr="00037C61" w14:paraId="03EA7A01" w14:textId="77777777" w:rsidTr="009332E5">
        <w:trPr>
          <w:trHeight w:val="261"/>
        </w:trPr>
        <w:tc>
          <w:tcPr>
            <w:cnfStyle w:val="001000000000" w:firstRow="0" w:lastRow="0" w:firstColumn="1" w:lastColumn="0" w:oddVBand="0" w:evenVBand="0" w:oddHBand="0" w:evenHBand="0" w:firstRowFirstColumn="0" w:firstRowLastColumn="0" w:lastRowFirstColumn="0" w:lastRowLastColumn="0"/>
            <w:tcW w:w="2511" w:type="dxa"/>
            <w:noWrap/>
            <w:hideMark/>
          </w:tcPr>
          <w:p w14:paraId="1C5956B4" w14:textId="77777777" w:rsidR="005171E7" w:rsidRPr="00037C61" w:rsidRDefault="005171E7" w:rsidP="00204288">
            <w:pPr>
              <w:jc w:val="left"/>
              <w:rPr>
                <w:rFonts w:cs="Calibri"/>
                <w:color w:val="000000"/>
                <w:sz w:val="20"/>
                <w:szCs w:val="20"/>
                <w:lang w:val="en-GB"/>
              </w:rPr>
            </w:pPr>
            <w:r w:rsidRPr="00037C61">
              <w:rPr>
                <w:rFonts w:cs="Calibri"/>
                <w:color w:val="000000"/>
                <w:sz w:val="20"/>
                <w:szCs w:val="20"/>
                <w:lang w:val="en-GB"/>
              </w:rPr>
              <w:t>Arad</w:t>
            </w:r>
          </w:p>
        </w:tc>
        <w:tc>
          <w:tcPr>
            <w:tcW w:w="1612" w:type="dxa"/>
            <w:noWrap/>
            <w:hideMark/>
          </w:tcPr>
          <w:p w14:paraId="2A600817"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w:t>
            </w:r>
          </w:p>
        </w:tc>
        <w:tc>
          <w:tcPr>
            <w:tcW w:w="1732" w:type="dxa"/>
            <w:noWrap/>
            <w:hideMark/>
          </w:tcPr>
          <w:p w14:paraId="412325E2"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w:t>
            </w:r>
          </w:p>
        </w:tc>
        <w:tc>
          <w:tcPr>
            <w:tcW w:w="1590" w:type="dxa"/>
            <w:noWrap/>
            <w:hideMark/>
          </w:tcPr>
          <w:p w14:paraId="7C712C89"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w:t>
            </w:r>
          </w:p>
        </w:tc>
        <w:tc>
          <w:tcPr>
            <w:tcW w:w="1477" w:type="dxa"/>
            <w:noWrap/>
            <w:hideMark/>
          </w:tcPr>
          <w:p w14:paraId="1CC67104" w14:textId="77777777" w:rsidR="005171E7" w:rsidRPr="00037C61" w:rsidRDefault="005171E7" w:rsidP="005E0849">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w:t>
            </w:r>
          </w:p>
        </w:tc>
      </w:tr>
      <w:tr w:rsidR="005171E7" w:rsidRPr="00037C61" w14:paraId="1E1E7299" w14:textId="77777777" w:rsidTr="009332E5">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511" w:type="dxa"/>
            <w:noWrap/>
            <w:hideMark/>
          </w:tcPr>
          <w:p w14:paraId="555719C8" w14:textId="77777777" w:rsidR="005171E7" w:rsidRPr="00037C61" w:rsidRDefault="005171E7" w:rsidP="00204288">
            <w:pPr>
              <w:jc w:val="left"/>
              <w:rPr>
                <w:rFonts w:cs="Calibri"/>
                <w:color w:val="000000"/>
                <w:sz w:val="20"/>
                <w:szCs w:val="20"/>
                <w:lang w:val="en-GB"/>
              </w:rPr>
            </w:pPr>
            <w:r w:rsidRPr="00037C61">
              <w:rPr>
                <w:rFonts w:cs="Calibri"/>
                <w:color w:val="000000"/>
                <w:sz w:val="20"/>
                <w:szCs w:val="20"/>
                <w:lang w:val="en-GB"/>
              </w:rPr>
              <w:t>Timis</w:t>
            </w:r>
          </w:p>
        </w:tc>
        <w:tc>
          <w:tcPr>
            <w:tcW w:w="1612" w:type="dxa"/>
            <w:noWrap/>
            <w:hideMark/>
          </w:tcPr>
          <w:p w14:paraId="0984E7F3"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w:t>
            </w:r>
          </w:p>
        </w:tc>
        <w:tc>
          <w:tcPr>
            <w:tcW w:w="1732" w:type="dxa"/>
            <w:noWrap/>
            <w:hideMark/>
          </w:tcPr>
          <w:p w14:paraId="4AC30408"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w:t>
            </w:r>
          </w:p>
        </w:tc>
        <w:tc>
          <w:tcPr>
            <w:tcW w:w="1590" w:type="dxa"/>
            <w:noWrap/>
            <w:hideMark/>
          </w:tcPr>
          <w:p w14:paraId="367E8DEF"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w:t>
            </w:r>
          </w:p>
        </w:tc>
        <w:tc>
          <w:tcPr>
            <w:tcW w:w="1477" w:type="dxa"/>
            <w:noWrap/>
            <w:hideMark/>
          </w:tcPr>
          <w:p w14:paraId="3017DA4C" w14:textId="77777777" w:rsidR="005171E7" w:rsidRPr="00037C61" w:rsidRDefault="005171E7" w:rsidP="005E0849">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w:t>
            </w:r>
          </w:p>
        </w:tc>
      </w:tr>
    </w:tbl>
    <w:p w14:paraId="111F1B05" w14:textId="77777777" w:rsidR="005171E7" w:rsidRPr="00037C61" w:rsidRDefault="005171E7" w:rsidP="005171E7">
      <w:pPr>
        <w:pStyle w:val="InterregROHUBullet1"/>
        <w:numPr>
          <w:ilvl w:val="0"/>
          <w:numId w:val="0"/>
        </w:numPr>
        <w:rPr>
          <w:i/>
          <w:color w:val="012751" w:themeColor="text2"/>
          <w:sz w:val="18"/>
        </w:rPr>
      </w:pPr>
      <w:r w:rsidRPr="00037C61">
        <w:rPr>
          <w:i/>
          <w:color w:val="012751" w:themeColor="text2"/>
          <w:sz w:val="18"/>
        </w:rPr>
        <w:t xml:space="preserve">Source: Atlas of rural marginalised areas in Romania, 2016; </w:t>
      </w:r>
    </w:p>
    <w:p w14:paraId="6D58505B" w14:textId="4F88B19F" w:rsidR="005171E7" w:rsidRPr="00037C61" w:rsidRDefault="005171E7" w:rsidP="43A5E8BA">
      <w:pPr>
        <w:rPr>
          <w:lang w:val="en-GB"/>
        </w:rPr>
      </w:pPr>
      <w:r w:rsidRPr="00037C61">
        <w:rPr>
          <w:lang w:val="en-GB"/>
        </w:rPr>
        <w:lastRenderedPageBreak/>
        <w:t xml:space="preserve">According to the </w:t>
      </w:r>
      <w:r w:rsidRPr="00037C61">
        <w:rPr>
          <w:b/>
          <w:bCs/>
          <w:lang w:val="en-GB"/>
        </w:rPr>
        <w:t>Romanian Atlas of marginalized urban areas</w:t>
      </w:r>
      <w:r w:rsidRPr="00037C61">
        <w:rPr>
          <w:lang w:val="en-GB"/>
        </w:rPr>
        <w:t>, the highest number of urban population living in disadvantaged areas is in Arad (35.9%), followed by Timiș (30.5%), Satu Mare (29.2%) and Bihor (24.6%). There are three types of disadvantaged areas – on housing, on employment and on human capital (education and health) (</w:t>
      </w:r>
      <w:r w:rsidRPr="00037C61">
        <w:rPr>
          <w:lang w:val="en-GB"/>
        </w:rPr>
        <w:fldChar w:fldCharType="begin"/>
      </w:r>
      <w:r w:rsidRPr="00037C61">
        <w:rPr>
          <w:lang w:val="en-GB"/>
        </w:rPr>
        <w:instrText xml:space="preserve"> REF _Ref52840894 \h </w:instrText>
      </w:r>
      <w:r w:rsidRPr="00037C61">
        <w:rPr>
          <w:lang w:val="en-GB"/>
        </w:rPr>
      </w:r>
      <w:r w:rsidRPr="00037C61">
        <w:rPr>
          <w:lang w:val="en-GB"/>
        </w:rPr>
        <w:fldChar w:fldCharType="separate"/>
      </w:r>
      <w:r w:rsidR="00A633B8" w:rsidRPr="00037C61">
        <w:rPr>
          <w:lang w:val="en-GB"/>
        </w:rPr>
        <w:t xml:space="preserve">Table </w:t>
      </w:r>
      <w:r w:rsidR="00A633B8" w:rsidRPr="00037C61">
        <w:rPr>
          <w:noProof/>
          <w:lang w:val="en-GB"/>
        </w:rPr>
        <w:t>15</w:t>
      </w:r>
      <w:r w:rsidRPr="00037C61">
        <w:rPr>
          <w:lang w:val="en-GB"/>
        </w:rPr>
        <w:fldChar w:fldCharType="end"/>
      </w:r>
      <w:r w:rsidR="00812E3A" w:rsidRPr="00037C61">
        <w:rPr>
          <w:lang w:val="en-GB"/>
        </w:rPr>
        <w:t xml:space="preserve">). </w:t>
      </w:r>
      <w:r w:rsidRPr="00037C61">
        <w:rPr>
          <w:lang w:val="en-GB"/>
        </w:rPr>
        <w:t>The highest percent of population living in areas disadvantaged on housing are in Timis (9.5%)</w:t>
      </w:r>
      <w:r w:rsidR="00812E3A" w:rsidRPr="00037C61">
        <w:rPr>
          <w:lang w:val="en-GB"/>
        </w:rPr>
        <w:t>; t</w:t>
      </w:r>
      <w:r w:rsidRPr="00037C61">
        <w:rPr>
          <w:lang w:val="en-GB"/>
        </w:rPr>
        <w:t xml:space="preserve">he percent of population from areas disadvantaged on employment is higher in Arad (8%), </w:t>
      </w:r>
      <w:r w:rsidR="00812E3A" w:rsidRPr="00037C61">
        <w:rPr>
          <w:lang w:val="en-GB"/>
        </w:rPr>
        <w:t xml:space="preserve">while </w:t>
      </w:r>
      <w:r w:rsidRPr="00037C61">
        <w:rPr>
          <w:lang w:val="en-GB"/>
        </w:rPr>
        <w:t xml:space="preserve">Satu Mare has the highest percent of population from </w:t>
      </w:r>
      <w:r w:rsidRPr="00037C61">
        <w:rPr>
          <w:b/>
          <w:bCs/>
          <w:lang w:val="en-GB"/>
        </w:rPr>
        <w:t>areas disadvantaged on human capital – 20.3%,</w:t>
      </w:r>
      <w:r w:rsidRPr="00037C61">
        <w:rPr>
          <w:lang w:val="en-GB"/>
        </w:rPr>
        <w:t xml:space="preserve"> followed by Arad (17.6</w:t>
      </w:r>
      <w:r w:rsidR="00812E3A" w:rsidRPr="00037C61">
        <w:rPr>
          <w:lang w:val="en-GB"/>
        </w:rPr>
        <w:t>%</w:t>
      </w:r>
      <w:r w:rsidRPr="00037C61">
        <w:rPr>
          <w:lang w:val="en-GB"/>
        </w:rPr>
        <w:t xml:space="preserve">), </w:t>
      </w:r>
      <w:r w:rsidR="00EA57E0" w:rsidRPr="00037C61">
        <w:rPr>
          <w:lang w:val="en-GB"/>
        </w:rPr>
        <w:t>Timiș</w:t>
      </w:r>
      <w:r w:rsidRPr="00037C61">
        <w:rPr>
          <w:lang w:val="en-GB"/>
        </w:rPr>
        <w:t xml:space="preserve"> (8.4%) and Bihor (7.7%)</w:t>
      </w:r>
      <w:r w:rsidR="00812E3A" w:rsidRPr="00037C61">
        <w:rPr>
          <w:lang w:val="en-GB"/>
        </w:rPr>
        <w:t xml:space="preserve">. </w:t>
      </w:r>
    </w:p>
    <w:p w14:paraId="700F94B0" w14:textId="78533D2C" w:rsidR="005171E7" w:rsidRPr="00037C61" w:rsidRDefault="005171E7" w:rsidP="005171E7">
      <w:pPr>
        <w:rPr>
          <w:lang w:val="en-GB"/>
        </w:rPr>
      </w:pPr>
      <w:r w:rsidRPr="00037C61">
        <w:rPr>
          <w:lang w:val="en-GB"/>
        </w:rPr>
        <w:t xml:space="preserve">The percent of </w:t>
      </w:r>
      <w:r w:rsidRPr="00037C61">
        <w:rPr>
          <w:b/>
          <w:bCs/>
          <w:lang w:val="en-GB"/>
        </w:rPr>
        <w:t>urban population living in marginalised areas</w:t>
      </w:r>
      <w:r w:rsidRPr="00037C61">
        <w:rPr>
          <w:lang w:val="en-GB"/>
        </w:rPr>
        <w:t xml:space="preserve"> is high in Bihor (3.4%), Satu Mare and Arad (3.2%). </w:t>
      </w:r>
    </w:p>
    <w:p w14:paraId="20C817DB" w14:textId="4F2B068F" w:rsidR="005171E7" w:rsidRPr="00037C61" w:rsidRDefault="005171E7" w:rsidP="005171E7">
      <w:pPr>
        <w:pStyle w:val="Caption"/>
        <w:jc w:val="both"/>
        <w:rPr>
          <w:lang w:val="en-GB"/>
        </w:rPr>
      </w:pPr>
      <w:bookmarkStart w:id="232" w:name="_Ref52840894"/>
      <w:bookmarkStart w:id="233" w:name="_Toc58237639"/>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17</w:t>
      </w:r>
      <w:r w:rsidRPr="00037C61">
        <w:rPr>
          <w:lang w:val="en-GB"/>
        </w:rPr>
        <w:fldChar w:fldCharType="end"/>
      </w:r>
      <w:bookmarkEnd w:id="232"/>
      <w:r w:rsidR="00EA5E72" w:rsidRPr="00037C61">
        <w:rPr>
          <w:lang w:val="en-GB"/>
        </w:rPr>
        <w:t xml:space="preserve"> -</w:t>
      </w:r>
      <w:r w:rsidRPr="00037C61">
        <w:rPr>
          <w:lang w:val="en-GB"/>
        </w:rPr>
        <w:t xml:space="preserve"> Percent of population living in urban disadvantaged areas</w:t>
      </w:r>
      <w:bookmarkEnd w:id="233"/>
    </w:p>
    <w:tbl>
      <w:tblPr>
        <w:tblStyle w:val="ListTable3-Accent11"/>
        <w:tblW w:w="8979" w:type="dxa"/>
        <w:tblLook w:val="04A0" w:firstRow="1" w:lastRow="0" w:firstColumn="1" w:lastColumn="0" w:noHBand="0" w:noVBand="1"/>
      </w:tblPr>
      <w:tblGrid>
        <w:gridCol w:w="847"/>
        <w:gridCol w:w="1430"/>
        <w:gridCol w:w="1430"/>
        <w:gridCol w:w="1430"/>
        <w:gridCol w:w="1430"/>
        <w:gridCol w:w="1285"/>
        <w:gridCol w:w="1127"/>
      </w:tblGrid>
      <w:tr w:rsidR="005171E7" w:rsidRPr="004A5488" w14:paraId="06785526" w14:textId="77777777" w:rsidTr="005E0849">
        <w:trPr>
          <w:cnfStyle w:val="100000000000" w:firstRow="1" w:lastRow="0" w:firstColumn="0" w:lastColumn="0" w:oddVBand="0" w:evenVBand="0" w:oddHBand="0" w:evenHBand="0" w:firstRowFirstColumn="0" w:firstRowLastColumn="0" w:lastRowFirstColumn="0" w:lastRowLastColumn="0"/>
          <w:trHeight w:val="802"/>
        </w:trPr>
        <w:tc>
          <w:tcPr>
            <w:cnfStyle w:val="001000000100" w:firstRow="0" w:lastRow="0" w:firstColumn="1" w:lastColumn="0" w:oddVBand="0" w:evenVBand="0" w:oddHBand="0" w:evenHBand="0" w:firstRowFirstColumn="1" w:firstRowLastColumn="0" w:lastRowFirstColumn="0" w:lastRowLastColumn="0"/>
            <w:tcW w:w="1257" w:type="dxa"/>
            <w:hideMark/>
          </w:tcPr>
          <w:p w14:paraId="3747E009" w14:textId="77777777" w:rsidR="005171E7" w:rsidRPr="00037C61" w:rsidRDefault="30EED610" w:rsidP="30EED610">
            <w:pPr>
              <w:jc w:val="left"/>
              <w:rPr>
                <w:rFonts w:eastAsia="Times New Roman" w:cs="Calibri"/>
                <w:sz w:val="20"/>
                <w:szCs w:val="20"/>
                <w:lang w:val="en-GB" w:eastAsia="ro-RO"/>
              </w:rPr>
            </w:pPr>
            <w:r w:rsidRPr="00037C61">
              <w:rPr>
                <w:rFonts w:eastAsia="Times New Roman" w:cs="Calibri"/>
                <w:sz w:val="20"/>
                <w:szCs w:val="20"/>
                <w:lang w:val="en-GB" w:eastAsia="ro-RO"/>
              </w:rPr>
              <w:t>County</w:t>
            </w:r>
          </w:p>
        </w:tc>
        <w:tc>
          <w:tcPr>
            <w:tcW w:w="1359" w:type="dxa"/>
            <w:hideMark/>
          </w:tcPr>
          <w:p w14:paraId="5B6A8AF1" w14:textId="77777777" w:rsidR="005171E7" w:rsidRPr="00037C61" w:rsidRDefault="30EED610" w:rsidP="30EED610">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ro-RO"/>
              </w:rPr>
            </w:pPr>
            <w:r w:rsidRPr="00037C61">
              <w:rPr>
                <w:rFonts w:eastAsia="Times New Roman" w:cs="Calibri"/>
                <w:sz w:val="20"/>
                <w:szCs w:val="20"/>
                <w:lang w:val="en-GB" w:eastAsia="ro-RO"/>
              </w:rPr>
              <w:t>% population in non‐disadvantaged areas</w:t>
            </w:r>
          </w:p>
        </w:tc>
        <w:tc>
          <w:tcPr>
            <w:tcW w:w="1359" w:type="dxa"/>
            <w:hideMark/>
          </w:tcPr>
          <w:p w14:paraId="216118F1" w14:textId="77777777" w:rsidR="005171E7" w:rsidRPr="00037C61" w:rsidRDefault="30EED610" w:rsidP="30EED610">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ro-RO"/>
              </w:rPr>
            </w:pPr>
            <w:r w:rsidRPr="00037C61">
              <w:rPr>
                <w:rFonts w:eastAsia="Times New Roman" w:cs="Calibri"/>
                <w:sz w:val="20"/>
                <w:szCs w:val="20"/>
                <w:lang w:val="en-GB" w:eastAsia="ro-RO"/>
              </w:rPr>
              <w:t>% population in areas disadvantaged on housing</w:t>
            </w:r>
          </w:p>
        </w:tc>
        <w:tc>
          <w:tcPr>
            <w:tcW w:w="1359" w:type="dxa"/>
            <w:hideMark/>
          </w:tcPr>
          <w:p w14:paraId="2506A3C7" w14:textId="77777777" w:rsidR="005171E7" w:rsidRPr="00037C61" w:rsidRDefault="30EED610" w:rsidP="30EED610">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ro-RO"/>
              </w:rPr>
            </w:pPr>
            <w:r w:rsidRPr="00037C61">
              <w:rPr>
                <w:rFonts w:eastAsia="Times New Roman" w:cs="Calibri"/>
                <w:sz w:val="20"/>
                <w:szCs w:val="20"/>
                <w:lang w:val="en-GB" w:eastAsia="ro-RO"/>
              </w:rPr>
              <w:t>% population in areas disadvantaged on employment</w:t>
            </w:r>
          </w:p>
        </w:tc>
        <w:tc>
          <w:tcPr>
            <w:tcW w:w="1359" w:type="dxa"/>
            <w:hideMark/>
          </w:tcPr>
          <w:p w14:paraId="0AC5D50D" w14:textId="77777777" w:rsidR="005171E7" w:rsidRPr="00037C61" w:rsidRDefault="30EED610" w:rsidP="30EED610">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ro-RO"/>
              </w:rPr>
            </w:pPr>
            <w:r w:rsidRPr="00037C61">
              <w:rPr>
                <w:rFonts w:eastAsia="Times New Roman" w:cs="Calibri"/>
                <w:sz w:val="20"/>
                <w:szCs w:val="20"/>
                <w:lang w:val="en-GB" w:eastAsia="ro-RO"/>
              </w:rPr>
              <w:t>% population in areas disadvantaged on human capital</w:t>
            </w:r>
          </w:p>
        </w:tc>
        <w:tc>
          <w:tcPr>
            <w:tcW w:w="1219" w:type="dxa"/>
            <w:hideMark/>
          </w:tcPr>
          <w:p w14:paraId="628AF956" w14:textId="77777777" w:rsidR="005171E7" w:rsidRPr="00037C61" w:rsidRDefault="30EED610" w:rsidP="30EED610">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ro-RO"/>
              </w:rPr>
            </w:pPr>
            <w:r w:rsidRPr="00037C61">
              <w:rPr>
                <w:rFonts w:eastAsia="Times New Roman" w:cs="Calibri"/>
                <w:sz w:val="20"/>
                <w:szCs w:val="20"/>
                <w:lang w:val="en-GB" w:eastAsia="ro-RO"/>
              </w:rPr>
              <w:t>% population in marginalized areas</w:t>
            </w:r>
          </w:p>
        </w:tc>
        <w:tc>
          <w:tcPr>
            <w:tcW w:w="1067" w:type="dxa"/>
            <w:hideMark/>
          </w:tcPr>
          <w:p w14:paraId="088C3921" w14:textId="77777777" w:rsidR="005171E7" w:rsidRPr="00037C61" w:rsidRDefault="30EED610" w:rsidP="30EED610">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ro-RO"/>
              </w:rPr>
            </w:pPr>
            <w:r w:rsidRPr="00037C61">
              <w:rPr>
                <w:rFonts w:eastAsia="Times New Roman" w:cs="Calibri"/>
                <w:sz w:val="20"/>
                <w:szCs w:val="20"/>
                <w:lang w:val="en-GB" w:eastAsia="ro-RO"/>
              </w:rPr>
              <w:t>% population in other urban areas</w:t>
            </w:r>
          </w:p>
        </w:tc>
      </w:tr>
      <w:tr w:rsidR="005171E7" w:rsidRPr="00037C61" w14:paraId="1F4744A5" w14:textId="77777777" w:rsidTr="005E0849">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57" w:type="dxa"/>
            <w:hideMark/>
          </w:tcPr>
          <w:p w14:paraId="51674215" w14:textId="77777777" w:rsidR="005171E7" w:rsidRPr="00037C61" w:rsidRDefault="005171E7" w:rsidP="00204288">
            <w:pPr>
              <w:jc w:val="left"/>
              <w:rPr>
                <w:rFonts w:eastAsia="Times New Roman" w:cs="Calibri"/>
                <w:color w:val="000000"/>
                <w:sz w:val="20"/>
                <w:szCs w:val="20"/>
                <w:lang w:val="en-GB" w:eastAsia="ro-RO"/>
              </w:rPr>
            </w:pPr>
            <w:r w:rsidRPr="00037C61">
              <w:rPr>
                <w:rFonts w:eastAsia="Times New Roman" w:cs="Calibri"/>
                <w:color w:val="000000"/>
                <w:sz w:val="20"/>
                <w:szCs w:val="20"/>
                <w:lang w:val="en-GB" w:eastAsia="ro-RO"/>
              </w:rPr>
              <w:t>BIHOR</w:t>
            </w:r>
          </w:p>
        </w:tc>
        <w:tc>
          <w:tcPr>
            <w:tcW w:w="1359" w:type="dxa"/>
            <w:hideMark/>
          </w:tcPr>
          <w:p w14:paraId="015F1113"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75.4</w:t>
            </w:r>
          </w:p>
        </w:tc>
        <w:tc>
          <w:tcPr>
            <w:tcW w:w="1359" w:type="dxa"/>
            <w:hideMark/>
          </w:tcPr>
          <w:p w14:paraId="371EB987"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8.8</w:t>
            </w:r>
          </w:p>
        </w:tc>
        <w:tc>
          <w:tcPr>
            <w:tcW w:w="1359" w:type="dxa"/>
            <w:hideMark/>
          </w:tcPr>
          <w:p w14:paraId="30C04FA7"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2.6</w:t>
            </w:r>
          </w:p>
        </w:tc>
        <w:tc>
          <w:tcPr>
            <w:tcW w:w="1359" w:type="dxa"/>
            <w:hideMark/>
          </w:tcPr>
          <w:p w14:paraId="5CBC9647"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7.7</w:t>
            </w:r>
          </w:p>
        </w:tc>
        <w:tc>
          <w:tcPr>
            <w:tcW w:w="1219" w:type="dxa"/>
            <w:hideMark/>
          </w:tcPr>
          <w:p w14:paraId="49DE0F1D"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3.4</w:t>
            </w:r>
          </w:p>
        </w:tc>
        <w:tc>
          <w:tcPr>
            <w:tcW w:w="1067" w:type="dxa"/>
            <w:hideMark/>
          </w:tcPr>
          <w:p w14:paraId="66F6A5E6"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2.0</w:t>
            </w:r>
          </w:p>
        </w:tc>
      </w:tr>
      <w:tr w:rsidR="005171E7" w:rsidRPr="00037C61" w14:paraId="756EAAD1" w14:textId="77777777" w:rsidTr="005E0849">
        <w:trPr>
          <w:trHeight w:val="163"/>
        </w:trPr>
        <w:tc>
          <w:tcPr>
            <w:cnfStyle w:val="001000000000" w:firstRow="0" w:lastRow="0" w:firstColumn="1" w:lastColumn="0" w:oddVBand="0" w:evenVBand="0" w:oddHBand="0" w:evenHBand="0" w:firstRowFirstColumn="0" w:firstRowLastColumn="0" w:lastRowFirstColumn="0" w:lastRowLastColumn="0"/>
            <w:tcW w:w="1257" w:type="dxa"/>
            <w:hideMark/>
          </w:tcPr>
          <w:p w14:paraId="0C212A7D" w14:textId="77777777" w:rsidR="005171E7" w:rsidRPr="00037C61" w:rsidRDefault="005171E7" w:rsidP="00204288">
            <w:pPr>
              <w:jc w:val="left"/>
              <w:rPr>
                <w:rFonts w:eastAsia="Times New Roman" w:cs="Calibri"/>
                <w:color w:val="000000"/>
                <w:sz w:val="20"/>
                <w:szCs w:val="20"/>
                <w:lang w:val="en-GB" w:eastAsia="ro-RO"/>
              </w:rPr>
            </w:pPr>
            <w:r w:rsidRPr="00037C61">
              <w:rPr>
                <w:rFonts w:eastAsia="Times New Roman" w:cs="Calibri"/>
                <w:color w:val="000000"/>
                <w:sz w:val="20"/>
                <w:szCs w:val="20"/>
                <w:lang w:val="en-GB" w:eastAsia="ro-RO"/>
              </w:rPr>
              <w:t>SATU MARE</w:t>
            </w:r>
          </w:p>
        </w:tc>
        <w:tc>
          <w:tcPr>
            <w:tcW w:w="1359" w:type="dxa"/>
            <w:hideMark/>
          </w:tcPr>
          <w:p w14:paraId="6F67A7E4"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70.8</w:t>
            </w:r>
          </w:p>
        </w:tc>
        <w:tc>
          <w:tcPr>
            <w:tcW w:w="1359" w:type="dxa"/>
            <w:hideMark/>
          </w:tcPr>
          <w:p w14:paraId="76A0D5A7"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1.6</w:t>
            </w:r>
          </w:p>
        </w:tc>
        <w:tc>
          <w:tcPr>
            <w:tcW w:w="1359" w:type="dxa"/>
            <w:hideMark/>
          </w:tcPr>
          <w:p w14:paraId="13316361"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2.8</w:t>
            </w:r>
          </w:p>
        </w:tc>
        <w:tc>
          <w:tcPr>
            <w:tcW w:w="1359" w:type="dxa"/>
            <w:hideMark/>
          </w:tcPr>
          <w:p w14:paraId="68BE2F84"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20.3</w:t>
            </w:r>
          </w:p>
        </w:tc>
        <w:tc>
          <w:tcPr>
            <w:tcW w:w="1219" w:type="dxa"/>
            <w:hideMark/>
          </w:tcPr>
          <w:p w14:paraId="6331CC65"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3.2</w:t>
            </w:r>
          </w:p>
        </w:tc>
        <w:tc>
          <w:tcPr>
            <w:tcW w:w="1067" w:type="dxa"/>
            <w:hideMark/>
          </w:tcPr>
          <w:p w14:paraId="087B18AF"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1.3</w:t>
            </w:r>
          </w:p>
        </w:tc>
      </w:tr>
      <w:tr w:rsidR="005171E7" w:rsidRPr="00037C61" w14:paraId="676E682F" w14:textId="77777777" w:rsidTr="005E0849">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1257" w:type="dxa"/>
            <w:hideMark/>
          </w:tcPr>
          <w:p w14:paraId="319C0B70" w14:textId="77777777" w:rsidR="005171E7" w:rsidRPr="00037C61" w:rsidRDefault="005171E7" w:rsidP="00204288">
            <w:pPr>
              <w:jc w:val="left"/>
              <w:rPr>
                <w:rFonts w:eastAsia="Times New Roman" w:cs="Calibri"/>
                <w:color w:val="000000"/>
                <w:sz w:val="20"/>
                <w:szCs w:val="20"/>
                <w:lang w:val="en-GB" w:eastAsia="ro-RO"/>
              </w:rPr>
            </w:pPr>
            <w:r w:rsidRPr="00037C61">
              <w:rPr>
                <w:rFonts w:eastAsia="Times New Roman" w:cs="Calibri"/>
                <w:color w:val="000000"/>
                <w:sz w:val="20"/>
                <w:szCs w:val="20"/>
                <w:lang w:val="en-GB" w:eastAsia="ro-RO"/>
              </w:rPr>
              <w:t>ARAD</w:t>
            </w:r>
          </w:p>
        </w:tc>
        <w:tc>
          <w:tcPr>
            <w:tcW w:w="1359" w:type="dxa"/>
            <w:hideMark/>
          </w:tcPr>
          <w:p w14:paraId="4A6F96BD"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64.1</w:t>
            </w:r>
          </w:p>
        </w:tc>
        <w:tc>
          <w:tcPr>
            <w:tcW w:w="1359" w:type="dxa"/>
            <w:hideMark/>
          </w:tcPr>
          <w:p w14:paraId="35F69C57"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5.7</w:t>
            </w:r>
          </w:p>
        </w:tc>
        <w:tc>
          <w:tcPr>
            <w:tcW w:w="1359" w:type="dxa"/>
            <w:hideMark/>
          </w:tcPr>
          <w:p w14:paraId="50D87A9D"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8.0</w:t>
            </w:r>
          </w:p>
        </w:tc>
        <w:tc>
          <w:tcPr>
            <w:tcW w:w="1359" w:type="dxa"/>
            <w:hideMark/>
          </w:tcPr>
          <w:p w14:paraId="1BE4BE0B"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17.6</w:t>
            </w:r>
          </w:p>
        </w:tc>
        <w:tc>
          <w:tcPr>
            <w:tcW w:w="1219" w:type="dxa"/>
            <w:hideMark/>
          </w:tcPr>
          <w:p w14:paraId="315B59C7"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3.2</w:t>
            </w:r>
          </w:p>
        </w:tc>
        <w:tc>
          <w:tcPr>
            <w:tcW w:w="1067" w:type="dxa"/>
            <w:hideMark/>
          </w:tcPr>
          <w:p w14:paraId="18900076" w14:textId="77777777" w:rsidR="005171E7" w:rsidRPr="00037C61" w:rsidRDefault="005171E7" w:rsidP="00204288">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1.4</w:t>
            </w:r>
          </w:p>
        </w:tc>
      </w:tr>
      <w:tr w:rsidR="005171E7" w:rsidRPr="00037C61" w14:paraId="6259C1DE" w14:textId="77777777" w:rsidTr="005E0849">
        <w:trPr>
          <w:trHeight w:val="157"/>
        </w:trPr>
        <w:tc>
          <w:tcPr>
            <w:cnfStyle w:val="001000000000" w:firstRow="0" w:lastRow="0" w:firstColumn="1" w:lastColumn="0" w:oddVBand="0" w:evenVBand="0" w:oddHBand="0" w:evenHBand="0" w:firstRowFirstColumn="0" w:firstRowLastColumn="0" w:lastRowFirstColumn="0" w:lastRowLastColumn="0"/>
            <w:tcW w:w="1257" w:type="dxa"/>
            <w:hideMark/>
          </w:tcPr>
          <w:p w14:paraId="119FD18E" w14:textId="77777777" w:rsidR="005171E7" w:rsidRPr="00037C61" w:rsidRDefault="005171E7" w:rsidP="00204288">
            <w:pPr>
              <w:jc w:val="left"/>
              <w:rPr>
                <w:rFonts w:eastAsia="Times New Roman" w:cs="Calibri"/>
                <w:color w:val="000000"/>
                <w:sz w:val="20"/>
                <w:szCs w:val="20"/>
                <w:lang w:val="en-GB" w:eastAsia="ro-RO"/>
              </w:rPr>
            </w:pPr>
            <w:r w:rsidRPr="00037C61">
              <w:rPr>
                <w:rFonts w:eastAsia="Times New Roman" w:cs="Calibri"/>
                <w:color w:val="000000"/>
                <w:sz w:val="20"/>
                <w:szCs w:val="20"/>
                <w:lang w:val="en-GB" w:eastAsia="ro-RO"/>
              </w:rPr>
              <w:t>TIMIȘ</w:t>
            </w:r>
          </w:p>
        </w:tc>
        <w:tc>
          <w:tcPr>
            <w:tcW w:w="1359" w:type="dxa"/>
            <w:hideMark/>
          </w:tcPr>
          <w:p w14:paraId="3B36FF71"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69.5</w:t>
            </w:r>
          </w:p>
        </w:tc>
        <w:tc>
          <w:tcPr>
            <w:tcW w:w="1359" w:type="dxa"/>
            <w:hideMark/>
          </w:tcPr>
          <w:p w14:paraId="47F25722"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9.5</w:t>
            </w:r>
          </w:p>
        </w:tc>
        <w:tc>
          <w:tcPr>
            <w:tcW w:w="1359" w:type="dxa"/>
            <w:hideMark/>
          </w:tcPr>
          <w:p w14:paraId="37059F53"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5.4</w:t>
            </w:r>
          </w:p>
        </w:tc>
        <w:tc>
          <w:tcPr>
            <w:tcW w:w="1359" w:type="dxa"/>
            <w:hideMark/>
          </w:tcPr>
          <w:p w14:paraId="6DBE032C"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8.4</w:t>
            </w:r>
          </w:p>
        </w:tc>
        <w:tc>
          <w:tcPr>
            <w:tcW w:w="1219" w:type="dxa"/>
            <w:hideMark/>
          </w:tcPr>
          <w:p w14:paraId="2D8CAEE3"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1.4</w:t>
            </w:r>
          </w:p>
        </w:tc>
        <w:tc>
          <w:tcPr>
            <w:tcW w:w="1067" w:type="dxa"/>
            <w:hideMark/>
          </w:tcPr>
          <w:p w14:paraId="091E16B5" w14:textId="77777777" w:rsidR="005171E7" w:rsidRPr="00037C61" w:rsidRDefault="005171E7" w:rsidP="0020428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ro-RO"/>
              </w:rPr>
            </w:pPr>
            <w:r w:rsidRPr="00037C61">
              <w:rPr>
                <w:rFonts w:eastAsia="Times New Roman" w:cs="Calibri"/>
                <w:color w:val="000000"/>
                <w:sz w:val="20"/>
                <w:szCs w:val="20"/>
                <w:lang w:val="en-GB" w:eastAsia="ro-RO"/>
              </w:rPr>
              <w:t>5.8</w:t>
            </w:r>
          </w:p>
        </w:tc>
      </w:tr>
    </w:tbl>
    <w:p w14:paraId="286F509E" w14:textId="77777777" w:rsidR="005171E7" w:rsidRPr="00037C61" w:rsidRDefault="005171E7" w:rsidP="005171E7">
      <w:pPr>
        <w:rPr>
          <w:lang w:val="en-GB"/>
        </w:rPr>
      </w:pPr>
      <w:r w:rsidRPr="00037C61">
        <w:rPr>
          <w:i/>
          <w:color w:val="012751" w:themeColor="text2"/>
          <w:sz w:val="18"/>
          <w:lang w:val="en-GB"/>
        </w:rPr>
        <w:t>Source: Atlas of urban Marginalised areas, 2014</w:t>
      </w:r>
    </w:p>
    <w:p w14:paraId="65FC0EB7" w14:textId="1C45A44D" w:rsidR="1C774ED0" w:rsidRPr="00037C61" w:rsidRDefault="00812E3A" w:rsidP="00F0144C">
      <w:pPr>
        <w:rPr>
          <w:lang w:val="en-GB"/>
        </w:rPr>
      </w:pPr>
      <w:r w:rsidRPr="00037C61">
        <w:rPr>
          <w:lang w:val="en-GB"/>
        </w:rPr>
        <w:t xml:space="preserve">There is no complete overlap within the methodology and approach to designating marginalised or beneficiary areas between the two countries, but the identification of these areas based on national criteria is still relevant from the point of view of territorial spatialisation of coherent functional areas in need of complex intervention (see Chapter </w:t>
      </w:r>
      <w:r w:rsidR="00A633B8" w:rsidRPr="00037C61">
        <w:rPr>
          <w:lang w:val="en-GB"/>
        </w:rPr>
        <w:t>3.5.4)</w:t>
      </w:r>
      <w:r w:rsidRPr="00037C61">
        <w:rPr>
          <w:lang w:val="en-GB"/>
        </w:rPr>
        <w:t xml:space="preserve"> There is a </w:t>
      </w:r>
      <w:r w:rsidRPr="00037C61">
        <w:rPr>
          <w:b/>
          <w:bCs/>
          <w:lang w:val="en-GB"/>
        </w:rPr>
        <w:t>significant diversity of social challenges in the region</w:t>
      </w:r>
      <w:r w:rsidRPr="00037C61">
        <w:rPr>
          <w:lang w:val="en-GB"/>
        </w:rPr>
        <w:t xml:space="preserve">, while nevertheless specific patterns can be deduced regardless of differences in methodologies: </w:t>
      </w:r>
      <w:r w:rsidRPr="00037C61">
        <w:rPr>
          <w:b/>
          <w:bCs/>
          <w:lang w:val="en-GB"/>
        </w:rPr>
        <w:t>Satu Mare and Szabolcs-Szatmár-Bereg represent a cross-border area with a prevalence of population with human capital challenges</w:t>
      </w:r>
      <w:r w:rsidRPr="00037C61">
        <w:rPr>
          <w:lang w:val="en-GB"/>
        </w:rPr>
        <w:t>, whereas</w:t>
      </w:r>
      <w:r w:rsidR="006B708F" w:rsidRPr="00037C61">
        <w:rPr>
          <w:lang w:val="en-GB"/>
        </w:rPr>
        <w:t xml:space="preserve"> notable challenges especially in urban areas are also clustered in Bihor and Hajdu Bihar. Békés, although confronted with depopulation and aging, has interestingly a low number of beneficiary districts. </w:t>
      </w:r>
    </w:p>
    <w:p w14:paraId="0143E9B2" w14:textId="6256CF9F" w:rsidR="00A0707B" w:rsidRPr="00037C61" w:rsidRDefault="1C774ED0" w:rsidP="009027CD">
      <w:pPr>
        <w:pStyle w:val="Heading3"/>
      </w:pPr>
      <w:bookmarkStart w:id="234" w:name="_Toc53137188"/>
      <w:bookmarkStart w:id="235" w:name="_Toc50723320"/>
      <w:bookmarkStart w:id="236" w:name="_Toc64619530"/>
      <w:bookmarkStart w:id="237" w:name="_Toc49841973"/>
      <w:r w:rsidRPr="00037C61">
        <w:t>Labour resources</w:t>
      </w:r>
      <w:bookmarkEnd w:id="234"/>
      <w:bookmarkEnd w:id="235"/>
      <w:bookmarkEnd w:id="236"/>
      <w:r w:rsidRPr="00037C61">
        <w:t xml:space="preserve"> </w:t>
      </w:r>
      <w:bookmarkEnd w:id="237"/>
    </w:p>
    <w:p w14:paraId="335A7430" w14:textId="389C6CF7" w:rsidR="00A0707B" w:rsidRPr="00037C61" w:rsidRDefault="00A0707B" w:rsidP="00A0707B">
      <w:pPr>
        <w:pStyle w:val="InterregROHUBullet1"/>
        <w:numPr>
          <w:ilvl w:val="0"/>
          <w:numId w:val="0"/>
        </w:numPr>
        <w:rPr>
          <w:b/>
          <w:bCs w:val="0"/>
          <w:color w:val="002060"/>
        </w:rPr>
      </w:pPr>
      <w:r w:rsidRPr="00037C61">
        <w:rPr>
          <w:b/>
          <w:bCs w:val="0"/>
          <w:color w:val="002060"/>
        </w:rPr>
        <w:t xml:space="preserve">Employment </w:t>
      </w:r>
    </w:p>
    <w:p w14:paraId="640D05C9" w14:textId="1F7F00EC" w:rsidR="00C92943" w:rsidRPr="00037C61" w:rsidRDefault="00C92943" w:rsidP="009027CD">
      <w:pPr>
        <w:rPr>
          <w:lang w:val="en-GB"/>
        </w:rPr>
      </w:pPr>
      <w:r w:rsidRPr="00037C61">
        <w:rPr>
          <w:lang w:val="en-GB"/>
        </w:rPr>
        <w:t xml:space="preserve">The proportion of economically active population has increased in all the Hungarian counties of the </w:t>
      </w:r>
      <w:r w:rsidR="005171E7" w:rsidRPr="00037C61">
        <w:rPr>
          <w:lang w:val="en-GB"/>
        </w:rPr>
        <w:t>programme area</w:t>
      </w:r>
      <w:r w:rsidRPr="00037C61">
        <w:rPr>
          <w:lang w:val="en-GB"/>
        </w:rPr>
        <w:t xml:space="preserve">. The same positive evolution is registered in Arad and </w:t>
      </w:r>
      <w:r w:rsidR="008B32DD" w:rsidRPr="00037C61">
        <w:rPr>
          <w:lang w:val="en-GB"/>
        </w:rPr>
        <w:t>Timiș</w:t>
      </w:r>
      <w:r w:rsidRPr="00037C61">
        <w:rPr>
          <w:lang w:val="en-GB"/>
        </w:rPr>
        <w:t xml:space="preserve">, while in Bihor and Satu Mare the trend is negative. The highest proportion of economically active population is in </w:t>
      </w:r>
      <w:r w:rsidR="008B32DD" w:rsidRPr="00037C61">
        <w:rPr>
          <w:lang w:val="en-GB"/>
        </w:rPr>
        <w:t>Timiș</w:t>
      </w:r>
      <w:r w:rsidRPr="00037C61">
        <w:rPr>
          <w:lang w:val="en-GB"/>
        </w:rPr>
        <w:t xml:space="preserve">, Arad and Békés – 68%, while the lowest is in Bihor – 61%. </w:t>
      </w:r>
    </w:p>
    <w:p w14:paraId="7261EE25" w14:textId="77777777" w:rsidR="00743CF6" w:rsidRPr="00037C61" w:rsidRDefault="00A0707B" w:rsidP="005E0849">
      <w:pPr>
        <w:pStyle w:val="InterregROHUBullet1"/>
        <w:keepNext/>
        <w:numPr>
          <w:ilvl w:val="0"/>
          <w:numId w:val="0"/>
        </w:numPr>
        <w:spacing w:after="0"/>
      </w:pPr>
      <w:r w:rsidRPr="00037C61">
        <w:rPr>
          <w:noProof/>
          <w:lang w:val="ro-RO" w:eastAsia="ro-RO"/>
        </w:rPr>
        <w:lastRenderedPageBreak/>
        <w:drawing>
          <wp:inline distT="0" distB="0" distL="0" distR="0" wp14:anchorId="6CA4B87B" wp14:editId="36D4E538">
            <wp:extent cx="5707380" cy="3139440"/>
            <wp:effectExtent l="0" t="0" r="7620" b="3810"/>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44C26F2" w14:textId="40A788E5" w:rsidR="00743CF6" w:rsidRPr="00037C61" w:rsidRDefault="00743CF6" w:rsidP="00743CF6">
      <w:pPr>
        <w:pStyle w:val="Caption"/>
        <w:jc w:val="both"/>
        <w:rPr>
          <w:lang w:val="en-GB"/>
        </w:rPr>
      </w:pPr>
      <w:bookmarkStart w:id="238" w:name="_Toc50657548"/>
      <w:bookmarkStart w:id="239" w:name="_Toc6461099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44</w:t>
      </w:r>
      <w:r w:rsidR="00412697">
        <w:rPr>
          <w:lang w:val="en-GB"/>
        </w:rPr>
        <w:fldChar w:fldCharType="end"/>
      </w:r>
      <w:r w:rsidRPr="00037C61">
        <w:rPr>
          <w:lang w:val="en-GB"/>
        </w:rPr>
        <w:t xml:space="preserve"> </w:t>
      </w:r>
      <w:r w:rsidR="006B708F" w:rsidRPr="00037C61">
        <w:rPr>
          <w:lang w:val="en-GB"/>
        </w:rPr>
        <w:t xml:space="preserve">––Proportion of economically </w:t>
      </w:r>
      <w:r w:rsidRPr="00037C61">
        <w:rPr>
          <w:lang w:val="en-GB"/>
        </w:rPr>
        <w:t>active population</w:t>
      </w:r>
      <w:bookmarkEnd w:id="238"/>
      <w:bookmarkEnd w:id="239"/>
      <w:r w:rsidRPr="00037C61">
        <w:rPr>
          <w:lang w:val="en-GB"/>
        </w:rPr>
        <w:t xml:space="preserve"> </w:t>
      </w:r>
    </w:p>
    <w:p w14:paraId="0D57AEC0" w14:textId="74CFE958" w:rsidR="00A0707B" w:rsidRPr="00037C61" w:rsidRDefault="00743CF6" w:rsidP="00743CF6">
      <w:pPr>
        <w:pStyle w:val="Caption"/>
        <w:jc w:val="both"/>
        <w:rPr>
          <w:lang w:val="en-GB"/>
        </w:rPr>
      </w:pPr>
      <w:r w:rsidRPr="00037C61">
        <w:rPr>
          <w:lang w:val="en-GB"/>
        </w:rPr>
        <w:t xml:space="preserve">Source: </w:t>
      </w:r>
      <w:r w:rsidR="00124940" w:rsidRPr="00037C61">
        <w:rPr>
          <w:lang w:val="en-GB"/>
        </w:rPr>
        <w:t>INS</w:t>
      </w:r>
      <w:r w:rsidRPr="00037C61">
        <w:rPr>
          <w:lang w:val="en-GB"/>
        </w:rPr>
        <w:t>, THEIR</w:t>
      </w:r>
    </w:p>
    <w:p w14:paraId="77D7A6FB" w14:textId="411DC53A" w:rsidR="00A0707B" w:rsidRPr="00037C61" w:rsidRDefault="00A0707B" w:rsidP="009027CD">
      <w:pPr>
        <w:rPr>
          <w:lang w:val="en-GB"/>
        </w:rPr>
      </w:pPr>
    </w:p>
    <w:p w14:paraId="039BDB3D" w14:textId="45AEC3AC" w:rsidR="00FB0666" w:rsidRPr="00037C61" w:rsidRDefault="00C92943" w:rsidP="009027CD">
      <w:pPr>
        <w:rPr>
          <w:lang w:val="en-GB"/>
        </w:rPr>
      </w:pPr>
      <w:r w:rsidRPr="00037C61">
        <w:rPr>
          <w:b/>
          <w:bCs/>
          <w:lang w:val="en-GB"/>
        </w:rPr>
        <w:t>The employment by statistical classification of economic activities</w:t>
      </w:r>
      <w:r w:rsidRPr="00037C61">
        <w:rPr>
          <w:lang w:val="en-GB"/>
        </w:rPr>
        <w:t xml:space="preserve"> </w:t>
      </w:r>
      <w:r w:rsidRPr="00037C61">
        <w:rPr>
          <w:b/>
          <w:bCs/>
          <w:lang w:val="en-GB"/>
        </w:rPr>
        <w:t>in the European Community</w:t>
      </w:r>
      <w:r w:rsidRPr="00037C61">
        <w:rPr>
          <w:lang w:val="en-GB"/>
        </w:rPr>
        <w:t xml:space="preserve"> (NACE) represents an indicator of the economic development of the</w:t>
      </w:r>
      <w:r w:rsidR="005171E7" w:rsidRPr="00037C61">
        <w:rPr>
          <w:lang w:val="en-GB"/>
        </w:rPr>
        <w:t xml:space="preserve"> area</w:t>
      </w:r>
      <w:r w:rsidRPr="00037C61">
        <w:rPr>
          <w:lang w:val="en-GB"/>
        </w:rPr>
        <w:t xml:space="preserve">. The employment is higher in manufacturing sector in all the counties from the </w:t>
      </w:r>
      <w:r w:rsidR="005171E7" w:rsidRPr="00037C61">
        <w:rPr>
          <w:lang w:val="en-GB"/>
        </w:rPr>
        <w:t>area</w:t>
      </w:r>
      <w:r w:rsidRPr="00037C61">
        <w:rPr>
          <w:lang w:val="en-GB"/>
        </w:rPr>
        <w:t>, with the exception of Szabolcs-Szatmár-Bereg</w:t>
      </w:r>
      <w:r w:rsidR="006B708F" w:rsidRPr="00037C61">
        <w:rPr>
          <w:lang w:val="en-GB"/>
        </w:rPr>
        <w:t xml:space="preserve">. </w:t>
      </w:r>
      <w:r w:rsidR="006B708F" w:rsidRPr="00037C61">
        <w:rPr>
          <w:b/>
          <w:bCs/>
          <w:lang w:val="en-GB"/>
        </w:rPr>
        <w:t xml:space="preserve">Manufacturing specialisation </w:t>
      </w:r>
      <w:r w:rsidR="00FB0666" w:rsidRPr="00037C61">
        <w:rPr>
          <w:b/>
          <w:bCs/>
          <w:lang w:val="en-GB"/>
        </w:rPr>
        <w:t xml:space="preserve">is </w:t>
      </w:r>
      <w:r w:rsidR="006B708F" w:rsidRPr="00037C61">
        <w:rPr>
          <w:b/>
          <w:bCs/>
          <w:lang w:val="en-GB"/>
        </w:rPr>
        <w:t xml:space="preserve">a defining trait of the Programme Area, </w:t>
      </w:r>
      <w:r w:rsidR="006B708F" w:rsidRPr="00037C61">
        <w:rPr>
          <w:lang w:val="en-GB"/>
        </w:rPr>
        <w:t xml:space="preserve">with </w:t>
      </w:r>
      <w:r w:rsidRPr="00037C61">
        <w:rPr>
          <w:lang w:val="en-GB"/>
        </w:rPr>
        <w:t>the number of people employed in this industry increas</w:t>
      </w:r>
      <w:r w:rsidR="006B708F" w:rsidRPr="00037C61">
        <w:rPr>
          <w:lang w:val="en-GB"/>
        </w:rPr>
        <w:t>ing</w:t>
      </w:r>
      <w:r w:rsidRPr="00037C61">
        <w:rPr>
          <w:lang w:val="en-GB"/>
        </w:rPr>
        <w:t xml:space="preserve"> in the last six years in most of the counties (except of Satu Mare and Hajdú-Bihar).</w:t>
      </w:r>
      <w:r w:rsidR="00FB0666" w:rsidRPr="00037C61">
        <w:rPr>
          <w:lang w:val="en-GB"/>
        </w:rPr>
        <w:t xml:space="preserve"> Manufacturing accounts for a share between 32.5% (Bihor) and 40.5% (Arad) of employment in the Romanian PA, and between 19.2% in Hajdu-Bihar and 24% in Csongrád-Csanád on the Hungarian side. </w:t>
      </w:r>
    </w:p>
    <w:p w14:paraId="2E2416E4" w14:textId="158AC1AA" w:rsidR="00C92943" w:rsidRPr="00037C61" w:rsidRDefault="00C92943" w:rsidP="009027CD">
      <w:pPr>
        <w:rPr>
          <w:lang w:val="en-GB"/>
        </w:rPr>
      </w:pPr>
      <w:r w:rsidRPr="00037C61">
        <w:rPr>
          <w:b/>
          <w:bCs/>
          <w:lang w:val="en-GB"/>
        </w:rPr>
        <w:t>Human health and social work</w:t>
      </w:r>
      <w:r w:rsidRPr="00037C61">
        <w:rPr>
          <w:lang w:val="en-GB"/>
        </w:rPr>
        <w:t xml:space="preserve"> </w:t>
      </w:r>
      <w:r w:rsidR="20B3D882" w:rsidRPr="00037C61">
        <w:rPr>
          <w:lang w:val="en-GB"/>
        </w:rPr>
        <w:t>are</w:t>
      </w:r>
      <w:r w:rsidR="00FB0666" w:rsidRPr="00037C61">
        <w:rPr>
          <w:lang w:val="en-GB"/>
        </w:rPr>
        <w:t xml:space="preserve"> relevant sector</w:t>
      </w:r>
      <w:r w:rsidR="13D5799C" w:rsidRPr="00037C61">
        <w:rPr>
          <w:lang w:val="en-GB"/>
        </w:rPr>
        <w:t>s</w:t>
      </w:r>
      <w:r w:rsidR="00FB0666" w:rsidRPr="00037C61">
        <w:rPr>
          <w:lang w:val="en-GB"/>
        </w:rPr>
        <w:t xml:space="preserve"> in the Hungarian PA counties, especiallyin </w:t>
      </w:r>
      <w:r w:rsidRPr="00037C61">
        <w:rPr>
          <w:lang w:val="en-GB"/>
        </w:rPr>
        <w:t>Szabolcs-Szatmár-Bereg</w:t>
      </w:r>
      <w:r w:rsidR="00FB0666" w:rsidRPr="00037C61">
        <w:rPr>
          <w:lang w:val="en-GB"/>
        </w:rPr>
        <w:t xml:space="preserve"> (25.6% - main sector) and Békés (21.5%).</w:t>
      </w:r>
      <w:r w:rsidR="00FB0666" w:rsidRPr="00037C61">
        <w:rPr>
          <w:b/>
          <w:bCs/>
          <w:lang w:val="en-GB"/>
        </w:rPr>
        <w:t xml:space="preserve"> Education</w:t>
      </w:r>
      <w:r w:rsidR="00FB0666" w:rsidRPr="00037C61">
        <w:rPr>
          <w:lang w:val="en-GB"/>
        </w:rPr>
        <w:t xml:space="preserve"> records a significant share in Csongrád-Csanád (17.7%) and Hajdu-Bihar (16%) due to their university centre status, but significantly lower in Timiș, which is the largest center in the PA (only 5.6%). On the Romanian side, the second sector of employment after manufacturing is </w:t>
      </w:r>
      <w:r w:rsidR="00FB0666" w:rsidRPr="00037C61">
        <w:rPr>
          <w:b/>
          <w:bCs/>
          <w:lang w:val="en-GB"/>
        </w:rPr>
        <w:t>wholesale and retail trade</w:t>
      </w:r>
      <w:r w:rsidR="00FB0666" w:rsidRPr="00037C61">
        <w:rPr>
          <w:lang w:val="en-GB"/>
        </w:rPr>
        <w:t xml:space="preserve"> (16.7% in Oradea, 13.5% in Arad). </w:t>
      </w:r>
    </w:p>
    <w:p w14:paraId="75ED1398" w14:textId="2D8195CE" w:rsidR="00743CF6" w:rsidRPr="00037C61" w:rsidRDefault="00A0707B" w:rsidP="00743CF6">
      <w:pPr>
        <w:pStyle w:val="InterregROHUBullet1"/>
        <w:keepNext/>
        <w:numPr>
          <w:ilvl w:val="0"/>
          <w:numId w:val="0"/>
        </w:numPr>
        <w:spacing w:after="0"/>
      </w:pPr>
      <w:r w:rsidRPr="00037C61">
        <w:rPr>
          <w:noProof/>
          <w:lang w:val="ro-RO" w:eastAsia="ro-RO"/>
        </w:rPr>
        <w:lastRenderedPageBreak/>
        <w:drawing>
          <wp:inline distT="0" distB="0" distL="0" distR="0" wp14:anchorId="4CA237AF" wp14:editId="79424E18">
            <wp:extent cx="5815965" cy="3703320"/>
            <wp:effectExtent l="19050" t="19050" r="13335" b="11430"/>
            <wp:docPr id="1791879745" name="Chart 1791879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830C7A6" w14:textId="763B9713" w:rsidR="00743CF6" w:rsidRPr="00037C61" w:rsidRDefault="00743CF6" w:rsidP="00743CF6">
      <w:pPr>
        <w:pStyle w:val="Caption"/>
        <w:jc w:val="both"/>
        <w:rPr>
          <w:lang w:val="en-GB"/>
        </w:rPr>
      </w:pPr>
      <w:bookmarkStart w:id="240" w:name="_Toc50657549"/>
      <w:bookmarkStart w:id="241" w:name="_Toc6461099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45</w:t>
      </w:r>
      <w:r w:rsidR="00412697">
        <w:rPr>
          <w:lang w:val="en-GB"/>
        </w:rPr>
        <w:fldChar w:fldCharType="end"/>
      </w:r>
      <w:r w:rsidRPr="00037C61">
        <w:rPr>
          <w:lang w:val="en-GB"/>
        </w:rPr>
        <w:t xml:space="preserve"> - Employment by NACE Rev 2 categories</w:t>
      </w:r>
      <w:bookmarkEnd w:id="240"/>
      <w:bookmarkEnd w:id="241"/>
      <w:r w:rsidRPr="00037C61">
        <w:rPr>
          <w:lang w:val="en-GB"/>
        </w:rPr>
        <w:t xml:space="preserve"> </w:t>
      </w:r>
    </w:p>
    <w:p w14:paraId="6B85B17D" w14:textId="1DC0888E" w:rsidR="00743CF6" w:rsidRPr="00037C61" w:rsidRDefault="00743CF6" w:rsidP="00743CF6">
      <w:pPr>
        <w:pStyle w:val="Caption"/>
        <w:jc w:val="both"/>
        <w:rPr>
          <w:lang w:val="en-GB"/>
        </w:rPr>
      </w:pPr>
      <w:r w:rsidRPr="00037C61">
        <w:rPr>
          <w:lang w:val="en-GB"/>
        </w:rPr>
        <w:t xml:space="preserve">Source: </w:t>
      </w:r>
      <w:r w:rsidR="00124940" w:rsidRPr="00037C61">
        <w:rPr>
          <w:lang w:val="en-GB"/>
        </w:rPr>
        <w:t>INS</w:t>
      </w:r>
      <w:r w:rsidRPr="00037C61">
        <w:rPr>
          <w:lang w:val="en-GB"/>
        </w:rPr>
        <w:t>, KSH</w:t>
      </w:r>
    </w:p>
    <w:p w14:paraId="40A9124E" w14:textId="31300D5C" w:rsidR="00C92943" w:rsidRPr="00037C61" w:rsidRDefault="00C92943" w:rsidP="005E0849">
      <w:pPr>
        <w:spacing w:after="0"/>
        <w:rPr>
          <w:lang w:val="en-GB"/>
        </w:rPr>
      </w:pPr>
    </w:p>
    <w:p w14:paraId="2F04F928" w14:textId="5F57A7C6" w:rsidR="00C92943" w:rsidRPr="00037C61" w:rsidRDefault="30EED610" w:rsidP="00C92943">
      <w:pPr>
        <w:pStyle w:val="InterregROHUBullet1"/>
        <w:numPr>
          <w:ilvl w:val="0"/>
          <w:numId w:val="0"/>
        </w:numPr>
      </w:pPr>
      <w:r w:rsidRPr="00037C61">
        <w:t xml:space="preserve">Average monthly net earnings of full-time employees is higher in education and public administration and defence </w:t>
      </w:r>
      <w:r w:rsidR="00FB0666" w:rsidRPr="00037C61">
        <w:t>both i</w:t>
      </w:r>
      <w:r w:rsidRPr="00037C61">
        <w:t>n Hungarian counties (663.94 euro in 2018)</w:t>
      </w:r>
      <w:r w:rsidR="00FB0666" w:rsidRPr="00037C61">
        <w:t xml:space="preserve"> as well as Romanian ones </w:t>
      </w:r>
      <w:r w:rsidRPr="00037C61">
        <w:t xml:space="preserve">(864.67 euro in 2018), </w:t>
      </w:r>
      <w:r w:rsidR="00FE715C" w:rsidRPr="00037C61">
        <w:t xml:space="preserve">where they are </w:t>
      </w:r>
      <w:r w:rsidRPr="00037C61">
        <w:t>followed by human health and social work and education (708.61 euro in 2018)</w:t>
      </w:r>
      <w:r w:rsidR="00FE715C" w:rsidRPr="00037C61">
        <w:t xml:space="preserve"> – a consequence of </w:t>
      </w:r>
      <w:r w:rsidRPr="00037C61">
        <w:t xml:space="preserve">the increase of the salaries at national level </w:t>
      </w:r>
      <w:r w:rsidR="00FE715C" w:rsidRPr="00037C61">
        <w:t>between 2017-2020</w:t>
      </w:r>
      <w:r w:rsidRPr="00037C61">
        <w:t xml:space="preserve">. </w:t>
      </w:r>
      <w:r w:rsidR="00FE715C" w:rsidRPr="00037C61">
        <w:t>S</w:t>
      </w:r>
      <w:r w:rsidRPr="00037C61">
        <w:t>alaries</w:t>
      </w:r>
      <w:r w:rsidR="00FB10FC" w:rsidRPr="00037C61">
        <w:t xml:space="preserve"> </w:t>
      </w:r>
      <w:r w:rsidRPr="00037C61">
        <w:t xml:space="preserve">in manufacturing are higher in Hungarian counties than in the Romanian ones, except Timiș. In Timiș county is the average of monthly earnings is 680 Euro in manufacturing sector, the highest in the programme area. </w:t>
      </w:r>
    </w:p>
    <w:p w14:paraId="1B7D3FCA" w14:textId="77777777" w:rsidR="00C92943" w:rsidRPr="00037C61" w:rsidRDefault="00C92943" w:rsidP="00C92943">
      <w:pPr>
        <w:rPr>
          <w:lang w:val="en-GB"/>
        </w:rPr>
      </w:pPr>
    </w:p>
    <w:p w14:paraId="1ED7B5A1" w14:textId="3CA74A1C" w:rsidR="00743CF6" w:rsidRPr="00037C61" w:rsidRDefault="00A0707B" w:rsidP="00EA5E72">
      <w:pPr>
        <w:pStyle w:val="InterregROHUBullet1"/>
        <w:keepNext/>
        <w:numPr>
          <w:ilvl w:val="0"/>
          <w:numId w:val="0"/>
        </w:numPr>
        <w:spacing w:before="240" w:after="0"/>
      </w:pPr>
      <w:r w:rsidRPr="00037C61">
        <w:rPr>
          <w:noProof/>
          <w:lang w:val="ro-RO" w:eastAsia="ro-RO"/>
        </w:rPr>
        <w:lastRenderedPageBreak/>
        <w:drawing>
          <wp:inline distT="0" distB="0" distL="0" distR="0" wp14:anchorId="3BA8AF39" wp14:editId="4FD94047">
            <wp:extent cx="5858510" cy="3695700"/>
            <wp:effectExtent l="19050" t="19050" r="27940" b="19050"/>
            <wp:docPr id="1791879746" name="Chart 1791879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6C3305FD" w14:textId="671FA498" w:rsidR="00A0707B" w:rsidRPr="00037C61" w:rsidRDefault="30EED610" w:rsidP="00743CF6">
      <w:pPr>
        <w:pStyle w:val="Caption"/>
        <w:jc w:val="both"/>
        <w:rPr>
          <w:lang w:val="en-GB"/>
        </w:rPr>
      </w:pPr>
      <w:bookmarkStart w:id="242" w:name="_Toc50657550"/>
      <w:bookmarkStart w:id="243" w:name="_Toc6461099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46</w:t>
      </w:r>
      <w:r w:rsidR="00412697">
        <w:rPr>
          <w:lang w:val="en-GB"/>
        </w:rPr>
        <w:fldChar w:fldCharType="end"/>
      </w:r>
      <w:r w:rsidRPr="00037C61">
        <w:rPr>
          <w:lang w:val="en-GB"/>
        </w:rPr>
        <w:t xml:space="preserve"> - Average monthly net earnings of full-time employees</w:t>
      </w:r>
      <w:bookmarkEnd w:id="242"/>
      <w:bookmarkEnd w:id="243"/>
    </w:p>
    <w:p w14:paraId="7C79B3EA" w14:textId="781E97E1" w:rsidR="00A0707B" w:rsidRPr="00037C61" w:rsidRDefault="30EED610" w:rsidP="30EED610">
      <w:pPr>
        <w:pStyle w:val="Caption"/>
        <w:jc w:val="both"/>
        <w:rPr>
          <w:lang w:val="en-GB"/>
        </w:rPr>
      </w:pPr>
      <w:r w:rsidRPr="00037C61">
        <w:rPr>
          <w:lang w:val="en-GB"/>
        </w:rPr>
        <w:t>Source: INS, KSH</w:t>
      </w:r>
    </w:p>
    <w:p w14:paraId="48B5945D" w14:textId="77777777" w:rsidR="00147A72" w:rsidRPr="00037C61" w:rsidRDefault="00147A72" w:rsidP="005E0849">
      <w:pPr>
        <w:rPr>
          <w:lang w:val="en-GB"/>
        </w:rPr>
      </w:pPr>
    </w:p>
    <w:p w14:paraId="63F825B2" w14:textId="6DBB9059" w:rsidR="00A0707B" w:rsidRPr="00037C61" w:rsidRDefault="00FA055A" w:rsidP="00A0707B">
      <w:pPr>
        <w:pStyle w:val="InterregROHUBullet1"/>
        <w:numPr>
          <w:ilvl w:val="0"/>
          <w:numId w:val="0"/>
        </w:numPr>
        <w:rPr>
          <w:b/>
          <w:bCs w:val="0"/>
          <w:color w:val="002060"/>
        </w:rPr>
      </w:pPr>
      <w:r w:rsidRPr="00037C61">
        <w:rPr>
          <w:noProof/>
          <w:lang w:val="ro-RO" w:eastAsia="ro-RO"/>
        </w:rPr>
        <w:drawing>
          <wp:anchor distT="0" distB="0" distL="114300" distR="114300" simplePos="0" relativeHeight="251644416" behindDoc="0" locked="0" layoutInCell="1" allowOverlap="1" wp14:anchorId="11691BC4" wp14:editId="0E9B77B2">
            <wp:simplePos x="0" y="0"/>
            <wp:positionH relativeFrom="margin">
              <wp:posOffset>2838450</wp:posOffset>
            </wp:positionH>
            <wp:positionV relativeFrom="paragraph">
              <wp:posOffset>317500</wp:posOffset>
            </wp:positionV>
            <wp:extent cx="2872740" cy="2945130"/>
            <wp:effectExtent l="19050" t="19050" r="22860" b="26670"/>
            <wp:wrapSquare wrapText="bothSides"/>
            <wp:docPr id="1791879747" name="Chart 17918797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r w:rsidR="00A0707B" w:rsidRPr="00037C61">
        <w:rPr>
          <w:b/>
          <w:bCs w:val="0"/>
          <w:color w:val="002060"/>
        </w:rPr>
        <w:t>Unemployment</w:t>
      </w:r>
    </w:p>
    <w:p w14:paraId="40F83FE0" w14:textId="50086946" w:rsidR="00A62509" w:rsidRPr="00037C61" w:rsidRDefault="00C92943" w:rsidP="00C92943">
      <w:pPr>
        <w:pStyle w:val="InterregROHUBullet1"/>
        <w:numPr>
          <w:ilvl w:val="0"/>
          <w:numId w:val="0"/>
        </w:numPr>
      </w:pPr>
      <w:r w:rsidRPr="00037C61">
        <w:t xml:space="preserve">There are </w:t>
      </w:r>
      <w:r w:rsidRPr="00037C61">
        <w:rPr>
          <w:b/>
        </w:rPr>
        <w:t>important disparities in the unemployment rate</w:t>
      </w:r>
      <w:r w:rsidRPr="00037C61">
        <w:t xml:space="preserve"> between Romanian and Hungarian counties from the </w:t>
      </w:r>
      <w:r w:rsidR="005171E7" w:rsidRPr="00037C61">
        <w:t>programme area</w:t>
      </w:r>
      <w:r w:rsidRPr="00037C61">
        <w:t>. In the Hungarian counties the unemployment rate varies between 5.62% in Békés to 6.54% in Szabolcs-Szatmár-Bereg</w:t>
      </w:r>
      <w:r w:rsidR="00426094" w:rsidRPr="00037C61">
        <w:t xml:space="preserve">, which records the </w:t>
      </w:r>
      <w:r w:rsidR="00426094" w:rsidRPr="00037C61">
        <w:rPr>
          <w:b/>
        </w:rPr>
        <w:t>highest number of jobseekers in the country</w:t>
      </w:r>
      <w:r w:rsidR="00426094" w:rsidRPr="00037C61">
        <w:t xml:space="preserve"> according to EURES (2019)</w:t>
      </w:r>
      <w:r w:rsidR="007E214D" w:rsidRPr="00037C61">
        <w:t>.</w:t>
      </w:r>
      <w:r w:rsidRPr="00037C61">
        <w:t xml:space="preserve"> Romanian counties </w:t>
      </w:r>
      <w:r w:rsidR="007E214D" w:rsidRPr="00037C61">
        <w:t xml:space="preserve">provide values for registered unemployment (which may in fact be slightly lower than the </w:t>
      </w:r>
      <w:r w:rsidR="00426094" w:rsidRPr="00037C61">
        <w:t>total number of unemployed persons</w:t>
      </w:r>
      <w:r w:rsidR="007E214D" w:rsidRPr="00037C61">
        <w:t xml:space="preserve"> due to </w:t>
      </w:r>
      <w:r w:rsidR="00426094" w:rsidRPr="00037C61">
        <w:t>a difference in methodology</w:t>
      </w:r>
      <w:r w:rsidR="007E214D" w:rsidRPr="00037C61">
        <w:t xml:space="preserve">), and the </w:t>
      </w:r>
      <w:r w:rsidRPr="00037C61">
        <w:t xml:space="preserve">values are with almost 4% lower. </w:t>
      </w:r>
    </w:p>
    <w:p w14:paraId="4B2A614C" w14:textId="31BF4DDC" w:rsidR="00A62509" w:rsidRPr="00037C61" w:rsidRDefault="00DF357D" w:rsidP="00A62509">
      <w:pPr>
        <w:pStyle w:val="InterregROHUBullet1"/>
        <w:keepNext/>
        <w:numPr>
          <w:ilvl w:val="0"/>
          <w:numId w:val="0"/>
        </w:numPr>
        <w:spacing w:after="0"/>
      </w:pPr>
      <w:r w:rsidRPr="00037C61">
        <w:rPr>
          <w:noProof/>
          <w:lang w:val="ro-RO" w:eastAsia="ro-RO"/>
        </w:rPr>
        <mc:AlternateContent>
          <mc:Choice Requires="wps">
            <w:drawing>
              <wp:anchor distT="0" distB="0" distL="114300" distR="114300" simplePos="0" relativeHeight="251645440" behindDoc="0" locked="0" layoutInCell="1" allowOverlap="1" wp14:anchorId="7AC8EBB2" wp14:editId="4FC8F9E6">
                <wp:simplePos x="0" y="0"/>
                <wp:positionH relativeFrom="margin">
                  <wp:align>right</wp:align>
                </wp:positionH>
                <wp:positionV relativeFrom="paragraph">
                  <wp:posOffset>617432</wp:posOffset>
                </wp:positionV>
                <wp:extent cx="2872740" cy="635"/>
                <wp:effectExtent l="0" t="0" r="3810" b="6985"/>
                <wp:wrapSquare wrapText="bothSides"/>
                <wp:docPr id="1490160184" name="Text Box 1490160184"/>
                <wp:cNvGraphicFramePr/>
                <a:graphic xmlns:a="http://schemas.openxmlformats.org/drawingml/2006/main">
                  <a:graphicData uri="http://schemas.microsoft.com/office/word/2010/wordprocessingShape">
                    <wps:wsp>
                      <wps:cNvSpPr txBox="1"/>
                      <wps:spPr>
                        <a:xfrm>
                          <a:off x="0" y="0"/>
                          <a:ext cx="2872740" cy="635"/>
                        </a:xfrm>
                        <a:prstGeom prst="rect">
                          <a:avLst/>
                        </a:prstGeom>
                        <a:solidFill>
                          <a:prstClr val="white"/>
                        </a:solidFill>
                        <a:ln>
                          <a:noFill/>
                        </a:ln>
                      </wps:spPr>
                      <wps:txbx>
                        <w:txbxContent>
                          <w:p w14:paraId="6477182C" w14:textId="0E363945" w:rsidR="00944B4A" w:rsidRPr="005E0849" w:rsidRDefault="00944B4A" w:rsidP="00A62509">
                            <w:pPr>
                              <w:pStyle w:val="Caption"/>
                              <w:rPr>
                                <w:lang w:val="en-GB"/>
                              </w:rPr>
                            </w:pPr>
                            <w:bookmarkStart w:id="244" w:name="_Toc64610996"/>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47</w:t>
                            </w:r>
                            <w:r>
                              <w:rPr>
                                <w:lang w:val="en-GB"/>
                              </w:rPr>
                              <w:fldChar w:fldCharType="end"/>
                            </w:r>
                            <w:r w:rsidRPr="005E0849">
                              <w:rPr>
                                <w:lang w:val="en-GB"/>
                              </w:rPr>
                              <w:t xml:space="preserve"> - Registered unemployment</w:t>
                            </w:r>
                            <w:bookmarkEnd w:id="244"/>
                          </w:p>
                          <w:p w14:paraId="57814599" w14:textId="06BE5504" w:rsidR="00944B4A" w:rsidRPr="00EA5E72" w:rsidRDefault="00944B4A" w:rsidP="005E0849">
                            <w:pPr>
                              <w:pStyle w:val="Caption"/>
                              <w:rPr>
                                <w:lang w:val="en-GB"/>
                              </w:rPr>
                            </w:pPr>
                            <w:r w:rsidRPr="005E0849">
                              <w:rPr>
                                <w:lang w:val="en-GB"/>
                              </w:rPr>
                              <w:t>Source: INS, KSH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C8EBB2" id="Text Box 1490160184" o:spid="_x0000_s1028" type="#_x0000_t202" style="position:absolute;left:0;text-align:left;margin-left:175pt;margin-top:48.6pt;width:226.2pt;height:.05pt;z-index:2516454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" stroked="f">
                <v:textbox style="mso-fit-shape-to-text:t" inset="0,0,0,0">
                  <w:txbxContent>
                    <w:p w14:paraId="6477182C" w14:textId="0E363945" w:rsidR="00944B4A" w:rsidRPr="005E0849" w:rsidRDefault="00944B4A" w:rsidP="00A62509">
                      <w:pPr>
                        <w:pStyle w:val="Didascalia"/>
                        <w:rPr>
                          <w:lang w:val="en-GB"/>
                        </w:rPr>
                      </w:pPr>
                      <w:bookmarkStart w:id="264" w:name="_Toc64610996"/>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47</w:t>
                      </w:r>
                      <w:r>
                        <w:rPr>
                          <w:lang w:val="en-GB"/>
                        </w:rPr>
                        <w:fldChar w:fldCharType="end"/>
                      </w:r>
                      <w:r w:rsidRPr="005E0849">
                        <w:rPr>
                          <w:lang w:val="en-GB"/>
                        </w:rPr>
                        <w:t xml:space="preserve"> - Registered unemployment</w:t>
                      </w:r>
                      <w:bookmarkEnd w:id="264"/>
                    </w:p>
                    <w:p w14:paraId="57814599" w14:textId="06BE5504" w:rsidR="00944B4A" w:rsidRPr="00EA5E72" w:rsidRDefault="00944B4A" w:rsidP="005E0849">
                      <w:pPr>
                        <w:pStyle w:val="Didascalia"/>
                        <w:rPr>
                          <w:lang w:val="en-GB"/>
                        </w:rPr>
                      </w:pPr>
                      <w:r w:rsidRPr="005E0849">
                        <w:rPr>
                          <w:lang w:val="en-GB"/>
                        </w:rPr>
                        <w:t>Source: INS, KSH</w:t>
                      </w:r>
                    </w:p>
                  </w:txbxContent>
                </v:textbox>
                <w10:wrap type="square" anchorx="margin"/>
              </v:shape>
            </w:pict>
          </mc:Fallback>
        </mc:AlternateContent>
      </w:r>
      <w:r w:rsidR="00426094" w:rsidRPr="00037C61">
        <w:t>In</w:t>
      </w:r>
      <w:r w:rsidR="00C92943" w:rsidRPr="00037C61">
        <w:t xml:space="preserve"> </w:t>
      </w:r>
      <w:r w:rsidR="00124940" w:rsidRPr="00037C61">
        <w:t>Timiș</w:t>
      </w:r>
      <w:r w:rsidR="00C92943" w:rsidRPr="00037C61">
        <w:t xml:space="preserve"> the</w:t>
      </w:r>
      <w:r w:rsidR="00426094" w:rsidRPr="00037C61">
        <w:t xml:space="preserve"> registered</w:t>
      </w:r>
      <w:r w:rsidR="00C92943" w:rsidRPr="00037C61">
        <w:t xml:space="preserve"> unemployment rate is 0.56%</w:t>
      </w:r>
      <w:r w:rsidR="007E214D" w:rsidRPr="00037C61">
        <w:t xml:space="preserve"> (second place at national level after Ilfov, according to ADR Vest)</w:t>
      </w:r>
      <w:r w:rsidR="00C92943" w:rsidRPr="00037C61">
        <w:t xml:space="preserve">, in Arad and Bihor 1% </w:t>
      </w:r>
      <w:r w:rsidR="00C92943" w:rsidRPr="00037C61">
        <w:lastRenderedPageBreak/>
        <w:t>and in Satu Mare 1.7%</w:t>
      </w:r>
      <w:r w:rsidR="00426094" w:rsidRPr="00037C61">
        <w:t xml:space="preserve">, </w:t>
      </w:r>
      <w:r w:rsidR="00426094" w:rsidRPr="00037C61">
        <w:rPr>
          <w:b/>
        </w:rPr>
        <w:t>lower values than the national average</w:t>
      </w:r>
      <w:r w:rsidR="00426094" w:rsidRPr="00037C61">
        <w:t xml:space="preserve"> of 3.33% in 2018</w:t>
      </w:r>
      <w:r w:rsidR="00C92943" w:rsidRPr="00037C61">
        <w:t xml:space="preserve">. </w:t>
      </w:r>
    </w:p>
    <w:p w14:paraId="04E0FCCA" w14:textId="4CB08494" w:rsidR="00FA055A" w:rsidRPr="00037C61" w:rsidRDefault="00FA055A" w:rsidP="00A62509">
      <w:pPr>
        <w:pStyle w:val="InterregROHUBullet1"/>
        <w:keepNext/>
        <w:numPr>
          <w:ilvl w:val="0"/>
          <w:numId w:val="0"/>
        </w:numPr>
        <w:spacing w:after="0"/>
      </w:pPr>
    </w:p>
    <w:p w14:paraId="4458B663" w14:textId="2FE5309E" w:rsidR="00A62509" w:rsidRPr="00037C61" w:rsidRDefault="00A62509" w:rsidP="00A62509">
      <w:pPr>
        <w:pStyle w:val="InterregROHUBullet1"/>
        <w:keepNext/>
        <w:numPr>
          <w:ilvl w:val="0"/>
          <w:numId w:val="0"/>
        </w:numPr>
        <w:spacing w:after="0"/>
      </w:pPr>
    </w:p>
    <w:p w14:paraId="62F9A4BC" w14:textId="062F0906" w:rsidR="00C92943" w:rsidRPr="00037C61" w:rsidRDefault="00DF357D" w:rsidP="005E0849">
      <w:pPr>
        <w:pStyle w:val="InterregROHUBullet1"/>
        <w:keepNext/>
        <w:numPr>
          <w:ilvl w:val="0"/>
          <w:numId w:val="0"/>
        </w:numPr>
        <w:spacing w:after="0"/>
      </w:pPr>
      <w:r w:rsidRPr="00037C61">
        <w:rPr>
          <w:noProof/>
          <w:lang w:val="ro-RO" w:eastAsia="ro-RO"/>
        </w:rPr>
        <w:drawing>
          <wp:anchor distT="0" distB="0" distL="114300" distR="114300" simplePos="0" relativeHeight="251691520" behindDoc="0" locked="0" layoutInCell="1" allowOverlap="1" wp14:anchorId="40CB8CB8" wp14:editId="6C27D1EE">
            <wp:simplePos x="0" y="0"/>
            <wp:positionH relativeFrom="column">
              <wp:posOffset>2624666</wp:posOffset>
            </wp:positionH>
            <wp:positionV relativeFrom="paragraph">
              <wp:posOffset>10795</wp:posOffset>
            </wp:positionV>
            <wp:extent cx="3078480" cy="3261787"/>
            <wp:effectExtent l="0" t="0" r="762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screen">
                      <a:extLst>
                        <a:ext uri="{28A0092B-C50C-407E-A947-70E740481C1C}">
                          <a14:useLocalDpi xmlns:a14="http://schemas.microsoft.com/office/drawing/2010/main"/>
                        </a:ext>
                      </a:extLst>
                    </a:blip>
                    <a:stretch>
                      <a:fillRect/>
                    </a:stretch>
                  </pic:blipFill>
                  <pic:spPr>
                    <a:xfrm>
                      <a:off x="0" y="0"/>
                      <a:ext cx="3078480" cy="3261787"/>
                    </a:xfrm>
                    <a:prstGeom prst="rect">
                      <a:avLst/>
                    </a:prstGeom>
                  </pic:spPr>
                </pic:pic>
              </a:graphicData>
            </a:graphic>
          </wp:anchor>
        </w:drawing>
      </w:r>
      <w:r w:rsidRPr="00037C61">
        <w:rPr>
          <w:noProof/>
          <w:lang w:val="ro-RO" w:eastAsia="ro-RO"/>
        </w:rPr>
        <w:drawing>
          <wp:anchor distT="0" distB="0" distL="114300" distR="114300" simplePos="0" relativeHeight="251646464" behindDoc="0" locked="0" layoutInCell="1" allowOverlap="1" wp14:anchorId="08FC1A95" wp14:editId="4EAD8E72">
            <wp:simplePos x="0" y="0"/>
            <wp:positionH relativeFrom="column">
              <wp:posOffset>2624666</wp:posOffset>
            </wp:positionH>
            <wp:positionV relativeFrom="paragraph">
              <wp:posOffset>10795</wp:posOffset>
            </wp:positionV>
            <wp:extent cx="3078480" cy="3261787"/>
            <wp:effectExtent l="0" t="0" r="7620" b="0"/>
            <wp:wrapSquare wrapText="bothSides"/>
            <wp:docPr id="1490160183" name="Picture 149016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a:ext>
                      </a:extLst>
                    </a:blip>
                    <a:stretch>
                      <a:fillRect/>
                    </a:stretch>
                  </pic:blipFill>
                  <pic:spPr>
                    <a:xfrm>
                      <a:off x="0" y="0"/>
                      <a:ext cx="3078480" cy="3261787"/>
                    </a:xfrm>
                    <a:prstGeom prst="rect">
                      <a:avLst/>
                    </a:prstGeom>
                  </pic:spPr>
                </pic:pic>
              </a:graphicData>
            </a:graphic>
          </wp:anchor>
        </w:drawing>
      </w:r>
      <w:r w:rsidRPr="00037C61">
        <w:t xml:space="preserve">All </w:t>
      </w:r>
      <w:r w:rsidR="005171E7" w:rsidRPr="00037C61">
        <w:t>programme area</w:t>
      </w:r>
      <w:r w:rsidR="00C92943" w:rsidRPr="00037C61">
        <w:t xml:space="preserve"> counties </w:t>
      </w:r>
      <w:r w:rsidRPr="00037C61">
        <w:t xml:space="preserve">recorded </w:t>
      </w:r>
      <w:r w:rsidR="00C92943" w:rsidRPr="00037C61">
        <w:rPr>
          <w:b/>
        </w:rPr>
        <w:t xml:space="preserve">a positive evolution of the unemployment rate </w:t>
      </w:r>
      <w:r w:rsidR="00C92943" w:rsidRPr="00037C61">
        <w:t xml:space="preserve">between 2010 and 2018. The higher decrease has been registered in Szabolcs-Szatmár-Bereg, from </w:t>
      </w:r>
      <w:r w:rsidRPr="00037C61">
        <w:t>13</w:t>
      </w:r>
      <w:r w:rsidR="00C92943" w:rsidRPr="00037C61">
        <w:t>.</w:t>
      </w:r>
      <w:r w:rsidRPr="00037C61">
        <w:t>6</w:t>
      </w:r>
      <w:r w:rsidR="00C92943" w:rsidRPr="00037C61">
        <w:t>5% in</w:t>
      </w:r>
      <w:r w:rsidR="6D67C51A" w:rsidRPr="00037C61">
        <w:t xml:space="preserve"> </w:t>
      </w:r>
      <w:r w:rsidRPr="00037C61">
        <w:t xml:space="preserve">2011 </w:t>
      </w:r>
      <w:r w:rsidR="00C92943" w:rsidRPr="00037C61">
        <w:t>to 6.54% in 2018</w:t>
      </w:r>
      <w:r w:rsidRPr="00037C61">
        <w:t xml:space="preserve"> (the 2010 figure being an outlier which is not coherent with the rest of the dataset and cannot be verified by a second source). When put into European perspective, the low rates of the PA region are similar to those of the high performers in Central, Western and Northern Europe.</w:t>
      </w:r>
    </w:p>
    <w:p w14:paraId="6DFFE2B0" w14:textId="75BD69E1" w:rsidR="00DF357D" w:rsidRPr="00037C61" w:rsidRDefault="00DF357D" w:rsidP="00DF357D">
      <w:pPr>
        <w:pStyle w:val="InterregROHUBullet1"/>
        <w:keepNext/>
        <w:numPr>
          <w:ilvl w:val="0"/>
          <w:numId w:val="0"/>
        </w:numPr>
        <w:spacing w:after="0"/>
      </w:pPr>
    </w:p>
    <w:p w14:paraId="7E93C7CF" w14:textId="47F6227D" w:rsidR="00DF357D" w:rsidRPr="00037C61" w:rsidRDefault="00DF357D" w:rsidP="00DF357D">
      <w:pPr>
        <w:pStyle w:val="InterregROHUBullet1"/>
        <w:keepNext/>
        <w:numPr>
          <w:ilvl w:val="0"/>
          <w:numId w:val="0"/>
        </w:numPr>
        <w:spacing w:after="0"/>
      </w:pPr>
    </w:p>
    <w:p w14:paraId="4895F013" w14:textId="3B27DA80" w:rsidR="00DF357D" w:rsidRPr="00037C61" w:rsidRDefault="00DF357D" w:rsidP="00DF357D">
      <w:pPr>
        <w:pStyle w:val="InterregROHUBullet1"/>
        <w:keepNext/>
        <w:numPr>
          <w:ilvl w:val="0"/>
          <w:numId w:val="0"/>
        </w:numPr>
        <w:spacing w:after="0"/>
      </w:pPr>
    </w:p>
    <w:p w14:paraId="02F632ED" w14:textId="3A0C5A15" w:rsidR="00DF357D" w:rsidRPr="00037C61" w:rsidRDefault="00DF357D" w:rsidP="00DF357D">
      <w:pPr>
        <w:pStyle w:val="InterregROHUBullet1"/>
        <w:keepNext/>
        <w:numPr>
          <w:ilvl w:val="0"/>
          <w:numId w:val="0"/>
        </w:numPr>
        <w:spacing w:after="0"/>
      </w:pPr>
    </w:p>
    <w:p w14:paraId="06E8A303" w14:textId="77777777" w:rsidR="00DF357D" w:rsidRPr="00037C61" w:rsidRDefault="00DF357D" w:rsidP="005E0849">
      <w:pPr>
        <w:pStyle w:val="InterregROHUBullet1"/>
        <w:keepNext/>
        <w:numPr>
          <w:ilvl w:val="0"/>
          <w:numId w:val="0"/>
        </w:numPr>
        <w:spacing w:after="0"/>
      </w:pPr>
    </w:p>
    <w:p w14:paraId="4DF1FFEC" w14:textId="43FA3C40" w:rsidR="00DF357D" w:rsidRPr="00037C61" w:rsidRDefault="00DF357D" w:rsidP="00DF357D">
      <w:pPr>
        <w:pStyle w:val="Caption"/>
        <w:jc w:val="both"/>
        <w:rPr>
          <w:lang w:val="en-GB"/>
        </w:rPr>
      </w:pPr>
      <w:bookmarkStart w:id="245" w:name="_Toc6461099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48</w:t>
      </w:r>
      <w:r w:rsidR="00412697">
        <w:rPr>
          <w:lang w:val="en-GB"/>
        </w:rPr>
        <w:fldChar w:fldCharType="end"/>
      </w:r>
      <w:r w:rsidRPr="00037C61">
        <w:rPr>
          <w:lang w:val="en-GB"/>
        </w:rPr>
        <w:t xml:space="preserve"> - Unemployment rate at NUTS 2 level in Europe, 2019</w:t>
      </w:r>
      <w:bookmarkEnd w:id="245"/>
    </w:p>
    <w:p w14:paraId="04203764" w14:textId="47B06C17" w:rsidR="00C92943" w:rsidRPr="00037C61" w:rsidRDefault="00DF357D" w:rsidP="005E0849">
      <w:pPr>
        <w:pStyle w:val="Caption"/>
        <w:jc w:val="both"/>
        <w:rPr>
          <w:b/>
          <w:bCs/>
          <w:i w:val="0"/>
          <w:iCs w:val="0"/>
          <w:color w:val="002060"/>
          <w:lang w:val="en-GB"/>
        </w:rPr>
      </w:pPr>
      <w:r w:rsidRPr="00037C61">
        <w:rPr>
          <w:lang w:val="en-GB"/>
        </w:rPr>
        <w:t>Source: Eurostat, 2020</w:t>
      </w:r>
    </w:p>
    <w:p w14:paraId="0F6A6BE0" w14:textId="3BEFDAAB" w:rsidR="007E214D" w:rsidRPr="00037C61" w:rsidRDefault="007E214D" w:rsidP="00C92943">
      <w:pPr>
        <w:rPr>
          <w:lang w:val="en-GB"/>
        </w:rPr>
      </w:pPr>
    </w:p>
    <w:p w14:paraId="78C6C0E2" w14:textId="52BB42D2" w:rsidR="00DF357D" w:rsidRPr="00037C61" w:rsidRDefault="00DF357D" w:rsidP="00C92943">
      <w:pPr>
        <w:pStyle w:val="InterregROHUBullet1"/>
        <w:numPr>
          <w:ilvl w:val="0"/>
          <w:numId w:val="0"/>
        </w:numPr>
      </w:pPr>
      <w:r w:rsidRPr="00037C61">
        <w:rPr>
          <w:b/>
          <w:bCs w:val="0"/>
          <w:noProof/>
          <w:lang w:val="ro-RO" w:eastAsia="ro-RO"/>
        </w:rPr>
        <mc:AlternateContent>
          <mc:Choice Requires="wps">
            <w:drawing>
              <wp:anchor distT="0" distB="0" distL="114300" distR="114300" simplePos="0" relativeHeight="251648512" behindDoc="0" locked="0" layoutInCell="1" allowOverlap="1" wp14:anchorId="5CAF2F82" wp14:editId="733E9655">
                <wp:simplePos x="0" y="0"/>
                <wp:positionH relativeFrom="column">
                  <wp:posOffset>0</wp:posOffset>
                </wp:positionH>
                <wp:positionV relativeFrom="paragraph">
                  <wp:posOffset>3350895</wp:posOffset>
                </wp:positionV>
                <wp:extent cx="3221355" cy="635"/>
                <wp:effectExtent l="0" t="0" r="0" b="0"/>
                <wp:wrapSquare wrapText="bothSides"/>
                <wp:docPr id="1490160185" name="Text Box 1490160185"/>
                <wp:cNvGraphicFramePr/>
                <a:graphic xmlns:a="http://schemas.openxmlformats.org/drawingml/2006/main">
                  <a:graphicData uri="http://schemas.microsoft.com/office/word/2010/wordprocessingShape">
                    <wps:wsp>
                      <wps:cNvSpPr txBox="1"/>
                      <wps:spPr>
                        <a:xfrm>
                          <a:off x="0" y="0"/>
                          <a:ext cx="3221355" cy="635"/>
                        </a:xfrm>
                        <a:prstGeom prst="rect">
                          <a:avLst/>
                        </a:prstGeom>
                        <a:solidFill>
                          <a:prstClr val="white"/>
                        </a:solidFill>
                        <a:ln>
                          <a:noFill/>
                        </a:ln>
                      </wps:spPr>
                      <wps:txbx>
                        <w:txbxContent>
                          <w:p w14:paraId="06319CAE" w14:textId="5EE16F8E" w:rsidR="00944B4A" w:rsidRPr="005E0849" w:rsidRDefault="00944B4A" w:rsidP="00DF357D">
                            <w:pPr>
                              <w:pStyle w:val="Caption"/>
                              <w:rPr>
                                <w:lang w:val="en-GB"/>
                              </w:rPr>
                            </w:pPr>
                            <w:bookmarkStart w:id="246" w:name="_Toc64610998"/>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49</w:t>
                            </w:r>
                            <w:r>
                              <w:rPr>
                                <w:lang w:val="en-GB"/>
                              </w:rPr>
                              <w:fldChar w:fldCharType="end"/>
                            </w:r>
                            <w:r w:rsidRPr="005E0849">
                              <w:rPr>
                                <w:lang w:val="en-GB"/>
                              </w:rPr>
                              <w:t xml:space="preserve"> - Share of unemployed persons by education level</w:t>
                            </w:r>
                            <w:bookmarkEnd w:id="246"/>
                          </w:p>
                          <w:p w14:paraId="0C8174C3" w14:textId="20DB04BB" w:rsidR="00944B4A" w:rsidRPr="005E0849" w:rsidRDefault="00944B4A" w:rsidP="005E0849">
                            <w:pPr>
                              <w:pStyle w:val="Caption"/>
                            </w:pPr>
                            <w:r>
                              <w:t>Source: INS, KSH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F2F82" id="Text Box 1490160185" o:spid="_x0000_s1029" type="#_x0000_t202" style="position:absolute;left:0;text-align:left;margin-left:0;margin-top:263.85pt;width:253.65pt;height:.0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" stroked="f">
                <v:textbox style="mso-fit-shape-to-text:t" inset="0,0,0,0">
                  <w:txbxContent>
                    <w:p w14:paraId="06319CAE" w14:textId="5EE16F8E" w:rsidR="00944B4A" w:rsidRPr="005E0849" w:rsidRDefault="00944B4A" w:rsidP="00DF357D">
                      <w:pPr>
                        <w:pStyle w:val="Didascalia"/>
                        <w:rPr>
                          <w:lang w:val="en-GB"/>
                        </w:rPr>
                      </w:pPr>
                      <w:bookmarkStart w:id="267" w:name="_Toc64610998"/>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49</w:t>
                      </w:r>
                      <w:r>
                        <w:rPr>
                          <w:lang w:val="en-GB"/>
                        </w:rPr>
                        <w:fldChar w:fldCharType="end"/>
                      </w:r>
                      <w:r w:rsidRPr="005E0849">
                        <w:rPr>
                          <w:lang w:val="en-GB"/>
                        </w:rPr>
                        <w:t xml:space="preserve"> - Share of unemployed persons by education level</w:t>
                      </w:r>
                      <w:bookmarkEnd w:id="267"/>
                    </w:p>
                    <w:p w14:paraId="0C8174C3" w14:textId="20DB04BB" w:rsidR="00944B4A" w:rsidRPr="005E0849" w:rsidRDefault="00944B4A" w:rsidP="005E0849">
                      <w:pPr>
                        <w:pStyle w:val="Didascalia"/>
                      </w:pPr>
                      <w:r>
                        <w:t>Source: INS, KSH</w:t>
                      </w:r>
                    </w:p>
                  </w:txbxContent>
                </v:textbox>
                <w10:wrap type="square"/>
              </v:shape>
            </w:pict>
          </mc:Fallback>
        </mc:AlternateContent>
      </w:r>
      <w:r w:rsidRPr="00037C61">
        <w:rPr>
          <w:b/>
          <w:bCs w:val="0"/>
          <w:noProof/>
          <w:lang w:val="ro-RO" w:eastAsia="ro-RO"/>
        </w:rPr>
        <w:drawing>
          <wp:anchor distT="0" distB="0" distL="114300" distR="114300" simplePos="0" relativeHeight="251647488" behindDoc="0" locked="0" layoutInCell="1" allowOverlap="1" wp14:anchorId="23D77B80" wp14:editId="431A42CD">
            <wp:simplePos x="0" y="0"/>
            <wp:positionH relativeFrom="margin">
              <wp:align>left</wp:align>
            </wp:positionH>
            <wp:positionV relativeFrom="paragraph">
              <wp:posOffset>51647</wp:posOffset>
            </wp:positionV>
            <wp:extent cx="3221355" cy="3242310"/>
            <wp:effectExtent l="0" t="0" r="17145" b="15240"/>
            <wp:wrapSquare wrapText="bothSides"/>
            <wp:docPr id="49" name="Chart 4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0A48EEF-6819-4867-9726-B5CA542FC2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anchor>
        </w:drawing>
      </w:r>
      <w:r w:rsidRPr="00037C61">
        <w:rPr>
          <w:b/>
        </w:rPr>
        <w:t>The s</w:t>
      </w:r>
      <w:r w:rsidR="2C549B0C" w:rsidRPr="00037C61">
        <w:rPr>
          <w:b/>
        </w:rPr>
        <w:t>hare</w:t>
      </w:r>
      <w:r w:rsidRPr="00037C61">
        <w:rPr>
          <w:b/>
        </w:rPr>
        <w:t>s</w:t>
      </w:r>
      <w:r w:rsidR="2C549B0C" w:rsidRPr="00037C61">
        <w:rPr>
          <w:b/>
        </w:rPr>
        <w:t xml:space="preserve"> of unemployed persons is higher in case of people with low education</w:t>
      </w:r>
      <w:r w:rsidRPr="00037C61">
        <w:rPr>
          <w:b/>
        </w:rPr>
        <w:t xml:space="preserve"> attainment</w:t>
      </w:r>
      <w:r w:rsidR="2C549B0C" w:rsidRPr="00037C61">
        <w:rPr>
          <w:b/>
        </w:rPr>
        <w:t>,</w:t>
      </w:r>
      <w:r w:rsidR="2C549B0C" w:rsidRPr="00037C61">
        <w:t xml:space="preserve"> especially in the Romanian counties of the </w:t>
      </w:r>
      <w:r w:rsidR="005171E7" w:rsidRPr="00037C61">
        <w:t>programme area</w:t>
      </w:r>
      <w:r w:rsidR="2C549B0C" w:rsidRPr="00037C61">
        <w:t xml:space="preserve">. According to TEIR and INS, out of the total number of unemployed persons, the share of unemployed persons with </w:t>
      </w:r>
      <w:r w:rsidRPr="00037C61">
        <w:t>ISCED 1-2 (primary and lower secondary) education</w:t>
      </w:r>
      <w:r w:rsidR="2C549B0C" w:rsidRPr="00037C61">
        <w:t xml:space="preserve"> varied in 2018 from 90% in Satu Mare to 34% in Csongrád-Csanád. In the Hungarian Counties of the </w:t>
      </w:r>
      <w:r w:rsidR="005171E7" w:rsidRPr="00037C61">
        <w:t>programme area</w:t>
      </w:r>
      <w:r w:rsidR="2C549B0C" w:rsidRPr="00037C61">
        <w:t xml:space="preserve">, the share of unemployed persons with </w:t>
      </w:r>
      <w:r w:rsidRPr="00037C61">
        <w:t>ISCED</w:t>
      </w:r>
      <w:r w:rsidR="5A142CFD" w:rsidRPr="00037C61">
        <w:t xml:space="preserve"> </w:t>
      </w:r>
      <w:r w:rsidRPr="00037C61">
        <w:t>3-4 (high school and vocational) education</w:t>
      </w:r>
      <w:r w:rsidR="2C549B0C" w:rsidRPr="00037C61">
        <w:t xml:space="preserve"> is higher than in Romanian ones, and has registered values between 40% in Szabolcs-Szatmár-Bereg and 60% in Csongrád-Csanád. </w:t>
      </w:r>
    </w:p>
    <w:p w14:paraId="52AB9D68" w14:textId="67170279" w:rsidR="00C92943" w:rsidRPr="00037C61" w:rsidRDefault="2C549B0C" w:rsidP="00C92943">
      <w:pPr>
        <w:pStyle w:val="InterregROHUBullet1"/>
        <w:numPr>
          <w:ilvl w:val="0"/>
          <w:numId w:val="0"/>
        </w:numPr>
      </w:pPr>
      <w:r w:rsidRPr="00037C61">
        <w:t>In the last 10 years, the unemployment share of persons with primary and lower secondary education has risen in almost all counties, with a significant rise in Satu Mare (+16%) and Szabolcs-Szatmár-Bereg (+7%), while the unemployment rate of high school and vocational education graduates has decreased in all counties except Csongrád-Csanád.</w:t>
      </w:r>
    </w:p>
    <w:p w14:paraId="455AEE15" w14:textId="4C6C8773" w:rsidR="00BB1B56" w:rsidRPr="00037C61" w:rsidRDefault="00BB1B56" w:rsidP="00BB1B56">
      <w:pPr>
        <w:rPr>
          <w:lang w:val="en-GB"/>
        </w:rPr>
      </w:pPr>
    </w:p>
    <w:p w14:paraId="7197D1BD" w14:textId="267DF6B1" w:rsidR="00147A72" w:rsidRPr="00037C61" w:rsidRDefault="00DF357D" w:rsidP="005E0849">
      <w:pPr>
        <w:pStyle w:val="Heading3"/>
      </w:pPr>
      <w:bookmarkStart w:id="247" w:name="_Toc64619531"/>
      <w:r w:rsidRPr="00037C61">
        <w:lastRenderedPageBreak/>
        <w:t>Conclusions on the performance of services and human capital</w:t>
      </w:r>
      <w:bookmarkEnd w:id="247"/>
      <w:r w:rsidRPr="00037C61">
        <w:t xml:space="preserve"> </w:t>
      </w:r>
    </w:p>
    <w:p w14:paraId="53337A51" w14:textId="299E7BEE" w:rsidR="00E0601B" w:rsidRPr="00037C61" w:rsidRDefault="00E0601B" w:rsidP="00E0601B">
      <w:pPr>
        <w:rPr>
          <w:lang w:val="en-GB"/>
        </w:rPr>
      </w:pPr>
      <w:r w:rsidRPr="00037C61">
        <w:rPr>
          <w:lang w:val="en-GB"/>
        </w:rPr>
        <w:t xml:space="preserve">The programme area is characterised by </w:t>
      </w:r>
      <w:r w:rsidRPr="00037C61">
        <w:rPr>
          <w:b/>
          <w:bCs/>
          <w:lang w:val="en-GB"/>
        </w:rPr>
        <w:t>generally positive trends in human capital development</w:t>
      </w:r>
      <w:r w:rsidRPr="00037C61">
        <w:rPr>
          <w:lang w:val="en-GB"/>
        </w:rPr>
        <w:t>, with raising life expectancy, lowering rates of social exclusion and unemployment. It is also endowed with a well-developed higher education network</w:t>
      </w:r>
      <w:r w:rsidR="006C65F0" w:rsidRPr="00037C61">
        <w:rPr>
          <w:lang w:val="en-GB"/>
        </w:rPr>
        <w:t xml:space="preserve"> consisting of 9 well-established public universities with complementary profiles,</w:t>
      </w:r>
      <w:r w:rsidRPr="00037C61">
        <w:rPr>
          <w:lang w:val="en-GB"/>
        </w:rPr>
        <w:t xml:space="preserve"> and health infrastructure with performance indicators similar to the European ones, especially in </w:t>
      </w:r>
      <w:r w:rsidR="009C464F" w:rsidRPr="00037C61">
        <w:rPr>
          <w:lang w:val="en-GB"/>
        </w:rPr>
        <w:t xml:space="preserve">counties hosting university </w:t>
      </w:r>
      <w:r w:rsidR="006C65F0" w:rsidRPr="00037C61">
        <w:rPr>
          <w:lang w:val="en-GB"/>
        </w:rPr>
        <w:t>centres</w:t>
      </w:r>
      <w:r w:rsidR="009C464F" w:rsidRPr="00037C61">
        <w:rPr>
          <w:lang w:val="en-GB"/>
        </w:rPr>
        <w:t xml:space="preserve"> (Timiș, Csongrád-Csanád, Hajdu-Bihar)</w:t>
      </w:r>
      <w:r w:rsidRPr="00037C61">
        <w:rPr>
          <w:lang w:val="en-GB"/>
        </w:rPr>
        <w:t xml:space="preserve">. However, </w:t>
      </w:r>
      <w:r w:rsidR="009C464F" w:rsidRPr="00037C61">
        <w:rPr>
          <w:lang w:val="en-GB"/>
        </w:rPr>
        <w:t>the PA</w:t>
      </w:r>
      <w:r w:rsidRPr="00037C61">
        <w:rPr>
          <w:lang w:val="en-GB"/>
        </w:rPr>
        <w:t xml:space="preserve"> is still </w:t>
      </w:r>
      <w:r w:rsidRPr="00037C61">
        <w:rPr>
          <w:b/>
          <w:bCs/>
          <w:lang w:val="en-GB"/>
        </w:rPr>
        <w:t>lagging behind the European level</w:t>
      </w:r>
      <w:r w:rsidRPr="00037C61">
        <w:rPr>
          <w:lang w:val="en-GB"/>
        </w:rPr>
        <w:t xml:space="preserve"> in the performance for several of these indicators, including  </w:t>
      </w:r>
      <w:r w:rsidR="009C464F" w:rsidRPr="00037C61">
        <w:rPr>
          <w:lang w:val="en-GB"/>
        </w:rPr>
        <w:t xml:space="preserve">life expectancy at birth (83.7 for women and 78.2 for men in EU-27 in 2018, as opposed to only 77.27 years for women and 70.08 years for men in Satu Mare, the lowest performer). </w:t>
      </w:r>
    </w:p>
    <w:p w14:paraId="608EAFB4" w14:textId="65B114D2" w:rsidR="009C464F" w:rsidRPr="00037C61" w:rsidRDefault="009C464F" w:rsidP="00E0601B">
      <w:pPr>
        <w:rPr>
          <w:lang w:val="en-GB"/>
        </w:rPr>
      </w:pPr>
      <w:r w:rsidRPr="00037C61">
        <w:rPr>
          <w:b/>
          <w:bCs/>
          <w:lang w:val="en-GB"/>
        </w:rPr>
        <w:t>Looking at trends,</w:t>
      </w:r>
      <w:r w:rsidRPr="00037C61">
        <w:rPr>
          <w:lang w:val="en-GB"/>
        </w:rPr>
        <w:t xml:space="preserve"> in education, the area is confronted with a </w:t>
      </w:r>
      <w:r w:rsidR="00A61265" w:rsidRPr="00037C61">
        <w:rPr>
          <w:b/>
          <w:bCs/>
          <w:lang w:val="en-GB"/>
        </w:rPr>
        <w:t>consistently</w:t>
      </w:r>
      <w:r w:rsidRPr="00037C61">
        <w:rPr>
          <w:b/>
          <w:bCs/>
          <w:lang w:val="en-GB"/>
        </w:rPr>
        <w:t xml:space="preserve"> declining number of university students, </w:t>
      </w:r>
      <w:r w:rsidRPr="00037C61">
        <w:rPr>
          <w:lang w:val="en-GB"/>
        </w:rPr>
        <w:t xml:space="preserve">in some cases by a quarter over 2014-2018 (Arad). This is reflective of a negative natural and migratory rate of population growth. </w:t>
      </w:r>
      <w:r w:rsidR="00A61265" w:rsidRPr="00037C61">
        <w:rPr>
          <w:lang w:val="en-GB"/>
        </w:rPr>
        <w:t>Th</w:t>
      </w:r>
      <w:r w:rsidRPr="00037C61">
        <w:rPr>
          <w:lang w:val="en-GB"/>
        </w:rPr>
        <w:t xml:space="preserve">e number of </w:t>
      </w:r>
      <w:r w:rsidR="00A61265" w:rsidRPr="00037C61">
        <w:rPr>
          <w:lang w:val="en-GB"/>
        </w:rPr>
        <w:t>enrolled students (</w:t>
      </w:r>
      <w:r w:rsidRPr="00037C61">
        <w:rPr>
          <w:lang w:val="en-GB"/>
        </w:rPr>
        <w:t>2014-201</w:t>
      </w:r>
      <w:r w:rsidR="00A61265" w:rsidRPr="00037C61">
        <w:rPr>
          <w:lang w:val="en-GB"/>
        </w:rPr>
        <w:t xml:space="preserve">8) </w:t>
      </w:r>
      <w:r w:rsidRPr="00037C61">
        <w:rPr>
          <w:lang w:val="en-GB"/>
        </w:rPr>
        <w:t xml:space="preserve"> </w:t>
      </w:r>
      <w:r w:rsidR="00A61265" w:rsidRPr="00037C61">
        <w:rPr>
          <w:lang w:val="en-GB"/>
        </w:rPr>
        <w:t xml:space="preserve">shows disparities, with a positive dynamic in Hungary at ISCED 0-2 levels and a negative one at ISCED 3-5 and above (Csongrád-Csanád recording the highest decrease in ISCED 4 population, -4.3%). Romanian counties have generally negative trends for early education and pre-primary enrolment (ISCED 0), but positive values for ISCED 1+2 (except Satu Mare, -1.1%) and ISCED 3 enrolment (except Bihor, -0.3%). </w:t>
      </w:r>
      <w:r w:rsidR="00A61265" w:rsidRPr="00037C61">
        <w:rPr>
          <w:b/>
          <w:bCs/>
          <w:lang w:val="en-GB"/>
        </w:rPr>
        <w:t>The number of graduates has decreased throughout the programme area</w:t>
      </w:r>
      <w:r w:rsidR="00A61265" w:rsidRPr="00037C61">
        <w:rPr>
          <w:lang w:val="en-GB"/>
        </w:rPr>
        <w:t xml:space="preserve"> between 2014 and 2017 at all levels, and the strongest decrease was recorded for ISCED 3 graduation (-7.4% in Szabolcs-Szatmár-Bereg and -22.3% in Csongrád-Csanád). </w:t>
      </w:r>
    </w:p>
    <w:p w14:paraId="106FABCC" w14:textId="21B118DB" w:rsidR="009C464F" w:rsidRPr="00037C61" w:rsidRDefault="00A61265" w:rsidP="00E0601B">
      <w:pPr>
        <w:rPr>
          <w:lang w:val="en-GB"/>
        </w:rPr>
      </w:pPr>
      <w:r w:rsidRPr="00037C61">
        <w:rPr>
          <w:lang w:val="en-GB"/>
        </w:rPr>
        <w:t xml:space="preserve">In what concerns health indicators, the </w:t>
      </w:r>
      <w:r w:rsidRPr="00037C61">
        <w:rPr>
          <w:b/>
          <w:bCs/>
          <w:lang w:val="en-GB"/>
        </w:rPr>
        <w:t>life expectancy at birth has increased in all counties</w:t>
      </w:r>
      <w:r w:rsidRPr="00037C61">
        <w:rPr>
          <w:lang w:val="en-GB"/>
        </w:rPr>
        <w:t xml:space="preserve"> between 2012-2018 (</w:t>
      </w:r>
      <w:r w:rsidR="00DC6D1A" w:rsidRPr="00037C61">
        <w:rPr>
          <w:lang w:val="en-GB"/>
        </w:rPr>
        <w:t xml:space="preserve">except a small decrease in female life expectancy in Hajdu-Bihar), </w:t>
      </w:r>
      <w:r w:rsidRPr="00037C61">
        <w:rPr>
          <w:lang w:val="en-GB"/>
        </w:rPr>
        <w:t>with the highest increase</w:t>
      </w:r>
      <w:r w:rsidR="00DC6D1A" w:rsidRPr="00037C61">
        <w:rPr>
          <w:lang w:val="en-GB"/>
        </w:rPr>
        <w:t>s</w:t>
      </w:r>
      <w:r w:rsidRPr="00037C61">
        <w:rPr>
          <w:lang w:val="en-GB"/>
        </w:rPr>
        <w:t xml:space="preserve"> </w:t>
      </w:r>
      <w:r w:rsidR="00DC6D1A" w:rsidRPr="00037C61">
        <w:rPr>
          <w:lang w:val="en-GB"/>
        </w:rPr>
        <w:t>recorded in Timiș (+2.72% for males, +1.39% for females) and Csongrád-Csanád (+2.24% and +1.17% male and female respectively)</w:t>
      </w:r>
      <w:r w:rsidRPr="00037C61">
        <w:rPr>
          <w:lang w:val="en-GB"/>
        </w:rPr>
        <w:t>.</w:t>
      </w:r>
      <w:r w:rsidR="00DC6D1A" w:rsidRPr="00037C61">
        <w:rPr>
          <w:lang w:val="en-GB"/>
        </w:rPr>
        <w:t xml:space="preserve"> This concentration can be in part attributable to the infrastructure in these university cities with a </w:t>
      </w:r>
      <w:r w:rsidR="00DC6D1A" w:rsidRPr="00037C61">
        <w:rPr>
          <w:b/>
          <w:bCs/>
          <w:lang w:val="en-GB"/>
        </w:rPr>
        <w:t>well-developed medical specialisation profile.</w:t>
      </w:r>
      <w:r w:rsidR="00DC6D1A" w:rsidRPr="00037C61">
        <w:rPr>
          <w:lang w:val="en-GB"/>
        </w:rPr>
        <w:t xml:space="preserve"> </w:t>
      </w:r>
      <w:r w:rsidRPr="00037C61">
        <w:rPr>
          <w:lang w:val="en-GB"/>
        </w:rPr>
        <w:t xml:space="preserve"> Corroborated with decreasing fertility, the </w:t>
      </w:r>
      <w:r w:rsidR="00DC6D1A" w:rsidRPr="00037C61">
        <w:rPr>
          <w:lang w:val="en-GB"/>
        </w:rPr>
        <w:t>positive trend of extended life expectancy however</w:t>
      </w:r>
      <w:r w:rsidRPr="00037C61">
        <w:rPr>
          <w:lang w:val="en-GB"/>
        </w:rPr>
        <w:t xml:space="preserve"> imposes some </w:t>
      </w:r>
      <w:r w:rsidRPr="00037C61">
        <w:rPr>
          <w:b/>
          <w:bCs/>
          <w:lang w:val="en-GB"/>
        </w:rPr>
        <w:t xml:space="preserve">specific measures related to </w:t>
      </w:r>
      <w:r w:rsidR="00DC6D1A" w:rsidRPr="00037C61">
        <w:rPr>
          <w:b/>
          <w:bCs/>
          <w:lang w:val="en-GB"/>
        </w:rPr>
        <w:t xml:space="preserve">ensuring </w:t>
      </w:r>
      <w:r w:rsidRPr="00037C61">
        <w:rPr>
          <w:b/>
          <w:bCs/>
          <w:lang w:val="en-GB"/>
        </w:rPr>
        <w:t>healthcare</w:t>
      </w:r>
      <w:r w:rsidR="00DC6D1A" w:rsidRPr="00037C61">
        <w:rPr>
          <w:b/>
          <w:bCs/>
          <w:lang w:val="en-GB"/>
        </w:rPr>
        <w:t>, unassisted living, and</w:t>
      </w:r>
      <w:r w:rsidRPr="00037C61">
        <w:rPr>
          <w:b/>
          <w:bCs/>
          <w:lang w:val="en-GB"/>
        </w:rPr>
        <w:t xml:space="preserve"> social services in the programme area</w:t>
      </w:r>
      <w:r w:rsidRPr="00037C61">
        <w:rPr>
          <w:lang w:val="en-GB"/>
        </w:rPr>
        <w:t xml:space="preserve">.  </w:t>
      </w:r>
      <w:r w:rsidR="00DC6D1A" w:rsidRPr="00037C61">
        <w:rPr>
          <w:lang w:val="en-GB"/>
        </w:rPr>
        <w:t>The infant mortality rate has also decreased between 2009-2018, in the case of Timiș with up to -7.3%</w:t>
      </w:r>
      <w:r w:rsidR="006C65F0" w:rsidRPr="00037C61">
        <w:rPr>
          <w:lang w:val="en-GB"/>
        </w:rPr>
        <w:t xml:space="preserve">. </w:t>
      </w:r>
    </w:p>
    <w:p w14:paraId="22134DBF" w14:textId="5F7BA22F" w:rsidR="006C65F0" w:rsidRPr="00037C61" w:rsidRDefault="006C65F0" w:rsidP="00E0601B">
      <w:pPr>
        <w:rPr>
          <w:lang w:val="en-GB"/>
        </w:rPr>
      </w:pPr>
      <w:r w:rsidRPr="00037C61">
        <w:rPr>
          <w:lang w:val="en-GB"/>
        </w:rPr>
        <w:t xml:space="preserve">Positive trends are recorded in the </w:t>
      </w:r>
      <w:r w:rsidRPr="00037C61">
        <w:rPr>
          <w:b/>
          <w:bCs/>
          <w:lang w:val="en-GB"/>
        </w:rPr>
        <w:t>diminishing AROPE rate</w:t>
      </w:r>
      <w:r w:rsidRPr="00037C61">
        <w:rPr>
          <w:lang w:val="en-GB"/>
        </w:rPr>
        <w:t xml:space="preserve">, and the region outperforms national and European averages, with the exception of the Észak-Alföld region counties (24.2% AROPE). At the same time, the </w:t>
      </w:r>
      <w:r w:rsidRPr="00037C61">
        <w:rPr>
          <w:b/>
          <w:bCs/>
          <w:lang w:val="en-GB"/>
        </w:rPr>
        <w:t>proportion of economically active population has constantly increased in the region</w:t>
      </w:r>
      <w:r w:rsidRPr="00037C61">
        <w:rPr>
          <w:lang w:val="en-GB"/>
        </w:rPr>
        <w:t xml:space="preserve">, except for Bihor and Satu Mare which record a reverse or lagging trend (61% in 2018 in Bihor, an outlier, and 65% in Satu Mare), and the number of unemployed persons has been consistently declining since the peak of the economic crisis (2009/2010), bringing the regions to a level of unemployment rate on par with high performers such as German, UK, Dutch and Norwegian regions in 2019. </w:t>
      </w:r>
    </w:p>
    <w:p w14:paraId="77E59443" w14:textId="27961AC0" w:rsidR="006C65F0" w:rsidRPr="00037C61" w:rsidRDefault="006C65F0" w:rsidP="00E0601B">
      <w:pPr>
        <w:rPr>
          <w:lang w:val="en-GB"/>
        </w:rPr>
      </w:pPr>
      <w:r w:rsidRPr="00037C61">
        <w:rPr>
          <w:lang w:val="en-GB"/>
        </w:rPr>
        <w:t xml:space="preserve">While trends highlight positive overall aspects, there are also </w:t>
      </w:r>
      <w:r w:rsidRPr="00037C61">
        <w:rPr>
          <w:b/>
          <w:bCs/>
          <w:lang w:val="en-GB"/>
        </w:rPr>
        <w:t>significant intra-regional disparities</w:t>
      </w:r>
      <w:r w:rsidRPr="00037C61">
        <w:rPr>
          <w:lang w:val="en-GB"/>
        </w:rPr>
        <w:t xml:space="preserve"> which can be noted. </w:t>
      </w:r>
      <w:r w:rsidR="00483BB9" w:rsidRPr="00037C61">
        <w:rPr>
          <w:lang w:val="en-GB"/>
        </w:rPr>
        <w:t xml:space="preserve">In what concerns education, the post-secondary non-tertiary education is better developed in Hungarian counties, while the Romanian low enrolment rates (2.3% of total in Arad, and 3.6% in Satu Mare, as opposed to 12.8% in Csongrád-Csanád) may mean missed opportunities for specialising youth in sectors with reinvigoration potential in case of improved quality, such as tourism and hospitality.  Furthermore, there is a decrease of early education enrolment in Romanian counties, </w:t>
      </w:r>
      <w:r w:rsidR="00483BB9" w:rsidRPr="00037C61">
        <w:rPr>
          <w:lang w:val="en-GB"/>
        </w:rPr>
        <w:lastRenderedPageBreak/>
        <w:t xml:space="preserve">and an increase in Hungarian ones, which is not explained by the population pyramid differences and can be due to a better ISCED 0 infrastructure </w:t>
      </w:r>
      <w:r w:rsidR="009D7CAD" w:rsidRPr="00037C61">
        <w:rPr>
          <w:lang w:val="en-GB"/>
        </w:rPr>
        <w:t xml:space="preserve">on the Hungarian side of the PA. </w:t>
      </w:r>
      <w:r w:rsidR="00483BB9" w:rsidRPr="00037C61">
        <w:rPr>
          <w:lang w:val="en-GB"/>
        </w:rPr>
        <w:t xml:space="preserve"> </w:t>
      </w:r>
    </w:p>
    <w:p w14:paraId="448D0BE5" w14:textId="79C09681" w:rsidR="006E131C" w:rsidRPr="00037C61" w:rsidRDefault="006E131C" w:rsidP="00E0601B">
      <w:pPr>
        <w:rPr>
          <w:lang w:val="en-GB"/>
        </w:rPr>
      </w:pPr>
      <w:r w:rsidRPr="00037C61">
        <w:rPr>
          <w:lang w:val="en-GB"/>
        </w:rPr>
        <w:t xml:space="preserve">From an educational standpoint, cross-border common projects and interventions may prove useful in tackling the </w:t>
      </w:r>
      <w:r w:rsidRPr="00037C61">
        <w:rPr>
          <w:b/>
          <w:bCs/>
          <w:lang w:val="en-GB"/>
        </w:rPr>
        <w:t>strong disparity in population with no education,</w:t>
      </w:r>
      <w:r w:rsidRPr="00037C61">
        <w:rPr>
          <w:lang w:val="en-GB"/>
        </w:rPr>
        <w:t xml:space="preserve"> between Csongrád-Csanád ranking the lowest (0.4%) and Satu Mare and Bihor both ranking high</w:t>
      </w:r>
      <w:r w:rsidR="239983F3" w:rsidRPr="00037C61">
        <w:rPr>
          <w:lang w:val="en-GB"/>
        </w:rPr>
        <w:t>est</w:t>
      </w:r>
      <w:r w:rsidRPr="00037C61">
        <w:rPr>
          <w:lang w:val="en-GB"/>
        </w:rPr>
        <w:t xml:space="preserve"> (3.1%).</w:t>
      </w:r>
    </w:p>
    <w:p w14:paraId="6770EB0F" w14:textId="089C8CC0" w:rsidR="006C65F0" w:rsidRPr="00037C61" w:rsidRDefault="009D7CAD" w:rsidP="00E0601B">
      <w:pPr>
        <w:rPr>
          <w:lang w:val="en-GB"/>
        </w:rPr>
      </w:pPr>
      <w:r w:rsidRPr="00037C61">
        <w:rPr>
          <w:b/>
          <w:bCs/>
          <w:lang w:val="en-GB"/>
        </w:rPr>
        <w:t>The distribution of public health and education functions</w:t>
      </w:r>
      <w:r w:rsidRPr="00037C61">
        <w:rPr>
          <w:lang w:val="en-GB"/>
        </w:rPr>
        <w:t xml:space="preserve"> is also significantly denser in the Hungarian counties, with a much higher number of ambulance headquarters and a higher number of education public functions. The education infrastructure disparity is especially relevant comparing </w:t>
      </w:r>
      <w:r w:rsidRPr="00037C61">
        <w:rPr>
          <w:rFonts w:cstheme="minorHAnsi"/>
          <w:lang w:val="en-GB"/>
        </w:rPr>
        <w:t xml:space="preserve">Hajdú-Bihar </w:t>
      </w:r>
      <w:r w:rsidRPr="00037C61">
        <w:rPr>
          <w:lang w:val="en-GB"/>
        </w:rPr>
        <w:t xml:space="preserve">and Békés with the Romanian counties and may in part be attributable to a more developed urban structure, with double the number of cities (and thus city services), as well as almost three times the local government expenditure share on education (18%, versus 6% as highlighted in Chapter </w:t>
      </w:r>
      <w:r w:rsidRPr="00037C61">
        <w:rPr>
          <w:lang w:val="en-GB"/>
        </w:rPr>
        <w:fldChar w:fldCharType="begin"/>
      </w:r>
      <w:r w:rsidRPr="00037C61">
        <w:rPr>
          <w:lang w:val="en-GB"/>
        </w:rPr>
        <w:instrText xml:space="preserve"> REF _Ref53882898 \r \h </w:instrText>
      </w:r>
      <w:r w:rsidRPr="00037C61">
        <w:rPr>
          <w:lang w:val="en-GB"/>
        </w:rPr>
      </w:r>
      <w:r w:rsidRPr="00037C61">
        <w:rPr>
          <w:lang w:val="en-GB"/>
        </w:rPr>
        <w:fldChar w:fldCharType="separate"/>
      </w:r>
      <w:r w:rsidRPr="00037C61">
        <w:rPr>
          <w:lang w:val="en-GB"/>
        </w:rPr>
        <w:t>2.6.2</w:t>
      </w:r>
      <w:r w:rsidRPr="00037C61">
        <w:rPr>
          <w:lang w:val="en-GB"/>
        </w:rPr>
        <w:fldChar w:fldCharType="end"/>
      </w:r>
      <w:r w:rsidRPr="00037C61">
        <w:rPr>
          <w:lang w:val="en-GB"/>
        </w:rPr>
        <w:t xml:space="preserve">). The number of pupils per teacher reconfirms this disparity, especially at ISCED 1+2 level where the numbers in the Romanian counties are </w:t>
      </w:r>
      <w:r w:rsidRPr="00037C61">
        <w:rPr>
          <w:b/>
          <w:bCs/>
          <w:lang w:val="en-GB"/>
        </w:rPr>
        <w:t>3.7-4.6 times higher than those in the Hungarian counties.</w:t>
      </w:r>
      <w:r w:rsidRPr="00037C61">
        <w:rPr>
          <w:lang w:val="en-GB"/>
        </w:rPr>
        <w:t xml:space="preserve"> </w:t>
      </w:r>
    </w:p>
    <w:p w14:paraId="4F00EF4C" w14:textId="0361422B" w:rsidR="00994815" w:rsidRPr="00037C61" w:rsidRDefault="009D7CAD" w:rsidP="00E0601B">
      <w:pPr>
        <w:rPr>
          <w:lang w:val="en-GB"/>
        </w:rPr>
      </w:pPr>
      <w:r w:rsidRPr="00037C61">
        <w:rPr>
          <w:lang w:val="en-GB"/>
        </w:rPr>
        <w:t xml:space="preserve">A disparity in the region is the </w:t>
      </w:r>
      <w:r w:rsidRPr="00037C61">
        <w:rPr>
          <w:b/>
          <w:bCs/>
          <w:lang w:val="en-GB"/>
        </w:rPr>
        <w:t>infant mortality rate</w:t>
      </w:r>
      <w:r w:rsidRPr="00037C61">
        <w:rPr>
          <w:lang w:val="en-GB"/>
        </w:rPr>
        <w:t xml:space="preserve">, which is double than the European average in Bihor and Satu Mare (6.8 and 7 as opposed to 3.4 in 2018 for EU-27), and half that in Hajdu-Bihar (1.7), although not all Hungarian counties record under-average values (Szabolcs-Szatmár-Bereg has a rate of 5.1). This is a significant weakness which needs to be addressed with better healthcare service access and better education, both attainable through PO 4 at CB level. </w:t>
      </w:r>
    </w:p>
    <w:p w14:paraId="2605F129" w14:textId="2F00E6F4" w:rsidR="00994815" w:rsidRPr="00037C61" w:rsidRDefault="00994815" w:rsidP="00E0601B">
      <w:pPr>
        <w:rPr>
          <w:lang w:val="en-GB"/>
        </w:rPr>
      </w:pPr>
      <w:r w:rsidRPr="00037C61">
        <w:rPr>
          <w:lang w:val="en-GB"/>
        </w:rPr>
        <w:t xml:space="preserve">There is a </w:t>
      </w:r>
      <w:r w:rsidRPr="00037C61">
        <w:rPr>
          <w:b/>
          <w:bCs/>
          <w:lang w:val="en-GB"/>
        </w:rPr>
        <w:t>significant diversity of social challenges in the region</w:t>
      </w:r>
      <w:r w:rsidRPr="00037C61">
        <w:rPr>
          <w:lang w:val="en-GB"/>
        </w:rPr>
        <w:t xml:space="preserve">, while nevertheless specific patterns can be deduced regardless of differences in methodologies delineating disadvantaged areas: </w:t>
      </w:r>
      <w:r w:rsidRPr="00037C61">
        <w:rPr>
          <w:b/>
          <w:bCs/>
          <w:lang w:val="en-GB"/>
        </w:rPr>
        <w:t>Satu Mare and Szabolcs-Szatmár-Bereg represent a cross-border area with a prevalence of population with human capital challenges</w:t>
      </w:r>
      <w:r w:rsidRPr="00037C61">
        <w:rPr>
          <w:lang w:val="en-GB"/>
        </w:rPr>
        <w:t xml:space="preserve">, whereas notable challenges especially in urban areas are also clustered in Bihor and Hajdu Bihar. Békés, although confronted with depopulation and aging, has interestingly a low number of beneficiary districts. </w:t>
      </w:r>
    </w:p>
    <w:p w14:paraId="6632BD3E" w14:textId="785D5ED6" w:rsidR="00994815" w:rsidRPr="00037C61" w:rsidRDefault="00994815" w:rsidP="00E0601B">
      <w:pPr>
        <w:rPr>
          <w:lang w:val="en-GB"/>
        </w:rPr>
      </w:pPr>
      <w:r w:rsidRPr="00037C61">
        <w:rPr>
          <w:b/>
          <w:bCs/>
          <w:lang w:val="en-GB"/>
        </w:rPr>
        <w:t>Intra-regional disparities in health infrastructure</w:t>
      </w:r>
      <w:r w:rsidRPr="00037C61">
        <w:rPr>
          <w:lang w:val="en-GB"/>
        </w:rPr>
        <w:t xml:space="preserve"> are present between the more-developed counties of Timiș, Bihor, Csongrád-Csanád and Hajdú-Bihar, recording numbers of hospital beds and medics per inhabitants over the national and European averages, and the other counties in the north (Satu Mare and Szabolcs-Szatmár-Bereg) and center of the region (Arad, </w:t>
      </w:r>
      <w:r w:rsidRPr="00037C61">
        <w:rPr>
          <w:rFonts w:eastAsia="Calibri" w:cs="Calibri"/>
          <w:lang w:val="en-GB"/>
        </w:rPr>
        <w:t>Békés</w:t>
      </w:r>
      <w:r w:rsidRPr="00037C61">
        <w:rPr>
          <w:lang w:val="en-GB"/>
        </w:rPr>
        <w:t xml:space="preserve">). </w:t>
      </w:r>
      <w:r w:rsidR="00FA055A" w:rsidRPr="00037C61">
        <w:rPr>
          <w:lang w:val="en-GB"/>
        </w:rPr>
        <w:t xml:space="preserve">Similarly, there is also </w:t>
      </w:r>
      <w:r w:rsidR="00FA055A" w:rsidRPr="00037C61">
        <w:rPr>
          <w:b/>
          <w:bCs/>
          <w:lang w:val="en-GB"/>
        </w:rPr>
        <w:t>a strong disparity in the number of ISCED 0 and ISCED 3 infrastructure</w:t>
      </w:r>
      <w:r w:rsidR="00FA055A" w:rsidRPr="00037C61">
        <w:rPr>
          <w:lang w:val="en-GB"/>
        </w:rPr>
        <w:t xml:space="preserve">, between the well-distributed network in the Hungarian counties and the concentrated infrastructure the main Romanian centers. The diminishing numbers of enrolled students over the last decade, across all ISCED levels (except ISCED 0 in the Hungarian PA), means that the need for investment is concentrated in improving the quality, endowments and connectivity of the existing infrastructure and educational services, rather than their expansion. Especially in the current Covid-19 context, investments in digital education are relevant and necessary. </w:t>
      </w:r>
    </w:p>
    <w:p w14:paraId="3B9C91A8" w14:textId="612B02AF" w:rsidR="00994815" w:rsidRPr="00037C61" w:rsidRDefault="00994815" w:rsidP="00E0601B">
      <w:pPr>
        <w:rPr>
          <w:lang w:val="en-GB"/>
        </w:rPr>
      </w:pPr>
      <w:r w:rsidRPr="00037C61">
        <w:rPr>
          <w:b/>
          <w:bCs/>
          <w:lang w:val="en-GB"/>
        </w:rPr>
        <w:t>Significantly higher wages in the public administration and health sectors</w:t>
      </w:r>
      <w:r w:rsidRPr="00037C61">
        <w:rPr>
          <w:lang w:val="en-GB"/>
        </w:rPr>
        <w:t xml:space="preserve"> are recorded in Romania, but also higher disparities to private-sector wages, with the accommodation and food services being the lowest paid sector especially in Satu Mare (296 Euro, a third of what a public servant earns in the county). This disparity significantly impacts the attractiveness of endogenous-growth sectors with potentially high GVA. The wage distribution on NACE2 categories in Hungary is more evenly distributed.</w:t>
      </w:r>
    </w:p>
    <w:p w14:paraId="56614501" w14:textId="057DFDF3" w:rsidR="009C464F" w:rsidRPr="00037C61" w:rsidRDefault="006C65F0" w:rsidP="00E0601B">
      <w:pPr>
        <w:rPr>
          <w:lang w:val="en-GB"/>
        </w:rPr>
      </w:pPr>
      <w:r w:rsidRPr="00037C61">
        <w:rPr>
          <w:lang w:val="en-GB"/>
        </w:rPr>
        <w:t>Lastly, complementarities in the higher education offer and economic specialisation of the labour force can represent cross-border cooperation opportunities</w:t>
      </w:r>
      <w:r w:rsidR="00AC0020" w:rsidRPr="00037C61">
        <w:rPr>
          <w:lang w:val="en-GB"/>
        </w:rPr>
        <w:t xml:space="preserve">, especially in the following sectors: </w:t>
      </w:r>
    </w:p>
    <w:p w14:paraId="33213878" w14:textId="19AE258F" w:rsidR="00AC0020" w:rsidRPr="00037C61" w:rsidRDefault="00AC0020" w:rsidP="00014AA0">
      <w:pPr>
        <w:pStyle w:val="ListParagraph"/>
        <w:numPr>
          <w:ilvl w:val="0"/>
          <w:numId w:val="17"/>
        </w:numPr>
        <w:rPr>
          <w:lang w:val="en-GB"/>
        </w:rPr>
      </w:pPr>
      <w:r w:rsidRPr="00037C61">
        <w:rPr>
          <w:b/>
          <w:bCs/>
          <w:lang w:val="en-GB"/>
        </w:rPr>
        <w:lastRenderedPageBreak/>
        <w:t>Medicine</w:t>
      </w:r>
      <w:r w:rsidRPr="00037C61">
        <w:rPr>
          <w:lang w:val="en-GB"/>
        </w:rPr>
        <w:t xml:space="preserve"> (Victor Babeș University Timișoara, Universities of Szeged and Debrecen</w:t>
      </w:r>
      <w:r w:rsidR="004B7868">
        <w:rPr>
          <w:lang w:val="en-GB"/>
        </w:rPr>
        <w:t xml:space="preserve"> – in Debrecen as well as the Faculty of Health in </w:t>
      </w:r>
      <w:r w:rsidR="004B7868">
        <w:t>Nyíregyháza</w:t>
      </w:r>
      <w:r w:rsidRPr="00037C61">
        <w:rPr>
          <w:lang w:val="en-GB"/>
        </w:rPr>
        <w:t xml:space="preserve">), supported by a favourable labour market with high wages in the sector; </w:t>
      </w:r>
    </w:p>
    <w:p w14:paraId="041573F5" w14:textId="47D396FB" w:rsidR="00AC0020" w:rsidRPr="00037C61" w:rsidRDefault="00AC0020" w:rsidP="00014AA0">
      <w:pPr>
        <w:pStyle w:val="ListParagraph"/>
        <w:numPr>
          <w:ilvl w:val="0"/>
          <w:numId w:val="17"/>
        </w:numPr>
        <w:rPr>
          <w:lang w:val="en-GB"/>
        </w:rPr>
      </w:pPr>
      <w:r w:rsidRPr="00037C61">
        <w:rPr>
          <w:b/>
          <w:bCs/>
          <w:lang w:val="en-GB"/>
        </w:rPr>
        <w:t>Bioeconomy – environmental and food engineering</w:t>
      </w:r>
      <w:r w:rsidRPr="00037C61">
        <w:rPr>
          <w:lang w:val="en-GB"/>
        </w:rPr>
        <w:t xml:space="preserve"> (Aurel Vlaicu University Arad, UPT, Banat University Timi</w:t>
      </w:r>
      <w:r w:rsidR="2561D048" w:rsidRPr="00037C61">
        <w:rPr>
          <w:lang w:val="en-GB"/>
        </w:rPr>
        <w:t>ș</w:t>
      </w:r>
      <w:r w:rsidRPr="00037C61">
        <w:rPr>
          <w:lang w:val="en-GB"/>
        </w:rPr>
        <w:t>oara, University of Nyíregyháza</w:t>
      </w:r>
      <w:r w:rsidR="00435BB3">
        <w:rPr>
          <w:lang w:val="en-GB"/>
        </w:rPr>
        <w:t>, University of Szeged</w:t>
      </w:r>
      <w:r w:rsidRPr="00037C61">
        <w:rPr>
          <w:lang w:val="en-GB"/>
        </w:rPr>
        <w:t xml:space="preserve">); </w:t>
      </w:r>
    </w:p>
    <w:p w14:paraId="2C2E40EF" w14:textId="60A93BD3" w:rsidR="00AC0020" w:rsidRPr="00037C61" w:rsidRDefault="00483BB9" w:rsidP="00014AA0">
      <w:pPr>
        <w:pStyle w:val="ListParagraph"/>
        <w:numPr>
          <w:ilvl w:val="0"/>
          <w:numId w:val="17"/>
        </w:numPr>
        <w:rPr>
          <w:lang w:val="en-GB"/>
        </w:rPr>
      </w:pPr>
      <w:r w:rsidRPr="00037C61">
        <w:rPr>
          <w:b/>
          <w:bCs/>
          <w:lang w:val="en-GB"/>
        </w:rPr>
        <w:t>Applied science, advanced materials, e</w:t>
      </w:r>
      <w:r w:rsidR="00AC0020" w:rsidRPr="00037C61">
        <w:rPr>
          <w:b/>
          <w:bCs/>
          <w:lang w:val="en-GB"/>
        </w:rPr>
        <w:t xml:space="preserve">ngineering </w:t>
      </w:r>
      <w:r w:rsidR="00AC0020" w:rsidRPr="00037C61">
        <w:rPr>
          <w:lang w:val="en-GB"/>
        </w:rPr>
        <w:t xml:space="preserve">(Aurel Vlaicu University Arad, University of Oradea, West University Timisoara, University of Szeged); </w:t>
      </w:r>
    </w:p>
    <w:p w14:paraId="5769089C" w14:textId="748942A2" w:rsidR="00483BB9" w:rsidRPr="00037C61" w:rsidRDefault="00483BB9" w:rsidP="00014AA0">
      <w:pPr>
        <w:pStyle w:val="ListParagraph"/>
        <w:numPr>
          <w:ilvl w:val="0"/>
          <w:numId w:val="17"/>
        </w:numPr>
        <w:rPr>
          <w:lang w:val="en-GB"/>
        </w:rPr>
      </w:pPr>
      <w:r w:rsidRPr="00037C61">
        <w:rPr>
          <w:b/>
          <w:bCs/>
          <w:lang w:val="en-GB"/>
        </w:rPr>
        <w:t>Information technology</w:t>
      </w:r>
      <w:r w:rsidRPr="00037C61">
        <w:rPr>
          <w:lang w:val="en-GB"/>
        </w:rPr>
        <w:t xml:space="preserve"> (University of Oradea, UPT, West University of Timișoara, University of Szeged, University of Debrecen, University of Nyíregyháza); </w:t>
      </w:r>
    </w:p>
    <w:p w14:paraId="29016306" w14:textId="148D363E" w:rsidR="00AC0020" w:rsidRPr="00037C61" w:rsidRDefault="00AC0020" w:rsidP="00014AA0">
      <w:pPr>
        <w:pStyle w:val="ListParagraph"/>
        <w:numPr>
          <w:ilvl w:val="0"/>
          <w:numId w:val="17"/>
        </w:numPr>
        <w:rPr>
          <w:lang w:val="en-GB"/>
        </w:rPr>
      </w:pPr>
      <w:r w:rsidRPr="00037C61">
        <w:rPr>
          <w:b/>
          <w:bCs/>
          <w:lang w:val="en-GB"/>
        </w:rPr>
        <w:t>Art, Design, Architecture</w:t>
      </w:r>
      <w:r w:rsidRPr="00037C61">
        <w:rPr>
          <w:lang w:val="en-GB"/>
        </w:rPr>
        <w:t xml:space="preserve"> (Aurel Vlaicu University Arad, UPT, Banat University Timisoara, University of Nyíregyháza)</w:t>
      </w:r>
      <w:r w:rsidR="00483BB9" w:rsidRPr="00037C61">
        <w:rPr>
          <w:lang w:val="en-GB"/>
        </w:rPr>
        <w:t xml:space="preserve">. </w:t>
      </w:r>
    </w:p>
    <w:p w14:paraId="4CD49F1B" w14:textId="77777777" w:rsidR="00147A72" w:rsidRDefault="00147A72" w:rsidP="5CA115F1">
      <w:pPr>
        <w:rPr>
          <w:lang w:val="en-GB"/>
        </w:rPr>
      </w:pPr>
    </w:p>
    <w:p w14:paraId="75ABAD11" w14:textId="77777777" w:rsidR="00AA2E7E" w:rsidRDefault="00AA2E7E" w:rsidP="5CA115F1">
      <w:pPr>
        <w:rPr>
          <w:lang w:val="en-GB"/>
        </w:rPr>
      </w:pPr>
    </w:p>
    <w:p w14:paraId="3DE26339" w14:textId="77777777" w:rsidR="00AA2E7E" w:rsidRDefault="00AA2E7E" w:rsidP="5CA115F1">
      <w:pPr>
        <w:rPr>
          <w:lang w:val="en-GB"/>
        </w:rPr>
      </w:pPr>
    </w:p>
    <w:p w14:paraId="25DC876C" w14:textId="77777777" w:rsidR="00AA2E7E" w:rsidRDefault="00AA2E7E" w:rsidP="00AA2E7E">
      <w:pPr>
        <w:rPr>
          <w:lang w:val="en-GB"/>
        </w:rPr>
      </w:pPr>
    </w:p>
    <w:p w14:paraId="5126EAC6" w14:textId="0BC74960" w:rsidR="00AA2E7E" w:rsidRDefault="00AA2E7E" w:rsidP="00AA2E7E">
      <w:pPr>
        <w:tabs>
          <w:tab w:val="left" w:pos="5450"/>
        </w:tabs>
        <w:rPr>
          <w:lang w:val="en-GB"/>
        </w:rPr>
      </w:pPr>
      <w:r>
        <w:rPr>
          <w:lang w:val="en-GB"/>
        </w:rPr>
        <w:tab/>
      </w:r>
    </w:p>
    <w:p w14:paraId="61BDF888" w14:textId="6255AC7E" w:rsidR="00AA2E7E" w:rsidRPr="00AA2E7E" w:rsidRDefault="00AA2E7E" w:rsidP="00AA2E7E">
      <w:pPr>
        <w:tabs>
          <w:tab w:val="left" w:pos="5450"/>
        </w:tabs>
        <w:rPr>
          <w:lang w:val="en-GB"/>
        </w:rPr>
        <w:sectPr w:rsidR="00AA2E7E" w:rsidRPr="00AA2E7E" w:rsidSect="009E4103">
          <w:pgSz w:w="11906" w:h="16838"/>
          <w:pgMar w:top="1713" w:right="1440" w:bottom="1440" w:left="1440" w:header="708" w:footer="828" w:gutter="0"/>
          <w:cols w:space="708"/>
          <w:docGrid w:linePitch="360"/>
        </w:sectPr>
      </w:pPr>
      <w:r>
        <w:rPr>
          <w:lang w:val="en-GB"/>
        </w:rPr>
        <w:tab/>
      </w:r>
    </w:p>
    <w:p w14:paraId="5CE485F7" w14:textId="6872631C" w:rsidR="00BB1B56" w:rsidRPr="00037C61" w:rsidRDefault="009027CD" w:rsidP="009027CD">
      <w:pPr>
        <w:pStyle w:val="Heading3"/>
      </w:pPr>
      <w:bookmarkStart w:id="248" w:name="_Toc64619532"/>
      <w:bookmarkStart w:id="249" w:name="_Toc53137189"/>
      <w:r w:rsidRPr="00037C61">
        <w:lastRenderedPageBreak/>
        <w:t xml:space="preserve">SWOT Analysis: </w:t>
      </w:r>
      <w:r w:rsidR="00DF357D" w:rsidRPr="00037C61">
        <w:t>human capital, education, health and social services</w:t>
      </w:r>
      <w:bookmarkEnd w:id="248"/>
      <w:r w:rsidR="00DF357D" w:rsidRPr="00037C61">
        <w:t xml:space="preserve"> </w:t>
      </w:r>
      <w:bookmarkEnd w:id="249"/>
    </w:p>
    <w:tbl>
      <w:tblPr>
        <w:tblStyle w:val="ListTable3-Accent11"/>
        <w:tblW w:w="13857" w:type="dxa"/>
        <w:tblLayout w:type="fixed"/>
        <w:tblLook w:val="0420" w:firstRow="1" w:lastRow="0" w:firstColumn="0" w:lastColumn="0" w:noHBand="0" w:noVBand="1"/>
      </w:tblPr>
      <w:tblGrid>
        <w:gridCol w:w="2955"/>
        <w:gridCol w:w="5120"/>
        <w:gridCol w:w="2955"/>
        <w:gridCol w:w="2827"/>
      </w:tblGrid>
      <w:tr w:rsidR="00BB1B56" w:rsidRPr="00037C61" w14:paraId="15657871" w14:textId="77777777" w:rsidTr="003F0FBB">
        <w:trPr>
          <w:cnfStyle w:val="100000000000" w:firstRow="1" w:lastRow="0" w:firstColumn="0" w:lastColumn="0" w:oddVBand="0" w:evenVBand="0" w:oddHBand="0" w:evenHBand="0" w:firstRowFirstColumn="0" w:firstRowLastColumn="0" w:lastRowFirstColumn="0" w:lastRowLastColumn="0"/>
          <w:trHeight w:val="705"/>
          <w:tblHeader/>
        </w:trPr>
        <w:tc>
          <w:tcPr>
            <w:tcW w:w="2955" w:type="dxa"/>
          </w:tcPr>
          <w:p w14:paraId="45F4365D" w14:textId="77777777" w:rsidR="00BB1B56" w:rsidRPr="00037C61" w:rsidRDefault="00BB1B56" w:rsidP="00BB1B56">
            <w:pPr>
              <w:pBdr>
                <w:top w:val="nil"/>
                <w:left w:val="nil"/>
                <w:bottom w:val="nil"/>
                <w:right w:val="nil"/>
                <w:between w:val="nil"/>
              </w:pBdr>
              <w:jc w:val="center"/>
              <w:rPr>
                <w:rFonts w:eastAsia="Times New Roman" w:cs="Calibri"/>
                <w:sz w:val="20"/>
                <w:szCs w:val="20"/>
                <w:lang w:val="en-GB"/>
              </w:rPr>
            </w:pPr>
            <w:bookmarkStart w:id="250" w:name="_Hlk53429264"/>
            <w:r w:rsidRPr="00037C61">
              <w:rPr>
                <w:rFonts w:eastAsia="Calibri" w:cs="Calibri"/>
                <w:sz w:val="20"/>
                <w:szCs w:val="20"/>
                <w:lang w:val="en-GB"/>
              </w:rPr>
              <w:t>Strengths</w:t>
            </w:r>
          </w:p>
        </w:tc>
        <w:tc>
          <w:tcPr>
            <w:tcW w:w="5120" w:type="dxa"/>
          </w:tcPr>
          <w:p w14:paraId="6E77EC22" w14:textId="1DFB96CA" w:rsidR="00BB1B56" w:rsidRPr="00037C61" w:rsidRDefault="00BB1B56" w:rsidP="003F0FBB">
            <w:pPr>
              <w:pBdr>
                <w:top w:val="nil"/>
                <w:left w:val="nil"/>
                <w:bottom w:val="nil"/>
                <w:right w:val="nil"/>
                <w:between w:val="nil"/>
              </w:pBdr>
              <w:jc w:val="center"/>
              <w:rPr>
                <w:rFonts w:eastAsia="Times New Roman" w:cs="Calibri"/>
                <w:sz w:val="20"/>
                <w:szCs w:val="20"/>
                <w:lang w:val="en-GB"/>
              </w:rPr>
            </w:pPr>
            <w:r w:rsidRPr="00037C61">
              <w:rPr>
                <w:rFonts w:eastAsia="Calibri" w:cs="Calibri"/>
                <w:sz w:val="20"/>
                <w:szCs w:val="20"/>
                <w:lang w:val="en-GB"/>
              </w:rPr>
              <w:t>Weaknesses</w:t>
            </w:r>
          </w:p>
        </w:tc>
        <w:tc>
          <w:tcPr>
            <w:tcW w:w="2955" w:type="dxa"/>
          </w:tcPr>
          <w:p w14:paraId="09AAC98B" w14:textId="77777777" w:rsidR="00BB1B56" w:rsidRPr="00037C61" w:rsidRDefault="00BB1B56" w:rsidP="00BB1B56">
            <w:pPr>
              <w:pBdr>
                <w:top w:val="nil"/>
                <w:left w:val="nil"/>
                <w:bottom w:val="nil"/>
                <w:right w:val="nil"/>
                <w:between w:val="nil"/>
              </w:pBdr>
              <w:jc w:val="center"/>
              <w:rPr>
                <w:rFonts w:eastAsia="Times New Roman" w:cs="Calibri"/>
                <w:sz w:val="20"/>
                <w:szCs w:val="20"/>
                <w:lang w:val="en-GB"/>
              </w:rPr>
            </w:pPr>
            <w:r w:rsidRPr="00037C61">
              <w:rPr>
                <w:rFonts w:eastAsia="Calibri" w:cs="Calibri"/>
                <w:sz w:val="20"/>
                <w:szCs w:val="20"/>
                <w:lang w:val="en-GB"/>
              </w:rPr>
              <w:t>Opportunities</w:t>
            </w:r>
          </w:p>
        </w:tc>
        <w:tc>
          <w:tcPr>
            <w:tcW w:w="2827" w:type="dxa"/>
          </w:tcPr>
          <w:p w14:paraId="78029044" w14:textId="77777777" w:rsidR="00BB1B56" w:rsidRPr="00037C61" w:rsidRDefault="00BB1B56" w:rsidP="00BB1B56">
            <w:pPr>
              <w:pBdr>
                <w:top w:val="nil"/>
                <w:left w:val="nil"/>
                <w:bottom w:val="nil"/>
                <w:right w:val="nil"/>
                <w:between w:val="nil"/>
              </w:pBdr>
              <w:jc w:val="center"/>
              <w:rPr>
                <w:rFonts w:eastAsia="Times New Roman" w:cs="Calibri"/>
                <w:sz w:val="20"/>
                <w:szCs w:val="20"/>
                <w:lang w:val="en-GB"/>
              </w:rPr>
            </w:pPr>
            <w:r w:rsidRPr="00037C61">
              <w:rPr>
                <w:rFonts w:eastAsia="Calibri" w:cs="Calibri"/>
                <w:sz w:val="20"/>
                <w:szCs w:val="20"/>
                <w:lang w:val="en-GB"/>
              </w:rPr>
              <w:t>Threats</w:t>
            </w:r>
          </w:p>
        </w:tc>
      </w:tr>
      <w:tr w:rsidR="00BB1B56" w:rsidRPr="004A5488" w14:paraId="1E5CC81D" w14:textId="77777777" w:rsidTr="74CEAA85">
        <w:trPr>
          <w:cnfStyle w:val="000000100000" w:firstRow="0" w:lastRow="0" w:firstColumn="0" w:lastColumn="0" w:oddVBand="0" w:evenVBand="0" w:oddHBand="1" w:evenHBand="0" w:firstRowFirstColumn="0" w:firstRowLastColumn="0" w:lastRowFirstColumn="0" w:lastRowLastColumn="0"/>
        </w:trPr>
        <w:tc>
          <w:tcPr>
            <w:tcW w:w="2955" w:type="dxa"/>
          </w:tcPr>
          <w:p w14:paraId="7F45726D" w14:textId="4CD1AAE3" w:rsidR="006E46CE" w:rsidRPr="00037C61" w:rsidRDefault="006E46CE"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The counties that attract a significant number of migrants are Timiș, Arad and Csongrád-Csanád. This is due to their economic development, most specifically to the attractiveness of the main urban centres of Timișoara, Arad and Szeged, in which have well-developed university environments and good infrastructure accessibility</w:t>
            </w:r>
            <w:r w:rsidR="00344EE8" w:rsidRPr="00037C61">
              <w:rPr>
                <w:rFonts w:eastAsiaTheme="minorEastAsia" w:cs="Calibri"/>
                <w:sz w:val="20"/>
                <w:szCs w:val="20"/>
                <w:lang w:val="en-GB"/>
              </w:rPr>
              <w:t>.</w:t>
            </w:r>
          </w:p>
          <w:p w14:paraId="3E14E4BB" w14:textId="075107BC" w:rsidR="00C24686" w:rsidRPr="00037C61"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Increasing life expectancy in the whole programming area, between 2012-2018, with up to 2 years (Timiș), due to improvements in quality of life and health access</w:t>
            </w:r>
            <w:r w:rsidR="00344EE8" w:rsidRPr="00037C61">
              <w:rPr>
                <w:rFonts w:eastAsiaTheme="minorEastAsia" w:cs="Calibri"/>
                <w:sz w:val="20"/>
                <w:szCs w:val="20"/>
                <w:lang w:val="en-GB"/>
              </w:rPr>
              <w:t>.</w:t>
            </w:r>
            <w:r w:rsidRPr="00037C61">
              <w:rPr>
                <w:rFonts w:eastAsiaTheme="minorEastAsia" w:cs="Calibri"/>
                <w:sz w:val="20"/>
                <w:szCs w:val="20"/>
                <w:lang w:val="en-GB"/>
              </w:rPr>
              <w:t xml:space="preserve"> </w:t>
            </w:r>
          </w:p>
          <w:p w14:paraId="4297BA5E" w14:textId="4AA2739D" w:rsidR="00C24686" w:rsidRPr="00037C61"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Good access to healthcare in the southern part of the programming area –  Csongrád-Csanád (6.3‰ medics per inhabitant) and Timiș (6.2‰ medics per inhabitant)</w:t>
            </w:r>
            <w:r w:rsidR="00344EE8" w:rsidRPr="00037C61">
              <w:rPr>
                <w:rFonts w:eastAsiaTheme="minorEastAsia" w:cs="Calibri"/>
                <w:sz w:val="20"/>
                <w:szCs w:val="20"/>
                <w:lang w:val="en-GB"/>
              </w:rPr>
              <w:t>.</w:t>
            </w:r>
          </w:p>
          <w:p w14:paraId="294E7DDA" w14:textId="655F236C" w:rsidR="008B5AF7" w:rsidRPr="00037C61" w:rsidRDefault="6903ACB1" w:rsidP="74CEAA85">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The cross-border </w:t>
            </w:r>
            <w:r w:rsidR="72BB14D4" w:rsidRPr="00037C61">
              <w:rPr>
                <w:rFonts w:eastAsiaTheme="minorEastAsia" w:cs="Calibri"/>
                <w:sz w:val="20"/>
                <w:szCs w:val="20"/>
                <w:lang w:val="en-GB"/>
              </w:rPr>
              <w:t xml:space="preserve">area </w:t>
            </w:r>
            <w:r w:rsidRPr="00037C61">
              <w:rPr>
                <w:rFonts w:eastAsiaTheme="minorEastAsia" w:cs="Calibri"/>
                <w:sz w:val="20"/>
                <w:szCs w:val="20"/>
                <w:lang w:val="en-GB"/>
              </w:rPr>
              <w:t xml:space="preserve">values for total hospital beds per 100 </w:t>
            </w:r>
            <w:r w:rsidRPr="00037C61">
              <w:rPr>
                <w:rFonts w:eastAsiaTheme="minorEastAsia" w:cs="Calibri"/>
                <w:sz w:val="20"/>
                <w:szCs w:val="20"/>
                <w:lang w:val="en-GB"/>
              </w:rPr>
              <w:lastRenderedPageBreak/>
              <w:t>thousands inhabitants are above the European 27 average (537 European average versus 693 beds per 100</w:t>
            </w:r>
            <w:r w:rsidR="6D8F6765" w:rsidRPr="00037C61">
              <w:rPr>
                <w:rFonts w:eastAsiaTheme="minorEastAsia" w:cs="Calibri"/>
                <w:sz w:val="20"/>
                <w:szCs w:val="20"/>
                <w:lang w:val="en-GB"/>
              </w:rPr>
              <w:t>,</w:t>
            </w:r>
            <w:r w:rsidRPr="00037C61">
              <w:rPr>
                <w:rFonts w:eastAsiaTheme="minorEastAsia" w:cs="Calibri"/>
                <w:sz w:val="20"/>
                <w:szCs w:val="20"/>
                <w:lang w:val="en-GB"/>
              </w:rPr>
              <w:t xml:space="preserve">000 inhabitants average for the PA, in 2018). </w:t>
            </w:r>
          </w:p>
          <w:p w14:paraId="51D57938" w14:textId="345D5F6F" w:rsidR="00C24686" w:rsidRPr="00037C61"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Calibri" w:cs="Calibri"/>
                <w:color w:val="000000" w:themeColor="text1"/>
                <w:sz w:val="20"/>
                <w:szCs w:val="20"/>
                <w:lang w:val="en-GB"/>
              </w:rPr>
              <w:t>The number of people at risk of poverty exclusion has significantly dropped in the last 5 years, with decreases between 8.7% (North West, Romania) to 14.2% (Dél-Alföld, Hungary)</w:t>
            </w:r>
            <w:r w:rsidR="00344EE8" w:rsidRPr="00037C61">
              <w:rPr>
                <w:rFonts w:eastAsia="Calibri" w:cs="Calibri"/>
                <w:color w:val="000000" w:themeColor="text1"/>
                <w:sz w:val="20"/>
                <w:szCs w:val="20"/>
                <w:lang w:val="en-GB"/>
              </w:rPr>
              <w:t>.</w:t>
            </w:r>
            <w:r w:rsidRPr="00037C61">
              <w:rPr>
                <w:rFonts w:eastAsia="Calibri" w:cs="Calibri"/>
                <w:color w:val="000000" w:themeColor="text1"/>
                <w:sz w:val="20"/>
                <w:szCs w:val="20"/>
                <w:lang w:val="en-GB"/>
              </w:rPr>
              <w:t xml:space="preserve"> </w:t>
            </w:r>
          </w:p>
          <w:p w14:paraId="059847B8" w14:textId="7D22F964" w:rsidR="00C24686" w:rsidRPr="00037C61"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Calibri" w:cs="Calibri"/>
                <w:color w:val="000000" w:themeColor="text1"/>
                <w:sz w:val="20"/>
                <w:szCs w:val="20"/>
                <w:lang w:val="en-GB"/>
              </w:rPr>
              <w:t>Employment</w:t>
            </w:r>
            <w:r w:rsidR="00344EE8" w:rsidRPr="00037C61">
              <w:rPr>
                <w:rFonts w:eastAsia="Calibri" w:cs="Calibri"/>
                <w:color w:val="000000" w:themeColor="text1"/>
                <w:sz w:val="20"/>
                <w:szCs w:val="20"/>
                <w:lang w:val="en-GB"/>
              </w:rPr>
              <w:t xml:space="preserve"> rate</w:t>
            </w:r>
            <w:r w:rsidRPr="00037C61">
              <w:rPr>
                <w:rFonts w:eastAsia="Calibri" w:cs="Calibri"/>
                <w:color w:val="000000" w:themeColor="text1"/>
                <w:sz w:val="20"/>
                <w:szCs w:val="20"/>
                <w:lang w:val="en-GB"/>
              </w:rPr>
              <w:t xml:space="preserve"> among active population, with the exception of Satu Mare and Bihor, has recorded a positive trend between 2012-2018; the highest performers are Arad and Timiș, close to 70%</w:t>
            </w:r>
            <w:r w:rsidR="00344EE8" w:rsidRPr="00037C61">
              <w:rPr>
                <w:rFonts w:eastAsia="Calibri" w:cs="Calibri"/>
                <w:color w:val="000000" w:themeColor="text1"/>
                <w:sz w:val="20"/>
                <w:szCs w:val="20"/>
                <w:lang w:val="en-GB"/>
              </w:rPr>
              <w:t>.</w:t>
            </w:r>
            <w:r w:rsidRPr="00037C61">
              <w:rPr>
                <w:rFonts w:eastAsia="Calibri" w:cs="Calibri"/>
                <w:color w:val="000000" w:themeColor="text1"/>
                <w:sz w:val="20"/>
                <w:szCs w:val="20"/>
                <w:lang w:val="en-GB"/>
              </w:rPr>
              <w:t xml:space="preserve"> </w:t>
            </w:r>
          </w:p>
          <w:p w14:paraId="784D1505" w14:textId="41C669E3" w:rsidR="00BB1B56" w:rsidRPr="00037C61"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Generally declining unemployment rates in the region, with </w:t>
            </w:r>
            <w:r w:rsidR="00344EE8" w:rsidRPr="00037C61">
              <w:rPr>
                <w:rFonts w:eastAsiaTheme="minorEastAsia" w:cs="Calibri"/>
                <w:sz w:val="20"/>
                <w:szCs w:val="20"/>
                <w:lang w:val="en-GB"/>
              </w:rPr>
              <w:t xml:space="preserve">very </w:t>
            </w:r>
            <w:r w:rsidRPr="00037C61">
              <w:rPr>
                <w:rFonts w:eastAsiaTheme="minorEastAsia" w:cs="Calibri"/>
                <w:sz w:val="20"/>
                <w:szCs w:val="20"/>
                <w:lang w:val="en-GB"/>
              </w:rPr>
              <w:t>low rates under 2% in the four Romanian counties, down from 3.5% on average in 2010</w:t>
            </w:r>
            <w:r w:rsidR="00344EE8" w:rsidRPr="00037C61">
              <w:rPr>
                <w:rFonts w:eastAsiaTheme="minorEastAsia" w:cs="Calibri"/>
                <w:sz w:val="20"/>
                <w:szCs w:val="20"/>
                <w:lang w:val="en-GB"/>
              </w:rPr>
              <w:t>.</w:t>
            </w:r>
          </w:p>
          <w:p w14:paraId="04A81037" w14:textId="4F7F106F" w:rsidR="00344EE8" w:rsidRPr="00037C61" w:rsidRDefault="00344EE8"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Regarding tertiary education, the PA has a well-developed infrastructure, with Timișoara, Debrecen and </w:t>
            </w:r>
            <w:r w:rsidRPr="00037C61">
              <w:rPr>
                <w:rFonts w:eastAsiaTheme="minorEastAsia" w:cs="Calibri"/>
                <w:sz w:val="20"/>
                <w:szCs w:val="20"/>
                <w:lang w:val="en-GB"/>
              </w:rPr>
              <w:lastRenderedPageBreak/>
              <w:t xml:space="preserve">Szeged representing established university centres offering a diverse specialisation profile, and smaller centres such as Oradea, Nyíregyháza and Arad having a complementary educational offer. The PA currently hosts approximately </w:t>
            </w:r>
            <w:r w:rsidR="00A1256E" w:rsidRPr="00037C61">
              <w:rPr>
                <w:rFonts w:eastAsiaTheme="minorEastAsia" w:cs="Calibri"/>
                <w:sz w:val="20"/>
                <w:szCs w:val="20"/>
                <w:lang w:val="en-GB"/>
              </w:rPr>
              <w:t>1</w:t>
            </w:r>
            <w:r w:rsidR="00A1256E">
              <w:rPr>
                <w:rFonts w:eastAsiaTheme="minorEastAsia" w:cs="Calibri"/>
                <w:sz w:val="20"/>
                <w:szCs w:val="20"/>
                <w:lang w:val="en-GB"/>
              </w:rPr>
              <w:t>12</w:t>
            </w:r>
            <w:r w:rsidR="0032601C" w:rsidRPr="00037C61">
              <w:rPr>
                <w:rFonts w:eastAsiaTheme="minorEastAsia" w:cs="Calibri"/>
                <w:sz w:val="20"/>
                <w:szCs w:val="20"/>
                <w:lang w:val="en-GB"/>
              </w:rPr>
              <w:t>,000 students</w:t>
            </w:r>
            <w:r w:rsidR="00A1256E">
              <w:rPr>
                <w:rFonts w:eastAsiaTheme="minorEastAsia" w:cs="Calibri"/>
                <w:sz w:val="20"/>
                <w:szCs w:val="20"/>
                <w:lang w:val="en-GB"/>
              </w:rPr>
              <w:t>, without considering private universities</w:t>
            </w:r>
            <w:r w:rsidRPr="00037C61">
              <w:rPr>
                <w:rFonts w:eastAsiaTheme="minorEastAsia" w:cs="Calibri"/>
                <w:sz w:val="20"/>
                <w:szCs w:val="20"/>
                <w:lang w:val="en-GB"/>
              </w:rPr>
              <w:t>.</w:t>
            </w:r>
            <w:r w:rsidR="009300B5">
              <w:rPr>
                <w:rFonts w:eastAsiaTheme="minorEastAsia" w:cs="Calibri"/>
                <w:sz w:val="20"/>
                <w:szCs w:val="20"/>
                <w:lang w:val="en-GB"/>
              </w:rPr>
              <w:t xml:space="preserve"> The most students are enrolled in Timișoara (34.4%) followed by Debrecen (25%) and Szeged (18.75%)</w:t>
            </w:r>
          </w:p>
          <w:p w14:paraId="3E82C7CA" w14:textId="38F501F4" w:rsidR="00344EE8" w:rsidRPr="00037C61" w:rsidRDefault="00344EE8" w:rsidP="00014AA0">
            <w:pPr>
              <w:numPr>
                <w:ilvl w:val="0"/>
                <w:numId w:val="12"/>
              </w:numPr>
              <w:spacing w:after="240"/>
              <w:ind w:left="306"/>
              <w:rPr>
                <w:rFonts w:eastAsiaTheme="minorEastAsia" w:cs="Calibri"/>
                <w:sz w:val="20"/>
                <w:szCs w:val="20"/>
                <w:lang w:val="en-GB"/>
              </w:rPr>
            </w:pPr>
            <w:r w:rsidRPr="00037C61">
              <w:rPr>
                <w:rFonts w:eastAsia="Calibri" w:cs="Calibri"/>
                <w:color w:val="000000" w:themeColor="text1"/>
                <w:sz w:val="20"/>
                <w:szCs w:val="20"/>
                <w:lang w:val="en-GB"/>
              </w:rPr>
              <w:t>Between the main universities in the PA, there is a high number of common research domains (Agriculture, Medicine, Pharmacy, Engineering, Science, Art, Social science, Business, Geography), some of which have prompted cooperation agreements in the past (for example, geothermal research agreement between Politehnica University of Timișoara and University of Debrecen)</w:t>
            </w:r>
            <w:r w:rsidR="008B5AF7" w:rsidRPr="00037C61">
              <w:rPr>
                <w:rFonts w:eastAsia="Calibri" w:cs="Calibri"/>
                <w:color w:val="000000" w:themeColor="text1"/>
                <w:sz w:val="20"/>
                <w:szCs w:val="20"/>
                <w:lang w:val="en-GB"/>
              </w:rPr>
              <w:t>.</w:t>
            </w:r>
          </w:p>
          <w:p w14:paraId="3159A5E1" w14:textId="6AD041B4" w:rsidR="00FC3ABA" w:rsidRPr="00037C61" w:rsidRDefault="60C2B669" w:rsidP="74CEAA85">
            <w:pPr>
              <w:numPr>
                <w:ilvl w:val="0"/>
                <w:numId w:val="12"/>
              </w:numPr>
              <w:pBdr>
                <w:top w:val="nil"/>
                <w:left w:val="nil"/>
                <w:bottom w:val="nil"/>
                <w:right w:val="nil"/>
                <w:between w:val="nil"/>
              </w:pBdr>
              <w:spacing w:after="240"/>
              <w:ind w:left="306"/>
              <w:rPr>
                <w:rFonts w:asciiTheme="minorHAnsi" w:eastAsiaTheme="minorEastAsia" w:hAnsiTheme="minorHAnsi"/>
                <w:sz w:val="20"/>
                <w:szCs w:val="20"/>
                <w:lang w:val="en-GB"/>
              </w:rPr>
            </w:pPr>
            <w:r w:rsidRPr="00037C61">
              <w:rPr>
                <w:rFonts w:eastAsiaTheme="minorEastAsia" w:cs="Calibri"/>
                <w:sz w:val="20"/>
                <w:szCs w:val="20"/>
                <w:lang w:val="en-GB"/>
              </w:rPr>
              <w:lastRenderedPageBreak/>
              <w:t>Major cities</w:t>
            </w:r>
            <w:r w:rsidR="5FE694C5" w:rsidRPr="00037C61">
              <w:rPr>
                <w:rFonts w:eastAsiaTheme="minorEastAsia" w:cs="Calibri"/>
                <w:sz w:val="20"/>
                <w:szCs w:val="20"/>
                <w:lang w:val="en-GB"/>
              </w:rPr>
              <w:t>, with well developed human capital,</w:t>
            </w:r>
            <w:r w:rsidR="3BF1A5E3" w:rsidRPr="00037C61">
              <w:rPr>
                <w:rFonts w:eastAsiaTheme="minorEastAsia" w:cs="Calibri"/>
                <w:sz w:val="20"/>
                <w:szCs w:val="20"/>
                <w:lang w:val="en-GB"/>
              </w:rPr>
              <w:t xml:space="preserve"> educational, social and health</w:t>
            </w:r>
            <w:r w:rsidR="5FE694C5" w:rsidRPr="00037C61">
              <w:rPr>
                <w:rFonts w:eastAsiaTheme="minorEastAsia" w:cs="Calibri"/>
                <w:sz w:val="20"/>
                <w:szCs w:val="20"/>
                <w:lang w:val="en-GB"/>
              </w:rPr>
              <w:t xml:space="preserve"> services and infrastructure</w:t>
            </w:r>
            <w:r w:rsidRPr="00037C61">
              <w:rPr>
                <w:rFonts w:eastAsiaTheme="minorEastAsia" w:cs="Calibri"/>
                <w:sz w:val="20"/>
                <w:szCs w:val="20"/>
                <w:lang w:val="en-GB"/>
              </w:rPr>
              <w:t xml:space="preserve"> like Arad, Oradea, Szeged, Debrecen, Békéscsaba, Satu Mare are very close to the border (20-40km). Timișoara is situated at approximately 114</w:t>
            </w:r>
            <w:r w:rsidR="5032EF78" w:rsidRPr="00037C61">
              <w:rPr>
                <w:rFonts w:eastAsiaTheme="minorEastAsia" w:cs="Calibri"/>
                <w:sz w:val="20"/>
                <w:szCs w:val="20"/>
                <w:lang w:val="en-GB"/>
              </w:rPr>
              <w:t xml:space="preserve"> </w:t>
            </w:r>
            <w:r w:rsidRPr="00037C61">
              <w:rPr>
                <w:rFonts w:eastAsiaTheme="minorEastAsia" w:cs="Calibri"/>
                <w:sz w:val="20"/>
                <w:szCs w:val="20"/>
                <w:lang w:val="en-GB"/>
              </w:rPr>
              <w:t>km away from the closest border point (one hour on highway) and Nyíregyháza at 65</w:t>
            </w:r>
            <w:r w:rsidR="32DA97EB" w:rsidRPr="00037C61">
              <w:rPr>
                <w:rFonts w:eastAsiaTheme="minorEastAsia" w:cs="Calibri"/>
                <w:sz w:val="20"/>
                <w:szCs w:val="20"/>
                <w:lang w:val="en-GB"/>
              </w:rPr>
              <w:t xml:space="preserve"> </w:t>
            </w:r>
            <w:r w:rsidRPr="00037C61">
              <w:rPr>
                <w:rFonts w:eastAsiaTheme="minorEastAsia" w:cs="Calibri"/>
                <w:sz w:val="20"/>
                <w:szCs w:val="20"/>
                <w:lang w:val="en-GB"/>
              </w:rPr>
              <w:t>km.</w:t>
            </w:r>
          </w:p>
        </w:tc>
        <w:tc>
          <w:tcPr>
            <w:tcW w:w="5120" w:type="dxa"/>
          </w:tcPr>
          <w:p w14:paraId="30AD20EF" w14:textId="26F7C6F7" w:rsidR="008B5AF7" w:rsidRPr="00C017F3" w:rsidRDefault="1FEA610E" w:rsidP="48589249">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283B08">
              <w:rPr>
                <w:rFonts w:eastAsiaTheme="minorEastAsia" w:cs="Calibri"/>
                <w:sz w:val="20"/>
                <w:szCs w:val="20"/>
                <w:lang w:val="en-GB"/>
              </w:rPr>
              <w:lastRenderedPageBreak/>
              <w:t>The average number of beds per 100 000 inhabitants in the PA is below the Hungarian and Romanian national average of hospital beds</w:t>
            </w:r>
            <w:r w:rsidR="0A17771F" w:rsidRPr="00283B08">
              <w:rPr>
                <w:rFonts w:eastAsiaTheme="minorEastAsia" w:cs="Calibri"/>
                <w:sz w:val="20"/>
                <w:szCs w:val="20"/>
                <w:lang w:val="en-GB"/>
              </w:rPr>
              <w:t>, but</w:t>
            </w:r>
            <w:r w:rsidRPr="00283B08">
              <w:rPr>
                <w:rFonts w:eastAsiaTheme="minorEastAsia" w:cs="Calibri"/>
                <w:sz w:val="20"/>
                <w:szCs w:val="20"/>
                <w:lang w:val="en-GB"/>
              </w:rPr>
              <w:t xml:space="preserve"> are above the European average (701.29 and 696.83)</w:t>
            </w:r>
            <w:r w:rsidRPr="00C017F3">
              <w:rPr>
                <w:rFonts w:eastAsiaTheme="minorEastAsia" w:cs="Calibri"/>
                <w:sz w:val="20"/>
                <w:szCs w:val="20"/>
                <w:lang w:val="en-GB"/>
              </w:rPr>
              <w:t>.</w:t>
            </w:r>
          </w:p>
          <w:p w14:paraId="385D53EB" w14:textId="492A3AE5" w:rsidR="008B5AF7" w:rsidRPr="00C017F3" w:rsidRDefault="008B5AF7"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283B08">
              <w:rPr>
                <w:rFonts w:eastAsiaTheme="minorEastAsia" w:cs="Calibri"/>
                <w:sz w:val="20"/>
                <w:szCs w:val="20"/>
                <w:lang w:val="en-GB"/>
              </w:rPr>
              <w:t>Disparities in the distribution of health ambulatories in the PA, with concentration of services and infrastructures near urban centres, especially on the Romanian side of the border</w:t>
            </w:r>
            <w:r w:rsidRPr="00C017F3">
              <w:rPr>
                <w:rFonts w:eastAsiaTheme="minorEastAsia" w:cs="Calibri"/>
                <w:sz w:val="20"/>
                <w:szCs w:val="20"/>
                <w:lang w:val="en-GB"/>
              </w:rPr>
              <w:t>.</w:t>
            </w:r>
          </w:p>
          <w:p w14:paraId="39672CE8" w14:textId="292F603F" w:rsidR="00D053C7" w:rsidRPr="00037C61" w:rsidRDefault="00D053C7" w:rsidP="00014AA0">
            <w:pPr>
              <w:numPr>
                <w:ilvl w:val="0"/>
                <w:numId w:val="12"/>
              </w:numPr>
              <w:spacing w:after="240"/>
              <w:ind w:left="306"/>
              <w:rPr>
                <w:sz w:val="20"/>
                <w:szCs w:val="20"/>
                <w:lang w:val="en-GB"/>
              </w:rPr>
            </w:pPr>
            <w:r w:rsidRPr="00037C61">
              <w:rPr>
                <w:rFonts w:eastAsia="Calibri" w:cs="Calibri"/>
                <w:color w:val="000000" w:themeColor="text1"/>
                <w:sz w:val="20"/>
                <w:szCs w:val="20"/>
                <w:lang w:val="en-GB"/>
              </w:rPr>
              <w:t>The population density is very low in the scattered settlement network of the east region of Bihor and Timiș (part of it because of the terrain conditions - hills and mountains)</w:t>
            </w:r>
            <w:r w:rsidR="00194127" w:rsidRPr="00037C61">
              <w:rPr>
                <w:rFonts w:eastAsia="Calibri" w:cs="Calibri"/>
                <w:color w:val="000000" w:themeColor="text1"/>
                <w:sz w:val="20"/>
                <w:szCs w:val="20"/>
                <w:lang w:val="en-GB"/>
              </w:rPr>
              <w:t>.</w:t>
            </w:r>
            <w:r w:rsidRPr="00037C61">
              <w:rPr>
                <w:sz w:val="20"/>
                <w:szCs w:val="20"/>
                <w:lang w:val="en-GB"/>
              </w:rPr>
              <w:t xml:space="preserve"> Corroborated with the ageing population trend and high old age dependency values, those scattered areas face major abandonment.</w:t>
            </w:r>
            <w:r w:rsidRPr="00037C61">
              <w:rPr>
                <w:rFonts w:eastAsia="Calibri" w:cs="Calibri"/>
                <w:color w:val="000000" w:themeColor="text1"/>
                <w:sz w:val="20"/>
                <w:szCs w:val="20"/>
                <w:lang w:val="en-GB"/>
              </w:rPr>
              <w:t xml:space="preserve"> This increasing trend of territorial disparities between rural and urban areas and between larger urban centres and minor urban centres is a weakness which puts strain on the capacity of rural areas and small cities to provide quality infrastructure and services for the inhabitants. </w:t>
            </w:r>
          </w:p>
          <w:p w14:paraId="0DA03638" w14:textId="3F3B374B" w:rsidR="00D632B9" w:rsidRPr="00067E4D" w:rsidRDefault="00D632B9"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Decrease in the number of graduates almost across the board, with stronger decreases in ISCED 3 graduation levels (-7.4% to -22.1% in Satu Mare) and ISCED 5 and above (up </w:t>
            </w:r>
            <w:r w:rsidRPr="00067E4D">
              <w:rPr>
                <w:rFonts w:eastAsiaTheme="minorEastAsia" w:cs="Calibri"/>
                <w:sz w:val="20"/>
                <w:szCs w:val="20"/>
                <w:lang w:val="en-GB"/>
              </w:rPr>
              <w:t>to -27.6% in Arad, for the period 2014-2017)</w:t>
            </w:r>
            <w:r w:rsidR="00344EE8" w:rsidRPr="00067E4D">
              <w:rPr>
                <w:rFonts w:eastAsiaTheme="minorEastAsia" w:cs="Calibri"/>
                <w:sz w:val="20"/>
                <w:szCs w:val="20"/>
                <w:lang w:val="en-GB"/>
              </w:rPr>
              <w:t>.</w:t>
            </w:r>
            <w:r w:rsidRPr="00067E4D">
              <w:rPr>
                <w:rFonts w:eastAsiaTheme="minorEastAsia" w:cs="Calibri"/>
                <w:sz w:val="20"/>
                <w:szCs w:val="20"/>
                <w:lang w:val="en-GB"/>
              </w:rPr>
              <w:t xml:space="preserve"> </w:t>
            </w:r>
          </w:p>
          <w:p w14:paraId="5F82BF3A" w14:textId="7ECBE869" w:rsidR="00B01CC8" w:rsidRPr="00067E4D" w:rsidRDefault="00D632B9"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67E4D">
              <w:rPr>
                <w:rFonts w:eastAsiaTheme="minorEastAsia" w:cs="Calibri"/>
                <w:sz w:val="20"/>
                <w:szCs w:val="20"/>
                <w:lang w:val="en-GB"/>
              </w:rPr>
              <w:t>The percentage of population with no education in Romanian counties is 2 to 6 times higher than the percentage recorded in Hungarian counties (1.9 – 3.1%, as opposed to 0.4 – 0.9%</w:t>
            </w:r>
            <w:r w:rsidR="00B01CC8" w:rsidRPr="00067E4D">
              <w:rPr>
                <w:rFonts w:eastAsiaTheme="minorEastAsia" w:cs="Calibri"/>
                <w:sz w:val="20"/>
                <w:szCs w:val="20"/>
                <w:lang w:val="en-GB"/>
              </w:rPr>
              <w:t>.</w:t>
            </w:r>
          </w:p>
          <w:p w14:paraId="57C4D347" w14:textId="77777777" w:rsidR="00C24686" w:rsidRPr="00067E4D"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67E4D">
              <w:rPr>
                <w:rFonts w:eastAsiaTheme="minorEastAsia" w:cs="Calibri"/>
                <w:sz w:val="20"/>
                <w:szCs w:val="20"/>
                <w:lang w:val="en-GB"/>
              </w:rPr>
              <w:lastRenderedPageBreak/>
              <w:t xml:space="preserve">There is a disparity between Romania and Hungary in what concerns the average number of pupils to a school teacher, especially for ISCED 1-2 and ISCED 4 levels, where the Romanian values are 3-8 times higher. This indicator has an important impact on the quality of education services.  </w:t>
            </w:r>
          </w:p>
          <w:p w14:paraId="34EA21DC" w14:textId="77777777" w:rsidR="00C24686" w:rsidRPr="00067E4D"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67E4D">
              <w:rPr>
                <w:rFonts w:eastAsiaTheme="minorEastAsia" w:cs="Calibri"/>
                <w:sz w:val="20"/>
                <w:szCs w:val="20"/>
                <w:lang w:val="en-GB"/>
              </w:rPr>
              <w:t>Although there is a continuously decreasing trend for infant mortality in all the region, some Romanian and Hungarian counties still present slightly higher values also in European context (7</w:t>
            </w:r>
            <w:r w:rsidRPr="00067E4D">
              <w:rPr>
                <w:rFonts w:cs="Calibri"/>
                <w:sz w:val="20"/>
                <w:szCs w:val="20"/>
                <w:lang w:val="en-GB"/>
              </w:rPr>
              <w:t>‰ in Satu Mare and Bihor, 5.1‰ in Szabolcs-Szatmár-Bereg, versus 3.6‰ average for EU-28);</w:t>
            </w:r>
          </w:p>
          <w:p w14:paraId="1521D150" w14:textId="4D495F0D" w:rsidR="00C24686" w:rsidRPr="00067E4D" w:rsidRDefault="0F57D419" w:rsidP="48589249">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67E4D">
              <w:rPr>
                <w:rFonts w:eastAsiaTheme="minorEastAsia" w:cs="Calibri"/>
                <w:sz w:val="20"/>
                <w:szCs w:val="20"/>
                <w:lang w:val="en-GB"/>
              </w:rPr>
              <w:t>Although AROPE percentages have decreased, there is still a percentage of 23.3% of people at risk of poverty or social exclusion in Hungary, and 3</w:t>
            </w:r>
            <w:r w:rsidR="7B87F1D2" w:rsidRPr="00067E4D">
              <w:rPr>
                <w:rFonts w:eastAsiaTheme="minorEastAsia" w:cs="Calibri"/>
                <w:sz w:val="20"/>
                <w:szCs w:val="20"/>
                <w:lang w:val="en-GB"/>
              </w:rPr>
              <w:t>1.2</w:t>
            </w:r>
            <w:r w:rsidRPr="00067E4D">
              <w:rPr>
                <w:rFonts w:eastAsiaTheme="minorEastAsia" w:cs="Calibri"/>
                <w:sz w:val="20"/>
                <w:szCs w:val="20"/>
                <w:lang w:val="en-GB"/>
              </w:rPr>
              <w:t>% in Romania</w:t>
            </w:r>
            <w:r w:rsidR="00CB9433" w:rsidRPr="00067E4D">
              <w:rPr>
                <w:rFonts w:eastAsiaTheme="minorEastAsia" w:cs="Calibri"/>
                <w:sz w:val="20"/>
                <w:szCs w:val="20"/>
                <w:lang w:val="en-GB"/>
              </w:rPr>
              <w:t>.</w:t>
            </w:r>
            <w:r w:rsidRPr="00067E4D">
              <w:rPr>
                <w:rFonts w:eastAsiaTheme="minorEastAsia" w:cs="Calibri"/>
                <w:sz w:val="20"/>
                <w:szCs w:val="20"/>
                <w:lang w:val="en-GB"/>
              </w:rPr>
              <w:t xml:space="preserve">  </w:t>
            </w:r>
            <w:r w:rsidR="009B0378" w:rsidRPr="00067E4D">
              <w:rPr>
                <w:rFonts w:eastAsiaTheme="minorEastAsia" w:cs="Calibri"/>
                <w:sz w:val="20"/>
                <w:szCs w:val="20"/>
                <w:lang w:val="en-GB"/>
              </w:rPr>
              <w:t>Both rates are still</w:t>
            </w:r>
            <w:r w:rsidR="009B0378" w:rsidRPr="00067E4D">
              <w:rPr>
                <w:rFonts w:eastAsia="Calibri" w:cs="Calibri"/>
                <w:color w:val="000000" w:themeColor="text1"/>
                <w:sz w:val="20"/>
                <w:szCs w:val="20"/>
                <w:lang w:val="en-GB"/>
              </w:rPr>
              <w:t xml:space="preserve"> higher than the national averages.</w:t>
            </w:r>
            <w:r w:rsidR="009B0378" w:rsidRPr="00067E4D">
              <w:rPr>
                <w:rFonts w:eastAsiaTheme="minorEastAsia" w:cs="Calibri"/>
                <w:sz w:val="20"/>
                <w:szCs w:val="20"/>
                <w:lang w:val="en-GB"/>
              </w:rPr>
              <w:t xml:space="preserve"> </w:t>
            </w:r>
          </w:p>
          <w:p w14:paraId="41D8C3B4" w14:textId="2C71BC20" w:rsidR="00CB74AF" w:rsidRPr="00067E4D" w:rsidRDefault="50AAAF74" w:rsidP="74CEAA85">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67E4D">
              <w:rPr>
                <w:rFonts w:eastAsia="Calibri" w:cs="Calibri"/>
                <w:color w:val="000000" w:themeColor="text1"/>
                <w:sz w:val="20"/>
                <w:szCs w:val="20"/>
                <w:lang w:val="en-GB"/>
              </w:rPr>
              <w:t xml:space="preserve">People at risk of poverty represent high shares of the population in the rural </w:t>
            </w:r>
            <w:r w:rsidR="727DBD81" w:rsidRPr="00067E4D">
              <w:rPr>
                <w:rFonts w:eastAsia="Calibri" w:cs="Calibri"/>
                <w:color w:val="000000" w:themeColor="text1"/>
                <w:sz w:val="20"/>
                <w:szCs w:val="20"/>
                <w:lang w:val="en-GB"/>
              </w:rPr>
              <w:t>area</w:t>
            </w:r>
            <w:r w:rsidRPr="00067E4D">
              <w:rPr>
                <w:rFonts w:eastAsia="Calibri" w:cs="Calibri"/>
                <w:color w:val="000000" w:themeColor="text1"/>
                <w:sz w:val="20"/>
                <w:szCs w:val="20"/>
                <w:lang w:val="en-GB"/>
              </w:rPr>
              <w:t xml:space="preserve">, especially in the Romanian </w:t>
            </w:r>
            <w:r w:rsidR="7F4D2E72" w:rsidRPr="00067E4D">
              <w:rPr>
                <w:rFonts w:eastAsia="Calibri" w:cs="Calibri"/>
                <w:color w:val="000000" w:themeColor="text1"/>
                <w:sz w:val="20"/>
                <w:szCs w:val="20"/>
                <w:lang w:val="en-GB"/>
              </w:rPr>
              <w:t xml:space="preserve">side of the </w:t>
            </w:r>
            <w:r w:rsidRPr="00067E4D">
              <w:rPr>
                <w:rFonts w:eastAsia="Calibri" w:cs="Calibri"/>
                <w:color w:val="000000" w:themeColor="text1"/>
                <w:sz w:val="20"/>
                <w:szCs w:val="20"/>
                <w:lang w:val="en-GB"/>
              </w:rPr>
              <w:t>cross-border region. 8% of population in Arad are disadvantaged on employment criteria</w:t>
            </w:r>
            <w:r w:rsidR="7F4D2E72" w:rsidRPr="00067E4D">
              <w:rPr>
                <w:rFonts w:eastAsia="Calibri" w:cs="Calibri"/>
                <w:color w:val="000000" w:themeColor="text1"/>
                <w:sz w:val="20"/>
                <w:szCs w:val="20"/>
                <w:lang w:val="en-GB"/>
              </w:rPr>
              <w:t xml:space="preserve"> (households with low participation to the labour market),</w:t>
            </w:r>
            <w:r w:rsidRPr="00067E4D">
              <w:rPr>
                <w:rFonts w:eastAsia="Calibri" w:cs="Calibri"/>
                <w:color w:val="000000" w:themeColor="text1"/>
                <w:sz w:val="20"/>
                <w:szCs w:val="20"/>
                <w:lang w:val="en-GB"/>
              </w:rPr>
              <w:t xml:space="preserve"> while on the Hungarian side of the programming area, 139 LAU2 units in </w:t>
            </w:r>
            <w:r w:rsidRPr="00067E4D">
              <w:rPr>
                <w:rFonts w:cs="Calibri"/>
                <w:sz w:val="20"/>
                <w:szCs w:val="20"/>
                <w:lang w:val="en-GB"/>
              </w:rPr>
              <w:t xml:space="preserve">Szabolcs-Szatmár-Bereg are confronted with significant unemployment: this represents a common challenge in the region. </w:t>
            </w:r>
          </w:p>
          <w:p w14:paraId="3B9B1B49" w14:textId="1F4596DB" w:rsidR="00EB70BF" w:rsidRPr="00037C61" w:rsidRDefault="00C24686"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Relevant intraregional disparity on the Romanian side, between the northern two counties (Satu Mare, Bihor) and Arad and Timiș, in what concerns employment </w:t>
            </w:r>
            <w:r w:rsidR="00481394" w:rsidRPr="00037C61">
              <w:rPr>
                <w:rFonts w:eastAsiaTheme="minorEastAsia" w:cs="Calibri"/>
                <w:sz w:val="20"/>
                <w:szCs w:val="20"/>
                <w:lang w:val="en-GB"/>
              </w:rPr>
              <w:t xml:space="preserve">rates </w:t>
            </w:r>
            <w:r w:rsidRPr="00037C61">
              <w:rPr>
                <w:rFonts w:eastAsiaTheme="minorEastAsia" w:cs="Calibri"/>
                <w:sz w:val="20"/>
                <w:szCs w:val="20"/>
                <w:lang w:val="en-GB"/>
              </w:rPr>
              <w:t>and trends. The northern part of the programme area has witnessed a lowering of employment in the last 7 years</w:t>
            </w:r>
            <w:r w:rsidR="00481394" w:rsidRPr="00037C61">
              <w:rPr>
                <w:rFonts w:eastAsiaTheme="minorEastAsia" w:cs="Calibri"/>
                <w:sz w:val="20"/>
                <w:szCs w:val="20"/>
                <w:lang w:val="en-GB"/>
              </w:rPr>
              <w:t xml:space="preserve">. </w:t>
            </w:r>
            <w:r w:rsidR="00481394" w:rsidRPr="00037C61">
              <w:rPr>
                <w:rFonts w:eastAsiaTheme="minorEastAsia" w:cs="Calibri"/>
                <w:sz w:val="20"/>
                <w:szCs w:val="20"/>
                <w:lang w:val="en-GB"/>
              </w:rPr>
              <w:lastRenderedPageBreak/>
              <w:t xml:space="preserve">Territorial disparities are also observed between RO and HU, with generally higher unemployment rates on the Hungarian side of the border, especially in </w:t>
            </w:r>
            <w:r w:rsidR="00481394" w:rsidRPr="00037C61">
              <w:rPr>
                <w:sz w:val="20"/>
                <w:szCs w:val="20"/>
                <w:lang w:val="en-GB"/>
              </w:rPr>
              <w:t xml:space="preserve">Szabolcs-Szatmár-Bereg and Békés counties (between 5 and 6%), which is higher than the national HU average. </w:t>
            </w:r>
            <w:r w:rsidR="00EB70BF" w:rsidRPr="00037C61">
              <w:rPr>
                <w:rFonts w:eastAsiaTheme="minorEastAsia" w:cs="Calibri"/>
                <w:sz w:val="20"/>
                <w:szCs w:val="20"/>
                <w:lang w:val="en-GB"/>
              </w:rPr>
              <w:t>The vast majority of unemployed persons in the Romanian counties (64-90%) are lower-skilled graduates of ISCED 1-2 levels, and this percentage is also significant for Hungarian counties. This makes the unemployed persons more exposed to long-term unemployment, which may translate into growing inactivity rate in the even longer term.</w:t>
            </w:r>
          </w:p>
          <w:p w14:paraId="1CE35C4E" w14:textId="2F62608B" w:rsidR="00CB74AF" w:rsidRPr="00037C61" w:rsidRDefault="00CB74AF"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Due to the dominant position of Timișoara, with four universities, there is a disparity in attractiveness and a gravitational tendency towards Timișoara. As a </w:t>
            </w:r>
            <w:r w:rsidR="0032601C" w:rsidRPr="00037C61">
              <w:rPr>
                <w:rFonts w:eastAsiaTheme="minorEastAsia" w:cs="Calibri"/>
                <w:sz w:val="20"/>
                <w:szCs w:val="20"/>
                <w:lang w:val="en-GB"/>
              </w:rPr>
              <w:t>result,</w:t>
            </w:r>
            <w:r w:rsidRPr="00037C61">
              <w:rPr>
                <w:rFonts w:eastAsiaTheme="minorEastAsia" w:cs="Calibri"/>
                <w:sz w:val="20"/>
                <w:szCs w:val="20"/>
                <w:lang w:val="en-GB"/>
              </w:rPr>
              <w:t xml:space="preserve"> the difference between the number of </w:t>
            </w:r>
            <w:r w:rsidR="0032601C" w:rsidRPr="00037C61">
              <w:rPr>
                <w:rFonts w:eastAsiaTheme="minorEastAsia" w:cs="Calibri"/>
                <w:sz w:val="20"/>
                <w:szCs w:val="20"/>
                <w:lang w:val="en-GB"/>
              </w:rPr>
              <w:t>youths</w:t>
            </w:r>
            <w:r w:rsidRPr="00037C61">
              <w:rPr>
                <w:rFonts w:eastAsiaTheme="minorEastAsia" w:cs="Calibri"/>
                <w:sz w:val="20"/>
                <w:szCs w:val="20"/>
                <w:lang w:val="en-GB"/>
              </w:rPr>
              <w:t xml:space="preserve"> enrolled in tertiary education in Timiș and the rest of the eight counties is between half (Bihor) and 40 times lower (Satu Mare); </w:t>
            </w:r>
          </w:p>
          <w:p w14:paraId="66FE1731" w14:textId="5AFC94AB" w:rsidR="00BB1B56" w:rsidRPr="00037C61" w:rsidRDefault="52230E0C" w:rsidP="48589249">
            <w:pPr>
              <w:numPr>
                <w:ilvl w:val="0"/>
                <w:numId w:val="12"/>
              </w:numPr>
              <w:pBdr>
                <w:top w:val="nil"/>
                <w:left w:val="nil"/>
                <w:bottom w:val="nil"/>
                <w:right w:val="nil"/>
                <w:between w:val="nil"/>
              </w:pBdr>
              <w:spacing w:after="240"/>
              <w:ind w:left="306"/>
              <w:rPr>
                <w:rFonts w:eastAsiaTheme="minorEastAsia" w:cs="Calibri"/>
                <w:color w:val="000000" w:themeColor="text1"/>
                <w:sz w:val="20"/>
                <w:szCs w:val="20"/>
                <w:lang w:val="en-GB"/>
              </w:rPr>
            </w:pPr>
            <w:r w:rsidRPr="00037C61">
              <w:rPr>
                <w:rFonts w:eastAsia="Calibri" w:cs="Calibri"/>
                <w:color w:val="000000" w:themeColor="text1"/>
                <w:sz w:val="20"/>
                <w:szCs w:val="20"/>
                <w:lang w:val="en-GB"/>
              </w:rPr>
              <w:t xml:space="preserve">Bihor and Satu Mare are the only </w:t>
            </w:r>
            <w:r w:rsidR="3A146EF7" w:rsidRPr="00037C61">
              <w:rPr>
                <w:rFonts w:eastAsia="Calibri" w:cs="Calibri"/>
                <w:color w:val="000000" w:themeColor="text1"/>
                <w:sz w:val="20"/>
                <w:szCs w:val="20"/>
                <w:lang w:val="en-GB"/>
              </w:rPr>
              <w:t>counties</w:t>
            </w:r>
            <w:r w:rsidR="3FE49808" w:rsidRPr="00037C61">
              <w:rPr>
                <w:rFonts w:eastAsia="Calibri" w:cs="Calibri"/>
                <w:color w:val="000000" w:themeColor="text1"/>
                <w:sz w:val="20"/>
                <w:szCs w:val="20"/>
                <w:lang w:val="en-GB"/>
              </w:rPr>
              <w:t xml:space="preserve"> in the </w:t>
            </w:r>
            <w:r w:rsidR="0032601C" w:rsidRPr="00037C61">
              <w:rPr>
                <w:rFonts w:eastAsia="Calibri" w:cs="Calibri"/>
                <w:color w:val="000000" w:themeColor="text1"/>
                <w:sz w:val="20"/>
                <w:szCs w:val="20"/>
                <w:lang w:val="en-GB"/>
              </w:rPr>
              <w:t>region with</w:t>
            </w:r>
            <w:r w:rsidRPr="00037C61">
              <w:rPr>
                <w:rFonts w:eastAsia="Calibri" w:cs="Calibri"/>
                <w:color w:val="000000" w:themeColor="text1"/>
                <w:sz w:val="20"/>
                <w:szCs w:val="20"/>
                <w:lang w:val="en-GB"/>
              </w:rPr>
              <w:t xml:space="preserve"> negative trends in the proportion of economically active population</w:t>
            </w:r>
            <w:r w:rsidR="5623EDEC" w:rsidRPr="00037C61">
              <w:rPr>
                <w:rFonts w:eastAsia="Calibri" w:cs="Calibri"/>
                <w:color w:val="000000" w:themeColor="text1"/>
                <w:sz w:val="20"/>
                <w:szCs w:val="20"/>
                <w:lang w:val="en-GB"/>
              </w:rPr>
              <w:t>;</w:t>
            </w:r>
          </w:p>
          <w:p w14:paraId="7D11A9C0" w14:textId="4A3DC5BE" w:rsidR="00BB1B56" w:rsidRPr="00037C61" w:rsidRDefault="3002C4ED" w:rsidP="48589249">
            <w:pPr>
              <w:numPr>
                <w:ilvl w:val="0"/>
                <w:numId w:val="12"/>
              </w:numPr>
              <w:pBdr>
                <w:top w:val="nil"/>
                <w:left w:val="nil"/>
                <w:bottom w:val="nil"/>
                <w:right w:val="nil"/>
                <w:between w:val="nil"/>
              </w:pBdr>
              <w:spacing w:after="240"/>
              <w:ind w:left="306"/>
              <w:rPr>
                <w:rFonts w:eastAsiaTheme="minorEastAsia" w:cs="Calibri"/>
                <w:color w:val="000000" w:themeColor="text1"/>
                <w:sz w:val="20"/>
                <w:szCs w:val="20"/>
                <w:lang w:val="en-GB"/>
              </w:rPr>
            </w:pPr>
            <w:r w:rsidRPr="00037C61">
              <w:rPr>
                <w:rFonts w:eastAsia="Calibri" w:cs="Calibri"/>
                <w:color w:val="000000" w:themeColor="text1"/>
                <w:sz w:val="20"/>
                <w:szCs w:val="20"/>
                <w:lang w:val="en-GB"/>
              </w:rPr>
              <w:t xml:space="preserve">Although </w:t>
            </w:r>
            <w:r w:rsidRPr="00037C61">
              <w:rPr>
                <w:rFonts w:eastAsia="Calibri" w:cs="Calibri"/>
                <w:sz w:val="20"/>
                <w:szCs w:val="20"/>
                <w:lang w:val="en-GB"/>
              </w:rPr>
              <w:t xml:space="preserve">Timiș hosts over </w:t>
            </w:r>
            <w:r w:rsidR="009300B5">
              <w:rPr>
                <w:rFonts w:eastAsia="Calibri" w:cs="Calibri"/>
                <w:sz w:val="20"/>
                <w:szCs w:val="20"/>
                <w:lang w:val="en-GB"/>
              </w:rPr>
              <w:t>a third</w:t>
            </w:r>
            <w:r w:rsidRPr="00037C61">
              <w:rPr>
                <w:rFonts w:eastAsia="Calibri" w:cs="Calibri"/>
                <w:sz w:val="20"/>
                <w:szCs w:val="20"/>
                <w:lang w:val="en-GB"/>
              </w:rPr>
              <w:t xml:space="preserve"> of the total PA population enrolled in tertiary education institutions</w:t>
            </w:r>
            <w:r w:rsidR="009300B5">
              <w:rPr>
                <w:rFonts w:eastAsia="Calibri" w:cs="Calibri"/>
                <w:sz w:val="20"/>
                <w:szCs w:val="20"/>
                <w:lang w:val="en-GB"/>
              </w:rPr>
              <w:t xml:space="preserve"> in the PA</w:t>
            </w:r>
            <w:r w:rsidRPr="00037C61">
              <w:rPr>
                <w:rFonts w:eastAsia="Calibri" w:cs="Calibri"/>
                <w:sz w:val="20"/>
                <w:szCs w:val="20"/>
                <w:lang w:val="en-GB"/>
              </w:rPr>
              <w:t xml:space="preserve"> </w:t>
            </w:r>
            <w:r w:rsidR="299C2E89" w:rsidRPr="00037C61">
              <w:rPr>
                <w:rFonts w:eastAsia="Calibri" w:cs="Calibri"/>
                <w:sz w:val="20"/>
                <w:szCs w:val="20"/>
                <w:lang w:val="en-GB"/>
              </w:rPr>
              <w:t>there is a</w:t>
            </w:r>
            <w:r w:rsidRPr="00037C61">
              <w:rPr>
                <w:rFonts w:eastAsia="Calibri" w:cs="Calibri"/>
                <w:sz w:val="20"/>
                <w:szCs w:val="20"/>
                <w:lang w:val="en-GB"/>
              </w:rPr>
              <w:t xml:space="preserve"> </w:t>
            </w:r>
            <w:r w:rsidR="6AF96B0C" w:rsidRPr="00037C61">
              <w:rPr>
                <w:rFonts w:eastAsia="Calibri" w:cs="Calibri"/>
                <w:sz w:val="20"/>
                <w:szCs w:val="20"/>
                <w:lang w:val="en-GB"/>
              </w:rPr>
              <w:t>l</w:t>
            </w:r>
            <w:r w:rsidR="15F54809" w:rsidRPr="00037C61">
              <w:rPr>
                <w:rFonts w:eastAsiaTheme="minorEastAsia"/>
                <w:sz w:val="20"/>
                <w:szCs w:val="20"/>
                <w:lang w:val="en-GB"/>
              </w:rPr>
              <w:t>ow</w:t>
            </w:r>
            <w:r w:rsidR="2E7F9812" w:rsidRPr="00037C61">
              <w:rPr>
                <w:rFonts w:eastAsiaTheme="minorEastAsia"/>
                <w:sz w:val="20"/>
                <w:szCs w:val="20"/>
                <w:lang w:val="en-GB"/>
              </w:rPr>
              <w:t xml:space="preserve"> increase of population enrolled in tertiary education in t</w:t>
            </w:r>
            <w:r w:rsidR="52230E0C" w:rsidRPr="00037C61">
              <w:rPr>
                <w:rFonts w:eastAsiaTheme="minorEastAsia"/>
                <w:sz w:val="20"/>
                <w:szCs w:val="20"/>
                <w:lang w:val="en-GB"/>
              </w:rPr>
              <w:t>he most economic develope</w:t>
            </w:r>
            <w:r w:rsidR="52230E0C" w:rsidRPr="00037C61">
              <w:rPr>
                <w:rFonts w:eastAsia="Calibri" w:cs="Calibri"/>
                <w:color w:val="000000" w:themeColor="text1"/>
                <w:sz w:val="20"/>
                <w:szCs w:val="20"/>
                <w:lang w:val="en-GB"/>
              </w:rPr>
              <w:t xml:space="preserve">d counties from Romanian </w:t>
            </w:r>
            <w:r w:rsidR="005171E7" w:rsidRPr="00037C61">
              <w:rPr>
                <w:rFonts w:eastAsia="Calibri" w:cs="Calibri"/>
                <w:color w:val="000000" w:themeColor="text1"/>
                <w:sz w:val="20"/>
                <w:szCs w:val="20"/>
                <w:lang w:val="en-GB"/>
              </w:rPr>
              <w:t>programme area</w:t>
            </w:r>
            <w:r w:rsidR="52230E0C" w:rsidRPr="00037C61">
              <w:rPr>
                <w:rFonts w:eastAsia="Calibri" w:cs="Calibri"/>
                <w:color w:val="000000" w:themeColor="text1"/>
                <w:sz w:val="20"/>
                <w:szCs w:val="20"/>
                <w:lang w:val="en-GB"/>
              </w:rPr>
              <w:t xml:space="preserve"> </w:t>
            </w:r>
            <w:r w:rsidR="2E7F9812" w:rsidRPr="00037C61">
              <w:rPr>
                <w:rFonts w:eastAsia="Calibri" w:cs="Calibri"/>
                <w:color w:val="000000" w:themeColor="text1"/>
                <w:sz w:val="20"/>
                <w:szCs w:val="20"/>
                <w:lang w:val="en-GB"/>
              </w:rPr>
              <w:t>(</w:t>
            </w:r>
            <w:r w:rsidR="52230E0C" w:rsidRPr="00037C61">
              <w:rPr>
                <w:rFonts w:eastAsia="Calibri" w:cs="Calibri"/>
                <w:color w:val="000000" w:themeColor="text1"/>
                <w:sz w:val="20"/>
                <w:szCs w:val="20"/>
                <w:lang w:val="en-GB"/>
              </w:rPr>
              <w:t>Timiș and Bihor</w:t>
            </w:r>
            <w:r w:rsidR="2E7F9812" w:rsidRPr="00037C61">
              <w:rPr>
                <w:rFonts w:eastAsia="Calibri" w:cs="Calibri"/>
                <w:color w:val="000000" w:themeColor="text1"/>
                <w:sz w:val="20"/>
                <w:szCs w:val="20"/>
                <w:lang w:val="en-GB"/>
              </w:rPr>
              <w:t>)</w:t>
            </w:r>
            <w:r w:rsidR="31813A56" w:rsidRPr="00037C61">
              <w:rPr>
                <w:rFonts w:eastAsia="Calibri" w:cs="Calibri"/>
                <w:color w:val="000000" w:themeColor="text1"/>
                <w:sz w:val="20"/>
                <w:szCs w:val="20"/>
                <w:lang w:val="en-GB"/>
              </w:rPr>
              <w:t>;</w:t>
            </w:r>
          </w:p>
          <w:p w14:paraId="272276CA" w14:textId="0BB477B7" w:rsidR="00B01CC8" w:rsidRPr="00037C61" w:rsidRDefault="5EC3B829" w:rsidP="48589249">
            <w:pPr>
              <w:numPr>
                <w:ilvl w:val="0"/>
                <w:numId w:val="12"/>
              </w:numPr>
              <w:pBdr>
                <w:top w:val="nil"/>
                <w:left w:val="nil"/>
                <w:bottom w:val="nil"/>
                <w:right w:val="nil"/>
                <w:between w:val="nil"/>
              </w:pBdr>
              <w:spacing w:after="240"/>
              <w:ind w:left="306"/>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 xml:space="preserve">The education system is vulnerable to shocks, specifically on the Romanian side where the education system has </w:t>
            </w:r>
            <w:r w:rsidRPr="00037C61">
              <w:rPr>
                <w:rFonts w:eastAsia="Calibri" w:cs="Calibri"/>
                <w:color w:val="000000" w:themeColor="text1"/>
                <w:sz w:val="20"/>
                <w:szCs w:val="20"/>
                <w:lang w:val="en-GB"/>
              </w:rPr>
              <w:lastRenderedPageBreak/>
              <w:t>been slow to adapt to digital teaching, especially in less connected rural areas.</w:t>
            </w:r>
            <w:r w:rsidR="44354C33" w:rsidRPr="00037C61">
              <w:rPr>
                <w:rFonts w:eastAsia="Calibri" w:cs="Calibri"/>
                <w:color w:val="000000" w:themeColor="text1"/>
                <w:sz w:val="20"/>
                <w:szCs w:val="20"/>
                <w:lang w:val="en-GB"/>
              </w:rPr>
              <w:t xml:space="preserve"> </w:t>
            </w:r>
            <w:r w:rsidR="44A48C94" w:rsidRPr="00037C61">
              <w:rPr>
                <w:rFonts w:eastAsia="Calibri" w:cs="Calibri"/>
                <w:color w:val="000000" w:themeColor="text1"/>
                <w:sz w:val="20"/>
                <w:szCs w:val="20"/>
                <w:lang w:val="en-GB"/>
              </w:rPr>
              <w:t xml:space="preserve">Except major urban centres, </w:t>
            </w:r>
            <w:r w:rsidR="44354C33" w:rsidRPr="00037C61">
              <w:rPr>
                <w:rFonts w:eastAsia="Calibri" w:cs="Calibri"/>
                <w:color w:val="000000" w:themeColor="text1"/>
                <w:sz w:val="20"/>
                <w:szCs w:val="20"/>
                <w:lang w:val="en-GB"/>
              </w:rPr>
              <w:t xml:space="preserve">Romanian </w:t>
            </w:r>
            <w:r w:rsidR="3FECD0DC" w:rsidRPr="00037C61">
              <w:rPr>
                <w:rFonts w:eastAsia="Calibri" w:cs="Calibri"/>
                <w:color w:val="000000" w:themeColor="text1"/>
                <w:sz w:val="20"/>
                <w:szCs w:val="20"/>
                <w:lang w:val="en-GB"/>
              </w:rPr>
              <w:t>countie</w:t>
            </w:r>
            <w:r w:rsidR="44354C33" w:rsidRPr="00037C61">
              <w:rPr>
                <w:rFonts w:eastAsia="Calibri" w:cs="Calibri"/>
                <w:color w:val="000000" w:themeColor="text1"/>
                <w:sz w:val="20"/>
                <w:szCs w:val="20"/>
                <w:lang w:val="en-GB"/>
              </w:rPr>
              <w:t>s also have a lower degree of public functions distribution (especially health, education, touristic infrastructure)</w:t>
            </w:r>
            <w:r w:rsidR="75578FF1" w:rsidRPr="00037C61">
              <w:rPr>
                <w:rFonts w:eastAsia="Calibri" w:cs="Calibri"/>
                <w:color w:val="000000" w:themeColor="text1"/>
                <w:sz w:val="20"/>
                <w:szCs w:val="20"/>
                <w:lang w:val="en-GB"/>
              </w:rPr>
              <w:t>;</w:t>
            </w:r>
            <w:r w:rsidR="44354C33" w:rsidRPr="00037C61">
              <w:rPr>
                <w:rFonts w:eastAsia="Calibri" w:cs="Calibri"/>
                <w:color w:val="000000" w:themeColor="text1"/>
                <w:sz w:val="20"/>
                <w:szCs w:val="20"/>
                <w:lang w:val="en-GB"/>
              </w:rPr>
              <w:t xml:space="preserve">  </w:t>
            </w:r>
          </w:p>
          <w:p w14:paraId="2BAC41A0" w14:textId="50D67BD8" w:rsidR="003B38CB" w:rsidRPr="00037C61" w:rsidRDefault="003B38CB"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Romanian regions have a larger share of rural settlements (as in surface area) - this implies higher importance of the existing urban centres - that for now have a high degree of polarization - this type of territorial development results in a scattered area with major disadvantaged rural settlements. Given the larger share of urban settlements (number and coverage), the Hungarian PA has a higher territorial fragmentation than the Romanian PA.</w:t>
            </w:r>
          </w:p>
          <w:p w14:paraId="36D9596C" w14:textId="47FC6DF5" w:rsidR="00BB1B56" w:rsidRPr="00037C61" w:rsidRDefault="00BB1B56" w:rsidP="00B01CC8">
            <w:pPr>
              <w:pBdr>
                <w:top w:val="nil"/>
                <w:left w:val="nil"/>
                <w:bottom w:val="nil"/>
                <w:right w:val="nil"/>
                <w:between w:val="nil"/>
              </w:pBdr>
              <w:spacing w:after="240"/>
              <w:ind w:left="306"/>
              <w:rPr>
                <w:rFonts w:asciiTheme="minorHAnsi" w:eastAsiaTheme="minorEastAsia" w:hAnsiTheme="minorHAnsi"/>
                <w:color w:val="000000" w:themeColor="text1"/>
                <w:sz w:val="20"/>
                <w:szCs w:val="20"/>
                <w:lang w:val="en-GB"/>
              </w:rPr>
            </w:pPr>
          </w:p>
        </w:tc>
        <w:tc>
          <w:tcPr>
            <w:tcW w:w="2955" w:type="dxa"/>
          </w:tcPr>
          <w:p w14:paraId="69AA7400" w14:textId="04D6A875" w:rsidR="003E3CAA" w:rsidRPr="00037C61" w:rsidRDefault="15A04381" w:rsidP="48589249">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lastRenderedPageBreak/>
              <w:t>The increasing number of immigrants in the PA (113</w:t>
            </w:r>
            <w:r w:rsidR="04C73FF9" w:rsidRPr="00037C61">
              <w:rPr>
                <w:rFonts w:eastAsiaTheme="minorEastAsia" w:cs="Calibri"/>
                <w:sz w:val="20"/>
                <w:szCs w:val="20"/>
                <w:lang w:val="en-GB"/>
              </w:rPr>
              <w:t>,</w:t>
            </w:r>
            <w:r w:rsidRPr="00037C61">
              <w:rPr>
                <w:rFonts w:eastAsiaTheme="minorEastAsia" w:cs="Calibri"/>
                <w:sz w:val="20"/>
                <w:szCs w:val="20"/>
                <w:lang w:val="en-GB"/>
              </w:rPr>
              <w:t>617 people in 2018 versus 97</w:t>
            </w:r>
            <w:r w:rsidR="61197455" w:rsidRPr="00037C61">
              <w:rPr>
                <w:rFonts w:eastAsiaTheme="minorEastAsia" w:cs="Calibri"/>
                <w:sz w:val="20"/>
                <w:szCs w:val="20"/>
                <w:lang w:val="en-GB"/>
              </w:rPr>
              <w:t>,</w:t>
            </w:r>
            <w:r w:rsidRPr="00037C61">
              <w:rPr>
                <w:rFonts w:eastAsiaTheme="minorEastAsia" w:cs="Calibri"/>
                <w:sz w:val="20"/>
                <w:szCs w:val="20"/>
                <w:lang w:val="en-GB"/>
              </w:rPr>
              <w:t>589 in 2014) results in a potential increase in the labour force and also rejuvenating the population. The counties that attract more people are Timiș and Csongrád-Csanád.</w:t>
            </w:r>
          </w:p>
          <w:p w14:paraId="7CD42B9F" w14:textId="77777777" w:rsidR="003E3CAA" w:rsidRPr="00037C61" w:rsidRDefault="003E3CAA"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Promoting socio-sanitary policies (including home care and personalised health services) addressing population aging may contribute to the increase and differentiation of public services in areas affected by population aging and shrinking population rural areas, to the benefit of all population groups and an overall improvement of life quality in these areas.</w:t>
            </w:r>
          </w:p>
          <w:p w14:paraId="7C69AB0E" w14:textId="0C0FDBCB" w:rsidR="003E3CAA" w:rsidRPr="00037C61" w:rsidRDefault="552FE72D"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 xml:space="preserve">Extending cooperation and exchange of knowledge from stronger urban poles towards other cities may support increased quality and the diversification of education and job opportunities in twin </w:t>
            </w:r>
            <w:r w:rsidRPr="00037C61">
              <w:rPr>
                <w:rFonts w:eastAsiaTheme="minorEastAsia" w:cs="Calibri"/>
                <w:sz w:val="20"/>
                <w:szCs w:val="20"/>
                <w:lang w:val="en-GB"/>
              </w:rPr>
              <w:lastRenderedPageBreak/>
              <w:t>institutions, in support of youth retainment</w:t>
            </w:r>
            <w:r w:rsidR="4DB5C7EA" w:rsidRPr="00037C61">
              <w:rPr>
                <w:rFonts w:eastAsiaTheme="minorEastAsia" w:cs="Calibri"/>
                <w:sz w:val="20"/>
                <w:szCs w:val="20"/>
                <w:lang w:val="en-GB"/>
              </w:rPr>
              <w:t>.</w:t>
            </w:r>
          </w:p>
          <w:p w14:paraId="1C36E743" w14:textId="1B5DC6CF" w:rsidR="009D6D7D" w:rsidRPr="00067E4D" w:rsidRDefault="3F413C9B"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Cross-border cooperation can represent a significant opportunity to enhance the diversification and resilience of both the</w:t>
            </w:r>
            <w:r w:rsidR="004156B2" w:rsidRPr="00037C61">
              <w:rPr>
                <w:rFonts w:eastAsiaTheme="minorEastAsia" w:cs="Calibri"/>
                <w:sz w:val="20"/>
                <w:szCs w:val="20"/>
                <w:lang w:val="en-GB"/>
              </w:rPr>
              <w:t xml:space="preserve"> sides of the border </w:t>
            </w:r>
            <w:r w:rsidR="003F3F2C" w:rsidRPr="00037C61">
              <w:rPr>
                <w:rFonts w:eastAsiaTheme="minorEastAsia" w:cs="Calibri"/>
                <w:sz w:val="20"/>
                <w:szCs w:val="20"/>
                <w:lang w:val="en-GB"/>
              </w:rPr>
              <w:t xml:space="preserve">by </w:t>
            </w:r>
            <w:r w:rsidRPr="00037C61">
              <w:rPr>
                <w:rFonts w:eastAsiaTheme="minorEastAsia" w:cs="Calibri"/>
                <w:sz w:val="20"/>
                <w:szCs w:val="20"/>
                <w:lang w:val="en-GB"/>
              </w:rPr>
              <w:t>optimising the distance</w:t>
            </w:r>
            <w:r w:rsidR="003F3F2C" w:rsidRPr="00037C61">
              <w:rPr>
                <w:rFonts w:eastAsiaTheme="minorEastAsia" w:cs="Calibri"/>
                <w:sz w:val="20"/>
                <w:szCs w:val="20"/>
                <w:lang w:val="en-GB"/>
              </w:rPr>
              <w:t xml:space="preserve"> to health services</w:t>
            </w:r>
            <w:r w:rsidRPr="00037C61">
              <w:rPr>
                <w:rFonts w:eastAsiaTheme="minorEastAsia" w:cs="Calibri"/>
                <w:sz w:val="20"/>
                <w:szCs w:val="20"/>
                <w:lang w:val="en-GB"/>
              </w:rPr>
              <w:t xml:space="preserve"> in cases of emergencies</w:t>
            </w:r>
            <w:r w:rsidR="003F3F2C" w:rsidRPr="00037C61">
              <w:rPr>
                <w:rFonts w:eastAsiaTheme="minorEastAsia" w:cs="Calibri"/>
                <w:sz w:val="20"/>
                <w:szCs w:val="20"/>
                <w:lang w:val="en-GB"/>
              </w:rPr>
              <w:t xml:space="preserve"> and consolidating</w:t>
            </w:r>
            <w:r w:rsidRPr="00037C61">
              <w:rPr>
                <w:rFonts w:eastAsiaTheme="minorEastAsia" w:cs="Calibri"/>
                <w:sz w:val="20"/>
                <w:szCs w:val="20"/>
                <w:lang w:val="en-GB"/>
              </w:rPr>
              <w:t xml:space="preserve">  </w:t>
            </w:r>
            <w:r w:rsidR="003F3F2C" w:rsidRPr="00037C61">
              <w:rPr>
                <w:rFonts w:eastAsiaTheme="minorEastAsia" w:cs="Calibri"/>
                <w:sz w:val="20"/>
                <w:szCs w:val="20"/>
                <w:lang w:val="en-GB"/>
              </w:rPr>
              <w:t xml:space="preserve">the </w:t>
            </w:r>
            <w:r w:rsidRPr="00037C61">
              <w:rPr>
                <w:rFonts w:eastAsiaTheme="minorEastAsia" w:cs="Calibri"/>
                <w:sz w:val="20"/>
                <w:szCs w:val="20"/>
                <w:lang w:val="en-GB"/>
              </w:rPr>
              <w:t>collaboration between universities</w:t>
            </w:r>
            <w:r w:rsidR="003F3F2C" w:rsidRPr="00037C61">
              <w:rPr>
                <w:rFonts w:eastAsiaTheme="minorEastAsia" w:cs="Calibri"/>
                <w:sz w:val="20"/>
                <w:szCs w:val="20"/>
                <w:lang w:val="en-GB"/>
              </w:rPr>
              <w:t xml:space="preserve"> and other private and </w:t>
            </w:r>
            <w:r w:rsidR="003F3F2C" w:rsidRPr="00067E4D">
              <w:rPr>
                <w:rFonts w:eastAsiaTheme="minorEastAsia" w:cs="Calibri"/>
                <w:sz w:val="20"/>
                <w:szCs w:val="20"/>
                <w:lang w:val="en-GB"/>
              </w:rPr>
              <w:t>public actors, in support of health and</w:t>
            </w:r>
            <w:r w:rsidR="00025251" w:rsidRPr="00067E4D">
              <w:rPr>
                <w:rFonts w:eastAsiaTheme="minorEastAsia" w:cs="Calibri"/>
                <w:sz w:val="20"/>
                <w:szCs w:val="20"/>
                <w:lang w:val="en-GB"/>
              </w:rPr>
              <w:t xml:space="preserve"> social professionals</w:t>
            </w:r>
            <w:r w:rsidR="009D6D7D" w:rsidRPr="00067E4D">
              <w:rPr>
                <w:rFonts w:eastAsiaTheme="minorEastAsia" w:cs="Calibri"/>
                <w:sz w:val="20"/>
                <w:szCs w:val="20"/>
                <w:lang w:val="en-GB"/>
              </w:rPr>
              <w:t>.</w:t>
            </w:r>
          </w:p>
          <w:p w14:paraId="5D943CFC" w14:textId="697788E5" w:rsidR="00C24686" w:rsidRPr="00037C61" w:rsidRDefault="009D6D7D"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67E4D">
              <w:rPr>
                <w:rFonts w:eastAsiaTheme="minorEastAsia" w:cs="Calibri"/>
                <w:sz w:val="20"/>
                <w:szCs w:val="20"/>
                <w:lang w:val="en-GB"/>
              </w:rPr>
              <w:t>The development of re-qualification educational programmes, transnational mobility programmes and early leaver</w:t>
            </w:r>
            <w:r w:rsidRPr="00037C61">
              <w:rPr>
                <w:rFonts w:eastAsiaTheme="minorEastAsia" w:cs="Calibri"/>
                <w:sz w:val="20"/>
                <w:szCs w:val="20"/>
                <w:lang w:val="en-GB"/>
              </w:rPr>
              <w:t xml:space="preserve"> mitigation strategies may provide benefits, promoting the inclusion in the labour market of low skilled workers.</w:t>
            </w:r>
          </w:p>
          <w:p w14:paraId="17E24909" w14:textId="59579234" w:rsidR="00025251" w:rsidRPr="00037C61" w:rsidRDefault="00025251"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S</w:t>
            </w:r>
            <w:r w:rsidR="003B38CB" w:rsidRPr="00037C61">
              <w:rPr>
                <w:rFonts w:eastAsiaTheme="minorEastAsia" w:cs="Calibri"/>
                <w:sz w:val="20"/>
                <w:szCs w:val="20"/>
                <w:lang w:val="en-GB"/>
              </w:rPr>
              <w:t>y</w:t>
            </w:r>
            <w:r w:rsidRPr="00037C61">
              <w:rPr>
                <w:rFonts w:eastAsiaTheme="minorEastAsia" w:cs="Calibri"/>
                <w:sz w:val="20"/>
                <w:szCs w:val="20"/>
                <w:lang w:val="en-GB"/>
              </w:rPr>
              <w:t xml:space="preserve">nergy and complementarities with investments funded under other programmes (national and regional) in support of health infrastructure (notably </w:t>
            </w:r>
            <w:r w:rsidR="003B38CB" w:rsidRPr="00037C61">
              <w:rPr>
                <w:rFonts w:eastAsiaTheme="minorEastAsia" w:cs="Calibri"/>
                <w:sz w:val="20"/>
                <w:szCs w:val="20"/>
                <w:lang w:val="en-GB"/>
              </w:rPr>
              <w:lastRenderedPageBreak/>
              <w:t>county</w:t>
            </w:r>
            <w:r w:rsidRPr="00037C61">
              <w:rPr>
                <w:rFonts w:eastAsiaTheme="minorEastAsia" w:cs="Calibri"/>
                <w:sz w:val="20"/>
                <w:szCs w:val="20"/>
                <w:lang w:val="en-GB"/>
              </w:rPr>
              <w:t xml:space="preserve"> hospitals and emergency services having a wider than local coverage).</w:t>
            </w:r>
          </w:p>
          <w:p w14:paraId="1EE214A7" w14:textId="0F90AC43" w:rsidR="00025251" w:rsidRPr="00037C61" w:rsidRDefault="00025251" w:rsidP="00014AA0">
            <w:pPr>
              <w:numPr>
                <w:ilvl w:val="0"/>
                <w:numId w:val="12"/>
              </w:numPr>
              <w:pBdr>
                <w:top w:val="nil"/>
                <w:left w:val="nil"/>
                <w:bottom w:val="nil"/>
                <w:right w:val="nil"/>
                <w:between w:val="nil"/>
              </w:pBdr>
              <w:spacing w:after="240"/>
              <w:ind w:left="306"/>
              <w:rPr>
                <w:rFonts w:eastAsiaTheme="minorEastAsia" w:cs="Calibri"/>
                <w:sz w:val="20"/>
                <w:szCs w:val="20"/>
                <w:lang w:val="en-GB"/>
              </w:rPr>
            </w:pPr>
            <w:r w:rsidRPr="00037C61">
              <w:rPr>
                <w:rFonts w:eastAsiaTheme="minorEastAsia" w:cs="Calibri"/>
                <w:sz w:val="20"/>
                <w:szCs w:val="20"/>
                <w:lang w:val="en-GB"/>
              </w:rPr>
              <w:t>S</w:t>
            </w:r>
            <w:r w:rsidR="003B38CB" w:rsidRPr="00037C61">
              <w:rPr>
                <w:rFonts w:eastAsiaTheme="minorEastAsia" w:cs="Calibri"/>
                <w:sz w:val="20"/>
                <w:szCs w:val="20"/>
                <w:lang w:val="en-GB"/>
              </w:rPr>
              <w:t>y</w:t>
            </w:r>
            <w:r w:rsidRPr="00037C61">
              <w:rPr>
                <w:rFonts w:eastAsiaTheme="minorEastAsia" w:cs="Calibri"/>
                <w:sz w:val="20"/>
                <w:szCs w:val="20"/>
                <w:lang w:val="en-GB"/>
              </w:rPr>
              <w:t xml:space="preserve">nergy and complementarities with PES (Public Employment Services) related reform projects </w:t>
            </w:r>
            <w:r w:rsidR="00DD0351" w:rsidRPr="00037C61">
              <w:rPr>
                <w:rFonts w:eastAsiaTheme="minorEastAsia" w:cs="Calibri"/>
                <w:sz w:val="20"/>
                <w:szCs w:val="20"/>
                <w:lang w:val="en-GB"/>
              </w:rPr>
              <w:t>aiming at diversifying and innovating the system (i.e. skills’ surveys and online employment services).</w:t>
            </w:r>
          </w:p>
          <w:p w14:paraId="2F5CB275" w14:textId="1A7590B4" w:rsidR="00C24686" w:rsidRPr="00037C61" w:rsidRDefault="009300B5" w:rsidP="005E0849">
            <w:pPr>
              <w:pBdr>
                <w:top w:val="nil"/>
                <w:left w:val="nil"/>
                <w:bottom w:val="nil"/>
                <w:right w:val="nil"/>
                <w:between w:val="nil"/>
              </w:pBdr>
              <w:spacing w:after="240"/>
              <w:rPr>
                <w:sz w:val="20"/>
                <w:szCs w:val="20"/>
                <w:lang w:val="en-GB"/>
              </w:rPr>
            </w:pPr>
            <w:r>
              <w:rPr>
                <w:sz w:val="20"/>
                <w:szCs w:val="20"/>
                <w:lang w:val="en-GB"/>
              </w:rPr>
              <w:t xml:space="preserve"> </w:t>
            </w:r>
          </w:p>
        </w:tc>
        <w:tc>
          <w:tcPr>
            <w:tcW w:w="2827" w:type="dxa"/>
          </w:tcPr>
          <w:p w14:paraId="60D70E6F" w14:textId="77777777" w:rsidR="00BB7EF5" w:rsidRPr="00037C61" w:rsidRDefault="3F413C9B" w:rsidP="00014AA0">
            <w:pPr>
              <w:numPr>
                <w:ilvl w:val="0"/>
                <w:numId w:val="12"/>
              </w:numPr>
              <w:pBdr>
                <w:top w:val="nil"/>
                <w:left w:val="nil"/>
                <w:bottom w:val="nil"/>
                <w:right w:val="nil"/>
                <w:between w:val="nil"/>
              </w:pBdr>
              <w:spacing w:after="240"/>
              <w:ind w:left="306"/>
              <w:rPr>
                <w:rFonts w:eastAsiaTheme="minorEastAsia" w:cs="Calibri"/>
                <w:color w:val="000000" w:themeColor="text1"/>
                <w:sz w:val="20"/>
                <w:szCs w:val="20"/>
                <w:lang w:val="en-GB"/>
              </w:rPr>
            </w:pPr>
            <w:r w:rsidRPr="00037C61">
              <w:rPr>
                <w:rFonts w:eastAsiaTheme="minorEastAsia" w:cs="Calibri"/>
                <w:color w:val="000000" w:themeColor="text1"/>
                <w:sz w:val="20"/>
                <w:szCs w:val="20"/>
                <w:lang w:val="en-GB"/>
              </w:rPr>
              <w:lastRenderedPageBreak/>
              <w:t>Unforeseen global events such as the Covid-19 pandemic can have a significantly negative impact on the region’s vulnerable health infrastructure, as well as the capacity to provide health services under stress</w:t>
            </w:r>
            <w:r w:rsidR="00BB7EF5" w:rsidRPr="00037C61">
              <w:rPr>
                <w:rFonts w:eastAsiaTheme="minorEastAsia" w:cs="Calibri"/>
                <w:color w:val="000000" w:themeColor="text1"/>
                <w:sz w:val="20"/>
                <w:szCs w:val="20"/>
                <w:lang w:val="en-GB"/>
              </w:rPr>
              <w:t>.</w:t>
            </w:r>
          </w:p>
          <w:p w14:paraId="3DF1E5C6" w14:textId="33090C64" w:rsidR="00BB7EF5" w:rsidRPr="00037C61" w:rsidRDefault="00BB7EF5" w:rsidP="00014AA0">
            <w:pPr>
              <w:numPr>
                <w:ilvl w:val="0"/>
                <w:numId w:val="12"/>
              </w:numPr>
              <w:pBdr>
                <w:top w:val="nil"/>
                <w:left w:val="nil"/>
                <w:bottom w:val="nil"/>
                <w:right w:val="nil"/>
                <w:between w:val="nil"/>
              </w:pBdr>
              <w:spacing w:after="240"/>
              <w:ind w:left="306"/>
              <w:rPr>
                <w:rFonts w:eastAsiaTheme="minorEastAsia" w:cs="Calibri"/>
                <w:color w:val="000000" w:themeColor="text1"/>
                <w:sz w:val="20"/>
                <w:szCs w:val="20"/>
                <w:lang w:val="en-GB"/>
              </w:rPr>
            </w:pPr>
            <w:r w:rsidRPr="00037C61">
              <w:rPr>
                <w:rFonts w:eastAsiaTheme="minorEastAsia" w:cs="Calibri"/>
                <w:color w:val="000000" w:themeColor="text1"/>
                <w:sz w:val="20"/>
                <w:szCs w:val="20"/>
                <w:lang w:val="en-GB"/>
              </w:rPr>
              <w:t>The regions: Szabolcs-Szatmár-Bereg, Bihor, Satu Mare, and especially Timiș confront a peri-urbanization phenomenon (rural population is increasing while the urban population is decreasing).</w:t>
            </w:r>
          </w:p>
          <w:p w14:paraId="38029B8A" w14:textId="5715D8EB" w:rsidR="00455EAF" w:rsidRPr="00037C61" w:rsidRDefault="00455EAF" w:rsidP="00014AA0">
            <w:pPr>
              <w:numPr>
                <w:ilvl w:val="0"/>
                <w:numId w:val="12"/>
              </w:numPr>
              <w:pBdr>
                <w:top w:val="nil"/>
                <w:left w:val="nil"/>
                <w:bottom w:val="nil"/>
                <w:right w:val="nil"/>
                <w:between w:val="nil"/>
              </w:pBdr>
              <w:spacing w:after="240"/>
              <w:ind w:left="306"/>
              <w:rPr>
                <w:rFonts w:eastAsiaTheme="minorEastAsia" w:cs="Calibri"/>
                <w:color w:val="000000" w:themeColor="text1"/>
                <w:sz w:val="20"/>
                <w:szCs w:val="20"/>
                <w:lang w:val="en-GB"/>
              </w:rPr>
            </w:pPr>
            <w:r w:rsidRPr="00037C61">
              <w:rPr>
                <w:rFonts w:eastAsiaTheme="minorEastAsia" w:cs="Calibri"/>
                <w:sz w:val="20"/>
                <w:szCs w:val="20"/>
                <w:lang w:val="en-GB"/>
              </w:rPr>
              <w:t xml:space="preserve">Sub-regional structural vulnerabilities of the labour market (i.e. in the northern areas of the region) can expose these areas to shocks such as Covid-19 restrictions and periodic lockdowns, more than other areas, with an impact on increasing internal </w:t>
            </w:r>
            <w:r w:rsidRPr="00037C61">
              <w:rPr>
                <w:rFonts w:eastAsiaTheme="minorEastAsia" w:cs="Calibri"/>
                <w:color w:val="000000" w:themeColor="text1"/>
                <w:sz w:val="20"/>
                <w:szCs w:val="20"/>
                <w:lang w:val="en-GB"/>
              </w:rPr>
              <w:t>disparities within the whole PA.;</w:t>
            </w:r>
          </w:p>
          <w:p w14:paraId="5EF5FFA2" w14:textId="324253CB" w:rsidR="00BB1B56" w:rsidRPr="00037C61" w:rsidRDefault="003B38CB" w:rsidP="00014AA0">
            <w:pPr>
              <w:numPr>
                <w:ilvl w:val="0"/>
                <w:numId w:val="12"/>
              </w:numPr>
              <w:pBdr>
                <w:top w:val="nil"/>
                <w:left w:val="nil"/>
                <w:bottom w:val="nil"/>
                <w:right w:val="nil"/>
                <w:between w:val="nil"/>
              </w:pBdr>
              <w:spacing w:after="240"/>
              <w:ind w:left="306"/>
              <w:rPr>
                <w:rFonts w:eastAsiaTheme="minorEastAsia" w:cs="Calibri"/>
                <w:color w:val="000000" w:themeColor="text1"/>
                <w:sz w:val="20"/>
                <w:szCs w:val="20"/>
                <w:lang w:val="en-GB"/>
              </w:rPr>
            </w:pPr>
            <w:r w:rsidRPr="00037C61">
              <w:rPr>
                <w:rFonts w:eastAsiaTheme="minorEastAsia" w:cs="Calibri"/>
                <w:color w:val="000000" w:themeColor="text1"/>
                <w:sz w:val="20"/>
                <w:szCs w:val="20"/>
                <w:lang w:val="en-GB"/>
              </w:rPr>
              <w:lastRenderedPageBreak/>
              <w:t xml:space="preserve">Given the high density of public functions and facilities that the main urban centers have, the `cold spots` / disadvantaged areas situation can get worse over time (due to external migration, migration to the cities proximity) </w:t>
            </w:r>
          </w:p>
        </w:tc>
      </w:tr>
      <w:bookmarkEnd w:id="250"/>
    </w:tbl>
    <w:p w14:paraId="7E13DAF2" w14:textId="5A517996" w:rsidR="35D5BAB1" w:rsidRPr="00037C61" w:rsidRDefault="35D5BAB1">
      <w:pPr>
        <w:rPr>
          <w:lang w:val="en-GB"/>
        </w:rPr>
      </w:pPr>
    </w:p>
    <w:p w14:paraId="76103781" w14:textId="77777777" w:rsidR="00BB1B56" w:rsidRPr="00037C61" w:rsidRDefault="00BB1B56" w:rsidP="00BB1B56">
      <w:pPr>
        <w:rPr>
          <w:lang w:val="en-GB"/>
        </w:rPr>
        <w:sectPr w:rsidR="00BB1B56" w:rsidRPr="00037C61" w:rsidSect="00BB1B56">
          <w:headerReference w:type="default" r:id="rId117"/>
          <w:footerReference w:type="first" r:id="rId118"/>
          <w:pgSz w:w="16838" w:h="11906" w:orient="landscape"/>
          <w:pgMar w:top="1440" w:right="1713" w:bottom="1440" w:left="1440" w:header="708" w:footer="828" w:gutter="0"/>
          <w:cols w:space="708"/>
          <w:docGrid w:linePitch="360"/>
        </w:sectPr>
      </w:pPr>
    </w:p>
    <w:p w14:paraId="5C1F6285" w14:textId="3B137F87" w:rsidR="00BB1B56" w:rsidRPr="00037C61" w:rsidRDefault="00BB1B56" w:rsidP="00BB1B56">
      <w:pPr>
        <w:rPr>
          <w:lang w:val="en-GB"/>
        </w:rPr>
      </w:pPr>
    </w:p>
    <w:p w14:paraId="368E1355" w14:textId="3182763B" w:rsidR="00921D9C" w:rsidRPr="00037C61" w:rsidRDefault="1C774ED0" w:rsidP="009027CD">
      <w:pPr>
        <w:pStyle w:val="Heading2"/>
      </w:pPr>
      <w:bookmarkStart w:id="251" w:name="_Toc53137190"/>
      <w:bookmarkStart w:id="252" w:name="_Toc50723321"/>
      <w:bookmarkStart w:id="253" w:name="_Toc64619533"/>
      <w:r w:rsidRPr="00037C61">
        <w:t>Economic potential</w:t>
      </w:r>
      <w:bookmarkEnd w:id="251"/>
      <w:bookmarkEnd w:id="252"/>
      <w:bookmarkEnd w:id="253"/>
      <w:r w:rsidRPr="00037C61">
        <w:t xml:space="preserve">  </w:t>
      </w:r>
    </w:p>
    <w:p w14:paraId="74FE92B7" w14:textId="250D4C0D" w:rsidR="00555B8D" w:rsidRPr="00037C61" w:rsidRDefault="00555B8D" w:rsidP="005E0849">
      <w:pPr>
        <w:rPr>
          <w:b/>
          <w:bCs/>
          <w:lang w:val="en-GB"/>
        </w:rPr>
      </w:pPr>
      <w:r w:rsidRPr="00037C61">
        <w:rPr>
          <w:lang w:val="en-GB"/>
        </w:rPr>
        <w:t xml:space="preserve">This chapter provides an assessment of the economic development of the PA, specifically from the point of view of its performance in European context, main economic indicators such as GDP and GVA, assessment of the characteristics of economic sectors, new business dynamics, tourism sector, research and innovation, and business support infrastructure, with the scope of highlighting defining traits, potentials, complementarities and disparities across the eight analysed PA counties. </w:t>
      </w:r>
    </w:p>
    <w:p w14:paraId="181401B9" w14:textId="061E1A28" w:rsidR="009027CD" w:rsidRPr="00037C61" w:rsidRDefault="009027CD" w:rsidP="009027CD">
      <w:pPr>
        <w:pStyle w:val="Heading3"/>
      </w:pPr>
      <w:bookmarkStart w:id="254" w:name="_Toc53137191"/>
      <w:bookmarkStart w:id="255" w:name="_Toc64619534"/>
      <w:r w:rsidRPr="00037C61">
        <w:t>Overview of regional performance</w:t>
      </w:r>
      <w:bookmarkEnd w:id="254"/>
      <w:bookmarkEnd w:id="255"/>
      <w:r w:rsidRPr="00037C61">
        <w:t xml:space="preserve"> </w:t>
      </w:r>
    </w:p>
    <w:p w14:paraId="038883CB" w14:textId="12D97C22" w:rsidR="00921D9C" w:rsidRPr="00037C61" w:rsidRDefault="6446A0E8" w:rsidP="00921D9C">
      <w:pPr>
        <w:rPr>
          <w:lang w:val="en-GB"/>
        </w:rPr>
      </w:pPr>
      <w:r w:rsidRPr="00037C61">
        <w:rPr>
          <w:lang w:val="en-GB"/>
        </w:rPr>
        <w:t xml:space="preserve">The cooperation area between Romania and Hungary is one of the least-developed territories in the European Union, programme under the Cohesion Policy 2021-2027 due to its low GDP per capita (PPS), which </w:t>
      </w:r>
      <w:r w:rsidR="00555B8D" w:rsidRPr="00037C61">
        <w:rPr>
          <w:lang w:val="en-GB"/>
        </w:rPr>
        <w:t>was</w:t>
      </w:r>
      <w:r w:rsidRPr="00037C61">
        <w:rPr>
          <w:lang w:val="en-GB"/>
        </w:rPr>
        <w:t xml:space="preserve"> under 75% of the EU-27 average for all </w:t>
      </w:r>
      <w:r w:rsidR="009B1C6C" w:rsidRPr="00037C61">
        <w:rPr>
          <w:lang w:val="en-GB"/>
        </w:rPr>
        <w:t xml:space="preserve">4 </w:t>
      </w:r>
      <w:r w:rsidRPr="00037C61">
        <w:rPr>
          <w:lang w:val="en-GB"/>
        </w:rPr>
        <w:t>concerned regions</w:t>
      </w:r>
      <w:r w:rsidR="00555B8D" w:rsidRPr="00037C61">
        <w:rPr>
          <w:lang w:val="en-GB"/>
        </w:rPr>
        <w:t xml:space="preserve"> at the time of the eligible regions definition (GDP/capita for 2014-2016 in % of EU27 average)</w:t>
      </w:r>
      <w:r w:rsidRPr="00037C61">
        <w:rPr>
          <w:lang w:val="en-GB"/>
        </w:rPr>
        <w:t xml:space="preserve">. At regional (NUTS2) level, the four regions which contain the counties included in the area are being ranked as modest innovators and lower-competitiveness areas in European assessments (Regional Innovation Scoreboard 2019, Regional Competitiveness Index – RCI 2019). However, it is to note that there is a generally positive recent trend, with the territory recording advancement in the RCI rating compared 2016. </w:t>
      </w:r>
    </w:p>
    <w:p w14:paraId="2734A30B" w14:textId="257C5267" w:rsidR="00921D9C" w:rsidRPr="00037C61" w:rsidRDefault="00921D9C" w:rsidP="00921D9C">
      <w:pPr>
        <w:keepNext/>
        <w:spacing w:after="0"/>
        <w:rPr>
          <w:lang w:val="en-GB"/>
        </w:rPr>
      </w:pPr>
      <w:r w:rsidRPr="00037C61">
        <w:rPr>
          <w:noProof/>
          <w:lang w:val="ro-RO" w:eastAsia="ro-RO"/>
        </w:rPr>
        <w:drawing>
          <wp:inline distT="0" distB="0" distL="0" distR="0" wp14:anchorId="0CF74740" wp14:editId="562E079E">
            <wp:extent cx="4634344" cy="24829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119">
                      <a:extLst>
                        <a:ext uri="{28A0092B-C50C-407E-A947-70E740481C1C}">
                          <a14:useLocalDpi xmlns:a14="http://schemas.microsoft.com/office/drawing/2010/main"/>
                        </a:ext>
                      </a:extLst>
                    </a:blip>
                    <a:stretch>
                      <a:fillRect/>
                    </a:stretch>
                  </pic:blipFill>
                  <pic:spPr>
                    <a:xfrm>
                      <a:off x="0" y="0"/>
                      <a:ext cx="4634344" cy="2482960"/>
                    </a:xfrm>
                    <a:prstGeom prst="rect">
                      <a:avLst/>
                    </a:prstGeom>
                  </pic:spPr>
                </pic:pic>
              </a:graphicData>
            </a:graphic>
          </wp:inline>
        </w:drawing>
      </w:r>
    </w:p>
    <w:p w14:paraId="295F9B7D" w14:textId="3ED7D8C6" w:rsidR="00921D9C" w:rsidRPr="00037C61" w:rsidRDefault="52230E0C" w:rsidP="00921D9C">
      <w:pPr>
        <w:pStyle w:val="Caption"/>
        <w:jc w:val="both"/>
        <w:rPr>
          <w:lang w:val="en-GB"/>
        </w:rPr>
      </w:pPr>
      <w:bookmarkStart w:id="256" w:name="_Toc50657553"/>
      <w:bookmarkStart w:id="257" w:name="_Toc6461099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50</w:t>
      </w:r>
      <w:r w:rsidR="00412697">
        <w:rPr>
          <w:lang w:val="en-GB"/>
        </w:rPr>
        <w:fldChar w:fldCharType="end"/>
      </w:r>
      <w:r w:rsidRPr="00037C61">
        <w:rPr>
          <w:lang w:val="en-GB"/>
        </w:rPr>
        <w:t xml:space="preserve"> - Time evolution of Regional Competitiveness Index score of the PA regions.</w:t>
      </w:r>
      <w:bookmarkEnd w:id="256"/>
      <w:bookmarkEnd w:id="257"/>
      <w:r w:rsidRPr="00037C61">
        <w:rPr>
          <w:lang w:val="en-GB"/>
        </w:rPr>
        <w:t xml:space="preserve"> </w:t>
      </w:r>
    </w:p>
    <w:p w14:paraId="53DCD09E" w14:textId="77777777" w:rsidR="00921D9C" w:rsidRPr="00037C61" w:rsidRDefault="00921D9C" w:rsidP="00921D9C">
      <w:pPr>
        <w:pStyle w:val="Caption"/>
        <w:jc w:val="both"/>
        <w:rPr>
          <w:lang w:val="en-GB"/>
        </w:rPr>
      </w:pPr>
      <w:r w:rsidRPr="00037C61">
        <w:rPr>
          <w:lang w:val="en-GB"/>
        </w:rPr>
        <w:t xml:space="preserve">Source: after EC, </w:t>
      </w:r>
      <w:hyperlink r:id="rId120" w:history="1">
        <w:r w:rsidRPr="00037C61">
          <w:rPr>
            <w:rStyle w:val="Hyperlink"/>
            <w:lang w:val="en-GB"/>
          </w:rPr>
          <w:t>https://ec.europa.eu/regional_policy/en/information/maps/regional_competitiveness/</w:t>
        </w:r>
      </w:hyperlink>
      <w:r w:rsidRPr="00037C61">
        <w:rPr>
          <w:lang w:val="en-GB"/>
        </w:rPr>
        <w:t xml:space="preserve"> </w:t>
      </w:r>
    </w:p>
    <w:p w14:paraId="593C1ECE" w14:textId="05E7188C" w:rsidR="00921D9C" w:rsidRPr="00037C61" w:rsidRDefault="00921D9C" w:rsidP="00921D9C">
      <w:pPr>
        <w:spacing w:before="240"/>
        <w:rPr>
          <w:lang w:val="en-GB"/>
        </w:rPr>
      </w:pPr>
      <w:r w:rsidRPr="00037C61">
        <w:rPr>
          <w:lang w:val="en-GB"/>
        </w:rPr>
        <w:t xml:space="preserve">However, there is still a significant distance to the average performance of European regions (EU-28, for the RCI 2019 survey), most specifically in domains such as health, business sophistication, technological readiness and innovation, which represent key investment </w:t>
      </w:r>
      <w:r w:rsidR="009B1C6C" w:rsidRPr="00037C61">
        <w:rPr>
          <w:lang w:val="en-GB"/>
        </w:rPr>
        <w:t>priorities</w:t>
      </w:r>
      <w:r w:rsidRPr="00037C61">
        <w:rPr>
          <w:lang w:val="en-GB"/>
        </w:rPr>
        <w:t xml:space="preserve"> for the future, in the context of an ag</w:t>
      </w:r>
      <w:r w:rsidR="000012AE" w:rsidRPr="00037C61">
        <w:rPr>
          <w:lang w:val="en-GB"/>
        </w:rPr>
        <w:t>e</w:t>
      </w:r>
      <w:r w:rsidRPr="00037C61">
        <w:rPr>
          <w:lang w:val="en-GB"/>
        </w:rPr>
        <w:t>ing population and the industrial shift dubbed “the fourth industrial revolution”. Basic infrastructure is also a significant weak point, as is the relatively low ranking in the Doing Business index of the main cities in the region (Debrecen, Szeged, Timișoara</w:t>
      </w:r>
      <w:r w:rsidRPr="00037C61">
        <w:rPr>
          <w:rStyle w:val="FootnoteReference"/>
          <w:lang w:val="en-GB"/>
        </w:rPr>
        <w:footnoteReference w:id="26"/>
      </w:r>
      <w:r w:rsidRPr="00037C61">
        <w:rPr>
          <w:lang w:val="en-GB"/>
        </w:rPr>
        <w:t xml:space="preserve">). </w:t>
      </w:r>
    </w:p>
    <w:p w14:paraId="7276A3C4" w14:textId="19BC4CCE" w:rsidR="00921D9C" w:rsidRPr="00037C61" w:rsidRDefault="00921D9C" w:rsidP="00921D9C">
      <w:pPr>
        <w:rPr>
          <w:lang w:val="en-GB"/>
        </w:rPr>
      </w:pPr>
      <w:r w:rsidRPr="00037C61">
        <w:rPr>
          <w:lang w:val="en-GB"/>
        </w:rPr>
        <w:lastRenderedPageBreak/>
        <w:t>On the other hand, the cooperation region presents several strong points which place it in proximity to the European average for macroeconomic stability and efficiency</w:t>
      </w:r>
      <w:r w:rsidR="00397B18" w:rsidRPr="00037C61">
        <w:rPr>
          <w:lang w:val="en-GB"/>
        </w:rPr>
        <w:t xml:space="preserve">. The area has a labour market efficiency which is on par with the European average </w:t>
      </w:r>
      <w:r w:rsidRPr="00037C61">
        <w:rPr>
          <w:lang w:val="en-GB"/>
        </w:rPr>
        <w:t>– an asset for attracting and retaining investment (</w:t>
      </w:r>
      <w:r w:rsidR="00397B18" w:rsidRPr="00037C61">
        <w:rPr>
          <w:lang w:val="en-GB"/>
        </w:rPr>
        <w:fldChar w:fldCharType="begin"/>
      </w:r>
      <w:r w:rsidR="00397B18" w:rsidRPr="00037C61">
        <w:rPr>
          <w:lang w:val="en-GB"/>
        </w:rPr>
        <w:instrText xml:space="preserve"> REF _Ref50313727 \h </w:instrText>
      </w:r>
      <w:r w:rsidR="00397B18" w:rsidRPr="00037C61">
        <w:rPr>
          <w:lang w:val="en-GB"/>
        </w:rPr>
      </w:r>
      <w:r w:rsidR="00397B18" w:rsidRPr="00037C61">
        <w:rPr>
          <w:lang w:val="en-GB"/>
        </w:rPr>
        <w:fldChar w:fldCharType="separate"/>
      </w:r>
      <w:r w:rsidR="00A633B8" w:rsidRPr="00037C61">
        <w:rPr>
          <w:lang w:val="en-GB"/>
        </w:rPr>
        <w:t xml:space="preserve">Figure </w:t>
      </w:r>
      <w:r w:rsidR="00A633B8" w:rsidRPr="00037C61">
        <w:rPr>
          <w:noProof/>
          <w:lang w:val="en-GB"/>
        </w:rPr>
        <w:t>47</w:t>
      </w:r>
      <w:r w:rsidR="00397B18" w:rsidRPr="00037C61">
        <w:rPr>
          <w:lang w:val="en-GB"/>
        </w:rPr>
        <w:fldChar w:fldCharType="end"/>
      </w:r>
      <w:r w:rsidR="00555B8D" w:rsidRPr="00037C61">
        <w:rPr>
          <w:lang w:val="en-GB"/>
        </w:rPr>
        <w:t>).).</w:t>
      </w:r>
    </w:p>
    <w:p w14:paraId="4C759BBA" w14:textId="77777777" w:rsidR="00921D9C" w:rsidRPr="00037C61" w:rsidRDefault="00921D9C" w:rsidP="00921D9C">
      <w:pPr>
        <w:rPr>
          <w:lang w:val="en-GB"/>
        </w:rPr>
      </w:pPr>
    </w:p>
    <w:p w14:paraId="56E3FC6B" w14:textId="6901B756" w:rsidR="00921D9C" w:rsidRPr="00037C61" w:rsidRDefault="00921D9C" w:rsidP="00921D9C">
      <w:pPr>
        <w:keepNext/>
        <w:spacing w:after="0"/>
        <w:rPr>
          <w:lang w:val="en-GB"/>
        </w:rPr>
      </w:pPr>
      <w:r w:rsidRPr="00037C61">
        <w:rPr>
          <w:noProof/>
          <w:lang w:val="ro-RO" w:eastAsia="ro-RO"/>
        </w:rPr>
        <w:drawing>
          <wp:inline distT="0" distB="0" distL="0" distR="0" wp14:anchorId="05752AF9" wp14:editId="4D24CD55">
            <wp:extent cx="4468091" cy="280922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121">
                      <a:extLst>
                        <a:ext uri="{28A0092B-C50C-407E-A947-70E740481C1C}">
                          <a14:useLocalDpi xmlns:a14="http://schemas.microsoft.com/office/drawing/2010/main"/>
                        </a:ext>
                      </a:extLst>
                    </a:blip>
                    <a:stretch>
                      <a:fillRect/>
                    </a:stretch>
                  </pic:blipFill>
                  <pic:spPr>
                    <a:xfrm>
                      <a:off x="0" y="0"/>
                      <a:ext cx="4468091" cy="2809228"/>
                    </a:xfrm>
                    <a:prstGeom prst="rect">
                      <a:avLst/>
                    </a:prstGeom>
                  </pic:spPr>
                </pic:pic>
              </a:graphicData>
            </a:graphic>
          </wp:inline>
        </w:drawing>
      </w:r>
    </w:p>
    <w:p w14:paraId="03578A83" w14:textId="79A3FA18" w:rsidR="00921D9C" w:rsidRPr="00037C61" w:rsidRDefault="00921D9C" w:rsidP="00921D9C">
      <w:pPr>
        <w:pStyle w:val="Caption"/>
        <w:jc w:val="both"/>
        <w:rPr>
          <w:lang w:val="en-GB"/>
        </w:rPr>
      </w:pPr>
      <w:bookmarkStart w:id="258" w:name="_Ref50313727"/>
      <w:bookmarkStart w:id="259" w:name="_Toc50657554"/>
      <w:bookmarkStart w:id="260" w:name="_Toc6461100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51</w:t>
      </w:r>
      <w:r w:rsidR="00412697">
        <w:rPr>
          <w:lang w:val="en-GB"/>
        </w:rPr>
        <w:fldChar w:fldCharType="end"/>
      </w:r>
      <w:bookmarkEnd w:id="258"/>
      <w:r w:rsidRPr="00037C61">
        <w:rPr>
          <w:lang w:val="en-GB"/>
        </w:rPr>
        <w:t xml:space="preserve"> - Regional competitiveness benchmarking (2019).</w:t>
      </w:r>
      <w:bookmarkEnd w:id="259"/>
      <w:bookmarkEnd w:id="260"/>
      <w:r w:rsidRPr="00037C61">
        <w:rPr>
          <w:lang w:val="en-GB"/>
        </w:rPr>
        <w:t xml:space="preserve"> </w:t>
      </w:r>
    </w:p>
    <w:p w14:paraId="50697DCF" w14:textId="77777777" w:rsidR="00921D9C" w:rsidRPr="00037C61" w:rsidRDefault="00921D9C" w:rsidP="00921D9C">
      <w:pPr>
        <w:pStyle w:val="Caption"/>
        <w:jc w:val="both"/>
        <w:rPr>
          <w:lang w:val="en-GB"/>
        </w:rPr>
      </w:pPr>
      <w:r w:rsidRPr="00037C61">
        <w:rPr>
          <w:lang w:val="en-GB"/>
        </w:rPr>
        <w:t xml:space="preserve">Source: after EC, </w:t>
      </w:r>
      <w:hyperlink r:id="rId122" w:history="1">
        <w:r w:rsidRPr="00037C61">
          <w:rPr>
            <w:rStyle w:val="Hyperlink"/>
            <w:lang w:val="en-GB"/>
          </w:rPr>
          <w:t>https://ec.europa.eu/regional_policy/en/information/maps/regional_competitiveness/</w:t>
        </w:r>
      </w:hyperlink>
    </w:p>
    <w:p w14:paraId="7A0C4D34" w14:textId="77777777" w:rsidR="00921D9C" w:rsidRPr="00037C61" w:rsidRDefault="00921D9C" w:rsidP="00921D9C">
      <w:pPr>
        <w:rPr>
          <w:lang w:val="en-GB"/>
        </w:rPr>
      </w:pPr>
    </w:p>
    <w:p w14:paraId="44FAD062" w14:textId="1326B96C" w:rsidR="00921D9C" w:rsidRPr="00037C61" w:rsidRDefault="1C774ED0" w:rsidP="009027CD">
      <w:pPr>
        <w:pStyle w:val="Heading3"/>
      </w:pPr>
      <w:bookmarkStart w:id="261" w:name="_Hlk49429184"/>
      <w:bookmarkStart w:id="262" w:name="_Toc53137192"/>
      <w:bookmarkStart w:id="263" w:name="_Toc50723322"/>
      <w:bookmarkStart w:id="264" w:name="_Toc64619535"/>
      <w:bookmarkEnd w:id="261"/>
      <w:r w:rsidRPr="00037C61">
        <w:t>Main economic indicators</w:t>
      </w:r>
      <w:bookmarkEnd w:id="262"/>
      <w:bookmarkEnd w:id="263"/>
      <w:bookmarkEnd w:id="264"/>
    </w:p>
    <w:p w14:paraId="65190941" w14:textId="77777777" w:rsidR="00921D9C" w:rsidRPr="00037C61" w:rsidRDefault="00921D9C" w:rsidP="00921D9C">
      <w:pPr>
        <w:pStyle w:val="Heading4"/>
        <w:rPr>
          <w:lang w:val="en-GB"/>
        </w:rPr>
      </w:pPr>
      <w:r w:rsidRPr="00037C61">
        <w:rPr>
          <w:lang w:val="en-GB"/>
        </w:rPr>
        <w:t>GDP at current market prices</w:t>
      </w:r>
    </w:p>
    <w:p w14:paraId="0C84F1A9" w14:textId="1FD1607A" w:rsidR="00921D9C" w:rsidRPr="00037C61" w:rsidRDefault="00921D9C" w:rsidP="00921D9C">
      <w:pPr>
        <w:rPr>
          <w:lang w:val="en-GB"/>
        </w:rPr>
      </w:pPr>
      <w:r w:rsidRPr="00037C61">
        <w:rPr>
          <w:noProof/>
          <w:lang w:val="ro-RO" w:eastAsia="ro-RO"/>
        </w:rPr>
        <mc:AlternateContent>
          <mc:Choice Requires="wps">
            <w:drawing>
              <wp:anchor distT="0" distB="0" distL="114300" distR="114300" simplePos="0" relativeHeight="251622912" behindDoc="0" locked="0" layoutInCell="1" allowOverlap="1" wp14:anchorId="4EB6DDD6" wp14:editId="0268E3AE">
                <wp:simplePos x="0" y="0"/>
                <wp:positionH relativeFrom="column">
                  <wp:posOffset>-40640</wp:posOffset>
                </wp:positionH>
                <wp:positionV relativeFrom="paragraph">
                  <wp:posOffset>3521710</wp:posOffset>
                </wp:positionV>
                <wp:extent cx="5829935" cy="298450"/>
                <wp:effectExtent l="0" t="0" r="0" b="6985"/>
                <wp:wrapSquare wrapText="bothSides"/>
                <wp:docPr id="157" name="Text Box 157"/>
                <wp:cNvGraphicFramePr/>
                <a:graphic xmlns:a="http://schemas.openxmlformats.org/drawingml/2006/main">
                  <a:graphicData uri="http://schemas.microsoft.com/office/word/2010/wordprocessingShape">
                    <wps:wsp>
                      <wps:cNvSpPr txBox="1"/>
                      <wps:spPr>
                        <a:xfrm>
                          <a:off x="0" y="0"/>
                          <a:ext cx="5829935" cy="298450"/>
                        </a:xfrm>
                        <a:prstGeom prst="rect">
                          <a:avLst/>
                        </a:prstGeom>
                        <a:solidFill>
                          <a:prstClr val="white"/>
                        </a:solidFill>
                        <a:ln>
                          <a:noFill/>
                        </a:ln>
                      </wps:spPr>
                      <wps:txbx>
                        <w:txbxContent>
                          <w:p w14:paraId="37CA612A" w14:textId="575E5D0E" w:rsidR="00944B4A" w:rsidRPr="00612AD6" w:rsidRDefault="00944B4A" w:rsidP="00921D9C">
                            <w:pPr>
                              <w:pStyle w:val="Caption"/>
                              <w:jc w:val="left"/>
                              <w:rPr>
                                <w:lang w:val="en-US"/>
                              </w:rPr>
                            </w:pPr>
                            <w:bookmarkStart w:id="265" w:name="_Toc64611001"/>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52</w:t>
                            </w:r>
                            <w:r>
                              <w:rPr>
                                <w:lang w:val="en-US"/>
                              </w:rPr>
                              <w:fldChar w:fldCharType="end"/>
                            </w:r>
                            <w:r w:rsidRPr="00612AD6">
                              <w:rPr>
                                <w:lang w:val="en-US"/>
                              </w:rPr>
                              <w:t xml:space="preserve"> - Change in GDP county share &amp; eligible area, between 2009-2018.</w:t>
                            </w:r>
                            <w:bookmarkEnd w:id="265"/>
                            <w:r w:rsidRPr="00612AD6">
                              <w:rPr>
                                <w:lang w:val="en-US"/>
                              </w:rPr>
                              <w:t xml:space="preserve"> </w:t>
                            </w:r>
                          </w:p>
                          <w:p w14:paraId="69FE4B3E" w14:textId="77777777" w:rsidR="00944B4A" w:rsidRPr="00612AD6" w:rsidRDefault="00944B4A" w:rsidP="00921D9C">
                            <w:pPr>
                              <w:pStyle w:val="Caption"/>
                              <w:jc w:val="left"/>
                              <w:rPr>
                                <w:noProof/>
                                <w:lang w:val="en-US"/>
                              </w:rPr>
                            </w:pPr>
                            <w:r w:rsidRPr="00612AD6">
                              <w:rPr>
                                <w:lang w:val="en-US"/>
                              </w:rPr>
                              <w:t>Source: INS and KSH, data for GDP from 2009 and 2018 (current price, Lei and HUF basis)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6DDD6" id="Text Box 157" o:spid="_x0000_s1030" type="#_x0000_t202" style="position:absolute;left:0;text-align:left;margin-left:-3.2pt;margin-top:277.3pt;width:459.05pt;height:23.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" stroked="f">
                <v:textbox style="mso-fit-shape-to-text:t" inset="0,0,0,0">
                  <w:txbxContent>
                    <w:p w14:paraId="37CA612A" w14:textId="575E5D0E" w:rsidR="00944B4A" w:rsidRPr="00612AD6" w:rsidRDefault="00944B4A" w:rsidP="00921D9C">
                      <w:pPr>
                        <w:pStyle w:val="Didascalia"/>
                        <w:jc w:val="left"/>
                        <w:rPr>
                          <w:lang w:val="en-US"/>
                        </w:rPr>
                      </w:pPr>
                      <w:bookmarkStart w:id="291" w:name="_Toc64611001"/>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52</w:t>
                      </w:r>
                      <w:r>
                        <w:rPr>
                          <w:lang w:val="en-US"/>
                        </w:rPr>
                        <w:fldChar w:fldCharType="end"/>
                      </w:r>
                      <w:r w:rsidRPr="00612AD6">
                        <w:rPr>
                          <w:lang w:val="en-US"/>
                        </w:rPr>
                        <w:t xml:space="preserve"> - Change in GDP county share &amp; eligible area, between 2009-2018.</w:t>
                      </w:r>
                      <w:bookmarkEnd w:id="291"/>
                      <w:r w:rsidRPr="00612AD6">
                        <w:rPr>
                          <w:lang w:val="en-US"/>
                        </w:rPr>
                        <w:t xml:space="preserve"> </w:t>
                      </w:r>
                    </w:p>
                    <w:p w14:paraId="69FE4B3E" w14:textId="77777777" w:rsidR="00944B4A" w:rsidRPr="00612AD6" w:rsidRDefault="00944B4A" w:rsidP="00921D9C">
                      <w:pPr>
                        <w:pStyle w:val="Didascalia"/>
                        <w:jc w:val="left"/>
                        <w:rPr>
                          <w:noProof/>
                          <w:lang w:val="en-US"/>
                        </w:rPr>
                      </w:pPr>
                      <w:r w:rsidRPr="00612AD6">
                        <w:rPr>
                          <w:lang w:val="en-US"/>
                        </w:rPr>
                        <w:t>Source: INS and KSH, data for GDP from 2009 and 2018 (current price, Lei and HUF basis)</w:t>
                      </w:r>
                    </w:p>
                  </w:txbxContent>
                </v:textbox>
                <w10:wrap type="square"/>
              </v:shape>
            </w:pict>
          </mc:Fallback>
        </mc:AlternateContent>
      </w:r>
      <w:r w:rsidRPr="00037C61">
        <w:rPr>
          <w:noProof/>
          <w:lang w:val="ro-RO" w:eastAsia="ro-RO"/>
        </w:rPr>
        <mc:AlternateContent>
          <mc:Choice Requires="wpg">
            <w:drawing>
              <wp:anchor distT="0" distB="0" distL="114300" distR="114300" simplePos="0" relativeHeight="251621888" behindDoc="0" locked="0" layoutInCell="1" allowOverlap="1" wp14:anchorId="58693328" wp14:editId="0CF34542">
                <wp:simplePos x="0" y="0"/>
                <wp:positionH relativeFrom="column">
                  <wp:posOffset>-40640</wp:posOffset>
                </wp:positionH>
                <wp:positionV relativeFrom="paragraph">
                  <wp:posOffset>1210310</wp:posOffset>
                </wp:positionV>
                <wp:extent cx="5829935" cy="2254885"/>
                <wp:effectExtent l="19050" t="19050" r="18415" b="12065"/>
                <wp:wrapSquare wrapText="bothSides"/>
                <wp:docPr id="156" name="Group 156"/>
                <wp:cNvGraphicFramePr/>
                <a:graphic xmlns:a="http://schemas.openxmlformats.org/drawingml/2006/main">
                  <a:graphicData uri="http://schemas.microsoft.com/office/word/2010/wordprocessingGroup">
                    <wpg:wgp>
                      <wpg:cNvGrpSpPr/>
                      <wpg:grpSpPr>
                        <a:xfrm>
                          <a:off x="0" y="0"/>
                          <a:ext cx="5829935" cy="2254885"/>
                          <a:chOff x="0" y="0"/>
                          <a:chExt cx="5830116" cy="2254885"/>
                        </a:xfrm>
                      </wpg:grpSpPr>
                      <wpg:graphicFrame>
                        <wpg:cNvPr id="162" name="Chart 16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F06CE7-5022-4560-9948-5BDE3364EC2D}"/>
                            </a:ext>
                          </a:extLst>
                        </wpg:cNvPr>
                        <wpg:cNvFrPr/>
                        <wpg:xfrm>
                          <a:off x="0" y="0"/>
                          <a:ext cx="2805430" cy="2251075"/>
                        </wpg:xfrm>
                        <a:graphic>
                          <a:graphicData uri="http://schemas.openxmlformats.org/drawingml/2006/chart">
                            <c:chart xmlns:c="http://schemas.openxmlformats.org/drawingml/2006/chart" xmlns:r="http://schemas.openxmlformats.org/officeDocument/2006/relationships" r:id="rId123"/>
                          </a:graphicData>
                        </a:graphic>
                      </wpg:graphicFrame>
                      <wpg:graphicFrame>
                        <wpg:cNvPr id="163" name="Chart 16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74CF4F-37A2-4D11-9E9A-7C62CFA42B55}"/>
                            </a:ext>
                          </a:extLst>
                        </wpg:cNvPr>
                        <wpg:cNvFrPr/>
                        <wpg:xfrm>
                          <a:off x="2803071" y="0"/>
                          <a:ext cx="3027045" cy="2254885"/>
                        </wpg:xfrm>
                        <a:graphic>
                          <a:graphicData uri="http://schemas.openxmlformats.org/drawingml/2006/chart">
                            <c:chart xmlns:c="http://schemas.openxmlformats.org/drawingml/2006/chart" xmlns:r="http://schemas.openxmlformats.org/officeDocument/2006/relationships" r:id="rId124"/>
                          </a:graphicData>
                        </a:graphic>
                      </wpg:graphicFrame>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044A9F9">
              <v:group id="Group 156" style="position:absolute;margin-left:-3.2pt;margin-top:95.3pt;width:459.05pt;height:177.55pt;z-index:251644928" coordsize="58301,22548" o:spid="_x0000_s1026" w14:anchorId="361375BD"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">
                <v:shape id="Chart 162" style="position:absolute;left:-121;top:-121;width:28346;height:22798;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">
                  <v:imagedata o:title="" r:id="rId125"/>
                  <o:lock v:ext="edit" aspectratio="f"/>
                </v:shape>
                <v:shape id="Chart 163" style="position:absolute;left:27859;top:-121;width:30603;height:22798;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">
                  <v:imagedata o:title="" r:id="rId126"/>
                  <o:lock v:ext="edit" aspectratio="f"/>
                </v:shape>
                <w10:wrap type="square"/>
              </v:group>
            </w:pict>
          </mc:Fallback>
        </mc:AlternateContent>
      </w:r>
      <w:r w:rsidR="00555B8D" w:rsidRPr="00037C61">
        <w:rPr>
          <w:lang w:val="en-GB"/>
        </w:rPr>
        <w:t>O</w:t>
      </w:r>
      <w:r w:rsidRPr="00037C61">
        <w:rPr>
          <w:lang w:val="en-GB"/>
        </w:rPr>
        <w:t xml:space="preserve">ne of the Europe 2020 Strategy’s objectives, growth is found both at national counties level and overall PA, however with certain territorial imbalances and </w:t>
      </w:r>
      <w:r w:rsidRPr="00037C61">
        <w:rPr>
          <w:b/>
          <w:bCs/>
          <w:lang w:val="en-GB"/>
        </w:rPr>
        <w:t>lower rates than the national economies</w:t>
      </w:r>
      <w:r w:rsidRPr="00037C61">
        <w:rPr>
          <w:lang w:val="en-GB"/>
        </w:rPr>
        <w:t>. In</w:t>
      </w:r>
      <w:r w:rsidR="7DE8033D" w:rsidRPr="00037C61">
        <w:rPr>
          <w:lang w:val="en-GB"/>
        </w:rPr>
        <w:t xml:space="preserve"> </w:t>
      </w:r>
      <w:r w:rsidR="00555B8D" w:rsidRPr="00037C61">
        <w:rPr>
          <w:lang w:val="en-GB"/>
        </w:rPr>
        <w:t xml:space="preserve">percentage of </w:t>
      </w:r>
      <w:r w:rsidRPr="00037C61">
        <w:rPr>
          <w:lang w:val="en-GB"/>
        </w:rPr>
        <w:t xml:space="preserve">national GDP, the Romanian PA represents 10.33% (2018), slightly decreasing compared to the level of 2009 (10.51%) which still shows a </w:t>
      </w:r>
      <w:r w:rsidR="6446A0E8" w:rsidRPr="00037C61">
        <w:rPr>
          <w:lang w:val="en-GB"/>
        </w:rPr>
        <w:t xml:space="preserve">relatively </w:t>
      </w:r>
      <w:r w:rsidRPr="00037C61">
        <w:rPr>
          <w:lang w:val="en-GB"/>
        </w:rPr>
        <w:t>close to the national one, while the border counties from Hungary represents 12.17% of the national GDP (2018) compared to 12.18% in 2009, which indicates a similar level.</w:t>
      </w:r>
    </w:p>
    <w:p w14:paraId="29F8D340" w14:textId="4EC9713A" w:rsidR="00921D9C" w:rsidRPr="00037C61" w:rsidRDefault="00921D9C" w:rsidP="000301D9">
      <w:pPr>
        <w:rPr>
          <w:lang w:val="en-GB"/>
        </w:rPr>
      </w:pPr>
      <w:r w:rsidRPr="00037C61">
        <w:rPr>
          <w:lang w:val="en-GB"/>
        </w:rPr>
        <w:lastRenderedPageBreak/>
        <w:t>Between 2009 and 2018, in nominal terms, the GDP of the eligible PA in RO increased by 60.50%, with an average annual growth of 6.05%. Within this area, Timiș county contributes with the largest proportion at the border region GDP (almost 46.4%), followed by the Bihor County (over 21.9%), Arad County (about 20.2%) and Satu Mare County (11.5%)</w:t>
      </w:r>
      <w:r w:rsidR="003E2AF7" w:rsidRPr="00037C61">
        <w:rPr>
          <w:lang w:val="en-GB"/>
        </w:rPr>
        <w:t>; however, this positive trend should be noticed in the context of general recovery after the last financial crisis.</w:t>
      </w:r>
      <w:r w:rsidR="003E2AF7" w:rsidRPr="00037C61">
        <w:rPr>
          <w:lang w:val="en-GB"/>
        </w:rPr>
        <w:tab/>
      </w:r>
      <w:r w:rsidRPr="00037C61">
        <w:rPr>
          <w:lang w:val="en-GB"/>
        </w:rPr>
        <w:tab/>
      </w:r>
    </w:p>
    <w:p w14:paraId="49CD0AD4" w14:textId="32B772D6" w:rsidR="00921D9C" w:rsidRPr="00037C61" w:rsidRDefault="52230E0C" w:rsidP="6446A0E8">
      <w:pPr>
        <w:rPr>
          <w:lang w:val="en-GB"/>
        </w:rPr>
      </w:pPr>
      <w:r w:rsidRPr="00037C61">
        <w:rPr>
          <w:lang w:val="en-GB"/>
        </w:rPr>
        <w:t>In the Hungarian counties, the GDP of the PA has increased by 41.63%, with an average annual growth of 4.16%, Hajdú-Bihar contributes with the largest proportion the GDP of the border region. (with almost 31.95%), followed by the counties of Szabolcs-Szatmár-Bereg (about 26.40%), Csongrád-Csanád (over 24.70%) and Békés (16.95%).</w:t>
      </w:r>
    </w:p>
    <w:p w14:paraId="5A2532EB" w14:textId="42BD549B" w:rsidR="00921D9C" w:rsidRPr="00037C61" w:rsidRDefault="00921D9C" w:rsidP="00921D9C">
      <w:pPr>
        <w:jc w:val="left"/>
        <w:rPr>
          <w:bCs/>
          <w:lang w:val="en-GB"/>
        </w:rPr>
      </w:pPr>
      <w:r w:rsidRPr="00037C61">
        <w:rPr>
          <w:noProof/>
          <w:lang w:val="ro-RO" w:eastAsia="ro-RO"/>
        </w:rPr>
        <mc:AlternateContent>
          <mc:Choice Requires="wps">
            <w:drawing>
              <wp:anchor distT="0" distB="0" distL="114300" distR="114300" simplePos="0" relativeHeight="251624960" behindDoc="0" locked="0" layoutInCell="1" allowOverlap="1" wp14:anchorId="56DC6C42" wp14:editId="6BB4AD8C">
                <wp:simplePos x="0" y="0"/>
                <wp:positionH relativeFrom="column">
                  <wp:posOffset>19050</wp:posOffset>
                </wp:positionH>
                <wp:positionV relativeFrom="paragraph">
                  <wp:posOffset>3615690</wp:posOffset>
                </wp:positionV>
                <wp:extent cx="5722620" cy="447675"/>
                <wp:effectExtent l="0" t="0" r="0" b="635"/>
                <wp:wrapSquare wrapText="bothSides"/>
                <wp:docPr id="155" name="Text Box 155"/>
                <wp:cNvGraphicFramePr/>
                <a:graphic xmlns:a="http://schemas.openxmlformats.org/drawingml/2006/main">
                  <a:graphicData uri="http://schemas.microsoft.com/office/word/2010/wordprocessingShape">
                    <wps:wsp>
                      <wps:cNvSpPr txBox="1"/>
                      <wps:spPr>
                        <a:xfrm>
                          <a:off x="0" y="0"/>
                          <a:ext cx="5722620" cy="418465"/>
                        </a:xfrm>
                        <a:prstGeom prst="rect">
                          <a:avLst/>
                        </a:prstGeom>
                        <a:solidFill>
                          <a:prstClr val="white"/>
                        </a:solidFill>
                        <a:ln>
                          <a:noFill/>
                        </a:ln>
                      </wps:spPr>
                      <wps:txbx>
                        <w:txbxContent>
                          <w:p w14:paraId="5B997232" w14:textId="11FB841D" w:rsidR="00944B4A" w:rsidRDefault="00944B4A" w:rsidP="00921D9C">
                            <w:pPr>
                              <w:pStyle w:val="Caption"/>
                              <w:jc w:val="left"/>
                              <w:rPr>
                                <w:lang w:val="en-GB"/>
                              </w:rPr>
                            </w:pPr>
                            <w:bookmarkStart w:id="266" w:name="_Toc64611002"/>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53</w:t>
                            </w:r>
                            <w:r>
                              <w:rPr>
                                <w:lang w:val="en-US"/>
                              </w:rPr>
                              <w:fldChar w:fldCharType="end"/>
                            </w:r>
                            <w:r w:rsidRPr="00612AD6">
                              <w:rPr>
                                <w:lang w:val="en-US"/>
                              </w:rPr>
                              <w:t xml:space="preserve"> - GDP growth (annual %), 2009-2018, in the eligible areas of the two analyzed countries.</w:t>
                            </w:r>
                            <w:bookmarkEnd w:id="266"/>
                            <w:r w:rsidRPr="00612AD6">
                              <w:rPr>
                                <w:lang w:val="en-US"/>
                              </w:rPr>
                              <w:t xml:space="preserve"> </w:t>
                            </w:r>
                          </w:p>
                          <w:p w14:paraId="28BEDEDA" w14:textId="2D583B99" w:rsidR="00944B4A" w:rsidRPr="00612AD6" w:rsidRDefault="00944B4A" w:rsidP="00921D9C">
                            <w:pPr>
                              <w:pStyle w:val="Caption"/>
                              <w:jc w:val="left"/>
                              <w:rPr>
                                <w:bCs/>
                                <w:noProof/>
                                <w:lang w:val="en-US"/>
                              </w:rPr>
                            </w:pPr>
                            <w:r>
                              <w:rPr>
                                <w:lang w:val="en-GB"/>
                              </w:rPr>
                              <w:t xml:space="preserve"> </w:t>
                            </w:r>
                            <w:r>
                              <w:rPr>
                                <w:i w:val="0"/>
                                <w:iCs w:val="0"/>
                                <w:lang w:val="en-GB"/>
                              </w:rPr>
                              <w:t xml:space="preserve">Source: INS, data for GDP from 2009 and 2018 (current price, Lei basis), and </w:t>
                            </w:r>
                            <w:r>
                              <w:rPr>
                                <w:bCs/>
                                <w:i w:val="0"/>
                                <w:iCs w:val="0"/>
                                <w:lang w:val="en-GB"/>
                              </w:rPr>
                              <w:t>HSK, data for GDP from 2009 and 2018 (current price, HUF basis)</w:t>
                            </w:r>
                            <w:r>
                              <w:rPr>
                                <w:lang w:val="en-GB"/>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DC6C42" id="Text Box 155" o:spid="_x0000_s1031" type="#_x0000_t202" style="position:absolute;margin-left:1.5pt;margin-top:284.7pt;width:450.6pt;height:35.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" stroked="f">
                <v:textbox style="mso-fit-shape-to-text:t" inset="0,0,0,0">
                  <w:txbxContent>
                    <w:p w14:paraId="5B997232" w14:textId="11FB841D" w:rsidR="00944B4A" w:rsidRDefault="00944B4A" w:rsidP="00921D9C">
                      <w:pPr>
                        <w:pStyle w:val="Didascalia"/>
                        <w:jc w:val="left"/>
                        <w:rPr>
                          <w:lang w:val="en-GB"/>
                        </w:rPr>
                      </w:pPr>
                      <w:bookmarkStart w:id="293" w:name="_Toc64611002"/>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53</w:t>
                      </w:r>
                      <w:r>
                        <w:rPr>
                          <w:lang w:val="en-US"/>
                        </w:rPr>
                        <w:fldChar w:fldCharType="end"/>
                      </w:r>
                      <w:r w:rsidRPr="00612AD6">
                        <w:rPr>
                          <w:lang w:val="en-US"/>
                        </w:rPr>
                        <w:t xml:space="preserve"> - GDP growth (annual %), 2009-2018, in the eligible areas of the two analyzed countries.</w:t>
                      </w:r>
                      <w:bookmarkEnd w:id="293"/>
                      <w:r w:rsidRPr="00612AD6">
                        <w:rPr>
                          <w:lang w:val="en-US"/>
                        </w:rPr>
                        <w:t xml:space="preserve"> </w:t>
                      </w:r>
                    </w:p>
                    <w:p w14:paraId="28BEDEDA" w14:textId="2D583B99" w:rsidR="00944B4A" w:rsidRPr="00612AD6" w:rsidRDefault="00944B4A" w:rsidP="00921D9C">
                      <w:pPr>
                        <w:pStyle w:val="Didascalia"/>
                        <w:jc w:val="left"/>
                        <w:rPr>
                          <w:bCs/>
                          <w:noProof/>
                          <w:lang w:val="en-US"/>
                        </w:rPr>
                      </w:pPr>
                      <w:r>
                        <w:rPr>
                          <w:lang w:val="en-GB"/>
                        </w:rPr>
                        <w:t xml:space="preserve"> </w:t>
                      </w:r>
                      <w:r>
                        <w:rPr>
                          <w:i w:val="0"/>
                          <w:iCs w:val="0"/>
                          <w:lang w:val="en-GB"/>
                        </w:rPr>
                        <w:t xml:space="preserve">Source: INS, data for GDP from 2009 and 2018 (current price, Lei basis), and </w:t>
                      </w:r>
                      <w:r>
                        <w:rPr>
                          <w:bCs/>
                          <w:i w:val="0"/>
                          <w:iCs w:val="0"/>
                          <w:lang w:val="en-GB"/>
                        </w:rPr>
                        <w:t>HSK, data for GDP from 2009 and 2018 (current price, HUF basis)</w:t>
                      </w:r>
                      <w:r>
                        <w:rPr>
                          <w:lang w:val="en-GB"/>
                        </w:rPr>
                        <w:tab/>
                      </w:r>
                    </w:p>
                  </w:txbxContent>
                </v:textbox>
                <w10:wrap type="square"/>
              </v:shape>
            </w:pict>
          </mc:Fallback>
        </mc:AlternateContent>
      </w:r>
      <w:r w:rsidRPr="00037C61">
        <w:rPr>
          <w:noProof/>
          <w:lang w:val="ro-RO" w:eastAsia="ro-RO"/>
        </w:rPr>
        <mc:AlternateContent>
          <mc:Choice Requires="wpg">
            <w:drawing>
              <wp:anchor distT="0" distB="0" distL="114300" distR="114300" simplePos="0" relativeHeight="251623936" behindDoc="0" locked="0" layoutInCell="1" allowOverlap="1" wp14:anchorId="6131FAF0" wp14:editId="0D72CA04">
                <wp:simplePos x="0" y="0"/>
                <wp:positionH relativeFrom="column">
                  <wp:posOffset>19050</wp:posOffset>
                </wp:positionH>
                <wp:positionV relativeFrom="paragraph">
                  <wp:posOffset>290830</wp:posOffset>
                </wp:positionV>
                <wp:extent cx="5723255" cy="3267710"/>
                <wp:effectExtent l="19050" t="19050" r="10795" b="27940"/>
                <wp:wrapSquare wrapText="bothSides"/>
                <wp:docPr id="154" name="Group 154"/>
                <wp:cNvGraphicFramePr/>
                <a:graphic xmlns:a="http://schemas.openxmlformats.org/drawingml/2006/main">
                  <a:graphicData uri="http://schemas.microsoft.com/office/word/2010/wordprocessingGroup">
                    <wpg:wgp>
                      <wpg:cNvGrpSpPr/>
                      <wpg:grpSpPr>
                        <a:xfrm>
                          <a:off x="0" y="0"/>
                          <a:ext cx="5722620" cy="3267710"/>
                          <a:chOff x="0" y="0"/>
                          <a:chExt cx="5723043" cy="3267710"/>
                        </a:xfrm>
                      </wpg:grpSpPr>
                      <wpg:graphicFrame>
                        <wpg:cNvPr id="158" name="Chart 15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8F5336-E48E-4A61-AB06-E2468BDA1544}"/>
                            </a:ext>
                          </a:extLst>
                        </wpg:cNvPr>
                        <wpg:cNvFrPr/>
                        <wpg:xfrm>
                          <a:off x="0" y="0"/>
                          <a:ext cx="2776855" cy="3267710"/>
                        </wpg:xfrm>
                        <a:graphic>
                          <a:graphicData uri="http://schemas.openxmlformats.org/drawingml/2006/chart">
                            <c:chart xmlns:c="http://schemas.openxmlformats.org/drawingml/2006/chart" xmlns:r="http://schemas.openxmlformats.org/officeDocument/2006/relationships" r:id="rId127"/>
                          </a:graphicData>
                        </a:graphic>
                      </wpg:graphicFrame>
                      <wpg:graphicFrame>
                        <wpg:cNvPr id="159" name="Chart 159">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D1DACC-CA0C-42E3-9A9C-D7DC47527D61}"/>
                            </a:ext>
                          </a:extLst>
                        </wpg:cNvPr>
                        <wpg:cNvFrPr/>
                        <wpg:xfrm>
                          <a:off x="2760133" y="0"/>
                          <a:ext cx="2962910" cy="3267710"/>
                        </wpg:xfrm>
                        <a:graphic>
                          <a:graphicData uri="http://schemas.openxmlformats.org/drawingml/2006/chart">
                            <c:chart xmlns:c="http://schemas.openxmlformats.org/drawingml/2006/chart" xmlns:r="http://schemas.openxmlformats.org/officeDocument/2006/relationships" r:id="rId128"/>
                          </a:graphicData>
                        </a:graphic>
                      </wpg:graphicFrame>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4124AAE">
              <v:group id="Group 154" style="position:absolute;margin-left:1.5pt;margin-top:22.9pt;width:450.65pt;height:257.3pt;z-index:251646976" coordsize="57230,32677" o:spid="_x0000_s1026" w14:anchorId="3C7263A3"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">
                <v:shape id="Chart 158" style="position:absolute;left:-121;top:-121;width:28042;height:32978;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">
                  <v:imagedata o:title="" r:id="rId129"/>
                  <o:lock v:ext="edit" aspectratio="f"/>
                </v:shape>
                <v:shape id="Chart 159" style="position:absolute;left:27434;top:-121;width:29933;height:32978;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">
                  <v:imagedata o:title="" r:id="rId130"/>
                  <o:lock v:ext="edit" aspectratio="f"/>
                </v:shape>
                <w10:wrap type="square"/>
              </v:group>
            </w:pict>
          </mc:Fallback>
        </mc:AlternateContent>
      </w:r>
    </w:p>
    <w:p w14:paraId="601F3B49" w14:textId="77777777" w:rsidR="00921D9C" w:rsidRPr="00037C61" w:rsidRDefault="00921D9C" w:rsidP="00921D9C">
      <w:pPr>
        <w:jc w:val="left"/>
        <w:rPr>
          <w:bCs/>
          <w:lang w:val="en-GB"/>
        </w:rPr>
      </w:pPr>
      <w:r w:rsidRPr="00037C61">
        <w:rPr>
          <w:lang w:val="en-GB"/>
        </w:rPr>
        <w:t xml:space="preserve"> </w:t>
      </w:r>
    </w:p>
    <w:p w14:paraId="29323829" w14:textId="3AE6A0E9" w:rsidR="00921D9C" w:rsidRPr="00037C61" w:rsidRDefault="3F413C9B" w:rsidP="6446A0E8">
      <w:pPr>
        <w:rPr>
          <w:lang w:val="en-GB"/>
        </w:rPr>
      </w:pPr>
      <w:r w:rsidRPr="00037C61">
        <w:rPr>
          <w:lang w:val="en-GB"/>
        </w:rPr>
        <w:t>At the level of the PA, the growth along the border show different speeds for every county, so that the dynamics of the wealthy ones were more emphasized than of those with a poorer economy, the latter not being able to keep up. But this local dynamic does not show the inability of the region and its counties to use more wisely the funds from the financing programs or to attract private investments in order to reduce the development gaps, as much as it presents a specific dynamic of the region/country.</w:t>
      </w:r>
    </w:p>
    <w:p w14:paraId="3DA10549" w14:textId="77777777" w:rsidR="00EC1CAB" w:rsidRPr="00037C61" w:rsidRDefault="00EC1CAB" w:rsidP="00921D9C">
      <w:pPr>
        <w:rPr>
          <w:bCs/>
          <w:lang w:val="en-GB"/>
        </w:rPr>
      </w:pPr>
    </w:p>
    <w:p w14:paraId="75D9E3DB" w14:textId="77777777" w:rsidR="00921D9C" w:rsidRPr="00037C61" w:rsidRDefault="00921D9C" w:rsidP="00921D9C">
      <w:pPr>
        <w:pStyle w:val="Heading4"/>
        <w:rPr>
          <w:lang w:val="en-GB"/>
        </w:rPr>
      </w:pPr>
      <w:r w:rsidRPr="00037C61">
        <w:rPr>
          <w:lang w:val="en-GB"/>
        </w:rPr>
        <w:t>GDP per capita</w:t>
      </w:r>
    </w:p>
    <w:p w14:paraId="43073727" w14:textId="4A9CCD8F" w:rsidR="00921D9C" w:rsidRPr="00037C61" w:rsidRDefault="6446A0E8" w:rsidP="00921D9C">
      <w:pPr>
        <w:rPr>
          <w:lang w:val="en-GB"/>
        </w:rPr>
      </w:pPr>
      <w:r w:rsidRPr="00037C61">
        <w:rPr>
          <w:lang w:val="en-GB"/>
        </w:rPr>
        <w:t xml:space="preserve">The heterogeneity of the border region is even better highlighted by GDP per capita by </w:t>
      </w:r>
      <w:r w:rsidR="00772613" w:rsidRPr="00037C61">
        <w:rPr>
          <w:lang w:val="en-GB"/>
        </w:rPr>
        <w:t>PPS</w:t>
      </w:r>
      <w:r w:rsidRPr="00037C61">
        <w:rPr>
          <w:lang w:val="en-GB"/>
        </w:rPr>
        <w:t xml:space="preserve">, which increased by over 57% in the analysed period, reaching 35.51% of the EU-28 average (2018), with a value of 9,728 Euro. This level still shows that </w:t>
      </w:r>
      <w:r w:rsidRPr="00037C61">
        <w:rPr>
          <w:b/>
          <w:bCs/>
          <w:lang w:val="en-GB"/>
        </w:rPr>
        <w:t>most counties are below their national averages</w:t>
      </w:r>
      <w:r w:rsidRPr="00037C61">
        <w:rPr>
          <w:lang w:val="en-GB"/>
        </w:rPr>
        <w:t xml:space="preserve">. Inter-regional disparities </w:t>
      </w:r>
      <w:r w:rsidR="008B600F" w:rsidRPr="00037C61">
        <w:rPr>
          <w:lang w:val="en-GB"/>
        </w:rPr>
        <w:t>have not improved</w:t>
      </w:r>
      <w:r w:rsidRPr="00037C61">
        <w:rPr>
          <w:lang w:val="en-GB"/>
        </w:rPr>
        <w:t xml:space="preserve">, while the champion of the region remains Timiș county, with </w:t>
      </w:r>
      <w:r w:rsidRPr="00037C61">
        <w:rPr>
          <w:lang w:val="en-GB"/>
        </w:rPr>
        <w:lastRenderedPageBreak/>
        <w:t>significant economic performance (it is over 33.51% above the national average in 2018 and at 67.51% of the level of 75% of the</w:t>
      </w:r>
      <w:r w:rsidR="00D0173A" w:rsidRPr="00037C61">
        <w:rPr>
          <w:lang w:val="en-GB"/>
        </w:rPr>
        <w:t xml:space="preserve"> EU</w:t>
      </w:r>
      <w:r w:rsidRPr="00037C61">
        <w:rPr>
          <w:lang w:val="en-GB"/>
        </w:rPr>
        <w:t xml:space="preserve"> average) followed by Arad with 36.91%</w:t>
      </w:r>
      <w:r w:rsidR="00D0173A" w:rsidRPr="00037C61">
        <w:rPr>
          <w:lang w:val="en-GB"/>
        </w:rPr>
        <w:t xml:space="preserve">. The lowest values in Satu Mare and Szabolcs-Szatmár-Bereg are </w:t>
      </w:r>
      <w:r w:rsidR="00D0173A" w:rsidRPr="00037C61">
        <w:rPr>
          <w:b/>
          <w:bCs/>
          <w:lang w:val="en-GB"/>
        </w:rPr>
        <w:t>a little over a quarter of the EU-27 average</w:t>
      </w:r>
      <w:r w:rsidR="00D0173A" w:rsidRPr="00037C61">
        <w:rPr>
          <w:lang w:val="en-GB"/>
        </w:rPr>
        <w:t>.</w:t>
      </w:r>
    </w:p>
    <w:p w14:paraId="06DBB0E8" w14:textId="7C4AAA71" w:rsidR="00921D9C" w:rsidRPr="00037C61" w:rsidRDefault="00992EEE" w:rsidP="00921D9C">
      <w:pPr>
        <w:keepNext/>
        <w:spacing w:after="0"/>
        <w:jc w:val="left"/>
        <w:rPr>
          <w:lang w:val="en-GB"/>
        </w:rPr>
      </w:pPr>
      <w:r w:rsidRPr="00037C61">
        <w:rPr>
          <w:noProof/>
          <w:lang w:val="ro-RO" w:eastAsia="ro-RO"/>
        </w:rPr>
        <mc:AlternateContent>
          <mc:Choice Requires="wps">
            <w:drawing>
              <wp:anchor distT="0" distB="0" distL="114300" distR="114300" simplePos="0" relativeHeight="251631104" behindDoc="0" locked="0" layoutInCell="1" allowOverlap="1" wp14:anchorId="776B11ED" wp14:editId="07BCB0E1">
                <wp:simplePos x="0" y="0"/>
                <wp:positionH relativeFrom="column">
                  <wp:posOffset>2263141</wp:posOffset>
                </wp:positionH>
                <wp:positionV relativeFrom="paragraph">
                  <wp:posOffset>1290955</wp:posOffset>
                </wp:positionV>
                <wp:extent cx="167640" cy="575310"/>
                <wp:effectExtent l="0" t="0" r="3810" b="0"/>
                <wp:wrapNone/>
                <wp:docPr id="1361157944" name="Rectangle 43"/>
                <wp:cNvGraphicFramePr/>
                <a:graphic xmlns:a="http://schemas.openxmlformats.org/drawingml/2006/main">
                  <a:graphicData uri="http://schemas.microsoft.com/office/word/2010/wordprocessingShape">
                    <wps:wsp>
                      <wps:cNvSpPr/>
                      <wps:spPr>
                        <a:xfrm>
                          <a:off x="0" y="0"/>
                          <a:ext cx="167640" cy="57531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9FB13B6">
              <v:rect id="Rectangle 43" style="position:absolute;margin-left:178.2pt;margin-top:101.65pt;width:13.2pt;height:4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7030a0" stroked="f" strokeweight="1pt" w14:anchorId="5877BC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"/>
            </w:pict>
          </mc:Fallback>
        </mc:AlternateContent>
      </w:r>
      <w:r w:rsidR="00921D9C" w:rsidRPr="00037C61">
        <w:rPr>
          <w:noProof/>
          <w:lang w:val="ro-RO" w:eastAsia="ro-RO"/>
        </w:rPr>
        <w:drawing>
          <wp:inline distT="0" distB="0" distL="0" distR="0" wp14:anchorId="7AFE3D93" wp14:editId="6CDA6EC5">
            <wp:extent cx="5768340" cy="2114383"/>
            <wp:effectExtent l="0" t="0" r="3810" b="63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3"/>
                    <pic:cNvPicPr>
                      <a:picLocks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5798847" cy="2125565"/>
                    </a:xfrm>
                    <a:prstGeom prst="rect">
                      <a:avLst/>
                    </a:prstGeom>
                    <a:noFill/>
                    <a:ln>
                      <a:noFill/>
                    </a:ln>
                  </pic:spPr>
                </pic:pic>
              </a:graphicData>
            </a:graphic>
          </wp:inline>
        </w:drawing>
      </w:r>
    </w:p>
    <w:p w14:paraId="351E70AD" w14:textId="22BE6694" w:rsidR="00921D9C" w:rsidRPr="00037C61" w:rsidRDefault="00921D9C" w:rsidP="00921D9C">
      <w:pPr>
        <w:pStyle w:val="Caption"/>
        <w:jc w:val="left"/>
        <w:rPr>
          <w:lang w:val="en-GB"/>
        </w:rPr>
      </w:pPr>
      <w:bookmarkStart w:id="267" w:name="_Toc50657557"/>
      <w:bookmarkStart w:id="268" w:name="_Toc6461100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54</w:t>
      </w:r>
      <w:r w:rsidR="00412697">
        <w:rPr>
          <w:lang w:val="en-GB"/>
        </w:rPr>
        <w:fldChar w:fldCharType="end"/>
      </w:r>
      <w:r w:rsidRPr="00037C61">
        <w:rPr>
          <w:lang w:val="en-GB"/>
        </w:rPr>
        <w:t xml:space="preserve"> - GDP/per capita (PPS) of the Hungarian and Romanian counties (NUTS 3 level) in comparison</w:t>
      </w:r>
      <w:bookmarkEnd w:id="267"/>
      <w:bookmarkEnd w:id="268"/>
    </w:p>
    <w:p w14:paraId="0BA58195" w14:textId="5CD08F4F" w:rsidR="00EC1CAB" w:rsidRPr="00037C61" w:rsidRDefault="00921D9C" w:rsidP="00921D9C">
      <w:pPr>
        <w:pStyle w:val="Caption"/>
        <w:jc w:val="left"/>
        <w:rPr>
          <w:b/>
          <w:lang w:val="en-GB"/>
        </w:rPr>
      </w:pPr>
      <w:r w:rsidRPr="00037C61">
        <w:rPr>
          <w:lang w:val="en-GB"/>
        </w:rPr>
        <w:t xml:space="preserve">Source: </w:t>
      </w:r>
      <w:r w:rsidR="00124940" w:rsidRPr="00037C61">
        <w:rPr>
          <w:lang w:val="en-GB"/>
        </w:rPr>
        <w:t>INS</w:t>
      </w:r>
      <w:r w:rsidRPr="00037C61">
        <w:rPr>
          <w:lang w:val="en-GB"/>
        </w:rPr>
        <w:t xml:space="preserve"> and KSH, data for GDP per capita for 2018 (current price, Lei and HUF basis)</w:t>
      </w:r>
      <w:r w:rsidRPr="00037C61">
        <w:rPr>
          <w:b/>
          <w:lang w:val="en-GB"/>
        </w:rPr>
        <w:tab/>
      </w:r>
      <w:r w:rsidRPr="00037C61">
        <w:rPr>
          <w:b/>
          <w:lang w:val="en-GB"/>
        </w:rPr>
        <w:tab/>
      </w:r>
    </w:p>
    <w:p w14:paraId="6BD55FC2" w14:textId="6D0EBB46" w:rsidR="00921D9C" w:rsidRPr="00037C61" w:rsidRDefault="00921D9C" w:rsidP="00921D9C">
      <w:pPr>
        <w:pStyle w:val="Caption"/>
        <w:jc w:val="left"/>
        <w:rPr>
          <w:lang w:val="en-GB"/>
        </w:rPr>
      </w:pPr>
      <w:r w:rsidRPr="00037C61">
        <w:rPr>
          <w:b/>
          <w:lang w:val="en-GB"/>
        </w:rPr>
        <w:tab/>
      </w:r>
      <w:r w:rsidRPr="00037C61">
        <w:rPr>
          <w:b/>
          <w:lang w:val="en-GB"/>
        </w:rPr>
        <w:tab/>
      </w:r>
    </w:p>
    <w:p w14:paraId="73C7772E" w14:textId="7AD7D508" w:rsidR="00921D9C" w:rsidRPr="00037C61" w:rsidRDefault="00921D9C" w:rsidP="00921D9C">
      <w:pPr>
        <w:jc w:val="left"/>
        <w:rPr>
          <w:bCs/>
          <w:lang w:val="en-GB"/>
        </w:rPr>
      </w:pPr>
      <w:r w:rsidRPr="00037C61">
        <w:rPr>
          <w:bCs/>
          <w:lang w:val="en-GB"/>
        </w:rPr>
        <w:t>As such, there is an unequal distribution of development,</w:t>
      </w:r>
      <w:r w:rsidR="00EA57E0" w:rsidRPr="00037C61">
        <w:rPr>
          <w:bCs/>
          <w:lang w:val="en-GB"/>
        </w:rPr>
        <w:t xml:space="preserve"> with</w:t>
      </w:r>
      <w:r w:rsidRPr="00037C61">
        <w:rPr>
          <w:bCs/>
          <w:lang w:val="en-GB"/>
        </w:rPr>
        <w:t xml:space="preserve"> the poorest</w:t>
      </w:r>
      <w:r w:rsidR="00D0173A" w:rsidRPr="00037C61">
        <w:rPr>
          <w:bCs/>
          <w:lang w:val="en-GB"/>
        </w:rPr>
        <w:t xml:space="preserve"> counties</w:t>
      </w:r>
      <w:r w:rsidRPr="00037C61">
        <w:rPr>
          <w:bCs/>
          <w:lang w:val="en-GB"/>
        </w:rPr>
        <w:t xml:space="preserve"> located in </w:t>
      </w:r>
      <w:r w:rsidR="00EA57E0" w:rsidRPr="00037C61">
        <w:rPr>
          <w:bCs/>
          <w:lang w:val="en-GB"/>
        </w:rPr>
        <w:t>the northern extremity, at the extra-EU border with Ukraine</w:t>
      </w:r>
      <w:r w:rsidRPr="00037C61">
        <w:rPr>
          <w:bCs/>
          <w:lang w:val="en-GB"/>
        </w:rPr>
        <w:t xml:space="preserve">. This situation is also due to large cities and metropolitan areas where GDP per head is higher, like </w:t>
      </w:r>
      <w:r w:rsidR="008B32DD" w:rsidRPr="00037C61">
        <w:rPr>
          <w:bCs/>
          <w:lang w:val="en-GB"/>
        </w:rPr>
        <w:t>Timiș</w:t>
      </w:r>
      <w:r w:rsidRPr="00037C61">
        <w:rPr>
          <w:bCs/>
          <w:lang w:val="en-GB"/>
        </w:rPr>
        <w:t xml:space="preserve">oara, Oradea or Debrecen. </w:t>
      </w:r>
    </w:p>
    <w:p w14:paraId="46341A85" w14:textId="45147D68" w:rsidR="00921D9C" w:rsidRPr="00037C61" w:rsidRDefault="00921D9C" w:rsidP="00F60720">
      <w:pPr>
        <w:keepNext/>
        <w:spacing w:after="0"/>
        <w:jc w:val="left"/>
        <w:rPr>
          <w:lang w:val="en-GB"/>
        </w:rPr>
      </w:pPr>
      <w:r w:rsidRPr="00037C61">
        <w:rPr>
          <w:noProof/>
          <w:lang w:val="ro-RO" w:eastAsia="ro-RO"/>
        </w:rPr>
        <w:drawing>
          <wp:inline distT="0" distB="0" distL="0" distR="0" wp14:anchorId="6238683B" wp14:editId="52EF8511">
            <wp:extent cx="4968242" cy="2689860"/>
            <wp:effectExtent l="0" t="0" r="381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132">
                      <a:extLst>
                        <a:ext uri="{28A0092B-C50C-407E-A947-70E740481C1C}">
                          <a14:useLocalDpi xmlns:a14="http://schemas.microsoft.com/office/drawing/2010/main"/>
                        </a:ext>
                      </a:extLst>
                    </a:blip>
                    <a:stretch>
                      <a:fillRect/>
                    </a:stretch>
                  </pic:blipFill>
                  <pic:spPr>
                    <a:xfrm>
                      <a:off x="0" y="0"/>
                      <a:ext cx="4968242" cy="2689860"/>
                    </a:xfrm>
                    <a:prstGeom prst="rect">
                      <a:avLst/>
                    </a:prstGeom>
                  </pic:spPr>
                </pic:pic>
              </a:graphicData>
            </a:graphic>
          </wp:inline>
        </w:drawing>
      </w:r>
    </w:p>
    <w:p w14:paraId="57EA2F11" w14:textId="7D71F8FB" w:rsidR="00921D9C" w:rsidRPr="00DB74BF" w:rsidRDefault="00921D9C" w:rsidP="00921D9C">
      <w:pPr>
        <w:pStyle w:val="Caption"/>
        <w:jc w:val="left"/>
      </w:pPr>
      <w:bookmarkStart w:id="269" w:name="_Toc50657558"/>
      <w:bookmarkStart w:id="270" w:name="_Toc64611004"/>
      <w:r w:rsidRPr="00DB74BF">
        <w:t xml:space="preserve">Figure </w:t>
      </w:r>
      <w:r w:rsidR="00412697">
        <w:rPr>
          <w:lang w:val="en-GB"/>
        </w:rPr>
        <w:fldChar w:fldCharType="begin"/>
      </w:r>
      <w:r w:rsidR="00412697" w:rsidRPr="00DB74BF">
        <w:instrText xml:space="preserve"> SEQ Figure \* ARABIC </w:instrText>
      </w:r>
      <w:r w:rsidR="00412697">
        <w:rPr>
          <w:lang w:val="en-GB"/>
        </w:rPr>
        <w:fldChar w:fldCharType="separate"/>
      </w:r>
      <w:r w:rsidR="00412697" w:rsidRPr="00DB74BF">
        <w:rPr>
          <w:noProof/>
        </w:rPr>
        <w:t>55</w:t>
      </w:r>
      <w:r w:rsidR="00412697">
        <w:rPr>
          <w:lang w:val="en-GB"/>
        </w:rPr>
        <w:fldChar w:fldCharType="end"/>
      </w:r>
      <w:r w:rsidRPr="00DB74BF">
        <w:t xml:space="preserve"> - Change in GDP/per capita, 2009-2018 (2009=100%).</w:t>
      </w:r>
      <w:bookmarkEnd w:id="269"/>
      <w:bookmarkEnd w:id="270"/>
    </w:p>
    <w:p w14:paraId="4E1C7558" w14:textId="27DFD1D2" w:rsidR="00921D9C" w:rsidRPr="00037C61" w:rsidRDefault="00921D9C" w:rsidP="00921D9C">
      <w:pPr>
        <w:pStyle w:val="Caption"/>
        <w:jc w:val="left"/>
        <w:rPr>
          <w:lang w:val="en-GB"/>
        </w:rPr>
      </w:pPr>
      <w:r w:rsidRPr="00037C61">
        <w:rPr>
          <w:lang w:val="en-GB"/>
        </w:rPr>
        <w:t xml:space="preserve">Source: </w:t>
      </w:r>
      <w:r w:rsidR="00124940" w:rsidRPr="00037C61">
        <w:rPr>
          <w:lang w:val="en-GB"/>
        </w:rPr>
        <w:t>INS</w:t>
      </w:r>
      <w:r w:rsidRPr="00037C61">
        <w:rPr>
          <w:lang w:val="en-GB"/>
        </w:rPr>
        <w:t xml:space="preserve"> and KSH, data for GDP per capita for 2018 (current price, Lei and HUF basis)</w:t>
      </w:r>
    </w:p>
    <w:p w14:paraId="34CE8677" w14:textId="77777777" w:rsidR="00921D9C" w:rsidRPr="00037C61" w:rsidRDefault="00921D9C" w:rsidP="005E0849">
      <w:pPr>
        <w:spacing w:after="0"/>
        <w:jc w:val="left"/>
        <w:rPr>
          <w:b/>
          <w:lang w:val="en-GB"/>
        </w:rPr>
      </w:pPr>
      <w:r w:rsidRPr="00037C61">
        <w:rPr>
          <w:b/>
          <w:lang w:val="en-GB"/>
        </w:rPr>
        <w:t xml:space="preserve"> </w:t>
      </w:r>
    </w:p>
    <w:p w14:paraId="7209405F" w14:textId="35CC74F3" w:rsidR="00921D9C" w:rsidRPr="00037C61" w:rsidRDefault="3F413C9B" w:rsidP="3F413C9B">
      <w:pPr>
        <w:rPr>
          <w:lang w:val="en-GB"/>
        </w:rPr>
      </w:pPr>
      <w:r w:rsidRPr="00037C61">
        <w:rPr>
          <w:lang w:val="en-GB"/>
        </w:rPr>
        <w:t>The dynamics of the GDP per capita indicator during the analysed decade shows an accelerated recovery after the previous financial crisis, each county having a level of growth far above the European average level</w:t>
      </w:r>
      <w:r w:rsidR="00D0173A" w:rsidRPr="00037C61">
        <w:rPr>
          <w:lang w:val="en-GB"/>
        </w:rPr>
        <w:t xml:space="preserve">, partly explained by the large distance to European averages which prompts more „catching up” growth. </w:t>
      </w:r>
    </w:p>
    <w:p w14:paraId="67F75EBE" w14:textId="2F960BD5" w:rsidR="00921D9C" w:rsidRPr="00037C61" w:rsidRDefault="52230E0C" w:rsidP="00921D9C">
      <w:pPr>
        <w:rPr>
          <w:lang w:val="en-GB"/>
        </w:rPr>
      </w:pPr>
      <w:r w:rsidRPr="00037C61">
        <w:rPr>
          <w:lang w:val="en-GB"/>
        </w:rPr>
        <w:t xml:space="preserve">Comparing at domestic level, the Romanian counties had a significantly higher growth than those in Hungary, even Satu Mare with the lowest GDP per capita in the PA registered a significant growth, above the Romanian average. In Hungary, Szabolcs-Szatmár-Bereg (about 56%) and Békés </w:t>
      </w:r>
      <w:r w:rsidR="001F683C" w:rsidRPr="00037C61">
        <w:rPr>
          <w:lang w:val="en-GB"/>
        </w:rPr>
        <w:t>(about 54%) h</w:t>
      </w:r>
      <w:r w:rsidRPr="00037C61">
        <w:rPr>
          <w:lang w:val="en-GB"/>
        </w:rPr>
        <w:t>ad a dynamic above the national average</w:t>
      </w:r>
      <w:r w:rsidR="001F683C" w:rsidRPr="00037C61">
        <w:rPr>
          <w:lang w:val="en-GB"/>
        </w:rPr>
        <w:t>.</w:t>
      </w:r>
      <w:r w:rsidRPr="00037C61">
        <w:rPr>
          <w:lang w:val="en-GB"/>
        </w:rPr>
        <w:t xml:space="preserve"> </w:t>
      </w:r>
      <w:r w:rsidR="001F683C" w:rsidRPr="00037C61">
        <w:rPr>
          <w:lang w:val="en-GB"/>
        </w:rPr>
        <w:t xml:space="preserve">This </w:t>
      </w:r>
      <w:r w:rsidR="0032601C" w:rsidRPr="00037C61">
        <w:rPr>
          <w:lang w:val="en-GB"/>
        </w:rPr>
        <w:t>should be</w:t>
      </w:r>
      <w:r w:rsidRPr="00037C61">
        <w:rPr>
          <w:lang w:val="en-GB"/>
        </w:rPr>
        <w:t xml:space="preserve"> interpreted in the context of the crisis </w:t>
      </w:r>
      <w:r w:rsidRPr="00037C61">
        <w:rPr>
          <w:lang w:val="en-GB"/>
        </w:rPr>
        <w:lastRenderedPageBreak/>
        <w:t xml:space="preserve">recovery efforts, as both the Romanian as well as the Hungarian regions included in the PA have been amongst those in which GDP/employment shrank most during the 2008-2010 (Milio et al., 2014). </w:t>
      </w:r>
    </w:p>
    <w:p w14:paraId="5B0CAE58" w14:textId="490B6FB4" w:rsidR="00B8421F" w:rsidRPr="00037C61" w:rsidRDefault="00B8421F" w:rsidP="00FD4E9A">
      <w:pPr>
        <w:rPr>
          <w:lang w:val="en-GB"/>
        </w:rPr>
      </w:pPr>
      <w:r w:rsidRPr="00037C61">
        <w:rPr>
          <w:noProof/>
          <w:lang w:val="ro-RO" w:eastAsia="ro-RO"/>
        </w:rPr>
        <w:drawing>
          <wp:anchor distT="0" distB="0" distL="114300" distR="114300" simplePos="0" relativeHeight="251649536" behindDoc="0" locked="0" layoutInCell="1" allowOverlap="1" wp14:anchorId="5B754562" wp14:editId="1170BB99">
            <wp:simplePos x="0" y="0"/>
            <wp:positionH relativeFrom="margin">
              <wp:posOffset>2438400</wp:posOffset>
            </wp:positionH>
            <wp:positionV relativeFrom="paragraph">
              <wp:posOffset>29210</wp:posOffset>
            </wp:positionV>
            <wp:extent cx="3272790" cy="2792730"/>
            <wp:effectExtent l="19050" t="19050" r="22860" b="26670"/>
            <wp:wrapSquare wrapText="bothSides"/>
            <wp:docPr id="1490160186" name="Chart 149016018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5AAD5D-F3C7-4A85-803D-E7DC6AA65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margin">
              <wp14:pctHeight>0</wp14:pctHeight>
            </wp14:sizeRelV>
          </wp:anchor>
        </w:drawing>
      </w:r>
      <w:r w:rsidRPr="00037C61">
        <w:rPr>
          <w:lang w:val="en-GB"/>
        </w:rPr>
        <w:t xml:space="preserve">The dynamic of GDP distribution along sectors between 2009-2017 highlights a strong decline in the construction sector on the Romanian side of the PA (-6.20% in Bihor, -5.60% in Timiș) and a decline in Trade and HoReCa in the Hungarian side, with lower GDP shares of ICT and Finance across the whole area except Bihor and Timiș, where small increases have been recorded. The highest GDP increase has been recorded in Romanian counties (Bihor +5.10%) in public service, due to recent wage increases in the sector. </w:t>
      </w:r>
    </w:p>
    <w:p w14:paraId="033A761F" w14:textId="18699E63" w:rsidR="00B8421F" w:rsidRPr="00037C61" w:rsidRDefault="00B8421F" w:rsidP="005E0849">
      <w:pPr>
        <w:pStyle w:val="Caption"/>
        <w:jc w:val="both"/>
        <w:rPr>
          <w:lang w:val="en-GB"/>
        </w:rPr>
      </w:pPr>
      <w:bookmarkStart w:id="271" w:name="_Toc6461100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56</w:t>
      </w:r>
      <w:r w:rsidR="00412697">
        <w:rPr>
          <w:lang w:val="en-GB"/>
        </w:rPr>
        <w:fldChar w:fldCharType="end"/>
      </w:r>
      <w:r w:rsidRPr="00037C61">
        <w:rPr>
          <w:lang w:val="en-GB"/>
        </w:rPr>
        <w:t xml:space="preserve"> - Dynamnic of GDP distribution along sectors</w:t>
      </w:r>
      <w:bookmarkEnd w:id="271"/>
    </w:p>
    <w:p w14:paraId="05A26CEA" w14:textId="77777777" w:rsidR="00B8421F" w:rsidRPr="00037C61" w:rsidRDefault="00B8421F" w:rsidP="00921D9C">
      <w:pPr>
        <w:rPr>
          <w:lang w:val="en-GB"/>
        </w:rPr>
      </w:pPr>
    </w:p>
    <w:p w14:paraId="17FA7DF6" w14:textId="5D5AC7D4" w:rsidR="00921D9C" w:rsidRPr="00037C61" w:rsidRDefault="00921D9C" w:rsidP="00921D9C">
      <w:pPr>
        <w:pStyle w:val="Heading4"/>
        <w:rPr>
          <w:lang w:val="en-GB"/>
        </w:rPr>
      </w:pPr>
      <w:r w:rsidRPr="00037C61">
        <w:rPr>
          <w:lang w:val="en-GB"/>
        </w:rPr>
        <w:t>Gross value added</w:t>
      </w:r>
      <w:r w:rsidR="00B8421F" w:rsidRPr="00037C61">
        <w:rPr>
          <w:lang w:val="en-GB"/>
        </w:rPr>
        <w:t xml:space="preserve"> and work productivity</w:t>
      </w:r>
    </w:p>
    <w:p w14:paraId="7FBD1748" w14:textId="1568DB83" w:rsidR="000D1387" w:rsidRPr="00037C61" w:rsidRDefault="001F683C" w:rsidP="00921D9C">
      <w:pPr>
        <w:rPr>
          <w:lang w:val="en-GB"/>
        </w:rPr>
      </w:pPr>
      <w:r w:rsidRPr="00037C61">
        <w:rPr>
          <w:lang w:val="en-GB"/>
        </w:rPr>
        <w:t xml:space="preserve">In 2017, </w:t>
      </w:r>
      <w:r w:rsidR="00921D9C" w:rsidRPr="00037C61">
        <w:rPr>
          <w:lang w:val="en-GB"/>
        </w:rPr>
        <w:t xml:space="preserve">RO-HU region contributed with 11.03% to total Gross Added Value (GVA) produced in Romania and Hungary, respectively with 29,486 million euros, </w:t>
      </w:r>
      <w:r w:rsidRPr="00037C61">
        <w:rPr>
          <w:lang w:val="en-GB"/>
        </w:rPr>
        <w:t xml:space="preserve">recording </w:t>
      </w:r>
      <w:r w:rsidR="00866764" w:rsidRPr="00037C61">
        <w:rPr>
          <w:lang w:val="en-GB"/>
        </w:rPr>
        <w:t>a slight</w:t>
      </w:r>
      <w:r w:rsidR="00D831AD" w:rsidRPr="00037C61">
        <w:rPr>
          <w:lang w:val="en-GB"/>
        </w:rPr>
        <w:t xml:space="preserve"> </w:t>
      </w:r>
      <w:r w:rsidRPr="00037C61">
        <w:rPr>
          <w:lang w:val="en-GB"/>
        </w:rPr>
        <w:t>change since</w:t>
      </w:r>
      <w:r w:rsidR="00D831AD" w:rsidRPr="00037C61">
        <w:rPr>
          <w:lang w:val="en-GB"/>
        </w:rPr>
        <w:t xml:space="preserve"> </w:t>
      </w:r>
      <w:r w:rsidR="00921D9C" w:rsidRPr="00037C61">
        <w:rPr>
          <w:lang w:val="en-GB"/>
        </w:rPr>
        <w:t>2009 (11.23%). The region's economy is based mainly on the tertiary sector, which contributes with 57.07% to the regional GVA in 2017 (up from 54.70% in 2009) and industry and construction, with a contribution of 34.4 % (decreasing from 37.28% in 2009). The structure of the regional tertiary sector has the largest contribution to commercial services (trade, hotels and restaurants, transport and storage), with 19.3% of the total added value generated by the services sector, followed by public services (18.2%).</w:t>
      </w:r>
    </w:p>
    <w:p w14:paraId="5D4FBBF5" w14:textId="77777777" w:rsidR="00921D9C" w:rsidRPr="00037C61" w:rsidRDefault="00921D9C" w:rsidP="00921D9C">
      <w:pPr>
        <w:jc w:val="left"/>
        <w:rPr>
          <w:bCs/>
          <w:lang w:val="en-GB"/>
        </w:rPr>
      </w:pPr>
      <w:r w:rsidRPr="00037C61">
        <w:rPr>
          <w:bCs/>
          <w:lang w:val="en-GB"/>
        </w:rPr>
        <w:t>Within the region, the following trends in the dynamic structure of GVA deserve to be highlighted:</w:t>
      </w:r>
    </w:p>
    <w:p w14:paraId="56EA8DC7" w14:textId="0F9E54E6" w:rsidR="00921D9C" w:rsidRPr="00037C61" w:rsidRDefault="00921D9C" w:rsidP="00014AA0">
      <w:pPr>
        <w:pStyle w:val="InterregROHUBullet1"/>
        <w:numPr>
          <w:ilvl w:val="0"/>
          <w:numId w:val="9"/>
        </w:numPr>
        <w:ind w:left="709"/>
      </w:pPr>
      <w:r w:rsidRPr="00037C61">
        <w:t>The construction sector in Romania has a downward trend, so that in the analysed period the contribution of the construction sector to regional gross formation decreases by 3 points to 4.8%, while in Hungary the contribution of the sector remains at the same levels</w:t>
      </w:r>
      <w:r w:rsidR="588767A4" w:rsidRPr="00037C61">
        <w:t>;</w:t>
      </w:r>
    </w:p>
    <w:p w14:paraId="6DA65521" w14:textId="77777777" w:rsidR="00921D9C" w:rsidRPr="00037C61" w:rsidRDefault="00921D9C" w:rsidP="00014AA0">
      <w:pPr>
        <w:pStyle w:val="InterregROHUBullet1"/>
        <w:numPr>
          <w:ilvl w:val="0"/>
          <w:numId w:val="9"/>
        </w:numPr>
        <w:ind w:left="709"/>
      </w:pPr>
      <w:r w:rsidRPr="00037C61">
        <w:t>In Romania, the industrial component of the GDP is much larger, all counties having a share in the GVA above the national level, while in Hungary even if the county levels are placed below the national average, the services are those that bring a larger contribution, especially the public administration and community services which have an average of 7 percentage above national level.</w:t>
      </w:r>
    </w:p>
    <w:p w14:paraId="1A775B2A" w14:textId="4E6DAB2D" w:rsidR="00921D9C" w:rsidRPr="00037C61" w:rsidRDefault="52230E0C" w:rsidP="00921D9C">
      <w:pPr>
        <w:rPr>
          <w:lang w:val="en-GB"/>
        </w:rPr>
      </w:pPr>
      <w:r w:rsidRPr="00037C61">
        <w:rPr>
          <w:lang w:val="en-GB"/>
        </w:rPr>
        <w:t xml:space="preserve">Positive and significant correlations could be traced for counties being in a better situation in economic terms with some specialisation in ICT, technological and financial activities; in other words, in the PA, development of advanced services </w:t>
      </w:r>
      <w:r w:rsidR="00441AB0" w:rsidRPr="00037C61">
        <w:rPr>
          <w:lang w:val="en-GB"/>
        </w:rPr>
        <w:t xml:space="preserve">and a </w:t>
      </w:r>
      <w:r w:rsidRPr="00037C61">
        <w:rPr>
          <w:lang w:val="en-GB"/>
        </w:rPr>
        <w:t xml:space="preserve">wealthier status </w:t>
      </w:r>
      <w:r w:rsidR="00441AB0" w:rsidRPr="00037C61">
        <w:rPr>
          <w:lang w:val="en-GB"/>
        </w:rPr>
        <w:t xml:space="preserve">are interlinked </w:t>
      </w:r>
      <w:r w:rsidRPr="00037C61">
        <w:rPr>
          <w:lang w:val="en-GB"/>
        </w:rPr>
        <w:t>(e.g. financial intermediation and real estate are well above the national level).</w:t>
      </w:r>
    </w:p>
    <w:p w14:paraId="68B9E2BF" w14:textId="2BE04636" w:rsidR="00921D9C" w:rsidRPr="00037C61" w:rsidRDefault="6446A0E8" w:rsidP="6446A0E8">
      <w:pPr>
        <w:jc w:val="left"/>
        <w:rPr>
          <w:lang w:val="en-GB"/>
        </w:rPr>
      </w:pPr>
      <w:r w:rsidRPr="00037C61">
        <w:rPr>
          <w:lang w:val="en-GB"/>
        </w:rPr>
        <w:t>The counties evolving sectoral regional productivity and compared to the national level comes to complete the image of the border region and explains the trends of the economies registered in the analysed period, but also bring to light specific elements of the sectors and counties, as follows:</w:t>
      </w:r>
    </w:p>
    <w:p w14:paraId="3E3CA4D6" w14:textId="77777777" w:rsidR="00921D9C" w:rsidRPr="00037C61" w:rsidRDefault="00921D9C" w:rsidP="00014AA0">
      <w:pPr>
        <w:pStyle w:val="InterregROHUBullet1"/>
        <w:numPr>
          <w:ilvl w:val="0"/>
          <w:numId w:val="9"/>
        </w:numPr>
        <w:ind w:left="709"/>
      </w:pPr>
      <w:r w:rsidRPr="00037C61">
        <w:lastRenderedPageBreak/>
        <w:t xml:space="preserve">The </w:t>
      </w:r>
      <w:r w:rsidR="00FA6FA0" w:rsidRPr="00037C61">
        <w:t xml:space="preserve">2009-2017 </w:t>
      </w:r>
      <w:r w:rsidRPr="00037C61">
        <w:t>10 years productivity of the region has increased by approx. 36%, as a result of the contribution of the Romanian economy having an accelerated growth at national level of 58.68%, while the Hungarian counties registered only a slight positive evolution at national level of 3.78%.</w:t>
      </w:r>
    </w:p>
    <w:p w14:paraId="378C6B5A" w14:textId="77777777" w:rsidR="00921D9C" w:rsidRPr="00037C61" w:rsidRDefault="00921D9C" w:rsidP="00014AA0">
      <w:pPr>
        <w:pStyle w:val="InterregROHUBullet1"/>
        <w:numPr>
          <w:ilvl w:val="0"/>
          <w:numId w:val="9"/>
        </w:numPr>
        <w:ind w:left="709"/>
      </w:pPr>
      <w:r w:rsidRPr="00037C61">
        <w:t>On each sector there were productivity growth within the region, except for the construction sector, where the oscillating and limited evolution in the Hungarian counties was overcome by the dramatic fall of the Romanian sector, especially in Bihor and Satu Mare counties; as such, this trend can explain an accentuated migration of the qualified labour force to other regions, possibly to other countries.</w:t>
      </w:r>
    </w:p>
    <w:p w14:paraId="20FF2BB9" w14:textId="72B9F5F8" w:rsidR="00921D9C" w:rsidRPr="00037C61" w:rsidRDefault="30EED610" w:rsidP="00014AA0">
      <w:pPr>
        <w:pStyle w:val="InterregROHUBullet1"/>
        <w:numPr>
          <w:ilvl w:val="0"/>
          <w:numId w:val="9"/>
        </w:numPr>
        <w:ind w:left="709"/>
      </w:pPr>
      <w:r w:rsidRPr="00037C61">
        <w:t>At national level, both in Romania and Hungary there is a second negative evolution in the real estate field, somewhat obviously due to the reduction of the activity in constructions, while Hungary has a decline in 2017 in the ICT sector as well. These trends are also found in the counties, those in Hungary register a reduction in 10 years, while the counties in Romania have a double, even triple productivity</w:t>
      </w:r>
      <w:r w:rsidR="00DE77A9" w:rsidRPr="00037C61">
        <w:t xml:space="preserve"> than Hungarian ones</w:t>
      </w:r>
    </w:p>
    <w:p w14:paraId="783D0B61" w14:textId="631E32F0" w:rsidR="00921D9C" w:rsidRPr="00037C61" w:rsidRDefault="52230E0C" w:rsidP="00014AA0">
      <w:pPr>
        <w:pStyle w:val="InterregROHUBullet1"/>
        <w:numPr>
          <w:ilvl w:val="0"/>
          <w:numId w:val="9"/>
        </w:numPr>
        <w:ind w:left="709"/>
      </w:pPr>
      <w:r w:rsidRPr="00037C61">
        <w:t xml:space="preserve">The PA relative to the European average is far behind in all sectors of economic activity: it has registered a value of labour productivity twice lower in agriculture, three times lower in industry and trade, transport and Horeca and, respectively, close three times lower in services. However, the ICT sector is distinguished in the region, which has reached 63% of the European level, a level that justifies a concentration of activities that </w:t>
      </w:r>
      <w:r w:rsidR="1694FADE" w:rsidRPr="00037C61">
        <w:t>may</w:t>
      </w:r>
      <w:r w:rsidRPr="00037C61">
        <w:t xml:space="preserve"> be used for the intelligent and harmonious development of Romanian-Hungarian business relations.</w:t>
      </w:r>
    </w:p>
    <w:p w14:paraId="58EA8AC3" w14:textId="26EDF057" w:rsidR="00921D9C" w:rsidRPr="00037C61" w:rsidRDefault="00921D9C" w:rsidP="00921D9C">
      <w:pPr>
        <w:pStyle w:val="Caption"/>
        <w:keepNext/>
        <w:jc w:val="left"/>
        <w:rPr>
          <w:lang w:val="en-GB"/>
        </w:rPr>
      </w:pPr>
      <w:bookmarkStart w:id="272" w:name="_Ref50122005"/>
      <w:bookmarkStart w:id="273" w:name="_Toc50584202"/>
      <w:bookmarkStart w:id="274" w:name="_Toc58237640"/>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18</w:t>
      </w:r>
      <w:r w:rsidR="00552808" w:rsidRPr="00037C61">
        <w:rPr>
          <w:lang w:val="en-GB"/>
        </w:rPr>
        <w:fldChar w:fldCharType="end"/>
      </w:r>
      <w:bookmarkEnd w:id="272"/>
      <w:r w:rsidRPr="00037C61">
        <w:rPr>
          <w:lang w:val="en-GB"/>
        </w:rPr>
        <w:t xml:space="preserve"> - Change in productivity along sectors (2009, 2017)*</w:t>
      </w:r>
      <w:bookmarkEnd w:id="273"/>
      <w:bookmarkEnd w:id="274"/>
    </w:p>
    <w:tbl>
      <w:tblPr>
        <w:tblW w:w="9021"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1022"/>
        <w:gridCol w:w="801"/>
        <w:gridCol w:w="884"/>
        <w:gridCol w:w="884"/>
        <w:gridCol w:w="884"/>
        <w:gridCol w:w="884"/>
        <w:gridCol w:w="884"/>
        <w:gridCol w:w="1010"/>
        <w:gridCol w:w="884"/>
        <w:gridCol w:w="884"/>
      </w:tblGrid>
      <w:tr w:rsidR="00921D9C" w:rsidRPr="004A5488" w14:paraId="2BD858D1" w14:textId="77777777" w:rsidTr="35D5BAB1">
        <w:trPr>
          <w:trHeight w:val="245"/>
        </w:trPr>
        <w:tc>
          <w:tcPr>
            <w:tcW w:w="9021" w:type="dxa"/>
            <w:gridSpan w:val="10"/>
            <w:tcBorders>
              <w:top w:val="nil"/>
              <w:left w:val="single" w:sz="4" w:space="0" w:color="034FA3" w:themeColor="accent1"/>
              <w:bottom w:val="nil"/>
              <w:right w:val="nil"/>
            </w:tcBorders>
            <w:shd w:val="clear" w:color="auto" w:fill="034FA3" w:themeFill="accent1"/>
            <w:hideMark/>
          </w:tcPr>
          <w:p w14:paraId="307FA48C" w14:textId="4999F33D" w:rsidR="00921D9C" w:rsidRPr="00037C61" w:rsidRDefault="00921D9C">
            <w:pPr>
              <w:spacing w:after="0" w:line="240" w:lineRule="auto"/>
              <w:jc w:val="center"/>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 xml:space="preserve">2017: GVA </w:t>
            </w:r>
            <w:r w:rsidR="00772FF9">
              <w:rPr>
                <w:rFonts w:eastAsia="Times New Roman" w:cs="Calibri"/>
                <w:b/>
                <w:bCs/>
                <w:color w:val="FFFFFF" w:themeColor="background1"/>
                <w:sz w:val="20"/>
                <w:szCs w:val="20"/>
                <w:lang w:val="en-GB" w:eastAsia="en-GB"/>
              </w:rPr>
              <w:t>at basic prices</w:t>
            </w:r>
            <w:r w:rsidR="00772FF9" w:rsidRPr="00037C61">
              <w:rPr>
                <w:rFonts w:eastAsia="Times New Roman" w:cs="Calibri"/>
                <w:b/>
                <w:bCs/>
                <w:color w:val="FFFFFF" w:themeColor="background1"/>
                <w:sz w:val="20"/>
                <w:szCs w:val="20"/>
                <w:lang w:val="en-GB" w:eastAsia="en-GB"/>
              </w:rPr>
              <w:t xml:space="preserve"> </w:t>
            </w:r>
            <w:r w:rsidRPr="00037C61">
              <w:rPr>
                <w:rFonts w:eastAsia="Times New Roman" w:cs="Calibri"/>
                <w:b/>
                <w:bCs/>
                <w:color w:val="FFFFFF" w:themeColor="background1"/>
                <w:sz w:val="20"/>
                <w:szCs w:val="20"/>
                <w:lang w:val="en-GB" w:eastAsia="en-GB"/>
              </w:rPr>
              <w:t xml:space="preserve">(Euro / person) </w:t>
            </w:r>
          </w:p>
        </w:tc>
      </w:tr>
      <w:tr w:rsidR="00921D9C" w:rsidRPr="00037C61" w14:paraId="15FB76B5" w14:textId="77777777" w:rsidTr="35D5BAB1">
        <w:trPr>
          <w:trHeight w:val="245"/>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25D4081E" w14:textId="77777777" w:rsidR="00921D9C" w:rsidRPr="00037C61" w:rsidRDefault="00921D9C">
            <w:pPr>
              <w:rPr>
                <w:rFonts w:eastAsia="Times New Roman" w:cs="Calibri"/>
                <w:b/>
                <w:bCs/>
                <w:color w:val="FFFFFF" w:themeColor="background1"/>
                <w:sz w:val="20"/>
                <w:szCs w:val="20"/>
                <w:lang w:val="en-GB" w:eastAsia="en-GB"/>
              </w:rPr>
            </w:pPr>
          </w:p>
        </w:tc>
        <w:tc>
          <w:tcPr>
            <w:tcW w:w="804" w:type="dxa"/>
            <w:tcBorders>
              <w:top w:val="single" w:sz="4" w:space="0" w:color="034FA3" w:themeColor="accent1"/>
              <w:left w:val="nil"/>
              <w:bottom w:val="single" w:sz="4" w:space="0" w:color="034FA3" w:themeColor="accent1"/>
              <w:right w:val="nil"/>
            </w:tcBorders>
            <w:hideMark/>
          </w:tcPr>
          <w:p w14:paraId="52483798"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A</w:t>
            </w:r>
          </w:p>
        </w:tc>
        <w:tc>
          <w:tcPr>
            <w:tcW w:w="884" w:type="dxa"/>
            <w:tcBorders>
              <w:top w:val="single" w:sz="4" w:space="0" w:color="034FA3" w:themeColor="accent1"/>
              <w:left w:val="nil"/>
              <w:bottom w:val="single" w:sz="4" w:space="0" w:color="034FA3" w:themeColor="accent1"/>
              <w:right w:val="nil"/>
            </w:tcBorders>
            <w:hideMark/>
          </w:tcPr>
          <w:p w14:paraId="3789B41C"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B-E</w:t>
            </w:r>
          </w:p>
        </w:tc>
        <w:tc>
          <w:tcPr>
            <w:tcW w:w="884" w:type="dxa"/>
            <w:tcBorders>
              <w:top w:val="single" w:sz="4" w:space="0" w:color="034FA3" w:themeColor="accent1"/>
              <w:left w:val="nil"/>
              <w:bottom w:val="single" w:sz="4" w:space="0" w:color="034FA3" w:themeColor="accent1"/>
              <w:right w:val="nil"/>
            </w:tcBorders>
            <w:hideMark/>
          </w:tcPr>
          <w:p w14:paraId="38CF739C"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F</w:t>
            </w:r>
          </w:p>
        </w:tc>
        <w:tc>
          <w:tcPr>
            <w:tcW w:w="884" w:type="dxa"/>
            <w:tcBorders>
              <w:top w:val="single" w:sz="4" w:space="0" w:color="034FA3" w:themeColor="accent1"/>
              <w:left w:val="nil"/>
              <w:bottom w:val="single" w:sz="4" w:space="0" w:color="034FA3" w:themeColor="accent1"/>
              <w:right w:val="nil"/>
            </w:tcBorders>
            <w:hideMark/>
          </w:tcPr>
          <w:p w14:paraId="0992EE8F"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G-I</w:t>
            </w:r>
          </w:p>
        </w:tc>
        <w:tc>
          <w:tcPr>
            <w:tcW w:w="884" w:type="dxa"/>
            <w:tcBorders>
              <w:top w:val="single" w:sz="4" w:space="0" w:color="034FA3" w:themeColor="accent1"/>
              <w:left w:val="nil"/>
              <w:bottom w:val="single" w:sz="4" w:space="0" w:color="034FA3" w:themeColor="accent1"/>
              <w:right w:val="nil"/>
            </w:tcBorders>
            <w:hideMark/>
          </w:tcPr>
          <w:p w14:paraId="64D690FB"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J</w:t>
            </w:r>
          </w:p>
        </w:tc>
        <w:tc>
          <w:tcPr>
            <w:tcW w:w="884" w:type="dxa"/>
            <w:tcBorders>
              <w:top w:val="single" w:sz="4" w:space="0" w:color="034FA3" w:themeColor="accent1"/>
              <w:left w:val="nil"/>
              <w:bottom w:val="single" w:sz="4" w:space="0" w:color="034FA3" w:themeColor="accent1"/>
              <w:right w:val="nil"/>
            </w:tcBorders>
            <w:hideMark/>
          </w:tcPr>
          <w:p w14:paraId="1684CD65"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K</w:t>
            </w:r>
          </w:p>
        </w:tc>
        <w:tc>
          <w:tcPr>
            <w:tcW w:w="1009" w:type="dxa"/>
            <w:tcBorders>
              <w:top w:val="single" w:sz="4" w:space="0" w:color="034FA3" w:themeColor="accent1"/>
              <w:left w:val="nil"/>
              <w:bottom w:val="single" w:sz="4" w:space="0" w:color="034FA3" w:themeColor="accent1"/>
              <w:right w:val="nil"/>
            </w:tcBorders>
            <w:hideMark/>
          </w:tcPr>
          <w:p w14:paraId="7FC857DB"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L</w:t>
            </w:r>
          </w:p>
        </w:tc>
        <w:tc>
          <w:tcPr>
            <w:tcW w:w="884" w:type="dxa"/>
            <w:tcBorders>
              <w:top w:val="single" w:sz="4" w:space="0" w:color="034FA3" w:themeColor="accent1"/>
              <w:left w:val="nil"/>
              <w:bottom w:val="single" w:sz="4" w:space="0" w:color="034FA3" w:themeColor="accent1"/>
              <w:right w:val="nil"/>
            </w:tcBorders>
            <w:hideMark/>
          </w:tcPr>
          <w:p w14:paraId="43DF674B"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M-N</w:t>
            </w:r>
          </w:p>
        </w:tc>
        <w:tc>
          <w:tcPr>
            <w:tcW w:w="884" w:type="dxa"/>
            <w:tcBorders>
              <w:top w:val="single" w:sz="4" w:space="0" w:color="034FA3" w:themeColor="accent1"/>
              <w:left w:val="nil"/>
              <w:bottom w:val="single" w:sz="4" w:space="0" w:color="034FA3" w:themeColor="accent1"/>
              <w:right w:val="single" w:sz="4" w:space="0" w:color="034FA3" w:themeColor="accent1"/>
            </w:tcBorders>
            <w:hideMark/>
          </w:tcPr>
          <w:p w14:paraId="6C8A701A"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O-Q</w:t>
            </w:r>
          </w:p>
        </w:tc>
      </w:tr>
      <w:tr w:rsidR="00981D6C" w:rsidRPr="00037C61" w14:paraId="5EA976BF" w14:textId="77777777" w:rsidTr="35D5BAB1">
        <w:trPr>
          <w:trHeight w:val="245"/>
        </w:trPr>
        <w:tc>
          <w:tcPr>
            <w:tcW w:w="1020" w:type="dxa"/>
            <w:tcBorders>
              <w:top w:val="nil"/>
              <w:left w:val="single" w:sz="4" w:space="0" w:color="034FA3" w:themeColor="accent1"/>
              <w:bottom w:val="nil"/>
              <w:right w:val="nil"/>
            </w:tcBorders>
            <w:shd w:val="clear" w:color="auto" w:fill="FDE7E8"/>
            <w:hideMark/>
          </w:tcPr>
          <w:p w14:paraId="6B05A889"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Hajdú-Bihar</w:t>
            </w:r>
          </w:p>
        </w:tc>
        <w:tc>
          <w:tcPr>
            <w:tcW w:w="804" w:type="dxa"/>
            <w:tcBorders>
              <w:top w:val="nil"/>
              <w:left w:val="nil"/>
              <w:bottom w:val="nil"/>
              <w:right w:val="nil"/>
            </w:tcBorders>
            <w:shd w:val="clear" w:color="auto" w:fill="FDE7E8"/>
            <w:hideMark/>
          </w:tcPr>
          <w:p w14:paraId="531F851B"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26,011.8</w:t>
            </w:r>
          </w:p>
        </w:tc>
        <w:tc>
          <w:tcPr>
            <w:tcW w:w="884" w:type="dxa"/>
            <w:tcBorders>
              <w:top w:val="nil"/>
              <w:left w:val="nil"/>
              <w:bottom w:val="nil"/>
              <w:right w:val="nil"/>
            </w:tcBorders>
            <w:shd w:val="clear" w:color="auto" w:fill="FDE7E8"/>
            <w:hideMark/>
          </w:tcPr>
          <w:p w14:paraId="7B42480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27,649.3</w:t>
            </w:r>
          </w:p>
        </w:tc>
        <w:tc>
          <w:tcPr>
            <w:tcW w:w="884" w:type="dxa"/>
            <w:tcBorders>
              <w:top w:val="nil"/>
              <w:left w:val="nil"/>
              <w:bottom w:val="nil"/>
              <w:right w:val="nil"/>
            </w:tcBorders>
            <w:shd w:val="clear" w:color="auto" w:fill="FDE7E8"/>
            <w:hideMark/>
          </w:tcPr>
          <w:p w14:paraId="38D231F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14,341.7</w:t>
            </w:r>
          </w:p>
        </w:tc>
        <w:tc>
          <w:tcPr>
            <w:tcW w:w="884" w:type="dxa"/>
            <w:tcBorders>
              <w:top w:val="nil"/>
              <w:left w:val="nil"/>
              <w:bottom w:val="nil"/>
              <w:right w:val="nil"/>
            </w:tcBorders>
            <w:shd w:val="clear" w:color="auto" w:fill="FDE7E8"/>
            <w:hideMark/>
          </w:tcPr>
          <w:p w14:paraId="72D3F9FE"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15,160.7</w:t>
            </w:r>
          </w:p>
        </w:tc>
        <w:tc>
          <w:tcPr>
            <w:tcW w:w="884" w:type="dxa"/>
            <w:tcBorders>
              <w:top w:val="nil"/>
              <w:left w:val="nil"/>
              <w:bottom w:val="nil"/>
              <w:right w:val="nil"/>
            </w:tcBorders>
            <w:shd w:val="clear" w:color="auto" w:fill="FDE7E8"/>
            <w:hideMark/>
          </w:tcPr>
          <w:p w14:paraId="492A6BA0"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30,063.9</w:t>
            </w:r>
          </w:p>
        </w:tc>
        <w:tc>
          <w:tcPr>
            <w:tcW w:w="884" w:type="dxa"/>
            <w:tcBorders>
              <w:top w:val="nil"/>
              <w:left w:val="nil"/>
              <w:bottom w:val="nil"/>
              <w:right w:val="nil"/>
            </w:tcBorders>
            <w:shd w:val="clear" w:color="auto" w:fill="FDE7E8"/>
            <w:hideMark/>
          </w:tcPr>
          <w:p w14:paraId="7B6FB7C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30,891.5</w:t>
            </w:r>
          </w:p>
        </w:tc>
        <w:tc>
          <w:tcPr>
            <w:tcW w:w="1009" w:type="dxa"/>
            <w:tcBorders>
              <w:top w:val="nil"/>
              <w:left w:val="nil"/>
              <w:bottom w:val="nil"/>
              <w:right w:val="nil"/>
            </w:tcBorders>
            <w:shd w:val="clear" w:color="auto" w:fill="FDE7E8"/>
            <w:hideMark/>
          </w:tcPr>
          <w:p w14:paraId="07E9772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166,413.6</w:t>
            </w:r>
          </w:p>
        </w:tc>
        <w:tc>
          <w:tcPr>
            <w:tcW w:w="884" w:type="dxa"/>
            <w:tcBorders>
              <w:top w:val="nil"/>
              <w:left w:val="nil"/>
              <w:bottom w:val="nil"/>
              <w:right w:val="nil"/>
            </w:tcBorders>
            <w:shd w:val="clear" w:color="auto" w:fill="FDE7E8"/>
            <w:hideMark/>
          </w:tcPr>
          <w:p w14:paraId="228BE4F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20,254.6</w:t>
            </w:r>
          </w:p>
        </w:tc>
        <w:tc>
          <w:tcPr>
            <w:tcW w:w="884" w:type="dxa"/>
            <w:tcBorders>
              <w:top w:val="nil"/>
              <w:left w:val="nil"/>
              <w:bottom w:val="nil"/>
              <w:right w:val="single" w:sz="4" w:space="0" w:color="034FA3" w:themeColor="accent1"/>
            </w:tcBorders>
            <w:shd w:val="clear" w:color="auto" w:fill="FDE7E8"/>
            <w:hideMark/>
          </w:tcPr>
          <w:p w14:paraId="6BDB7F2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18,573.7</w:t>
            </w:r>
          </w:p>
        </w:tc>
      </w:tr>
      <w:tr w:rsidR="00981D6C" w:rsidRPr="00037C61" w14:paraId="17FD8F79" w14:textId="77777777" w:rsidTr="35D5BAB1">
        <w:trPr>
          <w:trHeight w:val="347"/>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FDE7E8"/>
            <w:hideMark/>
          </w:tcPr>
          <w:p w14:paraId="263D622B"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Sz.-Sz.-Bereg</w:t>
            </w:r>
          </w:p>
        </w:tc>
        <w:tc>
          <w:tcPr>
            <w:tcW w:w="804" w:type="dxa"/>
            <w:tcBorders>
              <w:top w:val="single" w:sz="4" w:space="0" w:color="034FA3" w:themeColor="accent1"/>
              <w:left w:val="nil"/>
              <w:bottom w:val="single" w:sz="4" w:space="0" w:color="034FA3" w:themeColor="accent1"/>
              <w:right w:val="nil"/>
            </w:tcBorders>
            <w:shd w:val="clear" w:color="auto" w:fill="FDE7E8"/>
            <w:hideMark/>
          </w:tcPr>
          <w:p w14:paraId="1BEBCADD"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20,590.9</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3FD23F7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19,895.6</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7FD8FD5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14,468.8</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427BAEEC"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14,613.8</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1DF2761E"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43,022.6</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79AA235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23,851.6</w:t>
            </w:r>
          </w:p>
        </w:tc>
        <w:tc>
          <w:tcPr>
            <w:tcW w:w="1009" w:type="dxa"/>
            <w:tcBorders>
              <w:top w:val="single" w:sz="4" w:space="0" w:color="034FA3" w:themeColor="accent1"/>
              <w:left w:val="nil"/>
              <w:bottom w:val="single" w:sz="4" w:space="0" w:color="034FA3" w:themeColor="accent1"/>
              <w:right w:val="nil"/>
            </w:tcBorders>
            <w:shd w:val="clear" w:color="auto" w:fill="FDE7E8"/>
            <w:hideMark/>
          </w:tcPr>
          <w:p w14:paraId="0F1A43D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150,965.3</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7DA8EEA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19,005.1</w:t>
            </w:r>
          </w:p>
        </w:tc>
        <w:tc>
          <w:tcPr>
            <w:tcW w:w="884" w:type="dxa"/>
            <w:tcBorders>
              <w:top w:val="single" w:sz="4" w:space="0" w:color="034FA3" w:themeColor="accent1"/>
              <w:left w:val="nil"/>
              <w:bottom w:val="single" w:sz="4" w:space="0" w:color="034FA3" w:themeColor="accent1"/>
              <w:right w:val="single" w:sz="4" w:space="0" w:color="034FA3" w:themeColor="accent1"/>
            </w:tcBorders>
            <w:shd w:val="clear" w:color="auto" w:fill="FDE7E8"/>
            <w:hideMark/>
          </w:tcPr>
          <w:p w14:paraId="54D8B0A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18,251.4</w:t>
            </w:r>
          </w:p>
        </w:tc>
      </w:tr>
      <w:tr w:rsidR="00981D6C" w:rsidRPr="00037C61" w14:paraId="701BAA8C" w14:textId="77777777" w:rsidTr="35D5BAB1">
        <w:trPr>
          <w:trHeight w:val="245"/>
        </w:trPr>
        <w:tc>
          <w:tcPr>
            <w:tcW w:w="1020" w:type="dxa"/>
            <w:tcBorders>
              <w:top w:val="nil"/>
              <w:left w:val="single" w:sz="4" w:space="0" w:color="034FA3" w:themeColor="accent1"/>
              <w:bottom w:val="nil"/>
              <w:right w:val="nil"/>
            </w:tcBorders>
            <w:shd w:val="clear" w:color="auto" w:fill="FDE7E8"/>
            <w:hideMark/>
          </w:tcPr>
          <w:p w14:paraId="7575CD26"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Békés</w:t>
            </w:r>
          </w:p>
        </w:tc>
        <w:tc>
          <w:tcPr>
            <w:tcW w:w="804" w:type="dxa"/>
            <w:tcBorders>
              <w:top w:val="nil"/>
              <w:left w:val="nil"/>
              <w:bottom w:val="nil"/>
              <w:right w:val="nil"/>
            </w:tcBorders>
            <w:shd w:val="clear" w:color="auto" w:fill="FDE7E8"/>
            <w:hideMark/>
          </w:tcPr>
          <w:p w14:paraId="434C33D9"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25,693.0</w:t>
            </w:r>
          </w:p>
        </w:tc>
        <w:tc>
          <w:tcPr>
            <w:tcW w:w="884" w:type="dxa"/>
            <w:tcBorders>
              <w:top w:val="nil"/>
              <w:left w:val="nil"/>
              <w:bottom w:val="nil"/>
              <w:right w:val="nil"/>
            </w:tcBorders>
            <w:shd w:val="clear" w:color="auto" w:fill="FDE7E8"/>
            <w:hideMark/>
          </w:tcPr>
          <w:p w14:paraId="5D6DEE3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19,365.4</w:t>
            </w:r>
          </w:p>
        </w:tc>
        <w:tc>
          <w:tcPr>
            <w:tcW w:w="884" w:type="dxa"/>
            <w:tcBorders>
              <w:top w:val="nil"/>
              <w:left w:val="nil"/>
              <w:bottom w:val="nil"/>
              <w:right w:val="nil"/>
            </w:tcBorders>
            <w:shd w:val="clear" w:color="auto" w:fill="FDE7E8"/>
            <w:hideMark/>
          </w:tcPr>
          <w:p w14:paraId="5D587A6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12,739.6</w:t>
            </w:r>
          </w:p>
        </w:tc>
        <w:tc>
          <w:tcPr>
            <w:tcW w:w="884" w:type="dxa"/>
            <w:tcBorders>
              <w:top w:val="nil"/>
              <w:left w:val="nil"/>
              <w:bottom w:val="nil"/>
              <w:right w:val="nil"/>
            </w:tcBorders>
            <w:shd w:val="clear" w:color="auto" w:fill="FDE7E8"/>
            <w:hideMark/>
          </w:tcPr>
          <w:p w14:paraId="265D047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13,296.7</w:t>
            </w:r>
          </w:p>
        </w:tc>
        <w:tc>
          <w:tcPr>
            <w:tcW w:w="884" w:type="dxa"/>
            <w:tcBorders>
              <w:top w:val="nil"/>
              <w:left w:val="nil"/>
              <w:bottom w:val="nil"/>
              <w:right w:val="nil"/>
            </w:tcBorders>
            <w:shd w:val="clear" w:color="auto" w:fill="FDE7E8"/>
            <w:hideMark/>
          </w:tcPr>
          <w:p w14:paraId="5980CF1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33,317.6</w:t>
            </w:r>
          </w:p>
        </w:tc>
        <w:tc>
          <w:tcPr>
            <w:tcW w:w="884" w:type="dxa"/>
            <w:tcBorders>
              <w:top w:val="nil"/>
              <w:left w:val="nil"/>
              <w:bottom w:val="nil"/>
              <w:right w:val="nil"/>
            </w:tcBorders>
            <w:shd w:val="clear" w:color="auto" w:fill="FDE7E8"/>
            <w:hideMark/>
          </w:tcPr>
          <w:p w14:paraId="3D94EC30"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29,545.5</w:t>
            </w:r>
          </w:p>
        </w:tc>
        <w:tc>
          <w:tcPr>
            <w:tcW w:w="1009" w:type="dxa"/>
            <w:tcBorders>
              <w:top w:val="nil"/>
              <w:left w:val="nil"/>
              <w:bottom w:val="nil"/>
              <w:right w:val="nil"/>
            </w:tcBorders>
            <w:shd w:val="clear" w:color="auto" w:fill="FDE7E8"/>
            <w:hideMark/>
          </w:tcPr>
          <w:p w14:paraId="1535B09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201,260.9</w:t>
            </w:r>
          </w:p>
        </w:tc>
        <w:tc>
          <w:tcPr>
            <w:tcW w:w="884" w:type="dxa"/>
            <w:tcBorders>
              <w:top w:val="nil"/>
              <w:left w:val="nil"/>
              <w:bottom w:val="nil"/>
              <w:right w:val="nil"/>
            </w:tcBorders>
            <w:shd w:val="clear" w:color="auto" w:fill="FDE7E8"/>
            <w:hideMark/>
          </w:tcPr>
          <w:p w14:paraId="47C3C7A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22,040.4</w:t>
            </w:r>
          </w:p>
        </w:tc>
        <w:tc>
          <w:tcPr>
            <w:tcW w:w="884" w:type="dxa"/>
            <w:tcBorders>
              <w:top w:val="nil"/>
              <w:left w:val="nil"/>
              <w:bottom w:val="nil"/>
              <w:right w:val="single" w:sz="4" w:space="0" w:color="034FA3" w:themeColor="accent1"/>
            </w:tcBorders>
            <w:shd w:val="clear" w:color="auto" w:fill="FDE7E8"/>
            <w:hideMark/>
          </w:tcPr>
          <w:p w14:paraId="3CCF19C0"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18,346.3</w:t>
            </w:r>
          </w:p>
        </w:tc>
      </w:tr>
      <w:tr w:rsidR="00981D6C" w:rsidRPr="00037C61" w14:paraId="3DFA8776" w14:textId="77777777" w:rsidTr="35D5BAB1">
        <w:trPr>
          <w:trHeight w:val="245"/>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FDE7E8"/>
            <w:hideMark/>
          </w:tcPr>
          <w:p w14:paraId="706AA7DB" w14:textId="5EAD7596" w:rsidR="00921D9C" w:rsidRPr="00037C61" w:rsidRDefault="6446A0E8">
            <w:pPr>
              <w:spacing w:after="0" w:line="240" w:lineRule="auto"/>
              <w:ind w:right="-71"/>
              <w:jc w:val="left"/>
              <w:rPr>
                <w:rFonts w:eastAsia="Times New Roman" w:cs="Calibri"/>
                <w:b/>
                <w:bCs/>
                <w:color w:val="000000"/>
                <w:sz w:val="18"/>
                <w:szCs w:val="18"/>
                <w:lang w:val="en-GB" w:eastAsia="en-GB"/>
              </w:rPr>
            </w:pPr>
            <w:r w:rsidRPr="00037C61">
              <w:rPr>
                <w:rFonts w:eastAsia="Times New Roman" w:cs="Calibri"/>
                <w:b/>
                <w:bCs/>
                <w:color w:val="000000" w:themeColor="text1"/>
                <w:sz w:val="18"/>
                <w:szCs w:val="18"/>
                <w:lang w:val="en-GB" w:eastAsia="en-GB"/>
              </w:rPr>
              <w:t>Csongrád-Csanád</w:t>
            </w:r>
          </w:p>
        </w:tc>
        <w:tc>
          <w:tcPr>
            <w:tcW w:w="804" w:type="dxa"/>
            <w:tcBorders>
              <w:top w:val="single" w:sz="4" w:space="0" w:color="034FA3" w:themeColor="accent1"/>
              <w:left w:val="nil"/>
              <w:bottom w:val="single" w:sz="4" w:space="0" w:color="034FA3" w:themeColor="accent1"/>
              <w:right w:val="nil"/>
            </w:tcBorders>
            <w:shd w:val="clear" w:color="auto" w:fill="FDE7E8"/>
            <w:hideMark/>
          </w:tcPr>
          <w:p w14:paraId="46B66515"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26,377.3</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5E50BF7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21,802.1</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5ACDA36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16,605.6</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1E026D3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15,179.6</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5E25167F"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33,897.4</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4FDCEA7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22,425.6</w:t>
            </w:r>
          </w:p>
        </w:tc>
        <w:tc>
          <w:tcPr>
            <w:tcW w:w="1009" w:type="dxa"/>
            <w:tcBorders>
              <w:top w:val="single" w:sz="4" w:space="0" w:color="034FA3" w:themeColor="accent1"/>
              <w:left w:val="nil"/>
              <w:bottom w:val="single" w:sz="4" w:space="0" w:color="034FA3" w:themeColor="accent1"/>
              <w:right w:val="nil"/>
            </w:tcBorders>
            <w:shd w:val="clear" w:color="auto" w:fill="FDE7E8"/>
            <w:hideMark/>
          </w:tcPr>
          <w:p w14:paraId="691BB96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129,235.3</w:t>
            </w:r>
          </w:p>
        </w:tc>
        <w:tc>
          <w:tcPr>
            <w:tcW w:w="884" w:type="dxa"/>
            <w:tcBorders>
              <w:top w:val="single" w:sz="4" w:space="0" w:color="034FA3" w:themeColor="accent1"/>
              <w:left w:val="nil"/>
              <w:bottom w:val="single" w:sz="4" w:space="0" w:color="034FA3" w:themeColor="accent1"/>
              <w:right w:val="nil"/>
            </w:tcBorders>
            <w:shd w:val="clear" w:color="auto" w:fill="FDE7E8"/>
            <w:hideMark/>
          </w:tcPr>
          <w:p w14:paraId="67A3E2DB"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23,301.5</w:t>
            </w:r>
          </w:p>
        </w:tc>
        <w:tc>
          <w:tcPr>
            <w:tcW w:w="884" w:type="dxa"/>
            <w:tcBorders>
              <w:top w:val="single" w:sz="4" w:space="0" w:color="034FA3" w:themeColor="accent1"/>
              <w:left w:val="nil"/>
              <w:bottom w:val="single" w:sz="4" w:space="0" w:color="034FA3" w:themeColor="accent1"/>
              <w:right w:val="single" w:sz="4" w:space="0" w:color="034FA3" w:themeColor="accent1"/>
            </w:tcBorders>
            <w:shd w:val="clear" w:color="auto" w:fill="FDE7E8"/>
            <w:hideMark/>
          </w:tcPr>
          <w:p w14:paraId="1542C7E0"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18,688.1</w:t>
            </w:r>
          </w:p>
        </w:tc>
      </w:tr>
      <w:tr w:rsidR="00981D6C" w:rsidRPr="00037C61" w14:paraId="35D21E23" w14:textId="77777777" w:rsidTr="35D5BAB1">
        <w:trPr>
          <w:trHeight w:val="245"/>
        </w:trPr>
        <w:tc>
          <w:tcPr>
            <w:tcW w:w="1020" w:type="dxa"/>
            <w:tcBorders>
              <w:top w:val="nil"/>
              <w:left w:val="single" w:sz="4" w:space="0" w:color="034FA3" w:themeColor="accent1"/>
              <w:bottom w:val="nil"/>
              <w:right w:val="nil"/>
            </w:tcBorders>
            <w:shd w:val="clear" w:color="auto" w:fill="EAEDF6" w:themeFill="accent2" w:themeFillTint="33"/>
            <w:hideMark/>
          </w:tcPr>
          <w:p w14:paraId="4F2B7E5A"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Bihor</w:t>
            </w:r>
          </w:p>
        </w:tc>
        <w:tc>
          <w:tcPr>
            <w:tcW w:w="804" w:type="dxa"/>
            <w:tcBorders>
              <w:top w:val="nil"/>
              <w:left w:val="nil"/>
              <w:bottom w:val="nil"/>
              <w:right w:val="nil"/>
            </w:tcBorders>
            <w:shd w:val="clear" w:color="auto" w:fill="EAEDF6" w:themeFill="accent2" w:themeFillTint="33"/>
            <w:hideMark/>
          </w:tcPr>
          <w:p w14:paraId="529B1D48"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4,154.9</w:t>
            </w:r>
          </w:p>
        </w:tc>
        <w:tc>
          <w:tcPr>
            <w:tcW w:w="884" w:type="dxa"/>
            <w:tcBorders>
              <w:top w:val="nil"/>
              <w:left w:val="nil"/>
              <w:bottom w:val="nil"/>
              <w:right w:val="nil"/>
            </w:tcBorders>
            <w:shd w:val="clear" w:color="auto" w:fill="EAEDF6" w:themeFill="accent2" w:themeFillTint="33"/>
            <w:hideMark/>
          </w:tcPr>
          <w:p w14:paraId="23BF442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15,403.2</w:t>
            </w:r>
          </w:p>
        </w:tc>
        <w:tc>
          <w:tcPr>
            <w:tcW w:w="884" w:type="dxa"/>
            <w:tcBorders>
              <w:top w:val="nil"/>
              <w:left w:val="nil"/>
              <w:bottom w:val="nil"/>
              <w:right w:val="nil"/>
            </w:tcBorders>
            <w:shd w:val="clear" w:color="auto" w:fill="EAEDF6" w:themeFill="accent2" w:themeFillTint="33"/>
            <w:hideMark/>
          </w:tcPr>
          <w:p w14:paraId="7BA63C5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9,291.7</w:t>
            </w:r>
          </w:p>
        </w:tc>
        <w:tc>
          <w:tcPr>
            <w:tcW w:w="884" w:type="dxa"/>
            <w:tcBorders>
              <w:top w:val="nil"/>
              <w:left w:val="nil"/>
              <w:bottom w:val="nil"/>
              <w:right w:val="nil"/>
            </w:tcBorders>
            <w:shd w:val="clear" w:color="auto" w:fill="EAEDF6" w:themeFill="accent2" w:themeFillTint="33"/>
            <w:hideMark/>
          </w:tcPr>
          <w:p w14:paraId="3365F44E"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14,692.2</w:t>
            </w:r>
          </w:p>
        </w:tc>
        <w:tc>
          <w:tcPr>
            <w:tcW w:w="884" w:type="dxa"/>
            <w:tcBorders>
              <w:top w:val="nil"/>
              <w:left w:val="nil"/>
              <w:bottom w:val="nil"/>
              <w:right w:val="nil"/>
            </w:tcBorders>
            <w:shd w:val="clear" w:color="auto" w:fill="EAEDF6" w:themeFill="accent2" w:themeFillTint="33"/>
            <w:hideMark/>
          </w:tcPr>
          <w:p w14:paraId="695A236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43,093.8</w:t>
            </w:r>
          </w:p>
        </w:tc>
        <w:tc>
          <w:tcPr>
            <w:tcW w:w="884" w:type="dxa"/>
            <w:tcBorders>
              <w:top w:val="nil"/>
              <w:left w:val="nil"/>
              <w:bottom w:val="nil"/>
              <w:right w:val="nil"/>
            </w:tcBorders>
            <w:shd w:val="clear" w:color="auto" w:fill="EAEDF6" w:themeFill="accent2" w:themeFillTint="33"/>
            <w:hideMark/>
          </w:tcPr>
          <w:p w14:paraId="420C58A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17,250.0</w:t>
            </w:r>
          </w:p>
        </w:tc>
        <w:tc>
          <w:tcPr>
            <w:tcW w:w="1009" w:type="dxa"/>
            <w:tcBorders>
              <w:top w:val="nil"/>
              <w:left w:val="nil"/>
              <w:bottom w:val="nil"/>
              <w:right w:val="nil"/>
            </w:tcBorders>
            <w:shd w:val="clear" w:color="auto" w:fill="EAEDF6" w:themeFill="accent2" w:themeFillTint="33"/>
            <w:hideMark/>
          </w:tcPr>
          <w:p w14:paraId="6EB176F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482,157.1</w:t>
            </w:r>
          </w:p>
        </w:tc>
        <w:tc>
          <w:tcPr>
            <w:tcW w:w="884" w:type="dxa"/>
            <w:tcBorders>
              <w:top w:val="nil"/>
              <w:left w:val="nil"/>
              <w:bottom w:val="nil"/>
              <w:right w:val="nil"/>
            </w:tcBorders>
            <w:shd w:val="clear" w:color="auto" w:fill="EAEDF6" w:themeFill="accent2" w:themeFillTint="33"/>
            <w:hideMark/>
          </w:tcPr>
          <w:p w14:paraId="292D2D4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21,212.2</w:t>
            </w:r>
          </w:p>
        </w:tc>
        <w:tc>
          <w:tcPr>
            <w:tcW w:w="884" w:type="dxa"/>
            <w:tcBorders>
              <w:top w:val="nil"/>
              <w:left w:val="nil"/>
              <w:bottom w:val="nil"/>
              <w:right w:val="single" w:sz="4" w:space="0" w:color="034FA3" w:themeColor="accent1"/>
            </w:tcBorders>
            <w:shd w:val="clear" w:color="auto" w:fill="EAEDF6" w:themeFill="accent2" w:themeFillTint="33"/>
            <w:hideMark/>
          </w:tcPr>
          <w:p w14:paraId="452EF74D"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16,838.6</w:t>
            </w:r>
          </w:p>
        </w:tc>
      </w:tr>
      <w:tr w:rsidR="00981D6C" w:rsidRPr="00037C61" w14:paraId="460B9B8F" w14:textId="77777777" w:rsidTr="35D5BAB1">
        <w:trPr>
          <w:trHeight w:val="245"/>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hideMark/>
          </w:tcPr>
          <w:p w14:paraId="58DB0466"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Satu Mare</w:t>
            </w:r>
          </w:p>
        </w:tc>
        <w:tc>
          <w:tcPr>
            <w:tcW w:w="80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544952B"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4,144.5</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31B83D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18,688.1</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219D943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9,338.8</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354AE16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13,687.8</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4B6492C"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115,900.0</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3021D02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16,669.2</w:t>
            </w:r>
          </w:p>
        </w:tc>
        <w:tc>
          <w:tcPr>
            <w:tcW w:w="1009"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C3B910F"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323,620.0</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3438AFF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23,600.0</w:t>
            </w:r>
          </w:p>
        </w:tc>
        <w:tc>
          <w:tcPr>
            <w:tcW w:w="884"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hideMark/>
          </w:tcPr>
          <w:p w14:paraId="7DC33D1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16,160.5</w:t>
            </w:r>
          </w:p>
        </w:tc>
      </w:tr>
      <w:tr w:rsidR="00981D6C" w:rsidRPr="00037C61" w14:paraId="0FE8A53B" w14:textId="77777777" w:rsidTr="35D5BAB1">
        <w:trPr>
          <w:trHeight w:val="245"/>
        </w:trPr>
        <w:tc>
          <w:tcPr>
            <w:tcW w:w="1020" w:type="dxa"/>
            <w:tcBorders>
              <w:top w:val="nil"/>
              <w:left w:val="single" w:sz="4" w:space="0" w:color="034FA3" w:themeColor="accent1"/>
              <w:bottom w:val="nil"/>
              <w:right w:val="nil"/>
            </w:tcBorders>
            <w:shd w:val="clear" w:color="auto" w:fill="EAEDF6" w:themeFill="accent2" w:themeFillTint="33"/>
            <w:hideMark/>
          </w:tcPr>
          <w:p w14:paraId="465B8EB2"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Arad</w:t>
            </w:r>
          </w:p>
        </w:tc>
        <w:tc>
          <w:tcPr>
            <w:tcW w:w="804" w:type="dxa"/>
            <w:tcBorders>
              <w:top w:val="nil"/>
              <w:left w:val="nil"/>
              <w:bottom w:val="nil"/>
              <w:right w:val="nil"/>
            </w:tcBorders>
            <w:shd w:val="clear" w:color="auto" w:fill="EAEDF6" w:themeFill="accent2" w:themeFillTint="33"/>
            <w:hideMark/>
          </w:tcPr>
          <w:p w14:paraId="417E2306"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18,241.4</w:t>
            </w:r>
          </w:p>
        </w:tc>
        <w:tc>
          <w:tcPr>
            <w:tcW w:w="884" w:type="dxa"/>
            <w:tcBorders>
              <w:top w:val="nil"/>
              <w:left w:val="nil"/>
              <w:bottom w:val="nil"/>
              <w:right w:val="nil"/>
            </w:tcBorders>
            <w:shd w:val="clear" w:color="auto" w:fill="EAEDF6" w:themeFill="accent2" w:themeFillTint="33"/>
            <w:hideMark/>
          </w:tcPr>
          <w:p w14:paraId="1F12674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16,593.2</w:t>
            </w:r>
          </w:p>
        </w:tc>
        <w:tc>
          <w:tcPr>
            <w:tcW w:w="884" w:type="dxa"/>
            <w:tcBorders>
              <w:top w:val="nil"/>
              <w:left w:val="nil"/>
              <w:bottom w:val="nil"/>
              <w:right w:val="nil"/>
            </w:tcBorders>
            <w:shd w:val="clear" w:color="auto" w:fill="EAEDF6" w:themeFill="accent2" w:themeFillTint="33"/>
            <w:hideMark/>
          </w:tcPr>
          <w:p w14:paraId="201127A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26,442.3</w:t>
            </w:r>
          </w:p>
        </w:tc>
        <w:tc>
          <w:tcPr>
            <w:tcW w:w="884" w:type="dxa"/>
            <w:tcBorders>
              <w:top w:val="nil"/>
              <w:left w:val="nil"/>
              <w:bottom w:val="nil"/>
              <w:right w:val="nil"/>
            </w:tcBorders>
            <w:shd w:val="clear" w:color="auto" w:fill="EAEDF6" w:themeFill="accent2" w:themeFillTint="33"/>
            <w:hideMark/>
          </w:tcPr>
          <w:p w14:paraId="4D2AD3C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17,256.5</w:t>
            </w:r>
          </w:p>
        </w:tc>
        <w:tc>
          <w:tcPr>
            <w:tcW w:w="884" w:type="dxa"/>
            <w:tcBorders>
              <w:top w:val="nil"/>
              <w:left w:val="nil"/>
              <w:bottom w:val="nil"/>
              <w:right w:val="nil"/>
            </w:tcBorders>
            <w:shd w:val="clear" w:color="auto" w:fill="EAEDF6" w:themeFill="accent2" w:themeFillTint="33"/>
            <w:hideMark/>
          </w:tcPr>
          <w:p w14:paraId="7F0AAC1D"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64,757.1</w:t>
            </w:r>
          </w:p>
        </w:tc>
        <w:tc>
          <w:tcPr>
            <w:tcW w:w="884" w:type="dxa"/>
            <w:tcBorders>
              <w:top w:val="nil"/>
              <w:left w:val="nil"/>
              <w:bottom w:val="nil"/>
              <w:right w:val="nil"/>
            </w:tcBorders>
            <w:shd w:val="clear" w:color="auto" w:fill="EAEDF6" w:themeFill="accent2" w:themeFillTint="33"/>
            <w:hideMark/>
          </w:tcPr>
          <w:p w14:paraId="5779D14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16,611.1</w:t>
            </w:r>
          </w:p>
        </w:tc>
        <w:tc>
          <w:tcPr>
            <w:tcW w:w="1009" w:type="dxa"/>
            <w:tcBorders>
              <w:top w:val="nil"/>
              <w:left w:val="nil"/>
              <w:bottom w:val="nil"/>
              <w:right w:val="nil"/>
            </w:tcBorders>
            <w:shd w:val="clear" w:color="auto" w:fill="EAEDF6" w:themeFill="accent2" w:themeFillTint="33"/>
            <w:hideMark/>
          </w:tcPr>
          <w:p w14:paraId="775EEE5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3,242,600</w:t>
            </w:r>
          </w:p>
        </w:tc>
        <w:tc>
          <w:tcPr>
            <w:tcW w:w="884" w:type="dxa"/>
            <w:tcBorders>
              <w:top w:val="nil"/>
              <w:left w:val="nil"/>
              <w:bottom w:val="nil"/>
              <w:right w:val="nil"/>
            </w:tcBorders>
            <w:shd w:val="clear" w:color="auto" w:fill="EAEDF6" w:themeFill="accent2" w:themeFillTint="33"/>
            <w:hideMark/>
          </w:tcPr>
          <w:p w14:paraId="0FEAF72C"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30,220.0</w:t>
            </w:r>
          </w:p>
        </w:tc>
        <w:tc>
          <w:tcPr>
            <w:tcW w:w="884" w:type="dxa"/>
            <w:tcBorders>
              <w:top w:val="nil"/>
              <w:left w:val="nil"/>
              <w:bottom w:val="nil"/>
              <w:right w:val="single" w:sz="4" w:space="0" w:color="034FA3" w:themeColor="accent1"/>
            </w:tcBorders>
            <w:shd w:val="clear" w:color="auto" w:fill="EAEDF6" w:themeFill="accent2" w:themeFillTint="33"/>
            <w:hideMark/>
          </w:tcPr>
          <w:p w14:paraId="44190BDB"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20,170.7</w:t>
            </w:r>
          </w:p>
        </w:tc>
      </w:tr>
      <w:tr w:rsidR="00981D6C" w:rsidRPr="00037C61" w14:paraId="2556D9C2" w14:textId="77777777" w:rsidTr="35D5BAB1">
        <w:trPr>
          <w:trHeight w:val="245"/>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hideMark/>
          </w:tcPr>
          <w:p w14:paraId="6B1785A6" w14:textId="3F84EC2F" w:rsidR="00921D9C" w:rsidRPr="00037C61" w:rsidRDefault="008B32DD">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Timiș</w:t>
            </w:r>
          </w:p>
        </w:tc>
        <w:tc>
          <w:tcPr>
            <w:tcW w:w="80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006F1A82"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15,642.0</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4158A19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19,705.5</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003C698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16,698.6</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28A8A05B"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21,107.1</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81C8DC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100,315.6</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2A775DBD"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18,422.9</w:t>
            </w:r>
          </w:p>
        </w:tc>
        <w:tc>
          <w:tcPr>
            <w:tcW w:w="1009"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4053E4B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2,013,866.7</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D7A1E2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37,323.1</w:t>
            </w:r>
          </w:p>
        </w:tc>
        <w:tc>
          <w:tcPr>
            <w:tcW w:w="884"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hideMark/>
          </w:tcPr>
          <w:p w14:paraId="00E326DF"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22,911.1</w:t>
            </w:r>
          </w:p>
        </w:tc>
      </w:tr>
      <w:tr w:rsidR="00981D6C" w:rsidRPr="00037C61" w14:paraId="127288A0" w14:textId="77777777" w:rsidTr="35D5BAB1">
        <w:trPr>
          <w:trHeight w:val="185"/>
        </w:trPr>
        <w:tc>
          <w:tcPr>
            <w:tcW w:w="1020" w:type="dxa"/>
            <w:tcBorders>
              <w:top w:val="nil"/>
              <w:left w:val="single" w:sz="4" w:space="0" w:color="034FA3" w:themeColor="accent1"/>
              <w:bottom w:val="nil"/>
              <w:right w:val="nil"/>
            </w:tcBorders>
            <w:shd w:val="clear" w:color="auto" w:fill="FDE7E8"/>
            <w:hideMark/>
          </w:tcPr>
          <w:p w14:paraId="0FECA96B"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Hungary</w:t>
            </w:r>
          </w:p>
        </w:tc>
        <w:tc>
          <w:tcPr>
            <w:tcW w:w="804" w:type="dxa"/>
            <w:tcBorders>
              <w:top w:val="nil"/>
              <w:left w:val="nil"/>
              <w:bottom w:val="nil"/>
              <w:right w:val="nil"/>
            </w:tcBorders>
            <w:shd w:val="clear" w:color="auto" w:fill="FDE7E8"/>
            <w:hideMark/>
          </w:tcPr>
          <w:p w14:paraId="052C26DC"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24,572.8</w:t>
            </w:r>
          </w:p>
        </w:tc>
        <w:tc>
          <w:tcPr>
            <w:tcW w:w="884" w:type="dxa"/>
            <w:tcBorders>
              <w:top w:val="nil"/>
              <w:left w:val="nil"/>
              <w:bottom w:val="nil"/>
              <w:right w:val="nil"/>
            </w:tcBorders>
            <w:shd w:val="clear" w:color="auto" w:fill="FDE7E8"/>
            <w:hideMark/>
          </w:tcPr>
          <w:p w14:paraId="09DB6B8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28,980.3</w:t>
            </w:r>
          </w:p>
        </w:tc>
        <w:tc>
          <w:tcPr>
            <w:tcW w:w="884" w:type="dxa"/>
            <w:tcBorders>
              <w:top w:val="nil"/>
              <w:left w:val="nil"/>
              <w:bottom w:val="nil"/>
              <w:right w:val="nil"/>
            </w:tcBorders>
            <w:shd w:val="clear" w:color="auto" w:fill="FDE7E8"/>
            <w:hideMark/>
          </w:tcPr>
          <w:p w14:paraId="41B7D7B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14,909.7</w:t>
            </w:r>
          </w:p>
        </w:tc>
        <w:tc>
          <w:tcPr>
            <w:tcW w:w="884" w:type="dxa"/>
            <w:tcBorders>
              <w:top w:val="nil"/>
              <w:left w:val="nil"/>
              <w:bottom w:val="nil"/>
              <w:right w:val="nil"/>
            </w:tcBorders>
            <w:shd w:val="clear" w:color="auto" w:fill="FDE7E8"/>
            <w:hideMark/>
          </w:tcPr>
          <w:p w14:paraId="44DB713E"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17,664.6</w:t>
            </w:r>
          </w:p>
        </w:tc>
        <w:tc>
          <w:tcPr>
            <w:tcW w:w="884" w:type="dxa"/>
            <w:tcBorders>
              <w:top w:val="nil"/>
              <w:left w:val="nil"/>
              <w:bottom w:val="nil"/>
              <w:right w:val="nil"/>
            </w:tcBorders>
            <w:shd w:val="clear" w:color="auto" w:fill="FDE7E8"/>
            <w:hideMark/>
          </w:tcPr>
          <w:p w14:paraId="31942CF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37,830.3</w:t>
            </w:r>
          </w:p>
        </w:tc>
        <w:tc>
          <w:tcPr>
            <w:tcW w:w="884" w:type="dxa"/>
            <w:tcBorders>
              <w:top w:val="nil"/>
              <w:left w:val="nil"/>
              <w:bottom w:val="nil"/>
              <w:right w:val="nil"/>
            </w:tcBorders>
            <w:shd w:val="clear" w:color="auto" w:fill="FDE7E8"/>
            <w:hideMark/>
          </w:tcPr>
          <w:p w14:paraId="1C8CF61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43,645.4</w:t>
            </w:r>
          </w:p>
        </w:tc>
        <w:tc>
          <w:tcPr>
            <w:tcW w:w="1009" w:type="dxa"/>
            <w:tcBorders>
              <w:top w:val="nil"/>
              <w:left w:val="nil"/>
              <w:bottom w:val="nil"/>
              <w:right w:val="nil"/>
            </w:tcBorders>
            <w:shd w:val="clear" w:color="auto" w:fill="FDE7E8"/>
            <w:hideMark/>
          </w:tcPr>
          <w:p w14:paraId="66C9905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95,426.5</w:t>
            </w:r>
          </w:p>
        </w:tc>
        <w:tc>
          <w:tcPr>
            <w:tcW w:w="884" w:type="dxa"/>
            <w:tcBorders>
              <w:top w:val="nil"/>
              <w:left w:val="nil"/>
              <w:bottom w:val="nil"/>
              <w:right w:val="nil"/>
            </w:tcBorders>
            <w:shd w:val="clear" w:color="auto" w:fill="FDE7E8"/>
            <w:hideMark/>
          </w:tcPr>
          <w:p w14:paraId="5DB35E7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21,218.8</w:t>
            </w:r>
          </w:p>
        </w:tc>
        <w:tc>
          <w:tcPr>
            <w:tcW w:w="884" w:type="dxa"/>
            <w:tcBorders>
              <w:top w:val="nil"/>
              <w:left w:val="nil"/>
              <w:bottom w:val="nil"/>
              <w:right w:val="single" w:sz="4" w:space="0" w:color="034FA3" w:themeColor="accent1"/>
            </w:tcBorders>
            <w:shd w:val="clear" w:color="auto" w:fill="FDE7E8"/>
            <w:hideMark/>
          </w:tcPr>
          <w:p w14:paraId="453B63D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18,307.5</w:t>
            </w:r>
          </w:p>
        </w:tc>
      </w:tr>
      <w:tr w:rsidR="00981D6C" w:rsidRPr="00037C61" w14:paraId="0A9F3C04" w14:textId="77777777" w:rsidTr="35D5BAB1">
        <w:trPr>
          <w:trHeight w:val="246"/>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hideMark/>
          </w:tcPr>
          <w:p w14:paraId="4EF02137"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Romania</w:t>
            </w:r>
          </w:p>
        </w:tc>
        <w:tc>
          <w:tcPr>
            <w:tcW w:w="80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D371292"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4,017.90</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74D051D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23,590.4</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76E0870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13,908.4</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EA94DB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18,237.2</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0166F0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55,675.9</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57ADE5FC"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40,392.5</w:t>
            </w:r>
          </w:p>
        </w:tc>
        <w:tc>
          <w:tcPr>
            <w:tcW w:w="1009"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455CE637"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132,556.4</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7F8948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36,861.1</w:t>
            </w:r>
          </w:p>
        </w:tc>
        <w:tc>
          <w:tcPr>
            <w:tcW w:w="884"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hideMark/>
          </w:tcPr>
          <w:p w14:paraId="366638D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19,535.9</w:t>
            </w:r>
          </w:p>
        </w:tc>
      </w:tr>
      <w:tr w:rsidR="00921D9C" w:rsidRPr="00037C61" w14:paraId="66E044BF" w14:textId="77777777" w:rsidTr="35D5BAB1">
        <w:trPr>
          <w:trHeight w:val="245"/>
        </w:trPr>
        <w:tc>
          <w:tcPr>
            <w:tcW w:w="1020" w:type="dxa"/>
            <w:tcBorders>
              <w:top w:val="nil"/>
              <w:left w:val="single" w:sz="4" w:space="0" w:color="034FA3" w:themeColor="accent1"/>
              <w:bottom w:val="nil"/>
              <w:right w:val="nil"/>
            </w:tcBorders>
            <w:shd w:val="clear" w:color="auto" w:fill="FFFFFF" w:themeFill="background1"/>
            <w:hideMark/>
          </w:tcPr>
          <w:p w14:paraId="19CE29DE" w14:textId="710BFF29" w:rsidR="00921D9C" w:rsidRPr="00037C61" w:rsidRDefault="005171E7">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Programme area</w:t>
            </w:r>
          </w:p>
        </w:tc>
        <w:tc>
          <w:tcPr>
            <w:tcW w:w="804" w:type="dxa"/>
            <w:tcBorders>
              <w:top w:val="nil"/>
              <w:left w:val="nil"/>
              <w:bottom w:val="nil"/>
              <w:right w:val="nil"/>
            </w:tcBorders>
            <w:hideMark/>
          </w:tcPr>
          <w:p w14:paraId="1528D6E8"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12,558.2</w:t>
            </w:r>
          </w:p>
        </w:tc>
        <w:tc>
          <w:tcPr>
            <w:tcW w:w="884" w:type="dxa"/>
            <w:tcBorders>
              <w:top w:val="nil"/>
              <w:left w:val="nil"/>
              <w:bottom w:val="nil"/>
              <w:right w:val="nil"/>
            </w:tcBorders>
            <w:hideMark/>
          </w:tcPr>
          <w:p w14:paraId="5AC9510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19,031.05</w:t>
            </w:r>
          </w:p>
        </w:tc>
        <w:tc>
          <w:tcPr>
            <w:tcW w:w="884" w:type="dxa"/>
            <w:tcBorders>
              <w:top w:val="nil"/>
              <w:left w:val="nil"/>
              <w:bottom w:val="nil"/>
              <w:right w:val="nil"/>
            </w:tcBorders>
            <w:hideMark/>
          </w:tcPr>
          <w:p w14:paraId="7836761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13,990.42</w:t>
            </w:r>
          </w:p>
        </w:tc>
        <w:tc>
          <w:tcPr>
            <w:tcW w:w="884" w:type="dxa"/>
            <w:tcBorders>
              <w:top w:val="nil"/>
              <w:left w:val="nil"/>
              <w:bottom w:val="nil"/>
              <w:right w:val="nil"/>
            </w:tcBorders>
            <w:hideMark/>
          </w:tcPr>
          <w:p w14:paraId="5C5C8C6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16,197.85</w:t>
            </w:r>
          </w:p>
        </w:tc>
        <w:tc>
          <w:tcPr>
            <w:tcW w:w="884" w:type="dxa"/>
            <w:tcBorders>
              <w:top w:val="nil"/>
              <w:left w:val="nil"/>
              <w:bottom w:val="nil"/>
              <w:right w:val="nil"/>
            </w:tcBorders>
            <w:hideMark/>
          </w:tcPr>
          <w:p w14:paraId="6582E245"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62,642.07</w:t>
            </w:r>
          </w:p>
        </w:tc>
        <w:tc>
          <w:tcPr>
            <w:tcW w:w="884" w:type="dxa"/>
            <w:tcBorders>
              <w:top w:val="nil"/>
              <w:left w:val="nil"/>
              <w:bottom w:val="nil"/>
              <w:right w:val="nil"/>
            </w:tcBorders>
            <w:hideMark/>
          </w:tcPr>
          <w:p w14:paraId="692F5A4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20,869.11</w:t>
            </w:r>
          </w:p>
        </w:tc>
        <w:tc>
          <w:tcPr>
            <w:tcW w:w="1009" w:type="dxa"/>
            <w:tcBorders>
              <w:top w:val="nil"/>
              <w:left w:val="nil"/>
              <w:bottom w:val="nil"/>
              <w:right w:val="nil"/>
            </w:tcBorders>
            <w:noWrap/>
            <w:hideMark/>
          </w:tcPr>
          <w:p w14:paraId="58A6BD7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302,860.73</w:t>
            </w:r>
          </w:p>
        </w:tc>
        <w:tc>
          <w:tcPr>
            <w:tcW w:w="884" w:type="dxa"/>
            <w:tcBorders>
              <w:top w:val="nil"/>
              <w:left w:val="nil"/>
              <w:bottom w:val="nil"/>
              <w:right w:val="nil"/>
            </w:tcBorders>
            <w:hideMark/>
          </w:tcPr>
          <w:p w14:paraId="0FBE709F"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25,182.99</w:t>
            </w:r>
          </w:p>
        </w:tc>
        <w:tc>
          <w:tcPr>
            <w:tcW w:w="884" w:type="dxa"/>
            <w:tcBorders>
              <w:top w:val="nil"/>
              <w:left w:val="nil"/>
              <w:bottom w:val="nil"/>
              <w:right w:val="single" w:sz="4" w:space="0" w:color="034FA3" w:themeColor="accent1"/>
            </w:tcBorders>
            <w:hideMark/>
          </w:tcPr>
          <w:p w14:paraId="17F32BB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18,848.26</w:t>
            </w:r>
          </w:p>
        </w:tc>
      </w:tr>
      <w:tr w:rsidR="00921D9C" w:rsidRPr="00037C61" w14:paraId="3CEC774C" w14:textId="77777777" w:rsidTr="35D5BAB1">
        <w:trPr>
          <w:trHeight w:val="63"/>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44BA419B"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EU 27</w:t>
            </w:r>
          </w:p>
        </w:tc>
        <w:tc>
          <w:tcPr>
            <w:tcW w:w="804" w:type="dxa"/>
            <w:tcBorders>
              <w:top w:val="single" w:sz="4" w:space="0" w:color="034FA3" w:themeColor="accent1"/>
              <w:left w:val="nil"/>
              <w:bottom w:val="single" w:sz="4" w:space="0" w:color="034FA3" w:themeColor="accent1"/>
              <w:right w:val="nil"/>
            </w:tcBorders>
            <w:hideMark/>
          </w:tcPr>
          <w:p w14:paraId="3873B891" w14:textId="77777777" w:rsidR="00921D9C" w:rsidRPr="00037C61" w:rsidRDefault="00921D9C">
            <w:pPr>
              <w:spacing w:after="0" w:line="240" w:lineRule="auto"/>
              <w:ind w:right="-81"/>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26,560.4</w:t>
            </w:r>
          </w:p>
        </w:tc>
        <w:tc>
          <w:tcPr>
            <w:tcW w:w="884" w:type="dxa"/>
            <w:tcBorders>
              <w:top w:val="single" w:sz="4" w:space="0" w:color="034FA3" w:themeColor="accent1"/>
              <w:left w:val="nil"/>
              <w:bottom w:val="single" w:sz="4" w:space="0" w:color="034FA3" w:themeColor="accent1"/>
              <w:right w:val="nil"/>
            </w:tcBorders>
            <w:hideMark/>
          </w:tcPr>
          <w:p w14:paraId="4A7C63AC"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67,125.9</w:t>
            </w:r>
          </w:p>
        </w:tc>
        <w:tc>
          <w:tcPr>
            <w:tcW w:w="884" w:type="dxa"/>
            <w:tcBorders>
              <w:top w:val="single" w:sz="4" w:space="0" w:color="034FA3" w:themeColor="accent1"/>
              <w:left w:val="nil"/>
              <w:bottom w:val="single" w:sz="4" w:space="0" w:color="034FA3" w:themeColor="accent1"/>
              <w:right w:val="nil"/>
            </w:tcBorders>
            <w:hideMark/>
          </w:tcPr>
          <w:p w14:paraId="2108A4E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46,975.5</w:t>
            </w:r>
          </w:p>
        </w:tc>
        <w:tc>
          <w:tcPr>
            <w:tcW w:w="884" w:type="dxa"/>
            <w:tcBorders>
              <w:top w:val="single" w:sz="4" w:space="0" w:color="034FA3" w:themeColor="accent1"/>
              <w:left w:val="nil"/>
              <w:bottom w:val="single" w:sz="4" w:space="0" w:color="034FA3" w:themeColor="accent1"/>
              <w:right w:val="nil"/>
            </w:tcBorders>
            <w:hideMark/>
          </w:tcPr>
          <w:p w14:paraId="63AA656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48,769.3</w:t>
            </w:r>
          </w:p>
        </w:tc>
        <w:tc>
          <w:tcPr>
            <w:tcW w:w="884" w:type="dxa"/>
            <w:tcBorders>
              <w:top w:val="single" w:sz="4" w:space="0" w:color="034FA3" w:themeColor="accent1"/>
              <w:left w:val="nil"/>
              <w:bottom w:val="single" w:sz="4" w:space="0" w:color="034FA3" w:themeColor="accent1"/>
              <w:right w:val="nil"/>
            </w:tcBorders>
            <w:hideMark/>
          </w:tcPr>
          <w:p w14:paraId="1B01824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99,110.6</w:t>
            </w:r>
          </w:p>
        </w:tc>
        <w:tc>
          <w:tcPr>
            <w:tcW w:w="884" w:type="dxa"/>
            <w:tcBorders>
              <w:top w:val="single" w:sz="4" w:space="0" w:color="034FA3" w:themeColor="accent1"/>
              <w:left w:val="nil"/>
              <w:bottom w:val="single" w:sz="4" w:space="0" w:color="034FA3" w:themeColor="accent1"/>
              <w:right w:val="nil"/>
            </w:tcBorders>
            <w:hideMark/>
          </w:tcPr>
          <w:p w14:paraId="23EEBCED"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101,842.</w:t>
            </w:r>
          </w:p>
        </w:tc>
        <w:tc>
          <w:tcPr>
            <w:tcW w:w="1009" w:type="dxa"/>
            <w:tcBorders>
              <w:top w:val="single" w:sz="4" w:space="0" w:color="034FA3" w:themeColor="accent1"/>
              <w:left w:val="nil"/>
              <w:bottom w:val="single" w:sz="4" w:space="0" w:color="034FA3" w:themeColor="accent1"/>
              <w:right w:val="nil"/>
            </w:tcBorders>
            <w:hideMark/>
          </w:tcPr>
          <w:p w14:paraId="18D28440"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874,552.5</w:t>
            </w:r>
          </w:p>
        </w:tc>
        <w:tc>
          <w:tcPr>
            <w:tcW w:w="884" w:type="dxa"/>
            <w:tcBorders>
              <w:top w:val="single" w:sz="4" w:space="0" w:color="034FA3" w:themeColor="accent1"/>
              <w:left w:val="nil"/>
              <w:bottom w:val="single" w:sz="4" w:space="0" w:color="034FA3" w:themeColor="accent1"/>
              <w:right w:val="nil"/>
            </w:tcBorders>
            <w:hideMark/>
          </w:tcPr>
          <w:p w14:paraId="5F284EE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72,304.1</w:t>
            </w:r>
          </w:p>
        </w:tc>
        <w:tc>
          <w:tcPr>
            <w:tcW w:w="884" w:type="dxa"/>
            <w:tcBorders>
              <w:top w:val="single" w:sz="4" w:space="0" w:color="034FA3" w:themeColor="accent1"/>
              <w:left w:val="nil"/>
              <w:bottom w:val="single" w:sz="4" w:space="0" w:color="034FA3" w:themeColor="accent1"/>
              <w:right w:val="single" w:sz="4" w:space="0" w:color="034FA3" w:themeColor="accent1"/>
            </w:tcBorders>
            <w:hideMark/>
          </w:tcPr>
          <w:p w14:paraId="28681B4F"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46,298.8</w:t>
            </w:r>
          </w:p>
        </w:tc>
      </w:tr>
      <w:tr w:rsidR="00921D9C" w:rsidRPr="00037C61" w14:paraId="3D621241" w14:textId="77777777" w:rsidTr="35D5BAB1">
        <w:trPr>
          <w:trHeight w:val="245"/>
        </w:trPr>
        <w:tc>
          <w:tcPr>
            <w:tcW w:w="9021" w:type="dxa"/>
            <w:gridSpan w:val="10"/>
            <w:tcBorders>
              <w:top w:val="nil"/>
              <w:left w:val="single" w:sz="4" w:space="0" w:color="034FA3" w:themeColor="accent1"/>
              <w:bottom w:val="nil"/>
              <w:right w:val="nil"/>
            </w:tcBorders>
            <w:shd w:val="clear" w:color="auto" w:fill="034FA3" w:themeFill="accent1"/>
            <w:noWrap/>
            <w:hideMark/>
          </w:tcPr>
          <w:p w14:paraId="56A97108" w14:textId="32155961" w:rsidR="00921D9C" w:rsidRPr="00037C61" w:rsidRDefault="00921D9C">
            <w:pPr>
              <w:spacing w:after="0" w:line="240" w:lineRule="auto"/>
              <w:jc w:val="center"/>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GVA change (percentage) 2009-2017</w:t>
            </w:r>
          </w:p>
        </w:tc>
      </w:tr>
      <w:tr w:rsidR="00921D9C" w:rsidRPr="00037C61" w14:paraId="5793EB07" w14:textId="77777777" w:rsidTr="35D5BAB1">
        <w:trPr>
          <w:trHeight w:val="245"/>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noWrap/>
            <w:hideMark/>
          </w:tcPr>
          <w:p w14:paraId="766312FD" w14:textId="77777777" w:rsidR="00921D9C" w:rsidRPr="00037C61" w:rsidRDefault="00921D9C">
            <w:pPr>
              <w:rPr>
                <w:rFonts w:eastAsia="Times New Roman" w:cs="Calibri"/>
                <w:b/>
                <w:bCs/>
                <w:color w:val="FFFFFF" w:themeColor="background1"/>
                <w:sz w:val="20"/>
                <w:szCs w:val="20"/>
                <w:lang w:val="en-GB" w:eastAsia="en-GB"/>
              </w:rPr>
            </w:pPr>
          </w:p>
        </w:tc>
        <w:tc>
          <w:tcPr>
            <w:tcW w:w="804" w:type="dxa"/>
            <w:tcBorders>
              <w:top w:val="single" w:sz="4" w:space="0" w:color="034FA3" w:themeColor="accent1"/>
              <w:left w:val="nil"/>
              <w:bottom w:val="single" w:sz="4" w:space="0" w:color="034FA3" w:themeColor="accent1"/>
              <w:right w:val="nil"/>
            </w:tcBorders>
            <w:noWrap/>
            <w:hideMark/>
          </w:tcPr>
          <w:p w14:paraId="51DC69C6"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nil"/>
            </w:tcBorders>
            <w:noWrap/>
            <w:hideMark/>
          </w:tcPr>
          <w:p w14:paraId="0FD2A022"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nil"/>
            </w:tcBorders>
            <w:noWrap/>
            <w:hideMark/>
          </w:tcPr>
          <w:p w14:paraId="1E55EB9B"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nil"/>
            </w:tcBorders>
            <w:noWrap/>
            <w:hideMark/>
          </w:tcPr>
          <w:p w14:paraId="613C5613"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nil"/>
            </w:tcBorders>
            <w:noWrap/>
            <w:hideMark/>
          </w:tcPr>
          <w:p w14:paraId="62BEFCA7"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nil"/>
            </w:tcBorders>
            <w:noWrap/>
            <w:hideMark/>
          </w:tcPr>
          <w:p w14:paraId="53EF8622" w14:textId="77777777" w:rsidR="00921D9C" w:rsidRPr="00037C61" w:rsidRDefault="00921D9C">
            <w:pPr>
              <w:spacing w:after="0" w:line="240" w:lineRule="auto"/>
              <w:jc w:val="left"/>
              <w:rPr>
                <w:rFonts w:asciiTheme="minorHAnsi" w:hAnsiTheme="minorHAnsi"/>
                <w:sz w:val="20"/>
                <w:lang w:val="en-GB"/>
              </w:rPr>
            </w:pPr>
          </w:p>
        </w:tc>
        <w:tc>
          <w:tcPr>
            <w:tcW w:w="1009" w:type="dxa"/>
            <w:tcBorders>
              <w:top w:val="single" w:sz="4" w:space="0" w:color="034FA3" w:themeColor="accent1"/>
              <w:left w:val="nil"/>
              <w:bottom w:val="single" w:sz="4" w:space="0" w:color="034FA3" w:themeColor="accent1"/>
              <w:right w:val="nil"/>
            </w:tcBorders>
            <w:noWrap/>
            <w:hideMark/>
          </w:tcPr>
          <w:p w14:paraId="26F99CAC"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nil"/>
            </w:tcBorders>
            <w:noWrap/>
            <w:hideMark/>
          </w:tcPr>
          <w:p w14:paraId="50FC2F8D" w14:textId="77777777" w:rsidR="00921D9C" w:rsidRPr="00037C61" w:rsidRDefault="00921D9C">
            <w:pPr>
              <w:spacing w:after="0" w:line="240" w:lineRule="auto"/>
              <w:jc w:val="left"/>
              <w:rPr>
                <w:rFonts w:asciiTheme="minorHAnsi" w:hAnsiTheme="minorHAnsi"/>
                <w:sz w:val="20"/>
                <w:lang w:val="en-GB"/>
              </w:rPr>
            </w:pPr>
          </w:p>
        </w:tc>
        <w:tc>
          <w:tcPr>
            <w:tcW w:w="884" w:type="dxa"/>
            <w:tcBorders>
              <w:top w:val="single" w:sz="4" w:space="0" w:color="034FA3" w:themeColor="accent1"/>
              <w:left w:val="nil"/>
              <w:bottom w:val="single" w:sz="4" w:space="0" w:color="034FA3" w:themeColor="accent1"/>
              <w:right w:val="single" w:sz="4" w:space="0" w:color="034FA3" w:themeColor="accent1"/>
            </w:tcBorders>
            <w:noWrap/>
            <w:hideMark/>
          </w:tcPr>
          <w:p w14:paraId="75B90F7B" w14:textId="77777777" w:rsidR="00921D9C" w:rsidRPr="00037C61" w:rsidRDefault="00921D9C">
            <w:pPr>
              <w:spacing w:after="0" w:line="240" w:lineRule="auto"/>
              <w:jc w:val="left"/>
              <w:rPr>
                <w:rFonts w:asciiTheme="minorHAnsi" w:hAnsiTheme="minorHAnsi"/>
                <w:sz w:val="20"/>
                <w:lang w:val="en-GB"/>
              </w:rPr>
            </w:pPr>
          </w:p>
        </w:tc>
      </w:tr>
      <w:tr w:rsidR="00981D6C" w:rsidRPr="00037C61" w14:paraId="4E20BBDF" w14:textId="77777777" w:rsidTr="35D5BAB1">
        <w:trPr>
          <w:trHeight w:val="245"/>
        </w:trPr>
        <w:tc>
          <w:tcPr>
            <w:tcW w:w="1020" w:type="dxa"/>
            <w:tcBorders>
              <w:top w:val="nil"/>
              <w:left w:val="single" w:sz="4" w:space="0" w:color="034FA3" w:themeColor="accent1"/>
              <w:bottom w:val="nil"/>
              <w:right w:val="nil"/>
            </w:tcBorders>
            <w:shd w:val="clear" w:color="auto" w:fill="FDE7E8"/>
            <w:hideMark/>
          </w:tcPr>
          <w:p w14:paraId="60AC436F"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Change % (HU)</w:t>
            </w:r>
          </w:p>
        </w:tc>
        <w:tc>
          <w:tcPr>
            <w:tcW w:w="804" w:type="dxa"/>
            <w:tcBorders>
              <w:top w:val="nil"/>
              <w:left w:val="nil"/>
              <w:bottom w:val="nil"/>
              <w:right w:val="nil"/>
            </w:tcBorders>
            <w:shd w:val="clear" w:color="auto" w:fill="FDE7E8"/>
            <w:hideMark/>
          </w:tcPr>
          <w:p w14:paraId="4BA3D5A3"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39.55%</w:t>
            </w:r>
          </w:p>
        </w:tc>
        <w:tc>
          <w:tcPr>
            <w:tcW w:w="884" w:type="dxa"/>
            <w:tcBorders>
              <w:top w:val="nil"/>
              <w:left w:val="nil"/>
              <w:bottom w:val="nil"/>
              <w:right w:val="nil"/>
            </w:tcBorders>
            <w:shd w:val="clear" w:color="auto" w:fill="FDE7E8"/>
            <w:hideMark/>
          </w:tcPr>
          <w:p w14:paraId="67479FA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30.87%</w:t>
            </w:r>
          </w:p>
        </w:tc>
        <w:tc>
          <w:tcPr>
            <w:tcW w:w="884" w:type="dxa"/>
            <w:tcBorders>
              <w:top w:val="nil"/>
              <w:left w:val="nil"/>
              <w:bottom w:val="nil"/>
              <w:right w:val="nil"/>
            </w:tcBorders>
            <w:shd w:val="clear" w:color="auto" w:fill="FDE7E8"/>
            <w:hideMark/>
          </w:tcPr>
          <w:p w14:paraId="41C5013E"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10.05%</w:t>
            </w:r>
          </w:p>
        </w:tc>
        <w:tc>
          <w:tcPr>
            <w:tcW w:w="884" w:type="dxa"/>
            <w:tcBorders>
              <w:top w:val="nil"/>
              <w:left w:val="nil"/>
              <w:bottom w:val="nil"/>
              <w:right w:val="nil"/>
            </w:tcBorders>
            <w:shd w:val="clear" w:color="auto" w:fill="FDE7E8"/>
            <w:hideMark/>
          </w:tcPr>
          <w:p w14:paraId="3DCD821D"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27.48%</w:t>
            </w:r>
          </w:p>
        </w:tc>
        <w:tc>
          <w:tcPr>
            <w:tcW w:w="884" w:type="dxa"/>
            <w:tcBorders>
              <w:top w:val="nil"/>
              <w:left w:val="nil"/>
              <w:bottom w:val="nil"/>
              <w:right w:val="nil"/>
            </w:tcBorders>
            <w:shd w:val="clear" w:color="auto" w:fill="FDE7E8"/>
            <w:hideMark/>
          </w:tcPr>
          <w:p w14:paraId="10055D2B"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-11.10%</w:t>
            </w:r>
          </w:p>
        </w:tc>
        <w:tc>
          <w:tcPr>
            <w:tcW w:w="884" w:type="dxa"/>
            <w:tcBorders>
              <w:top w:val="nil"/>
              <w:left w:val="nil"/>
              <w:bottom w:val="nil"/>
              <w:right w:val="nil"/>
            </w:tcBorders>
            <w:shd w:val="clear" w:color="auto" w:fill="FDE7E8"/>
            <w:hideMark/>
          </w:tcPr>
          <w:p w14:paraId="38D3EACD"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5.95%</w:t>
            </w:r>
          </w:p>
        </w:tc>
        <w:tc>
          <w:tcPr>
            <w:tcW w:w="1009" w:type="dxa"/>
            <w:tcBorders>
              <w:top w:val="nil"/>
              <w:left w:val="nil"/>
              <w:bottom w:val="nil"/>
              <w:right w:val="nil"/>
            </w:tcBorders>
            <w:shd w:val="clear" w:color="auto" w:fill="FDE7E8"/>
            <w:hideMark/>
          </w:tcPr>
          <w:p w14:paraId="34E38C7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-11.70%</w:t>
            </w:r>
          </w:p>
        </w:tc>
        <w:tc>
          <w:tcPr>
            <w:tcW w:w="884" w:type="dxa"/>
            <w:tcBorders>
              <w:top w:val="nil"/>
              <w:left w:val="nil"/>
              <w:bottom w:val="nil"/>
              <w:right w:val="nil"/>
            </w:tcBorders>
            <w:shd w:val="clear" w:color="auto" w:fill="FDE7E8"/>
            <w:hideMark/>
          </w:tcPr>
          <w:p w14:paraId="188FC051"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0.64%</w:t>
            </w:r>
          </w:p>
        </w:tc>
        <w:tc>
          <w:tcPr>
            <w:tcW w:w="884" w:type="dxa"/>
            <w:tcBorders>
              <w:top w:val="nil"/>
              <w:left w:val="nil"/>
              <w:bottom w:val="nil"/>
              <w:right w:val="single" w:sz="4" w:space="0" w:color="034FA3" w:themeColor="accent1"/>
            </w:tcBorders>
            <w:shd w:val="clear" w:color="auto" w:fill="FDE7E8"/>
            <w:hideMark/>
          </w:tcPr>
          <w:p w14:paraId="5DD1A12A"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9.46%</w:t>
            </w:r>
          </w:p>
        </w:tc>
      </w:tr>
      <w:tr w:rsidR="00981D6C" w:rsidRPr="00037C61" w14:paraId="27D6A8A0" w14:textId="77777777" w:rsidTr="35D5BAB1">
        <w:trPr>
          <w:trHeight w:val="245"/>
        </w:trPr>
        <w:tc>
          <w:tcPr>
            <w:tcW w:w="1020"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hideMark/>
          </w:tcPr>
          <w:p w14:paraId="58D43E44" w14:textId="77777777" w:rsidR="00921D9C" w:rsidRPr="00037C61" w:rsidRDefault="00921D9C">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Change % (RO)</w:t>
            </w:r>
          </w:p>
        </w:tc>
        <w:tc>
          <w:tcPr>
            <w:tcW w:w="80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16591E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48.06%</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09AB3D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40.24%</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19F21B0C"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-28.13%</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780449F6"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32.14%</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579661D2"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26.61%</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3F338E14"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79.54%</w:t>
            </w:r>
          </w:p>
        </w:tc>
        <w:tc>
          <w:tcPr>
            <w:tcW w:w="1009"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37DE7879"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-62.78%</w:t>
            </w:r>
          </w:p>
        </w:tc>
        <w:tc>
          <w:tcPr>
            <w:tcW w:w="884" w:type="dxa"/>
            <w:tcBorders>
              <w:top w:val="single" w:sz="4" w:space="0" w:color="034FA3" w:themeColor="accent1"/>
              <w:left w:val="nil"/>
              <w:bottom w:val="single" w:sz="4" w:space="0" w:color="034FA3" w:themeColor="accent1"/>
              <w:right w:val="nil"/>
            </w:tcBorders>
            <w:shd w:val="clear" w:color="auto" w:fill="EAEDF6" w:themeFill="accent2" w:themeFillTint="33"/>
            <w:hideMark/>
          </w:tcPr>
          <w:p w14:paraId="6CC08050"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97.70%</w:t>
            </w:r>
          </w:p>
        </w:tc>
        <w:tc>
          <w:tcPr>
            <w:tcW w:w="884"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hideMark/>
          </w:tcPr>
          <w:p w14:paraId="30076C68" w14:textId="77777777" w:rsidR="00921D9C" w:rsidRPr="00037C61" w:rsidRDefault="00921D9C">
            <w:pPr>
              <w:spacing w:after="0" w:line="240" w:lineRule="auto"/>
              <w:jc w:val="right"/>
              <w:rPr>
                <w:rFonts w:eastAsia="Times New Roman" w:cs="Calibri"/>
                <w:color w:val="000000"/>
                <w:sz w:val="18"/>
                <w:szCs w:val="18"/>
                <w:lang w:val="en-GB" w:eastAsia="en-GB"/>
              </w:rPr>
            </w:pPr>
            <w:r w:rsidRPr="00037C61">
              <w:rPr>
                <w:rFonts w:eastAsia="Times New Roman" w:cs="Calibri"/>
                <w:color w:val="000000"/>
                <w:sz w:val="18"/>
                <w:szCs w:val="18"/>
                <w:lang w:val="en-GB" w:eastAsia="en-GB"/>
              </w:rPr>
              <w:t>108.89%</w:t>
            </w:r>
          </w:p>
        </w:tc>
      </w:tr>
      <w:tr w:rsidR="00981D6C" w:rsidRPr="00037C61" w14:paraId="09D0C685" w14:textId="77777777" w:rsidTr="35D5BAB1">
        <w:trPr>
          <w:trHeight w:val="449"/>
        </w:trPr>
        <w:tc>
          <w:tcPr>
            <w:tcW w:w="1020" w:type="dxa"/>
            <w:tcBorders>
              <w:top w:val="nil"/>
              <w:left w:val="single" w:sz="4" w:space="0" w:color="034FA3" w:themeColor="accent1"/>
              <w:bottom w:val="single" w:sz="4" w:space="0" w:color="034FA3" w:themeColor="accent1"/>
              <w:right w:val="nil"/>
            </w:tcBorders>
            <w:shd w:val="clear" w:color="auto" w:fill="98A7D5" w:themeFill="accent2"/>
            <w:hideMark/>
          </w:tcPr>
          <w:p w14:paraId="710FC99B" w14:textId="7448BCB4" w:rsidR="00921D9C" w:rsidRPr="00037C61" w:rsidRDefault="005171E7">
            <w:pPr>
              <w:spacing w:after="0" w:line="240" w:lineRule="auto"/>
              <w:jc w:val="lef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Programme area</w:t>
            </w:r>
          </w:p>
        </w:tc>
        <w:tc>
          <w:tcPr>
            <w:tcW w:w="804" w:type="dxa"/>
            <w:tcBorders>
              <w:top w:val="nil"/>
              <w:left w:val="nil"/>
              <w:bottom w:val="single" w:sz="4" w:space="0" w:color="034FA3" w:themeColor="accent1"/>
              <w:right w:val="nil"/>
            </w:tcBorders>
            <w:shd w:val="clear" w:color="auto" w:fill="98A7D5" w:themeFill="accent2"/>
            <w:hideMark/>
          </w:tcPr>
          <w:p w14:paraId="05B62417"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123.29%</w:t>
            </w:r>
          </w:p>
        </w:tc>
        <w:tc>
          <w:tcPr>
            <w:tcW w:w="884" w:type="dxa"/>
            <w:tcBorders>
              <w:top w:val="nil"/>
              <w:left w:val="nil"/>
              <w:bottom w:val="single" w:sz="4" w:space="0" w:color="034FA3" w:themeColor="accent1"/>
              <w:right w:val="nil"/>
            </w:tcBorders>
            <w:shd w:val="clear" w:color="auto" w:fill="98A7D5" w:themeFill="accent2"/>
            <w:hideMark/>
          </w:tcPr>
          <w:p w14:paraId="379345AC"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23.00%</w:t>
            </w:r>
          </w:p>
        </w:tc>
        <w:tc>
          <w:tcPr>
            <w:tcW w:w="884" w:type="dxa"/>
            <w:tcBorders>
              <w:top w:val="nil"/>
              <w:left w:val="nil"/>
              <w:bottom w:val="single" w:sz="4" w:space="0" w:color="034FA3" w:themeColor="accent1"/>
              <w:right w:val="nil"/>
            </w:tcBorders>
            <w:shd w:val="clear" w:color="auto" w:fill="98A7D5" w:themeFill="accent2"/>
            <w:hideMark/>
          </w:tcPr>
          <w:p w14:paraId="27E49D9E"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-15.61%</w:t>
            </w:r>
          </w:p>
        </w:tc>
        <w:tc>
          <w:tcPr>
            <w:tcW w:w="884" w:type="dxa"/>
            <w:tcBorders>
              <w:top w:val="nil"/>
              <w:left w:val="nil"/>
              <w:bottom w:val="single" w:sz="4" w:space="0" w:color="034FA3" w:themeColor="accent1"/>
              <w:right w:val="nil"/>
            </w:tcBorders>
            <w:shd w:val="clear" w:color="auto" w:fill="98A7D5" w:themeFill="accent2"/>
            <w:hideMark/>
          </w:tcPr>
          <w:p w14:paraId="087F90D7"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25.50%</w:t>
            </w:r>
          </w:p>
        </w:tc>
        <w:tc>
          <w:tcPr>
            <w:tcW w:w="884" w:type="dxa"/>
            <w:tcBorders>
              <w:top w:val="nil"/>
              <w:left w:val="nil"/>
              <w:bottom w:val="single" w:sz="4" w:space="0" w:color="034FA3" w:themeColor="accent1"/>
              <w:right w:val="nil"/>
            </w:tcBorders>
            <w:shd w:val="clear" w:color="auto" w:fill="98A7D5" w:themeFill="accent2"/>
            <w:hideMark/>
          </w:tcPr>
          <w:p w14:paraId="20E444CD"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41.75%</w:t>
            </w:r>
          </w:p>
        </w:tc>
        <w:tc>
          <w:tcPr>
            <w:tcW w:w="884" w:type="dxa"/>
            <w:tcBorders>
              <w:top w:val="nil"/>
              <w:left w:val="nil"/>
              <w:bottom w:val="single" w:sz="4" w:space="0" w:color="034FA3" w:themeColor="accent1"/>
              <w:right w:val="nil"/>
            </w:tcBorders>
            <w:shd w:val="clear" w:color="auto" w:fill="98A7D5" w:themeFill="accent2"/>
            <w:hideMark/>
          </w:tcPr>
          <w:p w14:paraId="703024E4"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3.75%</w:t>
            </w:r>
          </w:p>
        </w:tc>
        <w:tc>
          <w:tcPr>
            <w:tcW w:w="1009" w:type="dxa"/>
            <w:tcBorders>
              <w:top w:val="nil"/>
              <w:left w:val="nil"/>
              <w:bottom w:val="single" w:sz="4" w:space="0" w:color="034FA3" w:themeColor="accent1"/>
              <w:right w:val="nil"/>
            </w:tcBorders>
            <w:shd w:val="clear" w:color="auto" w:fill="98A7D5" w:themeFill="accent2"/>
            <w:hideMark/>
          </w:tcPr>
          <w:p w14:paraId="0204366B"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17.60%</w:t>
            </w:r>
          </w:p>
        </w:tc>
        <w:tc>
          <w:tcPr>
            <w:tcW w:w="884" w:type="dxa"/>
            <w:tcBorders>
              <w:top w:val="nil"/>
              <w:left w:val="nil"/>
              <w:bottom w:val="single" w:sz="4" w:space="0" w:color="034FA3" w:themeColor="accent1"/>
              <w:right w:val="nil"/>
            </w:tcBorders>
            <w:shd w:val="clear" w:color="auto" w:fill="98A7D5" w:themeFill="accent2"/>
            <w:hideMark/>
          </w:tcPr>
          <w:p w14:paraId="76A85673"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34.62%</w:t>
            </w:r>
          </w:p>
        </w:tc>
        <w:tc>
          <w:tcPr>
            <w:tcW w:w="884" w:type="dxa"/>
            <w:tcBorders>
              <w:top w:val="nil"/>
              <w:left w:val="nil"/>
              <w:bottom w:val="single" w:sz="4" w:space="0" w:color="034FA3" w:themeColor="accent1"/>
              <w:right w:val="single" w:sz="4" w:space="0" w:color="034FA3" w:themeColor="accent1"/>
            </w:tcBorders>
            <w:shd w:val="clear" w:color="auto" w:fill="98A7D5" w:themeFill="accent2"/>
            <w:hideMark/>
          </w:tcPr>
          <w:p w14:paraId="330960BB" w14:textId="77777777" w:rsidR="00921D9C" w:rsidRPr="00037C61" w:rsidRDefault="00921D9C">
            <w:pPr>
              <w:spacing w:after="0" w:line="240" w:lineRule="auto"/>
              <w:jc w:val="right"/>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42.50%</w:t>
            </w:r>
          </w:p>
        </w:tc>
      </w:tr>
    </w:tbl>
    <w:p w14:paraId="295C94F7" w14:textId="0888A8DD" w:rsidR="00921D9C" w:rsidRPr="00037C61" w:rsidRDefault="00921D9C" w:rsidP="00921D9C">
      <w:pPr>
        <w:pStyle w:val="Caption"/>
        <w:jc w:val="left"/>
        <w:rPr>
          <w:lang w:val="en-GB"/>
        </w:rPr>
      </w:pPr>
      <w:r w:rsidRPr="00037C61">
        <w:rPr>
          <w:lang w:val="en-GB"/>
        </w:rPr>
        <w:t>Source: Eurostat,</w:t>
      </w:r>
      <w:r w:rsidR="00866764" w:rsidRPr="00037C61">
        <w:rPr>
          <w:lang w:val="en-GB"/>
        </w:rPr>
        <w:t xml:space="preserve"> nama_10r_3gva</w:t>
      </w:r>
      <w:r w:rsidRPr="00037C61">
        <w:rPr>
          <w:lang w:val="en-GB"/>
        </w:rPr>
        <w:t xml:space="preserve"> * Latest data available in the data bases is 2017</w:t>
      </w:r>
    </w:p>
    <w:tbl>
      <w:tblPr>
        <w:tblW w:w="9047"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1059"/>
        <w:gridCol w:w="7988"/>
      </w:tblGrid>
      <w:tr w:rsidR="00921D9C" w:rsidRPr="00037C61" w14:paraId="1E19DCB8" w14:textId="77777777" w:rsidTr="00921D9C">
        <w:trPr>
          <w:trHeight w:val="241"/>
        </w:trPr>
        <w:tc>
          <w:tcPr>
            <w:tcW w:w="9047" w:type="dxa"/>
            <w:gridSpan w:val="2"/>
            <w:tcBorders>
              <w:top w:val="single" w:sz="4" w:space="0" w:color="034FA3" w:themeColor="accent1"/>
              <w:left w:val="single" w:sz="4" w:space="0" w:color="034FA3" w:themeColor="accent1"/>
              <w:bottom w:val="nil"/>
              <w:right w:val="nil"/>
            </w:tcBorders>
            <w:shd w:val="clear" w:color="auto" w:fill="034FA3" w:themeFill="accent1"/>
            <w:noWrap/>
            <w:hideMark/>
          </w:tcPr>
          <w:p w14:paraId="5FCB877E" w14:textId="196A5C1B" w:rsidR="00921D9C" w:rsidRPr="00037C61" w:rsidRDefault="00EC1CAB">
            <w:pPr>
              <w:spacing w:after="0" w:line="240" w:lineRule="auto"/>
              <w:jc w:val="center"/>
              <w:rPr>
                <w:rFonts w:cs="Calibri"/>
                <w:b/>
                <w:color w:val="000000"/>
                <w:sz w:val="18"/>
                <w:szCs w:val="18"/>
                <w:lang w:val="en-GB"/>
              </w:rPr>
            </w:pPr>
            <w:r w:rsidRPr="00037C61">
              <w:rPr>
                <w:rFonts w:eastAsia="Times New Roman" w:cs="Calibri"/>
                <w:b/>
                <w:bCs/>
                <w:color w:val="FFFFFF" w:themeColor="background1"/>
                <w:sz w:val="18"/>
                <w:szCs w:val="18"/>
                <w:lang w:val="en-GB" w:eastAsia="en-GB"/>
              </w:rPr>
              <w:t xml:space="preserve">Legend </w:t>
            </w:r>
            <w:r w:rsidR="00921D9C" w:rsidRPr="00037C61">
              <w:rPr>
                <w:rFonts w:cs="Calibri"/>
                <w:b/>
                <w:color w:val="FFFFFF" w:themeColor="background1"/>
                <w:sz w:val="18"/>
                <w:szCs w:val="18"/>
                <w:lang w:val="en-GB"/>
              </w:rPr>
              <w:t xml:space="preserve"> – NACE 2 categories </w:t>
            </w:r>
          </w:p>
        </w:tc>
      </w:tr>
      <w:tr w:rsidR="00921D9C" w:rsidRPr="00037C61" w14:paraId="6C30307B" w14:textId="77777777" w:rsidTr="00921D9C">
        <w:trPr>
          <w:trHeight w:val="241"/>
        </w:trPr>
        <w:tc>
          <w:tcPr>
            <w:tcW w:w="105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6135408E"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lastRenderedPageBreak/>
              <w:t>A</w:t>
            </w:r>
          </w:p>
        </w:tc>
        <w:tc>
          <w:tcPr>
            <w:tcW w:w="7988" w:type="dxa"/>
            <w:tcBorders>
              <w:top w:val="single" w:sz="4" w:space="0" w:color="034FA3" w:themeColor="accent1"/>
              <w:left w:val="nil"/>
              <w:bottom w:val="single" w:sz="4" w:space="0" w:color="034FA3" w:themeColor="accent1"/>
              <w:right w:val="single" w:sz="4" w:space="0" w:color="034FA3" w:themeColor="accent1"/>
            </w:tcBorders>
            <w:noWrap/>
            <w:hideMark/>
          </w:tcPr>
          <w:p w14:paraId="52FA6CE3"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Agriculture, forestry and fishing</w:t>
            </w:r>
          </w:p>
        </w:tc>
      </w:tr>
      <w:tr w:rsidR="00921D9C" w:rsidRPr="00037C61" w14:paraId="2E372AE3" w14:textId="77777777" w:rsidTr="00921D9C">
        <w:trPr>
          <w:trHeight w:val="241"/>
        </w:trPr>
        <w:tc>
          <w:tcPr>
            <w:tcW w:w="1059" w:type="dxa"/>
            <w:tcBorders>
              <w:top w:val="nil"/>
              <w:left w:val="single" w:sz="4" w:space="0" w:color="034FA3" w:themeColor="accent1"/>
              <w:bottom w:val="nil"/>
              <w:right w:val="nil"/>
            </w:tcBorders>
            <w:shd w:val="clear" w:color="auto" w:fill="FFFFFF" w:themeFill="background1"/>
            <w:hideMark/>
          </w:tcPr>
          <w:p w14:paraId="0FC0CDBB"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B-E</w:t>
            </w:r>
          </w:p>
        </w:tc>
        <w:tc>
          <w:tcPr>
            <w:tcW w:w="7988" w:type="dxa"/>
            <w:tcBorders>
              <w:top w:val="nil"/>
              <w:left w:val="nil"/>
              <w:bottom w:val="nil"/>
              <w:right w:val="single" w:sz="4" w:space="0" w:color="034FA3" w:themeColor="accent1"/>
            </w:tcBorders>
            <w:noWrap/>
            <w:hideMark/>
          </w:tcPr>
          <w:p w14:paraId="72A139E6"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Industry (except construction)</w:t>
            </w:r>
          </w:p>
        </w:tc>
      </w:tr>
      <w:tr w:rsidR="00921D9C" w:rsidRPr="00037C61" w14:paraId="5E37AA1A" w14:textId="77777777" w:rsidTr="00921D9C">
        <w:trPr>
          <w:trHeight w:val="241"/>
        </w:trPr>
        <w:tc>
          <w:tcPr>
            <w:tcW w:w="105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15750389"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F</w:t>
            </w:r>
          </w:p>
        </w:tc>
        <w:tc>
          <w:tcPr>
            <w:tcW w:w="7988" w:type="dxa"/>
            <w:tcBorders>
              <w:top w:val="single" w:sz="4" w:space="0" w:color="034FA3" w:themeColor="accent1"/>
              <w:left w:val="nil"/>
              <w:bottom w:val="single" w:sz="4" w:space="0" w:color="034FA3" w:themeColor="accent1"/>
              <w:right w:val="single" w:sz="4" w:space="0" w:color="034FA3" w:themeColor="accent1"/>
            </w:tcBorders>
            <w:noWrap/>
            <w:hideMark/>
          </w:tcPr>
          <w:p w14:paraId="451553AB"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Construction</w:t>
            </w:r>
          </w:p>
        </w:tc>
      </w:tr>
      <w:tr w:rsidR="00921D9C" w:rsidRPr="004A5488" w14:paraId="6823C924" w14:textId="77777777" w:rsidTr="00921D9C">
        <w:trPr>
          <w:trHeight w:val="241"/>
        </w:trPr>
        <w:tc>
          <w:tcPr>
            <w:tcW w:w="1059" w:type="dxa"/>
            <w:tcBorders>
              <w:top w:val="nil"/>
              <w:left w:val="single" w:sz="4" w:space="0" w:color="034FA3" w:themeColor="accent1"/>
              <w:bottom w:val="nil"/>
              <w:right w:val="nil"/>
            </w:tcBorders>
            <w:shd w:val="clear" w:color="auto" w:fill="FFFFFF" w:themeFill="background1"/>
            <w:hideMark/>
          </w:tcPr>
          <w:p w14:paraId="18857F44"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G-I</w:t>
            </w:r>
          </w:p>
        </w:tc>
        <w:tc>
          <w:tcPr>
            <w:tcW w:w="7988" w:type="dxa"/>
            <w:tcBorders>
              <w:top w:val="nil"/>
              <w:left w:val="nil"/>
              <w:bottom w:val="nil"/>
              <w:right w:val="single" w:sz="4" w:space="0" w:color="034FA3" w:themeColor="accent1"/>
            </w:tcBorders>
            <w:noWrap/>
            <w:hideMark/>
          </w:tcPr>
          <w:p w14:paraId="547002AF"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Wholesale and retail trade, transport, accommodation and food service activities</w:t>
            </w:r>
          </w:p>
        </w:tc>
      </w:tr>
      <w:tr w:rsidR="00921D9C" w:rsidRPr="00037C61" w14:paraId="61BB331C" w14:textId="77777777" w:rsidTr="00921D9C">
        <w:trPr>
          <w:trHeight w:val="241"/>
        </w:trPr>
        <w:tc>
          <w:tcPr>
            <w:tcW w:w="105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3FE8548D"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J</w:t>
            </w:r>
          </w:p>
        </w:tc>
        <w:tc>
          <w:tcPr>
            <w:tcW w:w="7988" w:type="dxa"/>
            <w:tcBorders>
              <w:top w:val="single" w:sz="4" w:space="0" w:color="034FA3" w:themeColor="accent1"/>
              <w:left w:val="nil"/>
              <w:bottom w:val="single" w:sz="4" w:space="0" w:color="034FA3" w:themeColor="accent1"/>
              <w:right w:val="single" w:sz="4" w:space="0" w:color="034FA3" w:themeColor="accent1"/>
            </w:tcBorders>
            <w:noWrap/>
            <w:hideMark/>
          </w:tcPr>
          <w:p w14:paraId="4F008355"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Information and communication</w:t>
            </w:r>
          </w:p>
        </w:tc>
      </w:tr>
      <w:tr w:rsidR="00921D9C" w:rsidRPr="00037C61" w14:paraId="36AB6ECB" w14:textId="77777777" w:rsidTr="00921D9C">
        <w:trPr>
          <w:trHeight w:val="241"/>
        </w:trPr>
        <w:tc>
          <w:tcPr>
            <w:tcW w:w="1059" w:type="dxa"/>
            <w:tcBorders>
              <w:top w:val="nil"/>
              <w:left w:val="single" w:sz="4" w:space="0" w:color="034FA3" w:themeColor="accent1"/>
              <w:bottom w:val="nil"/>
              <w:right w:val="nil"/>
            </w:tcBorders>
            <w:shd w:val="clear" w:color="auto" w:fill="FFFFFF" w:themeFill="background1"/>
            <w:hideMark/>
          </w:tcPr>
          <w:p w14:paraId="65A4B434"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K</w:t>
            </w:r>
          </w:p>
        </w:tc>
        <w:tc>
          <w:tcPr>
            <w:tcW w:w="7988" w:type="dxa"/>
            <w:tcBorders>
              <w:top w:val="nil"/>
              <w:left w:val="nil"/>
              <w:bottom w:val="nil"/>
              <w:right w:val="single" w:sz="4" w:space="0" w:color="034FA3" w:themeColor="accent1"/>
            </w:tcBorders>
            <w:noWrap/>
            <w:hideMark/>
          </w:tcPr>
          <w:p w14:paraId="7AA21278"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Financial and insurance activities</w:t>
            </w:r>
          </w:p>
        </w:tc>
      </w:tr>
      <w:tr w:rsidR="00921D9C" w:rsidRPr="00037C61" w14:paraId="4AAE0A56" w14:textId="77777777" w:rsidTr="00921D9C">
        <w:trPr>
          <w:trHeight w:val="241"/>
        </w:trPr>
        <w:tc>
          <w:tcPr>
            <w:tcW w:w="105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69C63C7B"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L</w:t>
            </w:r>
          </w:p>
        </w:tc>
        <w:tc>
          <w:tcPr>
            <w:tcW w:w="7988" w:type="dxa"/>
            <w:tcBorders>
              <w:top w:val="single" w:sz="4" w:space="0" w:color="034FA3" w:themeColor="accent1"/>
              <w:left w:val="nil"/>
              <w:bottom w:val="single" w:sz="4" w:space="0" w:color="034FA3" w:themeColor="accent1"/>
              <w:right w:val="single" w:sz="4" w:space="0" w:color="034FA3" w:themeColor="accent1"/>
            </w:tcBorders>
            <w:noWrap/>
            <w:hideMark/>
          </w:tcPr>
          <w:p w14:paraId="750B399C"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Real estate activities</w:t>
            </w:r>
          </w:p>
        </w:tc>
      </w:tr>
      <w:tr w:rsidR="00921D9C" w:rsidRPr="004A5488" w14:paraId="46A8D3A4" w14:textId="77777777" w:rsidTr="00921D9C">
        <w:trPr>
          <w:trHeight w:val="241"/>
        </w:trPr>
        <w:tc>
          <w:tcPr>
            <w:tcW w:w="1059" w:type="dxa"/>
            <w:tcBorders>
              <w:top w:val="nil"/>
              <w:left w:val="single" w:sz="4" w:space="0" w:color="034FA3" w:themeColor="accent1"/>
              <w:bottom w:val="nil"/>
              <w:right w:val="nil"/>
            </w:tcBorders>
            <w:shd w:val="clear" w:color="auto" w:fill="FFFFFF" w:themeFill="background1"/>
            <w:hideMark/>
          </w:tcPr>
          <w:p w14:paraId="11CF580B"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M-N</w:t>
            </w:r>
          </w:p>
        </w:tc>
        <w:tc>
          <w:tcPr>
            <w:tcW w:w="7988" w:type="dxa"/>
            <w:tcBorders>
              <w:top w:val="nil"/>
              <w:left w:val="nil"/>
              <w:bottom w:val="nil"/>
              <w:right w:val="single" w:sz="4" w:space="0" w:color="034FA3" w:themeColor="accent1"/>
            </w:tcBorders>
            <w:noWrap/>
            <w:hideMark/>
          </w:tcPr>
          <w:p w14:paraId="5A714675"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Professional, scientific and technical activities; administrative and support service activities</w:t>
            </w:r>
          </w:p>
        </w:tc>
      </w:tr>
      <w:tr w:rsidR="00921D9C" w:rsidRPr="004A5488" w14:paraId="03E3D63F" w14:textId="77777777" w:rsidTr="00921D9C">
        <w:trPr>
          <w:trHeight w:val="241"/>
        </w:trPr>
        <w:tc>
          <w:tcPr>
            <w:tcW w:w="1059" w:type="dxa"/>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hideMark/>
          </w:tcPr>
          <w:p w14:paraId="55CC0BF3" w14:textId="77777777" w:rsidR="00921D9C" w:rsidRPr="00037C61" w:rsidRDefault="00921D9C">
            <w:pPr>
              <w:spacing w:after="0" w:line="240" w:lineRule="auto"/>
              <w:jc w:val="center"/>
              <w:rPr>
                <w:rFonts w:eastAsia="Times New Roman" w:cs="Calibri"/>
                <w:b/>
                <w:bCs/>
                <w:color w:val="000000"/>
                <w:sz w:val="18"/>
                <w:szCs w:val="18"/>
                <w:lang w:val="en-GB" w:eastAsia="en-GB"/>
              </w:rPr>
            </w:pPr>
            <w:r w:rsidRPr="00037C61">
              <w:rPr>
                <w:rFonts w:eastAsia="Times New Roman" w:cs="Calibri"/>
                <w:b/>
                <w:bCs/>
                <w:color w:val="000000"/>
                <w:sz w:val="18"/>
                <w:szCs w:val="18"/>
                <w:lang w:val="en-GB" w:eastAsia="en-GB"/>
              </w:rPr>
              <w:t>O-Q</w:t>
            </w:r>
          </w:p>
        </w:tc>
        <w:tc>
          <w:tcPr>
            <w:tcW w:w="7988" w:type="dxa"/>
            <w:tcBorders>
              <w:top w:val="single" w:sz="4" w:space="0" w:color="034FA3" w:themeColor="accent1"/>
              <w:left w:val="nil"/>
              <w:bottom w:val="single" w:sz="4" w:space="0" w:color="034FA3" w:themeColor="accent1"/>
              <w:right w:val="single" w:sz="4" w:space="0" w:color="034FA3" w:themeColor="accent1"/>
            </w:tcBorders>
            <w:noWrap/>
            <w:hideMark/>
          </w:tcPr>
          <w:p w14:paraId="0FF34D29" w14:textId="77777777" w:rsidR="00921D9C" w:rsidRPr="00037C61" w:rsidRDefault="00921D9C">
            <w:pPr>
              <w:spacing w:after="0" w:line="240" w:lineRule="auto"/>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Public administration, defence, education, human health and social work activities</w:t>
            </w:r>
          </w:p>
        </w:tc>
      </w:tr>
    </w:tbl>
    <w:p w14:paraId="569ED2C7" w14:textId="257C4C7D" w:rsidR="00921D9C" w:rsidRPr="00037C61" w:rsidRDefault="00921D9C" w:rsidP="00F60720">
      <w:pPr>
        <w:keepNext/>
        <w:spacing w:before="240" w:after="0"/>
        <w:jc w:val="left"/>
        <w:rPr>
          <w:lang w:val="en-GB"/>
        </w:rPr>
      </w:pPr>
      <w:r w:rsidRPr="00037C61">
        <w:rPr>
          <w:noProof/>
          <w:lang w:val="ro-RO" w:eastAsia="ro-RO"/>
        </w:rPr>
        <w:drawing>
          <wp:inline distT="0" distB="0" distL="0" distR="0" wp14:anchorId="7B4DBAA0" wp14:editId="1FC10CBD">
            <wp:extent cx="5715000" cy="2818130"/>
            <wp:effectExtent l="0" t="0" r="0" b="127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134">
                      <a:extLst>
                        <a:ext uri="{28A0092B-C50C-407E-A947-70E740481C1C}">
                          <a14:useLocalDpi xmlns:a14="http://schemas.microsoft.com/office/drawing/2010/main"/>
                        </a:ext>
                      </a:extLst>
                    </a:blip>
                    <a:stretch>
                      <a:fillRect/>
                    </a:stretch>
                  </pic:blipFill>
                  <pic:spPr>
                    <a:xfrm>
                      <a:off x="0" y="0"/>
                      <a:ext cx="5715000" cy="2818130"/>
                    </a:xfrm>
                    <a:prstGeom prst="rect">
                      <a:avLst/>
                    </a:prstGeom>
                  </pic:spPr>
                </pic:pic>
              </a:graphicData>
            </a:graphic>
          </wp:inline>
        </w:drawing>
      </w:r>
    </w:p>
    <w:p w14:paraId="2608F65C" w14:textId="7812BF7E" w:rsidR="00921D9C" w:rsidRPr="00037C61" w:rsidRDefault="52230E0C" w:rsidP="00921D9C">
      <w:pPr>
        <w:pStyle w:val="Caption"/>
        <w:jc w:val="left"/>
        <w:rPr>
          <w:lang w:val="en-GB"/>
        </w:rPr>
      </w:pPr>
      <w:bookmarkStart w:id="275" w:name="_Toc50657559"/>
      <w:bookmarkStart w:id="276" w:name="_Toc6461100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57</w:t>
      </w:r>
      <w:r w:rsidR="00412697">
        <w:rPr>
          <w:lang w:val="en-GB"/>
        </w:rPr>
        <w:fldChar w:fldCharType="end"/>
      </w:r>
      <w:r w:rsidRPr="00037C61">
        <w:rPr>
          <w:lang w:val="en-GB"/>
        </w:rPr>
        <w:t xml:space="preserve"> - Productivity change in the PA across main sectors (NACE2 categories), between 2009 and 2017.</w:t>
      </w:r>
      <w:bookmarkEnd w:id="275"/>
      <w:bookmarkEnd w:id="276"/>
      <w:r w:rsidRPr="00037C61">
        <w:rPr>
          <w:lang w:val="en-GB"/>
        </w:rPr>
        <w:t xml:space="preserve"> </w:t>
      </w:r>
    </w:p>
    <w:p w14:paraId="40DFE7A3" w14:textId="77777777" w:rsidR="00921D9C" w:rsidRPr="00037C61" w:rsidRDefault="00921D9C" w:rsidP="00921D9C">
      <w:pPr>
        <w:pStyle w:val="Caption"/>
        <w:jc w:val="left"/>
        <w:rPr>
          <w:lang w:val="en-GB"/>
        </w:rPr>
      </w:pPr>
      <w:r w:rsidRPr="00037C61">
        <w:rPr>
          <w:lang w:val="en-GB"/>
        </w:rPr>
        <w:t>Source: Eurostat, * Latest data available in the data bases is 2017</w:t>
      </w:r>
    </w:p>
    <w:p w14:paraId="68C6253D" w14:textId="77777777" w:rsidR="00921D9C" w:rsidRPr="00037C61" w:rsidRDefault="00921D9C" w:rsidP="00921D9C">
      <w:pPr>
        <w:pStyle w:val="Caption"/>
        <w:jc w:val="left"/>
        <w:rPr>
          <w:b/>
          <w:lang w:val="en-GB"/>
        </w:rPr>
      </w:pPr>
    </w:p>
    <w:p w14:paraId="148F8AE0" w14:textId="77777777" w:rsidR="00921D9C" w:rsidRPr="00037C61" w:rsidRDefault="00921D9C" w:rsidP="00921D9C">
      <w:pPr>
        <w:pStyle w:val="Heading4"/>
        <w:rPr>
          <w:lang w:val="en-GB"/>
        </w:rPr>
      </w:pPr>
      <w:r w:rsidRPr="00037C61">
        <w:rPr>
          <w:lang w:val="en-GB"/>
        </w:rPr>
        <w:t xml:space="preserve">Foreign Direct Investment - evolution </w:t>
      </w:r>
    </w:p>
    <w:p w14:paraId="61CF7490" w14:textId="77777777" w:rsidR="00921D9C" w:rsidRPr="00037C61" w:rsidRDefault="00921D9C" w:rsidP="00921D9C">
      <w:pPr>
        <w:rPr>
          <w:lang w:val="en-GB"/>
        </w:rPr>
      </w:pPr>
      <w:r w:rsidRPr="00037C61">
        <w:rPr>
          <w:lang w:val="en-GB"/>
        </w:rPr>
        <w:t>Foreign investments are de facto a remarkable indicator for the degree of attractiveness of a region or county, but they are also vital for the engines of the sectoral economy. Thus, the FDI in Romania at the end of 2018 exceeds Eur 71 billion, while FDI in Hungary reaches Eur 27 billion. In terms of FDI per capita, Romania remains one of the most attractive countries from CEE region, showing a strong dynamic path on an early basis with 4,153 Euro per capita, 17% more than 2016 level. FDI per capita in Hungary experienced a slow growth only with 11% due to the annually decrease of the resident population.</w:t>
      </w:r>
    </w:p>
    <w:p w14:paraId="6EB79333" w14:textId="235B7161" w:rsidR="00921D9C" w:rsidRPr="00037C61" w:rsidRDefault="52230E0C" w:rsidP="00921D9C">
      <w:pPr>
        <w:rPr>
          <w:lang w:val="en-GB"/>
        </w:rPr>
      </w:pPr>
      <w:r w:rsidRPr="00037C61">
        <w:rPr>
          <w:lang w:val="en-GB"/>
        </w:rPr>
        <w:t xml:space="preserve">In the RO-HU border region, foreign direct investments increased in the last three years of analysis (2016-2018) </w:t>
      </w:r>
      <w:r w:rsidR="000F7998" w:rsidRPr="00037C61">
        <w:rPr>
          <w:lang w:val="en-GB"/>
        </w:rPr>
        <w:t xml:space="preserve">significantly in the Romanian counties, specifically Satu Mare (31.07%) and Timiș (22.30%), with Arad however recording a negative value (-4.36%). At the same time, all Hungarian counties recorded negative and strongly negative trends, with Békés (-24.49%) and Szabolcs-Szatmár-Bereg (-19.04%) being the most affected. </w:t>
      </w:r>
    </w:p>
    <w:p w14:paraId="1396F208" w14:textId="02493C23" w:rsidR="00921D9C" w:rsidRPr="00037C61" w:rsidRDefault="00921D9C" w:rsidP="00921D9C">
      <w:pPr>
        <w:pStyle w:val="Caption"/>
        <w:keepNext/>
        <w:jc w:val="left"/>
        <w:rPr>
          <w:lang w:val="en-GB"/>
        </w:rPr>
      </w:pPr>
      <w:bookmarkStart w:id="277" w:name="_Toc50584203"/>
      <w:bookmarkStart w:id="278" w:name="_Toc58237641"/>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19</w:t>
      </w:r>
      <w:r w:rsidR="00552808" w:rsidRPr="00037C61">
        <w:rPr>
          <w:lang w:val="en-GB"/>
        </w:rPr>
        <w:fldChar w:fldCharType="end"/>
      </w:r>
      <w:r w:rsidRPr="00037C61">
        <w:rPr>
          <w:lang w:val="en-GB"/>
        </w:rPr>
        <w:t xml:space="preserve"> - </w:t>
      </w:r>
      <w:r w:rsidR="00866764" w:rsidRPr="00037C61">
        <w:rPr>
          <w:lang w:val="en-GB"/>
        </w:rPr>
        <w:t>FDI</w:t>
      </w:r>
      <w:r w:rsidRPr="00037C61">
        <w:rPr>
          <w:lang w:val="en-GB"/>
        </w:rPr>
        <w:t>/capita in Romania, Hungary and RO-HU area</w:t>
      </w:r>
      <w:bookmarkEnd w:id="277"/>
      <w:r w:rsidR="000F7998" w:rsidRPr="00037C61">
        <w:rPr>
          <w:lang w:val="en-GB"/>
        </w:rPr>
        <w:t>. Trends</w:t>
      </w:r>
      <w:bookmarkEnd w:id="278"/>
      <w:r w:rsidR="000F7998" w:rsidRPr="00037C61">
        <w:rPr>
          <w:lang w:val="en-GB"/>
        </w:rPr>
        <w:t xml:space="preserve"> </w:t>
      </w:r>
    </w:p>
    <w:tbl>
      <w:tblPr>
        <w:tblW w:w="9269" w:type="dxa"/>
        <w:tblBorders>
          <w:top w:val="single" w:sz="4" w:space="0" w:color="034FA3" w:themeColor="accent1"/>
          <w:left w:val="single" w:sz="4" w:space="0" w:color="034FA3" w:themeColor="accent1"/>
          <w:bottom w:val="single" w:sz="4" w:space="0" w:color="034FA3" w:themeColor="accent1"/>
          <w:right w:val="single" w:sz="4" w:space="0" w:color="034FA3" w:themeColor="accent1"/>
        </w:tblBorders>
        <w:tblLook w:val="04A0" w:firstRow="1" w:lastRow="0" w:firstColumn="1" w:lastColumn="0" w:noHBand="0" w:noVBand="1"/>
      </w:tblPr>
      <w:tblGrid>
        <w:gridCol w:w="2405"/>
        <w:gridCol w:w="1906"/>
        <w:gridCol w:w="1723"/>
        <w:gridCol w:w="1701"/>
        <w:gridCol w:w="1534"/>
      </w:tblGrid>
      <w:tr w:rsidR="000F7998" w:rsidRPr="00037C61" w14:paraId="0274A888" w14:textId="77777777" w:rsidTr="000F7998">
        <w:trPr>
          <w:trHeight w:val="245"/>
        </w:trPr>
        <w:tc>
          <w:tcPr>
            <w:tcW w:w="2405" w:type="dxa"/>
            <w:tcBorders>
              <w:top w:val="single" w:sz="4" w:space="0" w:color="034FA3" w:themeColor="accent1"/>
              <w:left w:val="single" w:sz="4" w:space="0" w:color="034FA3" w:themeColor="accent1"/>
              <w:bottom w:val="nil"/>
              <w:right w:val="nil"/>
            </w:tcBorders>
            <w:shd w:val="clear" w:color="auto" w:fill="034FA3" w:themeFill="accent1"/>
            <w:hideMark/>
          </w:tcPr>
          <w:p w14:paraId="20CFE2F7" w14:textId="77777777" w:rsidR="000F7998" w:rsidRPr="00037C61" w:rsidRDefault="000F7998" w:rsidP="000F7998">
            <w:pPr>
              <w:spacing w:after="0" w:line="240" w:lineRule="auto"/>
              <w:jc w:val="left"/>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Region</w:t>
            </w:r>
          </w:p>
        </w:tc>
        <w:tc>
          <w:tcPr>
            <w:tcW w:w="1906" w:type="dxa"/>
            <w:tcBorders>
              <w:top w:val="single" w:sz="4" w:space="0" w:color="034FA3" w:themeColor="accent1"/>
              <w:left w:val="nil"/>
              <w:bottom w:val="nil"/>
              <w:right w:val="nil"/>
            </w:tcBorders>
            <w:shd w:val="clear" w:color="auto" w:fill="034FA3" w:themeFill="accent1"/>
            <w:hideMark/>
          </w:tcPr>
          <w:p w14:paraId="6242F133" w14:textId="58D96D11" w:rsidR="000F7998" w:rsidRPr="00037C61" w:rsidRDefault="000F7998" w:rsidP="000F7998">
            <w:pPr>
              <w:spacing w:after="0" w:line="240" w:lineRule="auto"/>
              <w:jc w:val="center"/>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2016</w:t>
            </w:r>
          </w:p>
        </w:tc>
        <w:tc>
          <w:tcPr>
            <w:tcW w:w="1723" w:type="dxa"/>
            <w:tcBorders>
              <w:top w:val="single" w:sz="4" w:space="0" w:color="034FA3" w:themeColor="accent1"/>
              <w:left w:val="nil"/>
              <w:bottom w:val="nil"/>
              <w:right w:val="nil"/>
            </w:tcBorders>
            <w:shd w:val="clear" w:color="auto" w:fill="034FA3" w:themeFill="accent1"/>
            <w:hideMark/>
          </w:tcPr>
          <w:p w14:paraId="3D2C18B4" w14:textId="283A03E3" w:rsidR="000F7998" w:rsidRPr="00037C61" w:rsidRDefault="000F7998" w:rsidP="000F7998">
            <w:pPr>
              <w:spacing w:after="0" w:line="240" w:lineRule="auto"/>
              <w:jc w:val="center"/>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2017</w:t>
            </w:r>
          </w:p>
        </w:tc>
        <w:tc>
          <w:tcPr>
            <w:tcW w:w="1701" w:type="dxa"/>
            <w:tcBorders>
              <w:top w:val="single" w:sz="4" w:space="0" w:color="034FA3" w:themeColor="accent1"/>
              <w:left w:val="nil"/>
              <w:bottom w:val="nil"/>
              <w:right w:val="nil"/>
            </w:tcBorders>
            <w:shd w:val="clear" w:color="auto" w:fill="034FA3" w:themeFill="accent1"/>
            <w:hideMark/>
          </w:tcPr>
          <w:p w14:paraId="5FBC8FCC" w14:textId="54B3E5B8" w:rsidR="000F7998" w:rsidRPr="00037C61" w:rsidRDefault="000F7998" w:rsidP="000F7998">
            <w:pPr>
              <w:spacing w:after="0" w:line="240" w:lineRule="auto"/>
              <w:jc w:val="center"/>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2018</w:t>
            </w:r>
          </w:p>
        </w:tc>
        <w:tc>
          <w:tcPr>
            <w:tcW w:w="1534" w:type="dxa"/>
            <w:tcBorders>
              <w:top w:val="single" w:sz="4" w:space="0" w:color="034FA3" w:themeColor="accent1"/>
              <w:left w:val="nil"/>
              <w:bottom w:val="nil"/>
              <w:right w:val="single" w:sz="4" w:space="0" w:color="034FA3" w:themeColor="accent1"/>
            </w:tcBorders>
            <w:shd w:val="clear" w:color="auto" w:fill="034FA3" w:themeFill="accent1"/>
            <w:hideMark/>
          </w:tcPr>
          <w:p w14:paraId="5FE58037" w14:textId="14809DE9" w:rsidR="000F7998" w:rsidRPr="00037C61" w:rsidRDefault="000F7998" w:rsidP="000F7998">
            <w:pPr>
              <w:spacing w:after="0" w:line="240" w:lineRule="auto"/>
              <w:jc w:val="center"/>
              <w:rPr>
                <w:rFonts w:eastAsia="Times New Roman" w:cs="Calibri"/>
                <w:b/>
                <w:bCs/>
                <w:color w:val="FFFFFF" w:themeColor="background1"/>
                <w:sz w:val="20"/>
                <w:szCs w:val="20"/>
                <w:lang w:val="en-GB" w:eastAsia="en-GB"/>
              </w:rPr>
            </w:pPr>
            <w:r w:rsidRPr="00037C61">
              <w:rPr>
                <w:rFonts w:eastAsia="Times New Roman" w:cs="Calibri"/>
                <w:b/>
                <w:bCs/>
                <w:color w:val="FFFFFF" w:themeColor="background1"/>
                <w:sz w:val="20"/>
                <w:szCs w:val="20"/>
                <w:lang w:val="en-GB" w:eastAsia="en-GB"/>
              </w:rPr>
              <w:t>2016-2018</w:t>
            </w:r>
          </w:p>
        </w:tc>
      </w:tr>
      <w:tr w:rsidR="00921D9C" w:rsidRPr="004A5488" w14:paraId="0C988D01" w14:textId="77777777" w:rsidTr="000F7998">
        <w:trPr>
          <w:trHeight w:val="245"/>
        </w:trPr>
        <w:tc>
          <w:tcPr>
            <w:tcW w:w="9269" w:type="dxa"/>
            <w:gridSpan w:val="5"/>
            <w:tcBorders>
              <w:top w:val="single" w:sz="4" w:space="0" w:color="034FA3" w:themeColor="accent1"/>
              <w:left w:val="single" w:sz="4" w:space="0" w:color="034FA3" w:themeColor="accent1"/>
              <w:bottom w:val="single" w:sz="4" w:space="0" w:color="034FA3" w:themeColor="accent1"/>
              <w:right w:val="nil"/>
            </w:tcBorders>
            <w:shd w:val="clear" w:color="auto" w:fill="FFFFFF" w:themeFill="background1"/>
            <w:noWrap/>
            <w:hideMark/>
          </w:tcPr>
          <w:p w14:paraId="7C8B71C5" w14:textId="26D1956F" w:rsidR="00921D9C" w:rsidRPr="00037C61" w:rsidRDefault="52230E0C">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Foreign Direct Investment per capita (Euro/inh.) in the PA, 2016-2018</w:t>
            </w:r>
          </w:p>
        </w:tc>
      </w:tr>
      <w:tr w:rsidR="000F7998" w:rsidRPr="00037C61" w14:paraId="301D20DA" w14:textId="77777777" w:rsidTr="005E0849">
        <w:trPr>
          <w:trHeight w:val="245"/>
        </w:trPr>
        <w:tc>
          <w:tcPr>
            <w:tcW w:w="2405" w:type="dxa"/>
            <w:tcBorders>
              <w:top w:val="nil"/>
              <w:left w:val="single" w:sz="4" w:space="0" w:color="034FA3" w:themeColor="accent1"/>
              <w:bottom w:val="nil"/>
              <w:right w:val="nil"/>
            </w:tcBorders>
            <w:shd w:val="clear" w:color="auto" w:fill="FDE7E8"/>
            <w:vAlign w:val="center"/>
            <w:hideMark/>
          </w:tcPr>
          <w:p w14:paraId="53662246" w14:textId="2536B3DC"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Hajdú-Bihar</w:t>
            </w:r>
          </w:p>
        </w:tc>
        <w:tc>
          <w:tcPr>
            <w:tcW w:w="1906" w:type="dxa"/>
            <w:tcBorders>
              <w:top w:val="nil"/>
              <w:left w:val="nil"/>
              <w:bottom w:val="nil"/>
              <w:right w:val="nil"/>
            </w:tcBorders>
            <w:shd w:val="clear" w:color="auto" w:fill="FDE7E8"/>
            <w:noWrap/>
            <w:vAlign w:val="center"/>
            <w:hideMark/>
          </w:tcPr>
          <w:p w14:paraId="103DB924" w14:textId="3E9ECBF3"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558.91</w:t>
            </w:r>
          </w:p>
        </w:tc>
        <w:tc>
          <w:tcPr>
            <w:tcW w:w="1723" w:type="dxa"/>
            <w:tcBorders>
              <w:top w:val="nil"/>
              <w:left w:val="nil"/>
              <w:bottom w:val="nil"/>
              <w:right w:val="nil"/>
            </w:tcBorders>
            <w:shd w:val="clear" w:color="auto" w:fill="FDE7E8"/>
            <w:noWrap/>
            <w:vAlign w:val="center"/>
            <w:hideMark/>
          </w:tcPr>
          <w:p w14:paraId="2AF44829" w14:textId="6D02F8A0"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510.9</w:t>
            </w:r>
          </w:p>
        </w:tc>
        <w:tc>
          <w:tcPr>
            <w:tcW w:w="1701" w:type="dxa"/>
            <w:tcBorders>
              <w:top w:val="nil"/>
              <w:left w:val="nil"/>
              <w:bottom w:val="nil"/>
              <w:right w:val="nil"/>
            </w:tcBorders>
            <w:shd w:val="clear" w:color="auto" w:fill="FDE7E8"/>
            <w:noWrap/>
            <w:vAlign w:val="center"/>
            <w:hideMark/>
          </w:tcPr>
          <w:p w14:paraId="78811B91" w14:textId="2608F9AE"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539.15</w:t>
            </w:r>
          </w:p>
        </w:tc>
        <w:tc>
          <w:tcPr>
            <w:tcW w:w="1534" w:type="dxa"/>
            <w:tcBorders>
              <w:top w:val="nil"/>
              <w:left w:val="nil"/>
              <w:bottom w:val="nil"/>
              <w:right w:val="single" w:sz="4" w:space="0" w:color="034FA3" w:themeColor="accent1"/>
            </w:tcBorders>
            <w:shd w:val="clear" w:color="auto" w:fill="FDE7E8"/>
            <w:noWrap/>
            <w:vAlign w:val="center"/>
            <w:hideMark/>
          </w:tcPr>
          <w:p w14:paraId="0C0B7F3E" w14:textId="415F3CE3"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-3.54%</w:t>
            </w:r>
          </w:p>
        </w:tc>
      </w:tr>
      <w:tr w:rsidR="000F7998" w:rsidRPr="00037C61" w14:paraId="3851C0F0" w14:textId="77777777" w:rsidTr="005E0849">
        <w:trPr>
          <w:trHeight w:val="245"/>
        </w:trPr>
        <w:tc>
          <w:tcPr>
            <w:tcW w:w="2405" w:type="dxa"/>
            <w:tcBorders>
              <w:top w:val="single" w:sz="4" w:space="0" w:color="034FA3" w:themeColor="accent1"/>
              <w:left w:val="single" w:sz="4" w:space="0" w:color="034FA3" w:themeColor="accent1"/>
              <w:bottom w:val="single" w:sz="4" w:space="0" w:color="034FA3" w:themeColor="accent1"/>
              <w:right w:val="nil"/>
            </w:tcBorders>
            <w:shd w:val="clear" w:color="auto" w:fill="FDE7E8"/>
            <w:vAlign w:val="center"/>
            <w:hideMark/>
          </w:tcPr>
          <w:p w14:paraId="68820EEE" w14:textId="7DAF9E89"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Szabolcs-Szatmár-Bereg</w:t>
            </w:r>
          </w:p>
        </w:tc>
        <w:tc>
          <w:tcPr>
            <w:tcW w:w="1906" w:type="dxa"/>
            <w:tcBorders>
              <w:top w:val="single" w:sz="4" w:space="0" w:color="034FA3" w:themeColor="accent1"/>
              <w:left w:val="nil"/>
              <w:bottom w:val="single" w:sz="4" w:space="0" w:color="034FA3" w:themeColor="accent1"/>
              <w:right w:val="nil"/>
            </w:tcBorders>
            <w:shd w:val="clear" w:color="auto" w:fill="FDE7E8"/>
            <w:noWrap/>
            <w:vAlign w:val="center"/>
            <w:hideMark/>
          </w:tcPr>
          <w:p w14:paraId="6083A217" w14:textId="5561F850"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495.49</w:t>
            </w:r>
          </w:p>
        </w:tc>
        <w:tc>
          <w:tcPr>
            <w:tcW w:w="1723" w:type="dxa"/>
            <w:tcBorders>
              <w:top w:val="single" w:sz="4" w:space="0" w:color="034FA3" w:themeColor="accent1"/>
              <w:left w:val="nil"/>
              <w:bottom w:val="single" w:sz="4" w:space="0" w:color="034FA3" w:themeColor="accent1"/>
              <w:right w:val="nil"/>
            </w:tcBorders>
            <w:shd w:val="clear" w:color="auto" w:fill="FDE7E8"/>
            <w:noWrap/>
            <w:vAlign w:val="center"/>
            <w:hideMark/>
          </w:tcPr>
          <w:p w14:paraId="34EE4032" w14:textId="2A7FE95C"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410.99</w:t>
            </w:r>
          </w:p>
        </w:tc>
        <w:tc>
          <w:tcPr>
            <w:tcW w:w="1701" w:type="dxa"/>
            <w:tcBorders>
              <w:top w:val="single" w:sz="4" w:space="0" w:color="034FA3" w:themeColor="accent1"/>
              <w:left w:val="nil"/>
              <w:bottom w:val="single" w:sz="4" w:space="0" w:color="034FA3" w:themeColor="accent1"/>
              <w:right w:val="nil"/>
            </w:tcBorders>
            <w:shd w:val="clear" w:color="auto" w:fill="FDE7E8"/>
            <w:noWrap/>
            <w:vAlign w:val="center"/>
            <w:hideMark/>
          </w:tcPr>
          <w:p w14:paraId="332190F6" w14:textId="08282F2A"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401.17</w:t>
            </w:r>
          </w:p>
        </w:tc>
        <w:tc>
          <w:tcPr>
            <w:tcW w:w="1534" w:type="dxa"/>
            <w:tcBorders>
              <w:top w:val="single" w:sz="4" w:space="0" w:color="034FA3" w:themeColor="accent1"/>
              <w:left w:val="nil"/>
              <w:bottom w:val="single" w:sz="4" w:space="0" w:color="034FA3" w:themeColor="accent1"/>
              <w:right w:val="single" w:sz="4" w:space="0" w:color="034FA3" w:themeColor="accent1"/>
            </w:tcBorders>
            <w:shd w:val="clear" w:color="auto" w:fill="FDE7E8"/>
            <w:noWrap/>
            <w:vAlign w:val="center"/>
            <w:hideMark/>
          </w:tcPr>
          <w:p w14:paraId="29C2FC32" w14:textId="08A60F57"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-19.04%</w:t>
            </w:r>
          </w:p>
        </w:tc>
      </w:tr>
      <w:tr w:rsidR="000F7998" w:rsidRPr="00037C61" w14:paraId="73A8D40E" w14:textId="77777777" w:rsidTr="005E0849">
        <w:trPr>
          <w:trHeight w:val="245"/>
        </w:trPr>
        <w:tc>
          <w:tcPr>
            <w:tcW w:w="2405" w:type="dxa"/>
            <w:tcBorders>
              <w:top w:val="nil"/>
              <w:left w:val="single" w:sz="4" w:space="0" w:color="034FA3" w:themeColor="accent1"/>
              <w:bottom w:val="nil"/>
              <w:right w:val="nil"/>
            </w:tcBorders>
            <w:shd w:val="clear" w:color="auto" w:fill="FDE7E8"/>
            <w:vAlign w:val="center"/>
            <w:hideMark/>
          </w:tcPr>
          <w:p w14:paraId="33638890" w14:textId="65A72F1B"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Békés</w:t>
            </w:r>
          </w:p>
        </w:tc>
        <w:tc>
          <w:tcPr>
            <w:tcW w:w="1906" w:type="dxa"/>
            <w:tcBorders>
              <w:top w:val="nil"/>
              <w:left w:val="nil"/>
              <w:bottom w:val="nil"/>
              <w:right w:val="nil"/>
            </w:tcBorders>
            <w:shd w:val="clear" w:color="auto" w:fill="FDE7E8"/>
            <w:noWrap/>
            <w:vAlign w:val="center"/>
            <w:hideMark/>
          </w:tcPr>
          <w:p w14:paraId="0C7AB9D5" w14:textId="59C708FB"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446.61</w:t>
            </w:r>
          </w:p>
        </w:tc>
        <w:tc>
          <w:tcPr>
            <w:tcW w:w="1723" w:type="dxa"/>
            <w:tcBorders>
              <w:top w:val="nil"/>
              <w:left w:val="nil"/>
              <w:bottom w:val="nil"/>
              <w:right w:val="nil"/>
            </w:tcBorders>
            <w:shd w:val="clear" w:color="auto" w:fill="FDE7E8"/>
            <w:noWrap/>
            <w:vAlign w:val="center"/>
            <w:hideMark/>
          </w:tcPr>
          <w:p w14:paraId="5B37D8B9" w14:textId="43B06DC9"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350.43</w:t>
            </w:r>
          </w:p>
        </w:tc>
        <w:tc>
          <w:tcPr>
            <w:tcW w:w="1701" w:type="dxa"/>
            <w:tcBorders>
              <w:top w:val="nil"/>
              <w:left w:val="nil"/>
              <w:bottom w:val="nil"/>
              <w:right w:val="nil"/>
            </w:tcBorders>
            <w:shd w:val="clear" w:color="auto" w:fill="FDE7E8"/>
            <w:noWrap/>
            <w:vAlign w:val="center"/>
            <w:hideMark/>
          </w:tcPr>
          <w:p w14:paraId="088221D4" w14:textId="6270815F"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337.25</w:t>
            </w:r>
          </w:p>
        </w:tc>
        <w:tc>
          <w:tcPr>
            <w:tcW w:w="1534" w:type="dxa"/>
            <w:tcBorders>
              <w:top w:val="nil"/>
              <w:left w:val="nil"/>
              <w:bottom w:val="nil"/>
              <w:right w:val="single" w:sz="4" w:space="0" w:color="034FA3" w:themeColor="accent1"/>
            </w:tcBorders>
            <w:shd w:val="clear" w:color="auto" w:fill="FDE7E8"/>
            <w:noWrap/>
            <w:vAlign w:val="center"/>
            <w:hideMark/>
          </w:tcPr>
          <w:p w14:paraId="035875B8" w14:textId="1120130C"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-24.49%</w:t>
            </w:r>
          </w:p>
        </w:tc>
      </w:tr>
      <w:tr w:rsidR="000F7998" w:rsidRPr="00037C61" w14:paraId="3AA2B983" w14:textId="77777777" w:rsidTr="005E0849">
        <w:trPr>
          <w:trHeight w:val="245"/>
        </w:trPr>
        <w:tc>
          <w:tcPr>
            <w:tcW w:w="2405" w:type="dxa"/>
            <w:tcBorders>
              <w:top w:val="single" w:sz="4" w:space="0" w:color="034FA3" w:themeColor="accent1"/>
              <w:left w:val="single" w:sz="4" w:space="0" w:color="034FA3" w:themeColor="accent1"/>
              <w:bottom w:val="single" w:sz="4" w:space="0" w:color="034FA3" w:themeColor="accent1"/>
              <w:right w:val="nil"/>
            </w:tcBorders>
            <w:shd w:val="clear" w:color="auto" w:fill="FDE7E8"/>
            <w:vAlign w:val="center"/>
            <w:hideMark/>
          </w:tcPr>
          <w:p w14:paraId="2EDC107A" w14:textId="16877EAA"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Csongrád-Csanád</w:t>
            </w:r>
          </w:p>
        </w:tc>
        <w:tc>
          <w:tcPr>
            <w:tcW w:w="1906" w:type="dxa"/>
            <w:tcBorders>
              <w:top w:val="single" w:sz="4" w:space="0" w:color="034FA3" w:themeColor="accent1"/>
              <w:left w:val="nil"/>
              <w:bottom w:val="single" w:sz="4" w:space="0" w:color="034FA3" w:themeColor="accent1"/>
              <w:right w:val="nil"/>
            </w:tcBorders>
            <w:shd w:val="clear" w:color="auto" w:fill="FDE7E8"/>
            <w:noWrap/>
            <w:vAlign w:val="center"/>
            <w:hideMark/>
          </w:tcPr>
          <w:p w14:paraId="4B70E7AB" w14:textId="67130849"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927.16</w:t>
            </w:r>
          </w:p>
        </w:tc>
        <w:tc>
          <w:tcPr>
            <w:tcW w:w="1723" w:type="dxa"/>
            <w:tcBorders>
              <w:top w:val="single" w:sz="4" w:space="0" w:color="034FA3" w:themeColor="accent1"/>
              <w:left w:val="nil"/>
              <w:bottom w:val="single" w:sz="4" w:space="0" w:color="034FA3" w:themeColor="accent1"/>
              <w:right w:val="nil"/>
            </w:tcBorders>
            <w:shd w:val="clear" w:color="auto" w:fill="FDE7E8"/>
            <w:noWrap/>
            <w:vAlign w:val="center"/>
            <w:hideMark/>
          </w:tcPr>
          <w:p w14:paraId="457472AC" w14:textId="6031D220"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809.53</w:t>
            </w:r>
          </w:p>
        </w:tc>
        <w:tc>
          <w:tcPr>
            <w:tcW w:w="1701" w:type="dxa"/>
            <w:tcBorders>
              <w:top w:val="single" w:sz="4" w:space="0" w:color="034FA3" w:themeColor="accent1"/>
              <w:left w:val="nil"/>
              <w:bottom w:val="single" w:sz="4" w:space="0" w:color="034FA3" w:themeColor="accent1"/>
              <w:right w:val="nil"/>
            </w:tcBorders>
            <w:shd w:val="clear" w:color="auto" w:fill="FDE7E8"/>
            <w:noWrap/>
            <w:vAlign w:val="center"/>
            <w:hideMark/>
          </w:tcPr>
          <w:p w14:paraId="1F600B60" w14:textId="72570E42"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889.47</w:t>
            </w:r>
          </w:p>
        </w:tc>
        <w:tc>
          <w:tcPr>
            <w:tcW w:w="1534" w:type="dxa"/>
            <w:tcBorders>
              <w:top w:val="single" w:sz="4" w:space="0" w:color="034FA3" w:themeColor="accent1"/>
              <w:left w:val="nil"/>
              <w:bottom w:val="single" w:sz="4" w:space="0" w:color="034FA3" w:themeColor="accent1"/>
              <w:right w:val="single" w:sz="4" w:space="0" w:color="034FA3" w:themeColor="accent1"/>
            </w:tcBorders>
            <w:shd w:val="clear" w:color="auto" w:fill="FDE7E8"/>
            <w:noWrap/>
            <w:vAlign w:val="center"/>
            <w:hideMark/>
          </w:tcPr>
          <w:p w14:paraId="42A12204" w14:textId="10CAE4C1"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-4.07%</w:t>
            </w:r>
          </w:p>
        </w:tc>
      </w:tr>
      <w:tr w:rsidR="000F7998" w:rsidRPr="00037C61" w14:paraId="2B19BBAB" w14:textId="77777777" w:rsidTr="005E0849">
        <w:trPr>
          <w:trHeight w:val="245"/>
        </w:trPr>
        <w:tc>
          <w:tcPr>
            <w:tcW w:w="2405" w:type="dxa"/>
            <w:tcBorders>
              <w:top w:val="nil"/>
              <w:left w:val="single" w:sz="4" w:space="0" w:color="034FA3" w:themeColor="accent1"/>
              <w:bottom w:val="nil"/>
              <w:right w:val="nil"/>
            </w:tcBorders>
            <w:shd w:val="clear" w:color="auto" w:fill="EAEDF6" w:themeFill="accent2" w:themeFillTint="33"/>
            <w:vAlign w:val="center"/>
            <w:hideMark/>
          </w:tcPr>
          <w:p w14:paraId="0FB3AA10" w14:textId="52B66D72"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lastRenderedPageBreak/>
              <w:t>Bihor</w:t>
            </w:r>
          </w:p>
        </w:tc>
        <w:tc>
          <w:tcPr>
            <w:tcW w:w="1906" w:type="dxa"/>
            <w:tcBorders>
              <w:top w:val="nil"/>
              <w:left w:val="nil"/>
              <w:bottom w:val="nil"/>
              <w:right w:val="nil"/>
            </w:tcBorders>
            <w:shd w:val="clear" w:color="auto" w:fill="EAEDF6" w:themeFill="accent2" w:themeFillTint="33"/>
            <w:noWrap/>
            <w:vAlign w:val="center"/>
            <w:hideMark/>
          </w:tcPr>
          <w:p w14:paraId="7A8FE89F" w14:textId="3B918422"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1,133.63</w:t>
            </w:r>
          </w:p>
        </w:tc>
        <w:tc>
          <w:tcPr>
            <w:tcW w:w="1723" w:type="dxa"/>
            <w:tcBorders>
              <w:top w:val="nil"/>
              <w:left w:val="nil"/>
              <w:bottom w:val="nil"/>
              <w:right w:val="nil"/>
            </w:tcBorders>
            <w:shd w:val="clear" w:color="auto" w:fill="EAEDF6" w:themeFill="accent2" w:themeFillTint="33"/>
            <w:noWrap/>
            <w:vAlign w:val="center"/>
            <w:hideMark/>
          </w:tcPr>
          <w:p w14:paraId="7DDC2088" w14:textId="5886DE66"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1,177.71</w:t>
            </w:r>
          </w:p>
        </w:tc>
        <w:tc>
          <w:tcPr>
            <w:tcW w:w="1701" w:type="dxa"/>
            <w:tcBorders>
              <w:top w:val="nil"/>
              <w:left w:val="nil"/>
              <w:bottom w:val="nil"/>
              <w:right w:val="nil"/>
            </w:tcBorders>
            <w:shd w:val="clear" w:color="auto" w:fill="EAEDF6" w:themeFill="accent2" w:themeFillTint="33"/>
            <w:noWrap/>
            <w:vAlign w:val="center"/>
            <w:hideMark/>
          </w:tcPr>
          <w:p w14:paraId="00D8FC85" w14:textId="490EC4EC"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1,240.89</w:t>
            </w:r>
          </w:p>
        </w:tc>
        <w:tc>
          <w:tcPr>
            <w:tcW w:w="1534" w:type="dxa"/>
            <w:tcBorders>
              <w:top w:val="nil"/>
              <w:left w:val="nil"/>
              <w:bottom w:val="nil"/>
              <w:right w:val="single" w:sz="4" w:space="0" w:color="034FA3" w:themeColor="accent1"/>
            </w:tcBorders>
            <w:shd w:val="clear" w:color="auto" w:fill="EAEDF6" w:themeFill="accent2" w:themeFillTint="33"/>
            <w:noWrap/>
            <w:vAlign w:val="center"/>
            <w:hideMark/>
          </w:tcPr>
          <w:p w14:paraId="1F5C1837" w14:textId="56A571B7"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9.46%</w:t>
            </w:r>
          </w:p>
        </w:tc>
      </w:tr>
      <w:tr w:rsidR="000F7998" w:rsidRPr="00037C61" w14:paraId="3ED02858" w14:textId="77777777" w:rsidTr="005E0849">
        <w:trPr>
          <w:trHeight w:val="245"/>
        </w:trPr>
        <w:tc>
          <w:tcPr>
            <w:tcW w:w="2405"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vAlign w:val="center"/>
            <w:hideMark/>
          </w:tcPr>
          <w:p w14:paraId="15414B41" w14:textId="24086D79"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Satu Mare</w:t>
            </w:r>
          </w:p>
        </w:tc>
        <w:tc>
          <w:tcPr>
            <w:tcW w:w="1906" w:type="dxa"/>
            <w:tcBorders>
              <w:top w:val="single" w:sz="4" w:space="0" w:color="034FA3" w:themeColor="accent1"/>
              <w:left w:val="nil"/>
              <w:bottom w:val="single" w:sz="4" w:space="0" w:color="034FA3" w:themeColor="accent1"/>
              <w:right w:val="nil"/>
            </w:tcBorders>
            <w:shd w:val="clear" w:color="auto" w:fill="EAEDF6" w:themeFill="accent2" w:themeFillTint="33"/>
            <w:noWrap/>
            <w:vAlign w:val="center"/>
            <w:hideMark/>
          </w:tcPr>
          <w:p w14:paraId="04F0BA52" w14:textId="725C7553"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1,144.36</w:t>
            </w:r>
          </w:p>
        </w:tc>
        <w:tc>
          <w:tcPr>
            <w:tcW w:w="1723" w:type="dxa"/>
            <w:tcBorders>
              <w:top w:val="single" w:sz="4" w:space="0" w:color="034FA3" w:themeColor="accent1"/>
              <w:left w:val="nil"/>
              <w:bottom w:val="single" w:sz="4" w:space="0" w:color="034FA3" w:themeColor="accent1"/>
              <w:right w:val="nil"/>
            </w:tcBorders>
            <w:shd w:val="clear" w:color="auto" w:fill="EAEDF6" w:themeFill="accent2" w:themeFillTint="33"/>
            <w:noWrap/>
            <w:vAlign w:val="center"/>
            <w:hideMark/>
          </w:tcPr>
          <w:p w14:paraId="22289260" w14:textId="600DDE19"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1,191.65</w:t>
            </w:r>
          </w:p>
        </w:tc>
        <w:tc>
          <w:tcPr>
            <w:tcW w:w="1701" w:type="dxa"/>
            <w:tcBorders>
              <w:top w:val="single" w:sz="4" w:space="0" w:color="034FA3" w:themeColor="accent1"/>
              <w:left w:val="nil"/>
              <w:bottom w:val="single" w:sz="4" w:space="0" w:color="034FA3" w:themeColor="accent1"/>
              <w:right w:val="nil"/>
            </w:tcBorders>
            <w:shd w:val="clear" w:color="auto" w:fill="EAEDF6" w:themeFill="accent2" w:themeFillTint="33"/>
            <w:noWrap/>
            <w:vAlign w:val="center"/>
            <w:hideMark/>
          </w:tcPr>
          <w:p w14:paraId="09844003" w14:textId="0F0E431F"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1,499.95</w:t>
            </w:r>
          </w:p>
        </w:tc>
        <w:tc>
          <w:tcPr>
            <w:tcW w:w="1534"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noWrap/>
            <w:vAlign w:val="center"/>
            <w:hideMark/>
          </w:tcPr>
          <w:p w14:paraId="319867BA" w14:textId="3131AE2A"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31.07%</w:t>
            </w:r>
          </w:p>
        </w:tc>
      </w:tr>
      <w:tr w:rsidR="000F7998" w:rsidRPr="00037C61" w14:paraId="435ABA4B" w14:textId="77777777" w:rsidTr="005E0849">
        <w:trPr>
          <w:trHeight w:val="245"/>
        </w:trPr>
        <w:tc>
          <w:tcPr>
            <w:tcW w:w="2405" w:type="dxa"/>
            <w:tcBorders>
              <w:top w:val="nil"/>
              <w:left w:val="single" w:sz="4" w:space="0" w:color="034FA3" w:themeColor="accent1"/>
              <w:bottom w:val="nil"/>
              <w:right w:val="nil"/>
            </w:tcBorders>
            <w:shd w:val="clear" w:color="auto" w:fill="EAEDF6" w:themeFill="accent2" w:themeFillTint="33"/>
            <w:vAlign w:val="center"/>
            <w:hideMark/>
          </w:tcPr>
          <w:p w14:paraId="52A88B07" w14:textId="59F35A0C"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Arad</w:t>
            </w:r>
          </w:p>
        </w:tc>
        <w:tc>
          <w:tcPr>
            <w:tcW w:w="1906" w:type="dxa"/>
            <w:tcBorders>
              <w:top w:val="nil"/>
              <w:left w:val="nil"/>
              <w:bottom w:val="nil"/>
              <w:right w:val="nil"/>
            </w:tcBorders>
            <w:shd w:val="clear" w:color="auto" w:fill="EAEDF6" w:themeFill="accent2" w:themeFillTint="33"/>
            <w:noWrap/>
            <w:vAlign w:val="center"/>
            <w:hideMark/>
          </w:tcPr>
          <w:p w14:paraId="26EA5F9D" w14:textId="67D26190"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2,520.78</w:t>
            </w:r>
          </w:p>
        </w:tc>
        <w:tc>
          <w:tcPr>
            <w:tcW w:w="1723" w:type="dxa"/>
            <w:tcBorders>
              <w:top w:val="nil"/>
              <w:left w:val="nil"/>
              <w:bottom w:val="nil"/>
              <w:right w:val="nil"/>
            </w:tcBorders>
            <w:shd w:val="clear" w:color="auto" w:fill="EAEDF6" w:themeFill="accent2" w:themeFillTint="33"/>
            <w:noWrap/>
            <w:vAlign w:val="center"/>
            <w:hideMark/>
          </w:tcPr>
          <w:p w14:paraId="0862DC3C" w14:textId="0CF5BE09"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2,881.89</w:t>
            </w:r>
          </w:p>
        </w:tc>
        <w:tc>
          <w:tcPr>
            <w:tcW w:w="1701" w:type="dxa"/>
            <w:tcBorders>
              <w:top w:val="nil"/>
              <w:left w:val="nil"/>
              <w:bottom w:val="nil"/>
              <w:right w:val="nil"/>
            </w:tcBorders>
            <w:shd w:val="clear" w:color="auto" w:fill="EAEDF6" w:themeFill="accent2" w:themeFillTint="33"/>
            <w:noWrap/>
            <w:vAlign w:val="center"/>
            <w:hideMark/>
          </w:tcPr>
          <w:p w14:paraId="53A7A73D" w14:textId="4A882840"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2,410.82</w:t>
            </w:r>
          </w:p>
        </w:tc>
        <w:tc>
          <w:tcPr>
            <w:tcW w:w="1534" w:type="dxa"/>
            <w:tcBorders>
              <w:top w:val="nil"/>
              <w:left w:val="nil"/>
              <w:bottom w:val="nil"/>
              <w:right w:val="single" w:sz="4" w:space="0" w:color="034FA3" w:themeColor="accent1"/>
            </w:tcBorders>
            <w:shd w:val="clear" w:color="auto" w:fill="EAEDF6" w:themeFill="accent2" w:themeFillTint="33"/>
            <w:noWrap/>
            <w:vAlign w:val="center"/>
            <w:hideMark/>
          </w:tcPr>
          <w:p w14:paraId="61C7A6E6" w14:textId="647CF5F1"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-4.36%</w:t>
            </w:r>
          </w:p>
        </w:tc>
      </w:tr>
      <w:tr w:rsidR="000F7998" w:rsidRPr="00037C61" w14:paraId="46C120A2" w14:textId="77777777" w:rsidTr="005E0849">
        <w:trPr>
          <w:trHeight w:val="245"/>
        </w:trPr>
        <w:tc>
          <w:tcPr>
            <w:tcW w:w="2405" w:type="dxa"/>
            <w:tcBorders>
              <w:top w:val="single" w:sz="4" w:space="0" w:color="034FA3" w:themeColor="accent1"/>
              <w:left w:val="single" w:sz="4" w:space="0" w:color="034FA3" w:themeColor="accent1"/>
              <w:bottom w:val="single" w:sz="4" w:space="0" w:color="034FA3" w:themeColor="accent1"/>
              <w:right w:val="nil"/>
            </w:tcBorders>
            <w:shd w:val="clear" w:color="auto" w:fill="EAEDF6" w:themeFill="accent2" w:themeFillTint="33"/>
            <w:vAlign w:val="center"/>
            <w:hideMark/>
          </w:tcPr>
          <w:p w14:paraId="0AA9A8F0" w14:textId="28F3FE76"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Timiș</w:t>
            </w:r>
          </w:p>
        </w:tc>
        <w:tc>
          <w:tcPr>
            <w:tcW w:w="1906" w:type="dxa"/>
            <w:tcBorders>
              <w:top w:val="single" w:sz="4" w:space="0" w:color="034FA3" w:themeColor="accent1"/>
              <w:left w:val="nil"/>
              <w:bottom w:val="single" w:sz="4" w:space="0" w:color="034FA3" w:themeColor="accent1"/>
              <w:right w:val="nil"/>
            </w:tcBorders>
            <w:shd w:val="clear" w:color="auto" w:fill="EAEDF6" w:themeFill="accent2" w:themeFillTint="33"/>
            <w:noWrap/>
            <w:vAlign w:val="center"/>
            <w:hideMark/>
          </w:tcPr>
          <w:p w14:paraId="29C2C2ED" w14:textId="3375BB87"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5,080.95</w:t>
            </w:r>
          </w:p>
        </w:tc>
        <w:tc>
          <w:tcPr>
            <w:tcW w:w="1723" w:type="dxa"/>
            <w:tcBorders>
              <w:top w:val="single" w:sz="4" w:space="0" w:color="034FA3" w:themeColor="accent1"/>
              <w:left w:val="nil"/>
              <w:bottom w:val="single" w:sz="4" w:space="0" w:color="034FA3" w:themeColor="accent1"/>
              <w:right w:val="nil"/>
            </w:tcBorders>
            <w:shd w:val="clear" w:color="auto" w:fill="EAEDF6" w:themeFill="accent2" w:themeFillTint="33"/>
            <w:noWrap/>
            <w:vAlign w:val="center"/>
            <w:hideMark/>
          </w:tcPr>
          <w:p w14:paraId="2FBCB95E" w14:textId="329095FA"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5,725.65</w:t>
            </w:r>
          </w:p>
        </w:tc>
        <w:tc>
          <w:tcPr>
            <w:tcW w:w="1701" w:type="dxa"/>
            <w:tcBorders>
              <w:top w:val="single" w:sz="4" w:space="0" w:color="034FA3" w:themeColor="accent1"/>
              <w:left w:val="nil"/>
              <w:bottom w:val="single" w:sz="4" w:space="0" w:color="034FA3" w:themeColor="accent1"/>
              <w:right w:val="nil"/>
            </w:tcBorders>
            <w:shd w:val="clear" w:color="auto" w:fill="EAEDF6" w:themeFill="accent2" w:themeFillTint="33"/>
            <w:noWrap/>
            <w:vAlign w:val="center"/>
            <w:hideMark/>
          </w:tcPr>
          <w:p w14:paraId="7620189F" w14:textId="6FD67939"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6,213.84</w:t>
            </w:r>
          </w:p>
        </w:tc>
        <w:tc>
          <w:tcPr>
            <w:tcW w:w="1534" w:type="dxa"/>
            <w:tcBorders>
              <w:top w:val="single" w:sz="4" w:space="0" w:color="034FA3" w:themeColor="accent1"/>
              <w:left w:val="nil"/>
              <w:bottom w:val="single" w:sz="4" w:space="0" w:color="034FA3" w:themeColor="accent1"/>
              <w:right w:val="single" w:sz="4" w:space="0" w:color="034FA3" w:themeColor="accent1"/>
            </w:tcBorders>
            <w:shd w:val="clear" w:color="auto" w:fill="EAEDF6" w:themeFill="accent2" w:themeFillTint="33"/>
            <w:noWrap/>
            <w:vAlign w:val="center"/>
            <w:hideMark/>
          </w:tcPr>
          <w:p w14:paraId="485D84EC" w14:textId="11F58502"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22.30%</w:t>
            </w:r>
          </w:p>
        </w:tc>
      </w:tr>
      <w:tr w:rsidR="000F7998" w:rsidRPr="00037C61" w14:paraId="0F33DD26" w14:textId="77777777" w:rsidTr="000F7998">
        <w:trPr>
          <w:trHeight w:val="245"/>
        </w:trPr>
        <w:tc>
          <w:tcPr>
            <w:tcW w:w="2405" w:type="dxa"/>
            <w:tcBorders>
              <w:top w:val="nil"/>
              <w:left w:val="single" w:sz="4" w:space="0" w:color="034FA3" w:themeColor="accent1"/>
              <w:bottom w:val="nil"/>
              <w:right w:val="nil"/>
            </w:tcBorders>
            <w:shd w:val="clear" w:color="auto" w:fill="FFFFFF" w:themeFill="background1"/>
            <w:noWrap/>
            <w:hideMark/>
          </w:tcPr>
          <w:p w14:paraId="7A0DCAF4" w14:textId="1FD690BB" w:rsidR="000F7998" w:rsidRPr="00037C61" w:rsidRDefault="000F7998" w:rsidP="000F7998">
            <w:pPr>
              <w:rPr>
                <w:rFonts w:eastAsia="Times New Roman" w:cs="Calibri"/>
                <w:color w:val="000000"/>
                <w:sz w:val="20"/>
                <w:szCs w:val="20"/>
                <w:lang w:val="en-GB" w:eastAsia="en-GB"/>
              </w:rPr>
            </w:pPr>
            <w:r w:rsidRPr="00037C61">
              <w:rPr>
                <w:rFonts w:ascii="Open Sans" w:hAnsi="Open Sans" w:cs="Open Sans"/>
                <w:color w:val="000000"/>
                <w:lang w:val="en-GB"/>
              </w:rPr>
              <w:t> </w:t>
            </w:r>
          </w:p>
        </w:tc>
        <w:tc>
          <w:tcPr>
            <w:tcW w:w="1906" w:type="dxa"/>
            <w:tcBorders>
              <w:top w:val="nil"/>
              <w:left w:val="nil"/>
              <w:bottom w:val="nil"/>
              <w:right w:val="nil"/>
            </w:tcBorders>
            <w:noWrap/>
            <w:hideMark/>
          </w:tcPr>
          <w:p w14:paraId="7E2FE640" w14:textId="77777777" w:rsidR="000F7998" w:rsidRPr="00037C61" w:rsidRDefault="000F7998" w:rsidP="000F7998">
            <w:pPr>
              <w:spacing w:after="0" w:line="240" w:lineRule="auto"/>
              <w:jc w:val="left"/>
              <w:rPr>
                <w:rFonts w:asciiTheme="minorHAnsi" w:hAnsiTheme="minorHAnsi"/>
                <w:sz w:val="20"/>
                <w:lang w:val="en-GB"/>
              </w:rPr>
            </w:pPr>
          </w:p>
        </w:tc>
        <w:tc>
          <w:tcPr>
            <w:tcW w:w="1723" w:type="dxa"/>
            <w:tcBorders>
              <w:top w:val="nil"/>
              <w:left w:val="nil"/>
              <w:bottom w:val="nil"/>
              <w:right w:val="nil"/>
            </w:tcBorders>
            <w:noWrap/>
            <w:hideMark/>
          </w:tcPr>
          <w:p w14:paraId="0EA12FF2" w14:textId="77777777" w:rsidR="000F7998" w:rsidRPr="00037C61" w:rsidRDefault="000F7998" w:rsidP="000F7998">
            <w:pPr>
              <w:spacing w:after="0" w:line="240" w:lineRule="auto"/>
              <w:jc w:val="left"/>
              <w:rPr>
                <w:rFonts w:asciiTheme="minorHAnsi" w:hAnsiTheme="minorHAnsi"/>
                <w:sz w:val="20"/>
                <w:lang w:val="en-GB"/>
              </w:rPr>
            </w:pPr>
          </w:p>
        </w:tc>
        <w:tc>
          <w:tcPr>
            <w:tcW w:w="1701" w:type="dxa"/>
            <w:tcBorders>
              <w:top w:val="nil"/>
              <w:left w:val="nil"/>
              <w:bottom w:val="nil"/>
              <w:right w:val="nil"/>
            </w:tcBorders>
            <w:noWrap/>
            <w:hideMark/>
          </w:tcPr>
          <w:p w14:paraId="58B912C8" w14:textId="057B28F5" w:rsidR="000F7998" w:rsidRPr="00037C61" w:rsidRDefault="000F7998" w:rsidP="000F7998">
            <w:pPr>
              <w:spacing w:after="0" w:line="240" w:lineRule="auto"/>
              <w:jc w:val="left"/>
              <w:rPr>
                <w:rFonts w:asciiTheme="minorHAnsi" w:hAnsiTheme="minorHAnsi"/>
                <w:sz w:val="20"/>
                <w:lang w:val="en-GB"/>
              </w:rPr>
            </w:pPr>
            <w:r w:rsidRPr="00037C61">
              <w:rPr>
                <w:rFonts w:ascii="Open Sans" w:hAnsi="Open Sans" w:cs="Open Sans"/>
                <w:color w:val="000000"/>
                <w:lang w:val="en-GB"/>
              </w:rPr>
              <w:t> </w:t>
            </w:r>
          </w:p>
        </w:tc>
        <w:tc>
          <w:tcPr>
            <w:tcW w:w="1534" w:type="dxa"/>
            <w:tcBorders>
              <w:top w:val="nil"/>
              <w:left w:val="nil"/>
              <w:bottom w:val="nil"/>
              <w:right w:val="single" w:sz="4" w:space="0" w:color="034FA3" w:themeColor="accent1"/>
            </w:tcBorders>
            <w:noWrap/>
            <w:hideMark/>
          </w:tcPr>
          <w:p w14:paraId="4F126184" w14:textId="60DEFC5E" w:rsidR="000F7998" w:rsidRPr="00037C61" w:rsidRDefault="000F7998" w:rsidP="000F7998">
            <w:pPr>
              <w:spacing w:after="0" w:line="240" w:lineRule="auto"/>
              <w:jc w:val="left"/>
              <w:rPr>
                <w:rFonts w:asciiTheme="minorHAnsi" w:hAnsiTheme="minorHAnsi"/>
                <w:sz w:val="20"/>
                <w:lang w:val="en-GB"/>
              </w:rPr>
            </w:pPr>
            <w:r w:rsidRPr="00037C61">
              <w:rPr>
                <w:rFonts w:ascii="Open Sans" w:hAnsi="Open Sans" w:cs="Open Sans"/>
                <w:color w:val="000000"/>
                <w:lang w:val="en-GB"/>
              </w:rPr>
              <w:t> </w:t>
            </w:r>
          </w:p>
        </w:tc>
      </w:tr>
      <w:tr w:rsidR="000F7998" w:rsidRPr="00037C61" w14:paraId="3C9736AC" w14:textId="77777777" w:rsidTr="005E0849">
        <w:trPr>
          <w:trHeight w:val="245"/>
        </w:trPr>
        <w:tc>
          <w:tcPr>
            <w:tcW w:w="2405" w:type="dxa"/>
            <w:tcBorders>
              <w:top w:val="single" w:sz="4" w:space="0" w:color="034FA3" w:themeColor="accent1"/>
              <w:left w:val="single" w:sz="4" w:space="0" w:color="034FA3" w:themeColor="accent1"/>
              <w:bottom w:val="single" w:sz="4" w:space="0" w:color="034FA3" w:themeColor="accent1"/>
              <w:right w:val="nil"/>
            </w:tcBorders>
            <w:shd w:val="clear" w:color="auto" w:fill="FDE7E8"/>
            <w:vAlign w:val="center"/>
            <w:hideMark/>
          </w:tcPr>
          <w:p w14:paraId="53B7A643" w14:textId="12FC569A"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Hungary</w:t>
            </w:r>
          </w:p>
        </w:tc>
        <w:tc>
          <w:tcPr>
            <w:tcW w:w="1906" w:type="dxa"/>
            <w:tcBorders>
              <w:top w:val="single" w:sz="4" w:space="0" w:color="034FA3" w:themeColor="accent1"/>
              <w:left w:val="nil"/>
              <w:bottom w:val="single" w:sz="4" w:space="0" w:color="034FA3" w:themeColor="accent1"/>
              <w:right w:val="nil"/>
            </w:tcBorders>
            <w:shd w:val="clear" w:color="auto" w:fill="FDE7E8"/>
            <w:noWrap/>
            <w:vAlign w:val="center"/>
            <w:hideMark/>
          </w:tcPr>
          <w:p w14:paraId="47723FAA" w14:textId="75930040"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2,470.73</w:t>
            </w:r>
          </w:p>
        </w:tc>
        <w:tc>
          <w:tcPr>
            <w:tcW w:w="1723" w:type="dxa"/>
            <w:tcBorders>
              <w:top w:val="single" w:sz="4" w:space="0" w:color="034FA3" w:themeColor="accent1"/>
              <w:left w:val="nil"/>
              <w:bottom w:val="single" w:sz="4" w:space="0" w:color="034FA3" w:themeColor="accent1"/>
              <w:right w:val="nil"/>
            </w:tcBorders>
            <w:shd w:val="clear" w:color="auto" w:fill="FDE7E8"/>
            <w:noWrap/>
            <w:vAlign w:val="center"/>
            <w:hideMark/>
          </w:tcPr>
          <w:p w14:paraId="0501491C" w14:textId="237D7AD5"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2,473.11</w:t>
            </w:r>
          </w:p>
        </w:tc>
        <w:tc>
          <w:tcPr>
            <w:tcW w:w="1701" w:type="dxa"/>
            <w:tcBorders>
              <w:top w:val="single" w:sz="4" w:space="0" w:color="034FA3" w:themeColor="accent1"/>
              <w:left w:val="nil"/>
              <w:bottom w:val="single" w:sz="4" w:space="0" w:color="034FA3" w:themeColor="accent1"/>
              <w:right w:val="nil"/>
            </w:tcBorders>
            <w:shd w:val="clear" w:color="auto" w:fill="FDE7E8"/>
            <w:noWrap/>
            <w:vAlign w:val="center"/>
            <w:hideMark/>
          </w:tcPr>
          <w:p w14:paraId="1D5E5D50" w14:textId="1FDE004B"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2,752.02</w:t>
            </w:r>
          </w:p>
        </w:tc>
        <w:tc>
          <w:tcPr>
            <w:tcW w:w="1534" w:type="dxa"/>
            <w:tcBorders>
              <w:top w:val="single" w:sz="4" w:space="0" w:color="034FA3" w:themeColor="accent1"/>
              <w:left w:val="nil"/>
              <w:bottom w:val="single" w:sz="4" w:space="0" w:color="034FA3" w:themeColor="accent1"/>
              <w:right w:val="single" w:sz="4" w:space="0" w:color="034FA3" w:themeColor="accent1"/>
            </w:tcBorders>
            <w:shd w:val="clear" w:color="auto" w:fill="FDE7E8"/>
            <w:noWrap/>
            <w:vAlign w:val="center"/>
            <w:hideMark/>
          </w:tcPr>
          <w:p w14:paraId="482E8AFF" w14:textId="22BDF897"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11.38%</w:t>
            </w:r>
          </w:p>
        </w:tc>
      </w:tr>
      <w:tr w:rsidR="000F7998" w:rsidRPr="00037C61" w14:paraId="4D861ECF" w14:textId="77777777" w:rsidTr="005E0849">
        <w:trPr>
          <w:trHeight w:val="245"/>
        </w:trPr>
        <w:tc>
          <w:tcPr>
            <w:tcW w:w="2405" w:type="dxa"/>
            <w:tcBorders>
              <w:top w:val="nil"/>
              <w:left w:val="single" w:sz="4" w:space="0" w:color="034FA3" w:themeColor="accent1"/>
              <w:bottom w:val="nil"/>
              <w:right w:val="nil"/>
            </w:tcBorders>
            <w:shd w:val="clear" w:color="auto" w:fill="EAEDF6" w:themeFill="accent2" w:themeFillTint="33"/>
            <w:vAlign w:val="center"/>
            <w:hideMark/>
          </w:tcPr>
          <w:p w14:paraId="10193CC1" w14:textId="6CF68D4C"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Romania</w:t>
            </w:r>
          </w:p>
        </w:tc>
        <w:tc>
          <w:tcPr>
            <w:tcW w:w="1906" w:type="dxa"/>
            <w:tcBorders>
              <w:top w:val="nil"/>
              <w:left w:val="nil"/>
              <w:bottom w:val="nil"/>
              <w:right w:val="nil"/>
            </w:tcBorders>
            <w:shd w:val="clear" w:color="auto" w:fill="EAEDF6" w:themeFill="accent2" w:themeFillTint="33"/>
            <w:noWrap/>
            <w:vAlign w:val="center"/>
            <w:hideMark/>
          </w:tcPr>
          <w:p w14:paraId="333C6A8B" w14:textId="499791A6"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3,548.12</w:t>
            </w:r>
          </w:p>
        </w:tc>
        <w:tc>
          <w:tcPr>
            <w:tcW w:w="1723" w:type="dxa"/>
            <w:tcBorders>
              <w:top w:val="nil"/>
              <w:left w:val="nil"/>
              <w:bottom w:val="nil"/>
              <w:right w:val="nil"/>
            </w:tcBorders>
            <w:shd w:val="clear" w:color="auto" w:fill="EAEDF6" w:themeFill="accent2" w:themeFillTint="33"/>
            <w:noWrap/>
            <w:vAlign w:val="center"/>
            <w:hideMark/>
          </w:tcPr>
          <w:p w14:paraId="2FD01357" w14:textId="56BB5CA7"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3,861.29</w:t>
            </w:r>
          </w:p>
        </w:tc>
        <w:tc>
          <w:tcPr>
            <w:tcW w:w="1701" w:type="dxa"/>
            <w:tcBorders>
              <w:top w:val="nil"/>
              <w:left w:val="nil"/>
              <w:bottom w:val="nil"/>
              <w:right w:val="nil"/>
            </w:tcBorders>
            <w:shd w:val="clear" w:color="auto" w:fill="EAEDF6" w:themeFill="accent2" w:themeFillTint="33"/>
            <w:noWrap/>
            <w:vAlign w:val="center"/>
            <w:hideMark/>
          </w:tcPr>
          <w:p w14:paraId="5C82B6F6" w14:textId="6CDE5A37"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4,153.68</w:t>
            </w:r>
          </w:p>
        </w:tc>
        <w:tc>
          <w:tcPr>
            <w:tcW w:w="1534" w:type="dxa"/>
            <w:tcBorders>
              <w:top w:val="nil"/>
              <w:left w:val="nil"/>
              <w:bottom w:val="nil"/>
              <w:right w:val="single" w:sz="4" w:space="0" w:color="034FA3" w:themeColor="accent1"/>
            </w:tcBorders>
            <w:shd w:val="clear" w:color="auto" w:fill="EAEDF6" w:themeFill="accent2" w:themeFillTint="33"/>
            <w:noWrap/>
            <w:vAlign w:val="center"/>
            <w:hideMark/>
          </w:tcPr>
          <w:p w14:paraId="1DB1EAB7" w14:textId="2937F13C" w:rsidR="000F7998" w:rsidRPr="00037C61" w:rsidRDefault="000F7998" w:rsidP="000F7998">
            <w:pPr>
              <w:spacing w:after="0" w:line="240" w:lineRule="auto"/>
              <w:jc w:val="center"/>
              <w:rPr>
                <w:rFonts w:eastAsia="Times New Roman" w:cs="Calibri"/>
                <w:color w:val="000000"/>
                <w:sz w:val="20"/>
                <w:szCs w:val="20"/>
                <w:lang w:val="en-GB" w:eastAsia="en-GB"/>
              </w:rPr>
            </w:pPr>
            <w:r w:rsidRPr="00037C61">
              <w:rPr>
                <w:rFonts w:cs="Calibri"/>
                <w:color w:val="000000"/>
                <w:sz w:val="20"/>
                <w:szCs w:val="20"/>
                <w:lang w:val="en-GB"/>
              </w:rPr>
              <w:t>17.07%</w:t>
            </w:r>
          </w:p>
        </w:tc>
      </w:tr>
      <w:tr w:rsidR="000F7998" w:rsidRPr="00037C61" w14:paraId="6864E2AF" w14:textId="77777777" w:rsidTr="005E0849">
        <w:trPr>
          <w:trHeight w:val="245"/>
        </w:trPr>
        <w:tc>
          <w:tcPr>
            <w:tcW w:w="2405" w:type="dxa"/>
            <w:tcBorders>
              <w:top w:val="single" w:sz="4" w:space="0" w:color="034FA3" w:themeColor="accent1"/>
              <w:left w:val="single" w:sz="4" w:space="0" w:color="034FA3" w:themeColor="accent1"/>
              <w:bottom w:val="single" w:sz="4" w:space="0" w:color="034FA3" w:themeColor="accent1"/>
              <w:right w:val="nil"/>
            </w:tcBorders>
            <w:shd w:val="clear" w:color="auto" w:fill="98A7D5" w:themeFill="accent2"/>
            <w:noWrap/>
            <w:vAlign w:val="center"/>
            <w:hideMark/>
          </w:tcPr>
          <w:p w14:paraId="2D58CB1C" w14:textId="1F197140" w:rsidR="000F7998" w:rsidRPr="00037C61" w:rsidRDefault="000F7998" w:rsidP="000F7998">
            <w:pPr>
              <w:spacing w:after="0" w:line="240" w:lineRule="auto"/>
              <w:jc w:val="left"/>
              <w:rPr>
                <w:rFonts w:eastAsia="Times New Roman" w:cs="Calibri"/>
                <w:b/>
                <w:bCs/>
                <w:color w:val="000000"/>
                <w:sz w:val="20"/>
                <w:szCs w:val="20"/>
                <w:lang w:val="en-GB" w:eastAsia="en-GB"/>
              </w:rPr>
            </w:pPr>
            <w:r w:rsidRPr="00037C61">
              <w:rPr>
                <w:rFonts w:cs="Calibri"/>
                <w:b/>
                <w:bCs/>
                <w:color w:val="000000"/>
                <w:sz w:val="20"/>
                <w:szCs w:val="20"/>
                <w:lang w:val="en-GB"/>
              </w:rPr>
              <w:t>Programme area (average)</w:t>
            </w:r>
          </w:p>
        </w:tc>
        <w:tc>
          <w:tcPr>
            <w:tcW w:w="1906" w:type="dxa"/>
            <w:tcBorders>
              <w:top w:val="single" w:sz="4" w:space="0" w:color="034FA3" w:themeColor="accent1"/>
              <w:left w:val="nil"/>
              <w:bottom w:val="single" w:sz="4" w:space="0" w:color="034FA3" w:themeColor="accent1"/>
              <w:right w:val="nil"/>
            </w:tcBorders>
            <w:shd w:val="clear" w:color="auto" w:fill="98A7D5" w:themeFill="accent2"/>
            <w:noWrap/>
            <w:vAlign w:val="center"/>
            <w:hideMark/>
          </w:tcPr>
          <w:p w14:paraId="4274B7D4" w14:textId="2E1A6570"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1,740.55</w:t>
            </w:r>
          </w:p>
        </w:tc>
        <w:tc>
          <w:tcPr>
            <w:tcW w:w="1723" w:type="dxa"/>
            <w:tcBorders>
              <w:top w:val="single" w:sz="4" w:space="0" w:color="034FA3" w:themeColor="accent1"/>
              <w:left w:val="nil"/>
              <w:bottom w:val="single" w:sz="4" w:space="0" w:color="034FA3" w:themeColor="accent1"/>
              <w:right w:val="nil"/>
            </w:tcBorders>
            <w:shd w:val="clear" w:color="auto" w:fill="98A7D5" w:themeFill="accent2"/>
            <w:noWrap/>
            <w:vAlign w:val="center"/>
            <w:hideMark/>
          </w:tcPr>
          <w:p w14:paraId="12BD24DF" w14:textId="45B25493"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1,872.36</w:t>
            </w:r>
          </w:p>
        </w:tc>
        <w:tc>
          <w:tcPr>
            <w:tcW w:w="1701" w:type="dxa"/>
            <w:tcBorders>
              <w:top w:val="single" w:sz="4" w:space="0" w:color="034FA3" w:themeColor="accent1"/>
              <w:left w:val="nil"/>
              <w:bottom w:val="single" w:sz="4" w:space="0" w:color="034FA3" w:themeColor="accent1"/>
              <w:right w:val="nil"/>
            </w:tcBorders>
            <w:shd w:val="clear" w:color="auto" w:fill="98A7D5" w:themeFill="accent2"/>
            <w:noWrap/>
            <w:vAlign w:val="center"/>
            <w:hideMark/>
          </w:tcPr>
          <w:p w14:paraId="7D3C4537" w14:textId="656371E7"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1,963.22</w:t>
            </w:r>
          </w:p>
        </w:tc>
        <w:tc>
          <w:tcPr>
            <w:tcW w:w="1534" w:type="dxa"/>
            <w:tcBorders>
              <w:top w:val="single" w:sz="4" w:space="0" w:color="034FA3" w:themeColor="accent1"/>
              <w:left w:val="nil"/>
              <w:bottom w:val="single" w:sz="4" w:space="0" w:color="034FA3" w:themeColor="accent1"/>
              <w:right w:val="single" w:sz="4" w:space="0" w:color="034FA3" w:themeColor="accent1"/>
            </w:tcBorders>
            <w:shd w:val="clear" w:color="auto" w:fill="98A7D5" w:themeFill="accent2"/>
            <w:noWrap/>
            <w:vAlign w:val="center"/>
            <w:hideMark/>
          </w:tcPr>
          <w:p w14:paraId="0C3856C1" w14:textId="33159757" w:rsidR="000F7998" w:rsidRPr="00037C61" w:rsidRDefault="000F7998" w:rsidP="000F7998">
            <w:pPr>
              <w:spacing w:after="0" w:line="240" w:lineRule="auto"/>
              <w:jc w:val="center"/>
              <w:rPr>
                <w:rFonts w:eastAsia="Times New Roman" w:cs="Calibri"/>
                <w:b/>
                <w:bCs/>
                <w:color w:val="000000"/>
                <w:sz w:val="20"/>
                <w:szCs w:val="20"/>
                <w:lang w:val="en-GB" w:eastAsia="en-GB"/>
              </w:rPr>
            </w:pPr>
            <w:r w:rsidRPr="00037C61">
              <w:rPr>
                <w:rFonts w:cs="Calibri"/>
                <w:b/>
                <w:bCs/>
                <w:color w:val="000000"/>
                <w:sz w:val="20"/>
                <w:szCs w:val="20"/>
                <w:lang w:val="en-GB"/>
              </w:rPr>
              <w:t>12.79%</w:t>
            </w:r>
          </w:p>
        </w:tc>
      </w:tr>
    </w:tbl>
    <w:p w14:paraId="55FC23FF" w14:textId="5E5BB813" w:rsidR="00921D9C" w:rsidRPr="00037C61" w:rsidRDefault="00921D9C" w:rsidP="005E0849">
      <w:pPr>
        <w:pStyle w:val="Caption"/>
        <w:keepNext/>
        <w:jc w:val="left"/>
        <w:rPr>
          <w:lang w:val="en-GB"/>
        </w:rPr>
      </w:pPr>
      <w:r w:rsidRPr="00037C61">
        <w:rPr>
          <w:lang w:val="en-GB"/>
        </w:rPr>
        <w:t>Source: BNR and KSH, FDI for 2016-2018</w:t>
      </w:r>
    </w:p>
    <w:p w14:paraId="08C66EB6" w14:textId="77777777" w:rsidR="00B8421F" w:rsidRPr="00037C61" w:rsidRDefault="00B8421F" w:rsidP="005E0849">
      <w:pPr>
        <w:spacing w:after="0"/>
        <w:rPr>
          <w:lang w:val="en-GB"/>
        </w:rPr>
      </w:pPr>
    </w:p>
    <w:p w14:paraId="66A623AB" w14:textId="71AEC57E" w:rsidR="00E87DED" w:rsidRPr="00037C61" w:rsidRDefault="000F7998" w:rsidP="00921D9C">
      <w:pPr>
        <w:rPr>
          <w:lang w:val="en-GB"/>
        </w:rPr>
      </w:pPr>
      <w:r w:rsidRPr="00037C61">
        <w:rPr>
          <w:lang w:val="en-GB"/>
        </w:rPr>
        <w:t xml:space="preserve">In net value, the Hungarian region represents a very modest attractor in comparison to the Romanian one (over five times lower total FDI in 2018). </w:t>
      </w:r>
    </w:p>
    <w:p w14:paraId="58EE3888" w14:textId="58DB7440" w:rsidR="00921D9C" w:rsidRPr="00037C61" w:rsidRDefault="00E87DED" w:rsidP="00E87DED">
      <w:pPr>
        <w:rPr>
          <w:bCs/>
          <w:lang w:val="en-GB"/>
        </w:rPr>
      </w:pPr>
      <w:r w:rsidRPr="00037C61">
        <w:rPr>
          <w:noProof/>
          <w:lang w:val="ro-RO" w:eastAsia="ro-RO"/>
        </w:rPr>
        <w:drawing>
          <wp:anchor distT="0" distB="0" distL="114300" distR="114300" simplePos="0" relativeHeight="251625984" behindDoc="1" locked="0" layoutInCell="1" allowOverlap="1" wp14:anchorId="51944BD6" wp14:editId="33EDE4CD">
            <wp:simplePos x="0" y="0"/>
            <wp:positionH relativeFrom="margin">
              <wp:align>left</wp:align>
            </wp:positionH>
            <wp:positionV relativeFrom="paragraph">
              <wp:posOffset>55089</wp:posOffset>
            </wp:positionV>
            <wp:extent cx="3191510" cy="4199890"/>
            <wp:effectExtent l="0" t="0" r="8890" b="0"/>
            <wp:wrapTight wrapText="bothSides">
              <wp:wrapPolygon edited="0">
                <wp:start x="0" y="0"/>
                <wp:lineTo x="0" y="21456"/>
                <wp:lineTo x="21531" y="21456"/>
                <wp:lineTo x="21531"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3217461" cy="42337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1D9C" w:rsidRPr="00037C61">
        <w:rPr>
          <w:lang w:val="en-GB"/>
        </w:rPr>
        <w:t>However, this phenomenon should not be seen as a polarization and unbalancing of financial flows to the counties in Romania, but rather as an opportunity to attract funds to the regions, which subsequently can distribute wealth to the level of the whole region, based on trade flows, intelligently adjusted.</w:t>
      </w:r>
    </w:p>
    <w:p w14:paraId="45FB8FA6" w14:textId="77FD2495" w:rsidR="00921D9C" w:rsidRPr="00037C61" w:rsidRDefault="00921D9C" w:rsidP="00E87DED">
      <w:pPr>
        <w:rPr>
          <w:bCs/>
          <w:lang w:val="en-GB"/>
        </w:rPr>
      </w:pPr>
      <w:r w:rsidRPr="00037C61">
        <w:rPr>
          <w:bCs/>
          <w:lang w:val="en-GB"/>
        </w:rPr>
        <w:t xml:space="preserve">A detailed look inside the region shows a positive contribution to the growth of foreign investments from the Romanian counties. They have all registered, in the analysed period, a </w:t>
      </w:r>
      <w:r w:rsidR="0032601C" w:rsidRPr="00037C61">
        <w:rPr>
          <w:bCs/>
          <w:lang w:val="en-GB"/>
        </w:rPr>
        <w:t>year-by-year</w:t>
      </w:r>
      <w:r w:rsidRPr="00037C61">
        <w:rPr>
          <w:bCs/>
          <w:lang w:val="en-GB"/>
        </w:rPr>
        <w:t xml:space="preserve"> growth, except for Arad county, but in Hungary foreign investments decreased year by year, or had a "V" type evolution.</w:t>
      </w:r>
    </w:p>
    <w:p w14:paraId="5EC2AFC4" w14:textId="1983BC47" w:rsidR="00921D9C" w:rsidRPr="00037C61" w:rsidRDefault="00E87DED" w:rsidP="00E87DED">
      <w:pPr>
        <w:rPr>
          <w:bCs/>
          <w:lang w:val="en-GB"/>
        </w:rPr>
      </w:pPr>
      <w:r w:rsidRPr="00037C61">
        <w:rPr>
          <w:noProof/>
          <w:lang w:val="ro-RO" w:eastAsia="ro-RO"/>
        </w:rPr>
        <mc:AlternateContent>
          <mc:Choice Requires="wps">
            <w:drawing>
              <wp:anchor distT="0" distB="0" distL="114300" distR="114300" simplePos="0" relativeHeight="251627008" behindDoc="1" locked="0" layoutInCell="1" allowOverlap="1" wp14:anchorId="3E4C0538" wp14:editId="486F51B5">
                <wp:simplePos x="0" y="0"/>
                <wp:positionH relativeFrom="margin">
                  <wp:align>left</wp:align>
                </wp:positionH>
                <wp:positionV relativeFrom="paragraph">
                  <wp:posOffset>1142365</wp:posOffset>
                </wp:positionV>
                <wp:extent cx="3467100" cy="525780"/>
                <wp:effectExtent l="0" t="0" r="0" b="7620"/>
                <wp:wrapTight wrapText="bothSides">
                  <wp:wrapPolygon edited="0">
                    <wp:start x="0" y="0"/>
                    <wp:lineTo x="0" y="21130"/>
                    <wp:lineTo x="21481" y="21130"/>
                    <wp:lineTo x="21481" y="0"/>
                    <wp:lineTo x="0" y="0"/>
                  </wp:wrapPolygon>
                </wp:wrapTight>
                <wp:docPr id="185" name="Text Box 185"/>
                <wp:cNvGraphicFramePr/>
                <a:graphic xmlns:a="http://schemas.openxmlformats.org/drawingml/2006/main">
                  <a:graphicData uri="http://schemas.microsoft.com/office/word/2010/wordprocessingShape">
                    <wps:wsp>
                      <wps:cNvSpPr txBox="1"/>
                      <wps:spPr>
                        <a:xfrm>
                          <a:off x="0" y="0"/>
                          <a:ext cx="3467100" cy="525780"/>
                        </a:xfrm>
                        <a:prstGeom prst="rect">
                          <a:avLst/>
                        </a:prstGeom>
                        <a:solidFill>
                          <a:prstClr val="white"/>
                        </a:solidFill>
                        <a:ln>
                          <a:noFill/>
                        </a:ln>
                      </wps:spPr>
                      <wps:txbx>
                        <w:txbxContent>
                          <w:p w14:paraId="2C2C90A7" w14:textId="628FC870" w:rsidR="00944B4A" w:rsidRDefault="00944B4A" w:rsidP="00E87DED">
                            <w:pPr>
                              <w:pStyle w:val="Caption"/>
                              <w:jc w:val="left"/>
                            </w:pPr>
                            <w:bookmarkStart w:id="279" w:name="_Toc64611007"/>
                            <w:r>
                              <w:t xml:space="preserve">Figure </w:t>
                            </w:r>
                            <w:fldSimple w:instr=" SEQ Figure \* ARABIC ">
                              <w:r>
                                <w:rPr>
                                  <w:noProof/>
                                </w:rPr>
                                <w:t>58</w:t>
                              </w:r>
                            </w:fldSimple>
                            <w:r>
                              <w:t xml:space="preserve"> - FDI per capita 2018</w:t>
                            </w:r>
                            <w:bookmarkEnd w:id="279"/>
                            <w:r>
                              <w:t xml:space="preserve"> </w:t>
                            </w:r>
                          </w:p>
                          <w:p w14:paraId="10F8FF07" w14:textId="427EEEFE" w:rsidR="00944B4A" w:rsidRPr="00E87DED" w:rsidRDefault="00944B4A" w:rsidP="00E87DED">
                            <w:pPr>
                              <w:pStyle w:val="Caption"/>
                              <w:jc w:val="left"/>
                            </w:pPr>
                            <w:r>
                              <w:t xml:space="preserve">Source: BNR FDI Anual report, KSH,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4C0538" id="Text Box 185" o:spid="_x0000_s1032" type="#_x0000_t202" style="position:absolute;left:0;text-align:left;margin-left:0;margin-top:89.95pt;width:273pt;height:41.4pt;z-index:-251689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" stroked="f">
                <v:textbox inset="0,0,0,0">
                  <w:txbxContent>
                    <w:p w14:paraId="2C2C90A7" w14:textId="628FC870" w:rsidR="00944B4A" w:rsidRDefault="00944B4A" w:rsidP="00E87DED">
                      <w:pPr>
                        <w:pStyle w:val="Didascalia"/>
                        <w:jc w:val="left"/>
                      </w:pPr>
                      <w:bookmarkStart w:id="307" w:name="_Toc64611007"/>
                      <w:r>
                        <w:t xml:space="preserve">Figure </w:t>
                      </w:r>
                      <w:fldSimple w:instr=" SEQ Figure \* ARABIC ">
                        <w:r>
                          <w:rPr>
                            <w:noProof/>
                          </w:rPr>
                          <w:t>58</w:t>
                        </w:r>
                      </w:fldSimple>
                      <w:r>
                        <w:t xml:space="preserve"> - FDI per capita 2018</w:t>
                      </w:r>
                      <w:bookmarkEnd w:id="307"/>
                      <w:r>
                        <w:t xml:space="preserve"> </w:t>
                      </w:r>
                    </w:p>
                    <w:p w14:paraId="10F8FF07" w14:textId="427EEEFE" w:rsidR="00944B4A" w:rsidRPr="00E87DED" w:rsidRDefault="00944B4A" w:rsidP="00E87DED">
                      <w:pPr>
                        <w:pStyle w:val="Didascalia"/>
                        <w:jc w:val="left"/>
                      </w:pPr>
                      <w:r>
                        <w:t xml:space="preserve">Source: BNR FDI </w:t>
                      </w:r>
                      <w:proofErr w:type="spellStart"/>
                      <w:r>
                        <w:t>Anual</w:t>
                      </w:r>
                      <w:proofErr w:type="spellEnd"/>
                      <w:r>
                        <w:t xml:space="preserve"> report, KSH, </w:t>
                      </w:r>
                    </w:p>
                  </w:txbxContent>
                </v:textbox>
                <w10:wrap type="tight" anchorx="margin"/>
              </v:shape>
            </w:pict>
          </mc:Fallback>
        </mc:AlternateContent>
      </w:r>
      <w:r w:rsidR="00921D9C" w:rsidRPr="00037C61">
        <w:rPr>
          <w:bCs/>
          <w:lang w:val="en-GB"/>
        </w:rPr>
        <w:t>In territorial approach, despite the significant annual increases of FDI in Romanian counties, there was a downward trend in the contribution to national FDI, except for Timiș and Satu Mare counties, the Hungarian counties having double-digit decreases.</w:t>
      </w:r>
    </w:p>
    <w:p w14:paraId="659D39F7" w14:textId="5AE90093" w:rsidR="00992EEE" w:rsidRPr="00037C61" w:rsidRDefault="00992EEE" w:rsidP="00E87DED">
      <w:pPr>
        <w:rPr>
          <w:bCs/>
          <w:lang w:val="en-GB"/>
        </w:rPr>
      </w:pPr>
    </w:p>
    <w:p w14:paraId="1198519B" w14:textId="4D5F2591" w:rsidR="00921D9C" w:rsidRPr="00037C61" w:rsidRDefault="1C774ED0" w:rsidP="009027CD">
      <w:pPr>
        <w:pStyle w:val="Heading3"/>
      </w:pPr>
      <w:bookmarkStart w:id="280" w:name="_Toc53894496"/>
      <w:bookmarkStart w:id="281" w:name="_Toc53894497"/>
      <w:bookmarkStart w:id="282" w:name="_Toc53894498"/>
      <w:bookmarkStart w:id="283" w:name="_Toc53894499"/>
      <w:bookmarkStart w:id="284" w:name="_Toc53894500"/>
      <w:bookmarkStart w:id="285" w:name="_Toc53894501"/>
      <w:bookmarkStart w:id="286" w:name="_Ref50128085"/>
      <w:bookmarkStart w:id="287" w:name="_Toc53137193"/>
      <w:bookmarkStart w:id="288" w:name="_Toc50723323"/>
      <w:bookmarkStart w:id="289" w:name="_Toc64619536"/>
      <w:bookmarkEnd w:id="280"/>
      <w:bookmarkEnd w:id="281"/>
      <w:bookmarkEnd w:id="282"/>
      <w:bookmarkEnd w:id="283"/>
      <w:bookmarkEnd w:id="284"/>
      <w:bookmarkEnd w:id="285"/>
      <w:r w:rsidRPr="00037C61">
        <w:t>Economic sectors</w:t>
      </w:r>
      <w:bookmarkEnd w:id="286"/>
      <w:bookmarkEnd w:id="287"/>
      <w:bookmarkEnd w:id="288"/>
      <w:bookmarkEnd w:id="289"/>
    </w:p>
    <w:p w14:paraId="1B7F51B8" w14:textId="1F5B9996" w:rsidR="00921D9C" w:rsidRPr="00037C61" w:rsidRDefault="1C774ED0" w:rsidP="00014AA0">
      <w:pPr>
        <w:pStyle w:val="Heading3"/>
        <w:numPr>
          <w:ilvl w:val="3"/>
          <w:numId w:val="3"/>
        </w:numPr>
      </w:pPr>
      <w:bookmarkStart w:id="290" w:name="_Toc53137194"/>
      <w:bookmarkStart w:id="291" w:name="_Toc64619537"/>
      <w:r w:rsidRPr="00037C61">
        <w:t>Primary sector</w:t>
      </w:r>
      <w:bookmarkEnd w:id="290"/>
      <w:bookmarkEnd w:id="291"/>
    </w:p>
    <w:p w14:paraId="0F3020FF" w14:textId="249D3DC9" w:rsidR="00921D9C" w:rsidRPr="00037C61" w:rsidRDefault="00921D9C" w:rsidP="00921D9C">
      <w:pPr>
        <w:rPr>
          <w:lang w:val="en-GB"/>
        </w:rPr>
      </w:pPr>
      <w:r w:rsidRPr="00037C61">
        <w:rPr>
          <w:lang w:val="en-GB"/>
        </w:rPr>
        <w:t xml:space="preserve">Agriculture is an important component of the border region economy, contributing in 2017 with 8.6% of GVA, increasing by approx. 7% (2009: 8%), all counties having a net competitive advantage over the national average, primarily due to pedo-climatic conditions but also the efficiency of services practiced on agricultural </w:t>
      </w:r>
      <w:r w:rsidR="0032601C" w:rsidRPr="00037C61">
        <w:rPr>
          <w:lang w:val="en-GB"/>
        </w:rPr>
        <w:t>areas.</w:t>
      </w:r>
      <w:r w:rsidR="00FD4E9A" w:rsidRPr="00037C61">
        <w:rPr>
          <w:lang w:val="en-GB"/>
        </w:rPr>
        <w:t xml:space="preserve">  </w:t>
      </w:r>
    </w:p>
    <w:p w14:paraId="58BF857B" w14:textId="00EB7EA6" w:rsidR="00FD4E9A" w:rsidRPr="00037C61" w:rsidRDefault="00FD4E9A" w:rsidP="00FD4E9A">
      <w:pPr>
        <w:rPr>
          <w:lang w:val="en-GB"/>
        </w:rPr>
      </w:pPr>
      <w:r w:rsidRPr="00037C61">
        <w:rPr>
          <w:lang w:val="en-GB"/>
        </w:rPr>
        <w:lastRenderedPageBreak/>
        <w:t>The potential of arable capitalization of the region is considerable, the arable area being 52.21% of the total land fund, over both national levels (Hungary owns 46.58% of arable land while Romania cultivates 39.41%). If we analyse the resources within the region, we notice an unequal distribution of the potential exploited in agriculture in terms of large crops: the difference between the county with the highest share of arable land (Békés 77.42%) and the one with the lowest share (Bihor 40</w:t>
      </w:r>
      <w:r w:rsidR="11D4839A" w:rsidRPr="00037C61">
        <w:rPr>
          <w:lang w:val="en-GB"/>
        </w:rPr>
        <w:t>.</w:t>
      </w:r>
      <w:r w:rsidRPr="00037C61">
        <w:rPr>
          <w:lang w:val="en-GB"/>
        </w:rPr>
        <w:t xml:space="preserve"> 93%) is about 30 percentage points, given that the two counties are neighbours on the border, Bihor having a more varied relief.</w:t>
      </w:r>
    </w:p>
    <w:p w14:paraId="436F5173" w14:textId="65665548" w:rsidR="00FD4E9A" w:rsidRPr="00067E4D" w:rsidRDefault="00FD4E9A" w:rsidP="005E0849">
      <w:pPr>
        <w:rPr>
          <w:lang w:val="en-GB"/>
        </w:rPr>
      </w:pPr>
      <w:r w:rsidRPr="00037C61">
        <w:rPr>
          <w:noProof/>
          <w:lang w:val="ro-RO" w:eastAsia="ro-RO"/>
        </w:rPr>
        <w:drawing>
          <wp:anchor distT="0" distB="0" distL="114300" distR="114300" simplePos="0" relativeHeight="251650560" behindDoc="0" locked="0" layoutInCell="1" allowOverlap="1" wp14:anchorId="31F5CA30" wp14:editId="719E604C">
            <wp:simplePos x="0" y="0"/>
            <wp:positionH relativeFrom="margin">
              <wp:align>right</wp:align>
            </wp:positionH>
            <wp:positionV relativeFrom="paragraph">
              <wp:posOffset>25342</wp:posOffset>
            </wp:positionV>
            <wp:extent cx="3149600" cy="2696210"/>
            <wp:effectExtent l="19050" t="19050" r="12700" b="27940"/>
            <wp:wrapSquare wrapText="bothSides"/>
            <wp:docPr id="1490160187" name="Chart 149016018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6F04EA-4617-49EB-9319-E478D710A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Pr="00037C61">
        <w:rPr>
          <w:lang w:val="en-GB"/>
        </w:rPr>
        <w:t xml:space="preserve">In the PA, there are discrepancies in the efficient use of skilled labour on the two borders: counties of Hungary have only 7% of the active </w:t>
      </w:r>
      <w:r w:rsidRPr="00067E4D">
        <w:rPr>
          <w:lang w:val="en-GB"/>
        </w:rPr>
        <w:t>population work</w:t>
      </w:r>
      <w:r w:rsidR="1BF954AF" w:rsidRPr="00067E4D">
        <w:rPr>
          <w:lang w:val="en-GB"/>
        </w:rPr>
        <w:t>ing</w:t>
      </w:r>
      <w:r w:rsidRPr="00067E4D">
        <w:rPr>
          <w:lang w:val="en-GB"/>
        </w:rPr>
        <w:t xml:space="preserve"> in agriculture, while the active labour force in Romania is three-fold bigger, albeit decreasing. This decrease is relevant in CB context, as there is still a significant population base in Romania which may need assistance in forms of lifelong learning and re-specialisation training, aspects which could be addressed by PO4. </w:t>
      </w:r>
    </w:p>
    <w:p w14:paraId="20949234" w14:textId="4E94CBD4" w:rsidR="00FD4E9A" w:rsidRPr="00037C61" w:rsidRDefault="00FD4E9A" w:rsidP="005E0849">
      <w:pPr>
        <w:pStyle w:val="Caption"/>
        <w:jc w:val="right"/>
        <w:rPr>
          <w:lang w:val="en-GB"/>
        </w:rPr>
      </w:pPr>
      <w:bookmarkStart w:id="292" w:name="_Toc64611008"/>
      <w:r w:rsidRPr="00067E4D">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59</w:t>
      </w:r>
      <w:r w:rsidR="00412697">
        <w:rPr>
          <w:lang w:val="en-GB"/>
        </w:rPr>
        <w:fldChar w:fldCharType="end"/>
      </w:r>
      <w:r w:rsidRPr="00067E4D">
        <w:rPr>
          <w:lang w:val="en-GB"/>
        </w:rPr>
        <w:t xml:space="preserve"> - Change in labour force involvement</w:t>
      </w:r>
      <w:r w:rsidRPr="00037C61">
        <w:rPr>
          <w:lang w:val="en-GB"/>
        </w:rPr>
        <w:t>, 2015-2009</w:t>
      </w:r>
      <w:bookmarkEnd w:id="292"/>
      <w:r w:rsidRPr="00037C61">
        <w:rPr>
          <w:lang w:val="en-GB"/>
        </w:rPr>
        <w:t xml:space="preserve">  </w:t>
      </w:r>
    </w:p>
    <w:p w14:paraId="7EB99E2B" w14:textId="77777777" w:rsidR="00FD4E9A" w:rsidRPr="00037C61" w:rsidRDefault="00FD4E9A" w:rsidP="005E0849">
      <w:pPr>
        <w:pStyle w:val="Caption"/>
        <w:spacing w:after="240"/>
        <w:jc w:val="right"/>
        <w:rPr>
          <w:bCs/>
          <w:lang w:val="en-GB"/>
        </w:rPr>
      </w:pPr>
      <w:r w:rsidRPr="00037C61">
        <w:rPr>
          <w:lang w:val="en-GB"/>
        </w:rPr>
        <w:t>Source: INS, KSH</w:t>
      </w:r>
    </w:p>
    <w:p w14:paraId="220DA6B4" w14:textId="2314E9CB" w:rsidR="00FD4E9A" w:rsidRPr="00037C61" w:rsidRDefault="00FD4E9A" w:rsidP="00FD4E9A">
      <w:pPr>
        <w:rPr>
          <w:lang w:val="en-GB"/>
        </w:rPr>
      </w:pPr>
      <w:r w:rsidRPr="00037C61">
        <w:rPr>
          <w:lang w:val="en-GB"/>
        </w:rPr>
        <w:t xml:space="preserve">Beyond agricultural production, the programme area land reserves and existing agricultural production may be relevant for the development of the bioeconomy and energy sectors, either for the production of biomass energy (i.e. with short-rotation energy coppice) or through implementation of circular economy strategies to reuse agricultural outputs in order to provide new energy or material streams at local level. PO2 priorities could represent fitting opportunities for cross-border cooperation in these domains. </w:t>
      </w:r>
    </w:p>
    <w:p w14:paraId="0D39736A" w14:textId="0EAB1137" w:rsidR="00921D9C" w:rsidRPr="00037C61" w:rsidRDefault="1C774ED0" w:rsidP="00014AA0">
      <w:pPr>
        <w:pStyle w:val="Heading3"/>
        <w:numPr>
          <w:ilvl w:val="3"/>
          <w:numId w:val="3"/>
        </w:numPr>
      </w:pPr>
      <w:bookmarkStart w:id="293" w:name="_Toc53894504"/>
      <w:bookmarkStart w:id="294" w:name="_Toc53894505"/>
      <w:bookmarkStart w:id="295" w:name="_Toc53894506"/>
      <w:bookmarkStart w:id="296" w:name="_Toc53894507"/>
      <w:bookmarkStart w:id="297" w:name="_Toc53894508"/>
      <w:bookmarkStart w:id="298" w:name="_Toc53894509"/>
      <w:bookmarkStart w:id="299" w:name="_Toc53894511"/>
      <w:bookmarkStart w:id="300" w:name="_Toc53894512"/>
      <w:bookmarkStart w:id="301" w:name="_Toc53894513"/>
      <w:bookmarkStart w:id="302" w:name="_Toc53894514"/>
      <w:bookmarkStart w:id="303" w:name="_Toc53894515"/>
      <w:bookmarkStart w:id="304" w:name="_Toc53894590"/>
      <w:bookmarkStart w:id="305" w:name="_Toc53894622"/>
      <w:bookmarkStart w:id="306" w:name="_Toc53894623"/>
      <w:bookmarkStart w:id="307" w:name="_Toc53894624"/>
      <w:bookmarkStart w:id="308" w:name="_Toc53894625"/>
      <w:bookmarkStart w:id="309" w:name="_Toc53894626"/>
      <w:bookmarkStart w:id="310" w:name="_Toc53894627"/>
      <w:bookmarkStart w:id="311" w:name="_Toc53894628"/>
      <w:bookmarkStart w:id="312" w:name="_Toc53894629"/>
      <w:bookmarkStart w:id="313" w:name="_Toc53894630"/>
      <w:bookmarkStart w:id="314" w:name="_Toc53894631"/>
      <w:bookmarkStart w:id="315" w:name="_Toc53894632"/>
      <w:bookmarkStart w:id="316" w:name="_Toc53894633"/>
      <w:bookmarkStart w:id="317" w:name="_Toc53894636"/>
      <w:bookmarkStart w:id="318" w:name="_Toc53894690"/>
      <w:bookmarkStart w:id="319" w:name="_Toc53894708"/>
      <w:bookmarkStart w:id="320" w:name="_Toc53894732"/>
      <w:bookmarkStart w:id="321" w:name="_Toc53894733"/>
      <w:bookmarkStart w:id="322" w:name="_Toc53894734"/>
      <w:bookmarkStart w:id="323" w:name="_Toc53894735"/>
      <w:bookmarkStart w:id="324" w:name="_Toc53894739"/>
      <w:bookmarkStart w:id="325" w:name="_Toc53894811"/>
      <w:bookmarkStart w:id="326" w:name="_Toc53894843"/>
      <w:bookmarkStart w:id="327" w:name="_Toc53894844"/>
      <w:bookmarkStart w:id="328" w:name="_Toc53894845"/>
      <w:bookmarkStart w:id="329" w:name="_Toc53894846"/>
      <w:bookmarkStart w:id="330" w:name="_Toc53894847"/>
      <w:bookmarkStart w:id="331" w:name="_Toc53894848"/>
      <w:bookmarkStart w:id="332" w:name="_Toc53894849"/>
      <w:bookmarkStart w:id="333" w:name="_Toc53894850"/>
      <w:bookmarkStart w:id="334" w:name="_Toc53894864"/>
      <w:bookmarkStart w:id="335" w:name="_Toc53894954"/>
      <w:bookmarkStart w:id="336" w:name="_Toc53894984"/>
      <w:bookmarkStart w:id="337" w:name="_Toc53895024"/>
      <w:bookmarkStart w:id="338" w:name="_Toc53895025"/>
      <w:bookmarkStart w:id="339" w:name="_Toc53895026"/>
      <w:bookmarkStart w:id="340" w:name="_Toc53895027"/>
      <w:bookmarkStart w:id="341" w:name="_Toc53895028"/>
      <w:bookmarkStart w:id="342" w:name="_Toc53895078"/>
      <w:bookmarkStart w:id="343" w:name="_Toc53895098"/>
      <w:bookmarkStart w:id="344" w:name="_Toc53895099"/>
      <w:bookmarkStart w:id="345" w:name="_Toc53895100"/>
      <w:bookmarkStart w:id="346" w:name="_Toc53895101"/>
      <w:bookmarkStart w:id="347" w:name="_Toc53895102"/>
      <w:bookmarkStart w:id="348" w:name="_Toc53895103"/>
      <w:bookmarkStart w:id="349" w:name="_Toc53895104"/>
      <w:bookmarkStart w:id="350" w:name="_Toc53895105"/>
      <w:bookmarkStart w:id="351" w:name="_Toc53895106"/>
      <w:bookmarkStart w:id="352" w:name="_Toc53895107"/>
      <w:bookmarkStart w:id="353" w:name="_Toc53895108"/>
      <w:bookmarkStart w:id="354" w:name="_Toc53895109"/>
      <w:bookmarkStart w:id="355" w:name="_Toc53895110"/>
      <w:bookmarkStart w:id="356" w:name="_Toc53895111"/>
      <w:bookmarkStart w:id="357" w:name="_Toc53137195"/>
      <w:bookmarkStart w:id="358" w:name="_Toc64619538"/>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r w:rsidRPr="00037C61">
        <w:t>Enterprise</w:t>
      </w:r>
      <w:r w:rsidR="009027CD" w:rsidRPr="00037C61">
        <w:t>s</w:t>
      </w:r>
      <w:r w:rsidRPr="00037C61">
        <w:t xml:space="preserve"> activities</w:t>
      </w:r>
      <w:bookmarkEnd w:id="357"/>
      <w:bookmarkEnd w:id="358"/>
      <w:r w:rsidRPr="00037C61">
        <w:t xml:space="preserve"> </w:t>
      </w:r>
    </w:p>
    <w:p w14:paraId="700D599C" w14:textId="77777777" w:rsidR="00921D9C" w:rsidRPr="00037C61" w:rsidRDefault="00921D9C" w:rsidP="00921D9C">
      <w:pPr>
        <w:pStyle w:val="Heading4"/>
        <w:rPr>
          <w:lang w:val="en-GB"/>
        </w:rPr>
      </w:pPr>
      <w:r w:rsidRPr="00037C61">
        <w:rPr>
          <w:lang w:val="en-GB"/>
        </w:rPr>
        <w:t xml:space="preserve">Business demography. Share of enterprises with 0, 1-9 and over 10 employees + Evolution </w:t>
      </w:r>
    </w:p>
    <w:p w14:paraId="4B33A70A" w14:textId="35808193" w:rsidR="00921D9C" w:rsidRPr="00037C61" w:rsidRDefault="52230E0C" w:rsidP="6446A0E8">
      <w:pPr>
        <w:rPr>
          <w:lang w:val="en-GB"/>
        </w:rPr>
      </w:pPr>
      <w:r w:rsidRPr="00037C61">
        <w:rPr>
          <w:lang w:val="en-GB"/>
        </w:rPr>
        <w:t>Regarding the entrepreneurial ecosystem, the dynamic was analysed for the 2011-2017 period and Eurostat data has highlighted an increasing trend in the number of active companies from year to year, the PA having about 200,000 active companies, distributed almost nationally, more companies being registered in Hungarian counties. Thus, the increase of 9% in 2017 compared to 2011 is due to the initiatives in Romania that increased over the same period by 20%, reaching a parity of almost 1: 1 with the active companies of entrepreneurs in Hungary. This trend of growth of the initiatives in the Romanian counties closely follows the national trend registered in the same period.</w:t>
      </w:r>
    </w:p>
    <w:p w14:paraId="179BFDBB" w14:textId="3D5C57F0" w:rsidR="00921D9C" w:rsidRPr="00037C61" w:rsidRDefault="00921D9C" w:rsidP="00921D9C">
      <w:pPr>
        <w:pStyle w:val="Caption"/>
        <w:keepNext/>
        <w:jc w:val="left"/>
        <w:rPr>
          <w:lang w:val="en-GB"/>
        </w:rPr>
      </w:pPr>
      <w:bookmarkStart w:id="359" w:name="_Toc58237642"/>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20</w:t>
      </w:r>
      <w:r w:rsidR="00552808" w:rsidRPr="00037C61">
        <w:rPr>
          <w:lang w:val="en-GB"/>
        </w:rPr>
        <w:fldChar w:fldCharType="end"/>
      </w:r>
      <w:r w:rsidR="00EA5E72" w:rsidRPr="00037C61">
        <w:rPr>
          <w:lang w:val="en-GB"/>
        </w:rPr>
        <w:t xml:space="preserve"> -</w:t>
      </w:r>
      <w:r w:rsidRPr="00037C61">
        <w:rPr>
          <w:lang w:val="en-GB"/>
        </w:rPr>
        <w:t xml:space="preserve"> No. of enterprises* in Romania, Hungary and RO-HU area Eurostat</w:t>
      </w:r>
      <w:bookmarkEnd w:id="359"/>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851"/>
        <w:gridCol w:w="850"/>
        <w:gridCol w:w="851"/>
        <w:gridCol w:w="850"/>
        <w:gridCol w:w="851"/>
        <w:gridCol w:w="850"/>
        <w:gridCol w:w="992"/>
      </w:tblGrid>
      <w:tr w:rsidR="00921D9C" w:rsidRPr="00037C61" w14:paraId="0615DFF7" w14:textId="77777777" w:rsidTr="00772613">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5661B344" w14:textId="77777777" w:rsidR="00921D9C" w:rsidRPr="00037C61" w:rsidRDefault="00921D9C">
            <w:pPr>
              <w:spacing w:after="0" w:line="240" w:lineRule="auto"/>
              <w:jc w:val="left"/>
              <w:rPr>
                <w:b/>
                <w:color w:val="FFFFFF" w:themeColor="background1"/>
                <w:lang w:val="en-GB"/>
              </w:rPr>
            </w:pPr>
            <w:r w:rsidRPr="00037C61">
              <w:rPr>
                <w:b/>
                <w:color w:val="FFFFFF" w:themeColor="background1"/>
                <w:lang w:val="en-GB"/>
              </w:rPr>
              <w:t>Area</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7D272AB7" w14:textId="77777777" w:rsidR="00921D9C" w:rsidRPr="00037C61" w:rsidRDefault="00921D9C">
            <w:pPr>
              <w:spacing w:after="0" w:line="240" w:lineRule="auto"/>
              <w:jc w:val="center"/>
              <w:rPr>
                <w:b/>
                <w:color w:val="FFFFFF" w:themeColor="background1"/>
                <w:lang w:val="en-GB"/>
              </w:rPr>
            </w:pPr>
            <w:r w:rsidRPr="00037C61">
              <w:rPr>
                <w:b/>
                <w:color w:val="FFFFFF" w:themeColor="background1"/>
                <w:lang w:val="en-GB"/>
              </w:rPr>
              <w:t xml:space="preserve">Unit </w:t>
            </w:r>
          </w:p>
        </w:tc>
        <w:tc>
          <w:tcPr>
            <w:tcW w:w="851"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629EA7B6"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2011</w:t>
            </w:r>
          </w:p>
        </w:tc>
        <w:tc>
          <w:tcPr>
            <w:tcW w:w="850"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7B94ED6B"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2012</w:t>
            </w:r>
          </w:p>
        </w:tc>
        <w:tc>
          <w:tcPr>
            <w:tcW w:w="851"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1B652F30"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2013</w:t>
            </w:r>
          </w:p>
        </w:tc>
        <w:tc>
          <w:tcPr>
            <w:tcW w:w="850"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13D00E18"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2014</w:t>
            </w:r>
          </w:p>
        </w:tc>
        <w:tc>
          <w:tcPr>
            <w:tcW w:w="851"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2FB97767"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2015</w:t>
            </w:r>
          </w:p>
        </w:tc>
        <w:tc>
          <w:tcPr>
            <w:tcW w:w="850"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7926653C"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2016</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51069F30" w14:textId="77777777" w:rsidR="00921D9C" w:rsidRPr="00037C61" w:rsidRDefault="00921D9C">
            <w:pPr>
              <w:spacing w:after="0" w:line="240" w:lineRule="auto"/>
              <w:jc w:val="right"/>
              <w:rPr>
                <w:b/>
                <w:color w:val="FFFFFF" w:themeColor="background1"/>
                <w:lang w:val="en-GB"/>
              </w:rPr>
            </w:pPr>
            <w:r w:rsidRPr="00037C61">
              <w:rPr>
                <w:b/>
                <w:color w:val="FFFFFF" w:themeColor="background1"/>
                <w:lang w:val="en-GB"/>
              </w:rPr>
              <w:t>2017</w:t>
            </w:r>
          </w:p>
        </w:tc>
      </w:tr>
      <w:tr w:rsidR="00921D9C" w:rsidRPr="00037C61" w14:paraId="702CA8AF" w14:textId="77777777" w:rsidTr="00772613">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103DACF2" w14:textId="77777777" w:rsidR="00921D9C" w:rsidRPr="00037C61" w:rsidRDefault="00921D9C">
            <w:pPr>
              <w:spacing w:after="0" w:line="240" w:lineRule="auto"/>
              <w:jc w:val="left"/>
              <w:rPr>
                <w:color w:val="000000"/>
                <w:sz w:val="20"/>
                <w:lang w:val="en-GB"/>
              </w:rPr>
            </w:pPr>
            <w:r w:rsidRPr="00037C61">
              <w:rPr>
                <w:color w:val="000000"/>
                <w:sz w:val="20"/>
                <w:lang w:val="en-GB"/>
              </w:rPr>
              <w:t>Hajdú-Bihar</w:t>
            </w:r>
          </w:p>
        </w:tc>
        <w:tc>
          <w:tcPr>
            <w:tcW w:w="170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29208BD1" w14:textId="7E244C0E" w:rsidR="00921D9C" w:rsidRPr="00037C61" w:rsidRDefault="00921D9C">
            <w:pPr>
              <w:spacing w:after="0" w:line="240" w:lineRule="auto"/>
              <w:jc w:val="center"/>
              <w:rPr>
                <w:color w:val="000000"/>
                <w:sz w:val="20"/>
                <w:lang w:val="en-GB"/>
              </w:rPr>
            </w:pPr>
            <w:r w:rsidRPr="00037C61">
              <w:rPr>
                <w:color w:val="000000"/>
                <w:sz w:val="20"/>
                <w:lang w:val="en-GB"/>
              </w:rPr>
              <w:t>active enterp</w:t>
            </w:r>
            <w:r w:rsidR="00772613" w:rsidRPr="00037C61">
              <w:rPr>
                <w:color w:val="000000"/>
                <w:sz w:val="20"/>
                <w:lang w:val="en-GB"/>
              </w:rPr>
              <w:t>rises</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60A0AAD7" w14:textId="77777777" w:rsidR="00921D9C" w:rsidRPr="00037C61" w:rsidRDefault="00921D9C">
            <w:pPr>
              <w:spacing w:after="0" w:line="240" w:lineRule="auto"/>
              <w:jc w:val="right"/>
              <w:rPr>
                <w:color w:val="000000"/>
                <w:sz w:val="20"/>
                <w:lang w:val="en-GB"/>
              </w:rPr>
            </w:pPr>
            <w:r w:rsidRPr="00037C61">
              <w:rPr>
                <w:color w:val="000000"/>
                <w:sz w:val="20"/>
                <w:lang w:val="en-GB"/>
              </w:rPr>
              <w:t>30,879</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0EC6D2C0" w14:textId="77777777" w:rsidR="00921D9C" w:rsidRPr="00037C61" w:rsidRDefault="00921D9C">
            <w:pPr>
              <w:spacing w:after="0" w:line="240" w:lineRule="auto"/>
              <w:jc w:val="right"/>
              <w:rPr>
                <w:color w:val="000000"/>
                <w:sz w:val="20"/>
                <w:lang w:val="en-GB"/>
              </w:rPr>
            </w:pPr>
            <w:r w:rsidRPr="00037C61">
              <w:rPr>
                <w:color w:val="000000"/>
                <w:sz w:val="20"/>
                <w:lang w:val="en-GB"/>
              </w:rPr>
              <w:t>28,961</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7C8FBEA7" w14:textId="77777777" w:rsidR="00921D9C" w:rsidRPr="00037C61" w:rsidRDefault="00921D9C">
            <w:pPr>
              <w:spacing w:after="0" w:line="240" w:lineRule="auto"/>
              <w:jc w:val="right"/>
              <w:rPr>
                <w:color w:val="000000"/>
                <w:sz w:val="20"/>
                <w:lang w:val="en-GB"/>
              </w:rPr>
            </w:pPr>
            <w:r w:rsidRPr="00037C61">
              <w:rPr>
                <w:color w:val="000000"/>
                <w:sz w:val="20"/>
                <w:lang w:val="en-GB"/>
              </w:rPr>
              <w:t>28,883</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319201A2" w14:textId="77777777" w:rsidR="00921D9C" w:rsidRPr="00037C61" w:rsidRDefault="00921D9C">
            <w:pPr>
              <w:spacing w:after="0" w:line="240" w:lineRule="auto"/>
              <w:jc w:val="right"/>
              <w:rPr>
                <w:color w:val="000000"/>
                <w:sz w:val="20"/>
                <w:lang w:val="en-GB"/>
              </w:rPr>
            </w:pPr>
            <w:r w:rsidRPr="00037C61">
              <w:rPr>
                <w:color w:val="000000"/>
                <w:sz w:val="20"/>
                <w:lang w:val="en-GB"/>
              </w:rPr>
              <w:t>29,339</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9556C28" w14:textId="77777777" w:rsidR="00921D9C" w:rsidRPr="00037C61" w:rsidRDefault="00921D9C">
            <w:pPr>
              <w:spacing w:after="0" w:line="240" w:lineRule="auto"/>
              <w:jc w:val="right"/>
              <w:rPr>
                <w:color w:val="000000"/>
                <w:sz w:val="20"/>
                <w:lang w:val="en-GB"/>
              </w:rPr>
            </w:pPr>
            <w:r w:rsidRPr="00037C61">
              <w:rPr>
                <w:color w:val="000000"/>
                <w:sz w:val="20"/>
                <w:lang w:val="en-GB"/>
              </w:rPr>
              <w:t>29,647</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6D231F3C" w14:textId="77777777" w:rsidR="00921D9C" w:rsidRPr="00037C61" w:rsidRDefault="00921D9C">
            <w:pPr>
              <w:spacing w:after="0" w:line="240" w:lineRule="auto"/>
              <w:jc w:val="right"/>
              <w:rPr>
                <w:color w:val="000000"/>
                <w:sz w:val="20"/>
                <w:lang w:val="en-GB"/>
              </w:rPr>
            </w:pPr>
            <w:r w:rsidRPr="00037C61">
              <w:rPr>
                <w:color w:val="000000"/>
                <w:sz w:val="20"/>
                <w:lang w:val="en-GB"/>
              </w:rPr>
              <w:t>29,771</w:t>
            </w:r>
          </w:p>
        </w:tc>
        <w:tc>
          <w:tcPr>
            <w:tcW w:w="992"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77721F6E" w14:textId="77777777" w:rsidR="00921D9C" w:rsidRPr="00037C61" w:rsidRDefault="00921D9C">
            <w:pPr>
              <w:spacing w:after="0" w:line="240" w:lineRule="auto"/>
              <w:jc w:val="right"/>
              <w:rPr>
                <w:color w:val="000000"/>
                <w:sz w:val="20"/>
                <w:lang w:val="en-GB"/>
              </w:rPr>
            </w:pPr>
            <w:r w:rsidRPr="00037C61">
              <w:rPr>
                <w:color w:val="000000"/>
                <w:sz w:val="20"/>
                <w:lang w:val="en-GB"/>
              </w:rPr>
              <w:t>31,383</w:t>
            </w:r>
          </w:p>
        </w:tc>
      </w:tr>
      <w:tr w:rsidR="00772613" w:rsidRPr="00037C61" w14:paraId="76846228"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FBD1D2" w:themeFill="accent3" w:themeFillTint="33"/>
            <w:noWrap/>
            <w:vAlign w:val="bottom"/>
            <w:hideMark/>
          </w:tcPr>
          <w:p w14:paraId="7C5026CD" w14:textId="77777777" w:rsidR="00772613" w:rsidRPr="00037C61" w:rsidRDefault="00772613" w:rsidP="00772613">
            <w:pPr>
              <w:spacing w:after="0" w:line="240" w:lineRule="auto"/>
              <w:jc w:val="left"/>
              <w:rPr>
                <w:color w:val="000000"/>
                <w:sz w:val="20"/>
                <w:lang w:val="en-GB"/>
              </w:rPr>
            </w:pPr>
            <w:r w:rsidRPr="00037C61">
              <w:rPr>
                <w:color w:val="000000"/>
                <w:sz w:val="20"/>
                <w:lang w:val="en-GB"/>
              </w:rPr>
              <w:t xml:space="preserve">Sz-Sz-Bereg </w:t>
            </w:r>
          </w:p>
        </w:tc>
        <w:tc>
          <w:tcPr>
            <w:tcW w:w="1701" w:type="dxa"/>
            <w:tcBorders>
              <w:top w:val="single" w:sz="4" w:space="0" w:color="auto"/>
              <w:left w:val="single" w:sz="4" w:space="0" w:color="auto"/>
              <w:bottom w:val="single" w:sz="4" w:space="0" w:color="auto"/>
              <w:right w:val="single" w:sz="4" w:space="0" w:color="auto"/>
            </w:tcBorders>
            <w:shd w:val="clear" w:color="auto" w:fill="FBD1D2" w:themeFill="accent3" w:themeFillTint="33"/>
            <w:hideMark/>
          </w:tcPr>
          <w:p w14:paraId="29ED6F99" w14:textId="72799D5A"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14DF146E"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25,940</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D1F7D4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24,271</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C14F06B"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24,209</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5A580F7D"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24,668</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7F570759"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24,978</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8C1D279"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25,171</w:t>
            </w:r>
          </w:p>
        </w:tc>
        <w:tc>
          <w:tcPr>
            <w:tcW w:w="992"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EB45096"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25,878</w:t>
            </w:r>
          </w:p>
        </w:tc>
      </w:tr>
      <w:tr w:rsidR="00772613" w:rsidRPr="00037C61" w14:paraId="15BADF50"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FB6864D" w14:textId="77777777" w:rsidR="00772613" w:rsidRPr="00037C61" w:rsidRDefault="00772613" w:rsidP="00772613">
            <w:pPr>
              <w:spacing w:after="0" w:line="240" w:lineRule="auto"/>
              <w:jc w:val="left"/>
              <w:rPr>
                <w:color w:val="000000"/>
                <w:sz w:val="20"/>
                <w:lang w:val="en-GB"/>
              </w:rPr>
            </w:pPr>
            <w:r w:rsidRPr="00037C61">
              <w:rPr>
                <w:color w:val="000000"/>
                <w:sz w:val="20"/>
                <w:lang w:val="en-GB"/>
              </w:rPr>
              <w:t>Békés</w:t>
            </w:r>
          </w:p>
        </w:tc>
        <w:tc>
          <w:tcPr>
            <w:tcW w:w="1701" w:type="dxa"/>
            <w:tcBorders>
              <w:top w:val="single" w:sz="4" w:space="0" w:color="auto"/>
              <w:left w:val="single" w:sz="4" w:space="0" w:color="auto"/>
              <w:bottom w:val="single" w:sz="4" w:space="0" w:color="auto"/>
              <w:right w:val="single" w:sz="4" w:space="0" w:color="auto"/>
            </w:tcBorders>
            <w:shd w:val="clear" w:color="auto" w:fill="FBD1D2" w:themeFill="accent3" w:themeFillTint="33"/>
            <w:hideMark/>
          </w:tcPr>
          <w:p w14:paraId="284B15DC" w14:textId="2FF1D66C"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6392634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16,942</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01F66F49"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15,807</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6617FF9C"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15,632</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41B5F77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15,884</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7CE26684"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15,972</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1483C633"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16,120</w:t>
            </w:r>
          </w:p>
        </w:tc>
        <w:tc>
          <w:tcPr>
            <w:tcW w:w="992"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1E5749E7"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16,863</w:t>
            </w:r>
          </w:p>
        </w:tc>
      </w:tr>
      <w:tr w:rsidR="00772613" w:rsidRPr="00037C61" w14:paraId="579D78FE"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3D15C2F9" w14:textId="1BE469D8" w:rsidR="00772613" w:rsidRPr="00037C61" w:rsidRDefault="00772613" w:rsidP="00772613">
            <w:pPr>
              <w:spacing w:after="0" w:line="240" w:lineRule="auto"/>
              <w:jc w:val="left"/>
              <w:rPr>
                <w:color w:val="000000"/>
                <w:sz w:val="20"/>
                <w:szCs w:val="20"/>
                <w:lang w:val="en-GB"/>
              </w:rPr>
            </w:pPr>
            <w:r w:rsidRPr="00037C61">
              <w:rPr>
                <w:color w:val="000000" w:themeColor="text1"/>
                <w:sz w:val="20"/>
                <w:szCs w:val="20"/>
                <w:lang w:val="en-GB"/>
              </w:rPr>
              <w:t>Csongrád-Csanád</w:t>
            </w:r>
          </w:p>
        </w:tc>
        <w:tc>
          <w:tcPr>
            <w:tcW w:w="1701" w:type="dxa"/>
            <w:tcBorders>
              <w:top w:val="single" w:sz="4" w:space="0" w:color="auto"/>
              <w:left w:val="single" w:sz="4" w:space="0" w:color="auto"/>
              <w:bottom w:val="single" w:sz="4" w:space="0" w:color="auto"/>
              <w:right w:val="single" w:sz="4" w:space="0" w:color="auto"/>
            </w:tcBorders>
            <w:shd w:val="clear" w:color="auto" w:fill="FBD1D2" w:themeFill="accent3" w:themeFillTint="33"/>
            <w:hideMark/>
          </w:tcPr>
          <w:p w14:paraId="06E5AC2B" w14:textId="1D835912"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340A9BB4"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26,578</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16041711"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24,715</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35F5B66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24,374</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2E625A7E"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24,746</w:t>
            </w:r>
          </w:p>
        </w:tc>
        <w:tc>
          <w:tcPr>
            <w:tcW w:w="851"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0E36508B"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25,022</w:t>
            </w:r>
          </w:p>
        </w:tc>
        <w:tc>
          <w:tcPr>
            <w:tcW w:w="850"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54BCA3E2"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25,388</w:t>
            </w:r>
          </w:p>
        </w:tc>
        <w:tc>
          <w:tcPr>
            <w:tcW w:w="992" w:type="dxa"/>
            <w:tcBorders>
              <w:top w:val="single" w:sz="4" w:space="0" w:color="auto"/>
              <w:left w:val="single" w:sz="4" w:space="0" w:color="auto"/>
              <w:bottom w:val="single" w:sz="4" w:space="0" w:color="auto"/>
              <w:right w:val="single" w:sz="4" w:space="0" w:color="auto"/>
            </w:tcBorders>
            <w:shd w:val="clear" w:color="auto" w:fill="FBD1D2" w:themeFill="accent3" w:themeFillTint="33"/>
            <w:vAlign w:val="bottom"/>
            <w:hideMark/>
          </w:tcPr>
          <w:p w14:paraId="63E8089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26,661</w:t>
            </w:r>
          </w:p>
        </w:tc>
      </w:tr>
      <w:tr w:rsidR="00772613" w:rsidRPr="00037C61" w14:paraId="5992E326"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4F378BB4" w14:textId="77777777" w:rsidR="00772613" w:rsidRPr="00037C61" w:rsidRDefault="00772613" w:rsidP="00772613">
            <w:pPr>
              <w:spacing w:after="0" w:line="240" w:lineRule="auto"/>
              <w:jc w:val="left"/>
              <w:rPr>
                <w:color w:val="000000"/>
                <w:sz w:val="20"/>
                <w:lang w:val="en-GB"/>
              </w:rPr>
            </w:pPr>
            <w:r w:rsidRPr="00037C61">
              <w:rPr>
                <w:color w:val="000000"/>
                <w:sz w:val="20"/>
                <w:lang w:val="en-GB"/>
              </w:rPr>
              <w:lastRenderedPageBreak/>
              <w:t>Bihor</w:t>
            </w:r>
          </w:p>
        </w:tc>
        <w:tc>
          <w:tcPr>
            <w:tcW w:w="1701" w:type="dxa"/>
            <w:tcBorders>
              <w:top w:val="single" w:sz="4" w:space="0" w:color="auto"/>
              <w:left w:val="single" w:sz="4" w:space="0" w:color="auto"/>
              <w:bottom w:val="single" w:sz="4" w:space="0" w:color="auto"/>
              <w:right w:val="single" w:sz="4" w:space="0" w:color="auto"/>
            </w:tcBorders>
            <w:shd w:val="clear" w:color="auto" w:fill="EAEDF6" w:themeFill="accent2" w:themeFillTint="33"/>
            <w:hideMark/>
          </w:tcPr>
          <w:p w14:paraId="20F753A8" w14:textId="09578DE8"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4B5110A6"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24,067</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FF8881E"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26,020</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C8AE29A"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26,178</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72429F3"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26,842</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416A40CB"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27,229</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24448CC8"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28,437</w:t>
            </w:r>
          </w:p>
        </w:tc>
        <w:tc>
          <w:tcPr>
            <w:tcW w:w="992"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4D990BF"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29,480</w:t>
            </w:r>
          </w:p>
        </w:tc>
      </w:tr>
      <w:tr w:rsidR="00772613" w:rsidRPr="00037C61" w14:paraId="087921CD"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3211B11" w14:textId="77777777" w:rsidR="00772613" w:rsidRPr="00037C61" w:rsidRDefault="00772613" w:rsidP="00772613">
            <w:pPr>
              <w:spacing w:after="0" w:line="240" w:lineRule="auto"/>
              <w:jc w:val="left"/>
              <w:rPr>
                <w:color w:val="000000"/>
                <w:sz w:val="20"/>
                <w:lang w:val="en-GB"/>
              </w:rPr>
            </w:pPr>
            <w:r w:rsidRPr="00037C61">
              <w:rPr>
                <w:color w:val="000000"/>
                <w:sz w:val="20"/>
                <w:lang w:val="en-GB"/>
              </w:rPr>
              <w:t>Satu Mare</w:t>
            </w:r>
          </w:p>
        </w:tc>
        <w:tc>
          <w:tcPr>
            <w:tcW w:w="1701" w:type="dxa"/>
            <w:tcBorders>
              <w:top w:val="single" w:sz="4" w:space="0" w:color="auto"/>
              <w:left w:val="single" w:sz="4" w:space="0" w:color="auto"/>
              <w:bottom w:val="single" w:sz="4" w:space="0" w:color="auto"/>
              <w:right w:val="single" w:sz="4" w:space="0" w:color="auto"/>
            </w:tcBorders>
            <w:shd w:val="clear" w:color="auto" w:fill="EAEDF6" w:themeFill="accent2" w:themeFillTint="33"/>
            <w:hideMark/>
          </w:tcPr>
          <w:p w14:paraId="58185B74" w14:textId="3413C6B3"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397949C8"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10,660</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D1052EC"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11,258</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64A1CB2"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11,819</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143BC756"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11,934</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545AECA8"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11,875</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3F35CEA2"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12,246</w:t>
            </w:r>
          </w:p>
        </w:tc>
        <w:tc>
          <w:tcPr>
            <w:tcW w:w="992"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0E450262"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12,484</w:t>
            </w:r>
          </w:p>
        </w:tc>
      </w:tr>
      <w:tr w:rsidR="00772613" w:rsidRPr="00037C61" w14:paraId="090DF2CD"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2A1271CB" w14:textId="77777777" w:rsidR="00772613" w:rsidRPr="00037C61" w:rsidRDefault="00772613" w:rsidP="00772613">
            <w:pPr>
              <w:spacing w:after="0" w:line="240" w:lineRule="auto"/>
              <w:jc w:val="left"/>
              <w:rPr>
                <w:color w:val="000000"/>
                <w:sz w:val="20"/>
                <w:lang w:val="en-GB"/>
              </w:rPr>
            </w:pPr>
            <w:r w:rsidRPr="00037C61">
              <w:rPr>
                <w:color w:val="000000"/>
                <w:sz w:val="20"/>
                <w:lang w:val="en-GB"/>
              </w:rPr>
              <w:t>Arad</w:t>
            </w:r>
          </w:p>
        </w:tc>
        <w:tc>
          <w:tcPr>
            <w:tcW w:w="1701" w:type="dxa"/>
            <w:tcBorders>
              <w:top w:val="single" w:sz="4" w:space="0" w:color="auto"/>
              <w:left w:val="single" w:sz="4" w:space="0" w:color="auto"/>
              <w:bottom w:val="single" w:sz="4" w:space="0" w:color="auto"/>
              <w:right w:val="single" w:sz="4" w:space="0" w:color="auto"/>
            </w:tcBorders>
            <w:shd w:val="clear" w:color="auto" w:fill="EAEDF6" w:themeFill="accent2" w:themeFillTint="33"/>
            <w:hideMark/>
          </w:tcPr>
          <w:p w14:paraId="20A434B1" w14:textId="11CB9439"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568629C4"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17,364</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3FD1845"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18,237</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4F9907A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18,332</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3CC66901"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18,530</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22B72A13"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18,712</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67D5E527"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19,592</w:t>
            </w:r>
          </w:p>
        </w:tc>
        <w:tc>
          <w:tcPr>
            <w:tcW w:w="992"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13C50999"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20,295</w:t>
            </w:r>
          </w:p>
        </w:tc>
      </w:tr>
      <w:tr w:rsidR="00772613" w:rsidRPr="00037C61" w14:paraId="69C7ABF4" w14:textId="77777777" w:rsidTr="00B21A8C">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77284922" w14:textId="24BD3CB8" w:rsidR="00772613" w:rsidRPr="00037C61" w:rsidRDefault="00772613" w:rsidP="00772613">
            <w:pPr>
              <w:spacing w:after="0" w:line="240" w:lineRule="auto"/>
              <w:jc w:val="left"/>
              <w:rPr>
                <w:color w:val="000000"/>
                <w:sz w:val="20"/>
                <w:lang w:val="en-GB"/>
              </w:rPr>
            </w:pPr>
            <w:r w:rsidRPr="00037C61">
              <w:rPr>
                <w:color w:val="000000"/>
                <w:sz w:val="20"/>
                <w:lang w:val="en-GB"/>
              </w:rPr>
              <w:t>Timiș</w:t>
            </w:r>
          </w:p>
        </w:tc>
        <w:tc>
          <w:tcPr>
            <w:tcW w:w="1701" w:type="dxa"/>
            <w:tcBorders>
              <w:top w:val="single" w:sz="4" w:space="0" w:color="auto"/>
              <w:left w:val="single" w:sz="4" w:space="0" w:color="auto"/>
              <w:bottom w:val="single" w:sz="4" w:space="0" w:color="auto"/>
              <w:right w:val="single" w:sz="4" w:space="0" w:color="auto"/>
            </w:tcBorders>
            <w:shd w:val="clear" w:color="auto" w:fill="EAEDF6" w:themeFill="accent2" w:themeFillTint="33"/>
            <w:hideMark/>
          </w:tcPr>
          <w:p w14:paraId="5F8A9310" w14:textId="49629F06" w:rsidR="00772613" w:rsidRPr="00037C61" w:rsidRDefault="00772613" w:rsidP="00772613">
            <w:pPr>
              <w:spacing w:after="0" w:line="240" w:lineRule="auto"/>
              <w:jc w:val="center"/>
              <w:rPr>
                <w:color w:val="000000"/>
                <w:sz w:val="20"/>
                <w:lang w:val="en-GB"/>
              </w:rPr>
            </w:pPr>
            <w:r w:rsidRPr="00037C61">
              <w:rPr>
                <w:color w:val="000000"/>
                <w:sz w:val="20"/>
                <w:lang w:val="en-GB"/>
              </w:rPr>
              <w:t>active enterprises</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6238B470"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27,730</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346F0E8B"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30,288</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238DCCE1"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30,019</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11F99A2D"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30,508</w:t>
            </w:r>
          </w:p>
        </w:tc>
        <w:tc>
          <w:tcPr>
            <w:tcW w:w="851"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2F9C59EF"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30,891</w:t>
            </w:r>
          </w:p>
        </w:tc>
        <w:tc>
          <w:tcPr>
            <w:tcW w:w="850"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1C32F866"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32,300</w:t>
            </w:r>
          </w:p>
        </w:tc>
        <w:tc>
          <w:tcPr>
            <w:tcW w:w="992" w:type="dxa"/>
            <w:tcBorders>
              <w:top w:val="single" w:sz="4" w:space="0" w:color="auto"/>
              <w:left w:val="single" w:sz="4" w:space="0" w:color="auto"/>
              <w:bottom w:val="single" w:sz="4" w:space="0" w:color="auto"/>
              <w:right w:val="single" w:sz="4" w:space="0" w:color="auto"/>
            </w:tcBorders>
            <w:shd w:val="clear" w:color="auto" w:fill="EAEDF6" w:themeFill="accent2" w:themeFillTint="33"/>
            <w:vAlign w:val="bottom"/>
            <w:hideMark/>
          </w:tcPr>
          <w:p w14:paraId="6A701AF9" w14:textId="77777777" w:rsidR="00772613" w:rsidRPr="00037C61" w:rsidRDefault="00772613" w:rsidP="00772613">
            <w:pPr>
              <w:spacing w:after="0" w:line="240" w:lineRule="auto"/>
              <w:jc w:val="right"/>
              <w:rPr>
                <w:color w:val="000000"/>
                <w:sz w:val="20"/>
                <w:lang w:val="en-GB"/>
              </w:rPr>
            </w:pPr>
            <w:r w:rsidRPr="00037C61">
              <w:rPr>
                <w:color w:val="000000"/>
                <w:sz w:val="20"/>
                <w:lang w:val="en-GB"/>
              </w:rPr>
              <w:t>33,489</w:t>
            </w:r>
          </w:p>
        </w:tc>
      </w:tr>
    </w:tbl>
    <w:p w14:paraId="2C1CA641" w14:textId="677B7DC6" w:rsidR="00921D9C" w:rsidRPr="00037C61" w:rsidRDefault="00921D9C" w:rsidP="00921D9C">
      <w:pPr>
        <w:pStyle w:val="Caption"/>
        <w:jc w:val="left"/>
        <w:rPr>
          <w:b/>
          <w:lang w:val="en-GB"/>
        </w:rPr>
      </w:pPr>
      <w:r w:rsidRPr="00037C61">
        <w:rPr>
          <w:lang w:val="en-GB"/>
        </w:rPr>
        <w:t>Source:</w:t>
      </w:r>
      <w:r w:rsidR="00772613" w:rsidRPr="00037C61">
        <w:rPr>
          <w:lang w:val="en-GB"/>
        </w:rPr>
        <w:t xml:space="preserve"> </w:t>
      </w:r>
      <w:r w:rsidR="507D62FB" w:rsidRPr="00037C61">
        <w:rPr>
          <w:lang w:val="en-GB"/>
        </w:rPr>
        <w:t xml:space="preserve">Eurostat - </w:t>
      </w:r>
      <w:r w:rsidRPr="00037C61">
        <w:rPr>
          <w:lang w:val="en-GB"/>
        </w:rPr>
        <w:t>Latest data available in the data bases is 2017</w:t>
      </w:r>
    </w:p>
    <w:p w14:paraId="6222D3B1" w14:textId="1E8AE20A" w:rsidR="00921D9C" w:rsidRPr="00037C61" w:rsidRDefault="00921D9C" w:rsidP="43A5E8BA">
      <w:pPr>
        <w:spacing w:before="240"/>
        <w:rPr>
          <w:lang w:val="en-GB"/>
        </w:rPr>
      </w:pPr>
      <w:r w:rsidRPr="00037C61">
        <w:rPr>
          <w:lang w:val="en-GB"/>
        </w:rPr>
        <w:t xml:space="preserve">Taking a territorial approach, the dynamic is closely aligned to an increasing trend of evolution for the active companies on an annual basis in the Hungarian counties. There </w:t>
      </w:r>
      <w:r w:rsidR="00231685" w:rsidRPr="00037C61">
        <w:rPr>
          <w:lang w:val="en-GB"/>
        </w:rPr>
        <w:t>were</w:t>
      </w:r>
      <w:r w:rsidRPr="00037C61">
        <w:rPr>
          <w:lang w:val="en-GB"/>
        </w:rPr>
        <w:t xml:space="preserve"> no</w:t>
      </w:r>
      <w:r w:rsidR="00A01C0D" w:rsidRPr="00037C61">
        <w:rPr>
          <w:lang w:val="en-GB"/>
        </w:rPr>
        <w:t xml:space="preserve"> </w:t>
      </w:r>
      <w:r w:rsidR="00231685" w:rsidRPr="00037C61">
        <w:rPr>
          <w:lang w:val="en-GB"/>
        </w:rPr>
        <w:t>major fluctuations due to possible</w:t>
      </w:r>
      <w:r w:rsidRPr="00037C61">
        <w:rPr>
          <w:lang w:val="en-GB"/>
        </w:rPr>
        <w:t xml:space="preserve"> opportunities, but in the Romanian counties the entrepreneurial spirit is a zig zag trend</w:t>
      </w:r>
      <w:r w:rsidR="00866764" w:rsidRPr="00037C61">
        <w:rPr>
          <w:lang w:val="en-GB"/>
        </w:rPr>
        <w:t>.</w:t>
      </w:r>
      <w:r w:rsidRPr="00037C61">
        <w:rPr>
          <w:lang w:val="en-GB"/>
        </w:rPr>
        <w:t xml:space="preserve"> The graphs below explain the levels of the </w:t>
      </w:r>
      <w:r w:rsidR="1093DE46" w:rsidRPr="00037C61">
        <w:rPr>
          <w:lang w:val="en-GB"/>
        </w:rPr>
        <w:t>latest 6 available</w:t>
      </w:r>
      <w:r w:rsidRPr="00037C61">
        <w:rPr>
          <w:lang w:val="en-GB"/>
        </w:rPr>
        <w:t xml:space="preserve"> analysed</w:t>
      </w:r>
      <w:r w:rsidR="4D69A605" w:rsidRPr="00037C61">
        <w:rPr>
          <w:lang w:val="en-GB"/>
        </w:rPr>
        <w:t xml:space="preserve"> years</w:t>
      </w:r>
      <w:r w:rsidRPr="00037C61">
        <w:rPr>
          <w:lang w:val="en-GB"/>
        </w:rPr>
        <w:t xml:space="preserve"> and the course of the companies on the regional market.</w:t>
      </w:r>
    </w:p>
    <w:p w14:paraId="621A11EB" w14:textId="597A4C9B" w:rsidR="006C5543" w:rsidRPr="00037C61" w:rsidRDefault="006C5543" w:rsidP="006C5543">
      <w:pPr>
        <w:keepNext/>
        <w:spacing w:before="240" w:after="0"/>
        <w:jc w:val="left"/>
        <w:rPr>
          <w:lang w:val="en-GB"/>
        </w:rPr>
      </w:pPr>
      <w:r w:rsidRPr="00037C61">
        <w:rPr>
          <w:noProof/>
          <w:lang w:val="ro-RO" w:eastAsia="ro-RO"/>
        </w:rPr>
        <w:drawing>
          <wp:inline distT="0" distB="0" distL="0" distR="0" wp14:anchorId="2AAA2676" wp14:editId="3130D724">
            <wp:extent cx="5731510" cy="1803400"/>
            <wp:effectExtent l="0" t="0" r="254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137">
                      <a:extLst>
                        <a:ext uri="{28A0092B-C50C-407E-A947-70E740481C1C}">
                          <a14:useLocalDpi xmlns:a14="http://schemas.microsoft.com/office/drawing/2010/main"/>
                        </a:ext>
                      </a:extLst>
                    </a:blip>
                    <a:stretch>
                      <a:fillRect/>
                    </a:stretch>
                  </pic:blipFill>
                  <pic:spPr>
                    <a:xfrm>
                      <a:off x="0" y="0"/>
                      <a:ext cx="5731510" cy="1803400"/>
                    </a:xfrm>
                    <a:prstGeom prst="rect">
                      <a:avLst/>
                    </a:prstGeom>
                  </pic:spPr>
                </pic:pic>
              </a:graphicData>
            </a:graphic>
          </wp:inline>
        </w:drawing>
      </w:r>
    </w:p>
    <w:p w14:paraId="1D2E3D2A" w14:textId="1AA66D74" w:rsidR="006C5543" w:rsidRPr="00037C61" w:rsidRDefault="006C5543" w:rsidP="006C5543">
      <w:pPr>
        <w:pStyle w:val="Caption"/>
        <w:jc w:val="left"/>
        <w:rPr>
          <w:lang w:val="en-GB"/>
        </w:rPr>
      </w:pPr>
      <w:bookmarkStart w:id="360" w:name="_Toc6461100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60</w:t>
      </w:r>
      <w:r w:rsidR="00412697">
        <w:rPr>
          <w:lang w:val="en-GB"/>
        </w:rPr>
        <w:fldChar w:fldCharType="end"/>
      </w:r>
      <w:r w:rsidRPr="00037C61">
        <w:rPr>
          <w:lang w:val="en-GB"/>
        </w:rPr>
        <w:t xml:space="preserve"> - Change in active enterprises (annual %), 2012-2017</w:t>
      </w:r>
      <w:bookmarkEnd w:id="360"/>
    </w:p>
    <w:p w14:paraId="11ED311A" w14:textId="77777777" w:rsidR="006C5543" w:rsidRPr="00037C61" w:rsidRDefault="006C5543" w:rsidP="006C5543">
      <w:pPr>
        <w:pStyle w:val="Caption"/>
        <w:jc w:val="left"/>
        <w:rPr>
          <w:lang w:val="en-GB"/>
        </w:rPr>
      </w:pPr>
      <w:r w:rsidRPr="00037C61">
        <w:rPr>
          <w:lang w:val="en-GB"/>
        </w:rPr>
        <w:t>Source: Eurostat, * Latest data available in the data bases is 2017</w:t>
      </w:r>
    </w:p>
    <w:p w14:paraId="3B3457D3" w14:textId="77777777" w:rsidR="006C5543" w:rsidRPr="00037C61" w:rsidRDefault="006C5543" w:rsidP="00921D9C">
      <w:pPr>
        <w:spacing w:before="240"/>
        <w:jc w:val="left"/>
        <w:rPr>
          <w:bCs/>
          <w:lang w:val="en-GB"/>
        </w:rPr>
      </w:pPr>
    </w:p>
    <w:p w14:paraId="4B15F468" w14:textId="509312B3" w:rsidR="00542215" w:rsidRPr="00037C61" w:rsidRDefault="00542215" w:rsidP="00C90E44">
      <w:pPr>
        <w:pStyle w:val="Heading4"/>
        <w:rPr>
          <w:lang w:val="en-GB"/>
        </w:rPr>
      </w:pPr>
      <w:r w:rsidRPr="00037C61">
        <w:rPr>
          <w:lang w:val="en-GB"/>
        </w:rPr>
        <w:t>Entrepreneurship and start-ups</w:t>
      </w:r>
    </w:p>
    <w:p w14:paraId="50621754" w14:textId="56C4ADE2" w:rsidR="00921D9C" w:rsidRPr="00037C61" w:rsidRDefault="52230E0C" w:rsidP="00542215">
      <w:pPr>
        <w:jc w:val="left"/>
        <w:rPr>
          <w:bCs/>
          <w:lang w:val="en-GB"/>
        </w:rPr>
      </w:pPr>
      <w:r w:rsidRPr="00037C61">
        <w:rPr>
          <w:lang w:val="en-GB"/>
        </w:rPr>
        <w:t>The number of enterprises per thousand of inhabitants is below the national averages, except 2015-2017 where the situation is changed (51 active companies at the end of 2017 from PA compared to 43 in Romania and 49 in Hungary); moreover, the values envisaged certain intraregional disparities: the difference between the highest (Csongrád-Csanád) and the lowest (Satu Mare) value is almost 200%.</w:t>
      </w:r>
    </w:p>
    <w:p w14:paraId="7DB4F329" w14:textId="7DC1B7C1" w:rsidR="00B8289A" w:rsidRPr="00037C61" w:rsidRDefault="00B8289A" w:rsidP="00B8289A">
      <w:pPr>
        <w:pStyle w:val="Caption"/>
        <w:keepNext/>
        <w:jc w:val="left"/>
        <w:rPr>
          <w:lang w:val="en-GB"/>
        </w:rPr>
      </w:pPr>
      <w:bookmarkStart w:id="361" w:name="_Toc58237643"/>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21</w:t>
      </w:r>
      <w:r w:rsidR="00552808" w:rsidRPr="00037C61">
        <w:rPr>
          <w:lang w:val="en-GB"/>
        </w:rPr>
        <w:fldChar w:fldCharType="end"/>
      </w:r>
      <w:r w:rsidR="00EA5E72" w:rsidRPr="00037C61">
        <w:rPr>
          <w:lang w:val="en-GB"/>
        </w:rPr>
        <w:t xml:space="preserve"> -</w:t>
      </w:r>
      <w:r w:rsidRPr="00037C61">
        <w:rPr>
          <w:lang w:val="en-GB"/>
        </w:rPr>
        <w:t xml:space="preserve"> No of enterprises* per thousand of inhabitants in Romania, Hungary, RO-HU area</w:t>
      </w:r>
      <w:bookmarkEnd w:id="361"/>
    </w:p>
    <w:tbl>
      <w:tblPr>
        <w:tblW w:w="9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694"/>
        <w:gridCol w:w="661"/>
        <w:gridCol w:w="756"/>
        <w:gridCol w:w="661"/>
        <w:gridCol w:w="661"/>
        <w:gridCol w:w="661"/>
        <w:gridCol w:w="710"/>
        <w:gridCol w:w="661"/>
      </w:tblGrid>
      <w:tr w:rsidR="00921D9C" w:rsidRPr="00037C61" w14:paraId="4E705D04" w14:textId="77777777" w:rsidTr="003979D6">
        <w:trPr>
          <w:trHeight w:val="300"/>
          <w:tblHeader/>
        </w:trPr>
        <w:tc>
          <w:tcPr>
            <w:tcW w:w="1696" w:type="dxa"/>
            <w:shd w:val="clear" w:color="auto" w:fill="0070C0"/>
            <w:vAlign w:val="bottom"/>
            <w:hideMark/>
          </w:tcPr>
          <w:p w14:paraId="485BEFBB" w14:textId="77777777" w:rsidR="00921D9C" w:rsidRPr="00037C61" w:rsidRDefault="00921D9C" w:rsidP="00921D9C">
            <w:pPr>
              <w:spacing w:after="0" w:line="240" w:lineRule="auto"/>
              <w:jc w:val="left"/>
              <w:rPr>
                <w:rFonts w:cs="Calibri"/>
                <w:b/>
                <w:color w:val="FFFFFF" w:themeColor="background1"/>
                <w:sz w:val="18"/>
                <w:szCs w:val="18"/>
                <w:lang w:val="en-GB"/>
              </w:rPr>
            </w:pPr>
            <w:r w:rsidRPr="00037C61">
              <w:rPr>
                <w:rFonts w:cs="Calibri"/>
                <w:b/>
                <w:color w:val="FFFFFF" w:themeColor="background1"/>
                <w:sz w:val="18"/>
                <w:szCs w:val="18"/>
                <w:lang w:val="en-GB"/>
              </w:rPr>
              <w:t>Area</w:t>
            </w:r>
          </w:p>
        </w:tc>
        <w:tc>
          <w:tcPr>
            <w:tcW w:w="2694" w:type="dxa"/>
            <w:shd w:val="clear" w:color="auto" w:fill="0070C0"/>
            <w:vAlign w:val="bottom"/>
            <w:hideMark/>
          </w:tcPr>
          <w:p w14:paraId="0A08B21A" w14:textId="77777777" w:rsidR="00921D9C" w:rsidRPr="00037C61" w:rsidRDefault="00921D9C" w:rsidP="00921D9C">
            <w:pPr>
              <w:spacing w:after="0" w:line="240" w:lineRule="auto"/>
              <w:jc w:val="center"/>
              <w:rPr>
                <w:rFonts w:cs="Calibri"/>
                <w:b/>
                <w:color w:val="FFFFFF" w:themeColor="background1"/>
                <w:sz w:val="18"/>
                <w:szCs w:val="18"/>
                <w:lang w:val="en-GB"/>
              </w:rPr>
            </w:pPr>
            <w:r w:rsidRPr="00037C61">
              <w:rPr>
                <w:rFonts w:cs="Calibri"/>
                <w:b/>
                <w:color w:val="FFFFFF" w:themeColor="background1"/>
                <w:sz w:val="18"/>
                <w:szCs w:val="18"/>
                <w:lang w:val="en-GB"/>
              </w:rPr>
              <w:t xml:space="preserve">Unit </w:t>
            </w:r>
          </w:p>
        </w:tc>
        <w:tc>
          <w:tcPr>
            <w:tcW w:w="661" w:type="dxa"/>
            <w:shd w:val="clear" w:color="auto" w:fill="0070C0"/>
            <w:vAlign w:val="bottom"/>
            <w:hideMark/>
          </w:tcPr>
          <w:p w14:paraId="0AA548C5"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2011</w:t>
            </w:r>
          </w:p>
        </w:tc>
        <w:tc>
          <w:tcPr>
            <w:tcW w:w="756" w:type="dxa"/>
            <w:shd w:val="clear" w:color="auto" w:fill="0070C0"/>
            <w:vAlign w:val="bottom"/>
            <w:hideMark/>
          </w:tcPr>
          <w:p w14:paraId="01E55F53"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2012</w:t>
            </w:r>
          </w:p>
        </w:tc>
        <w:tc>
          <w:tcPr>
            <w:tcW w:w="661" w:type="dxa"/>
            <w:shd w:val="clear" w:color="auto" w:fill="0070C0"/>
            <w:vAlign w:val="bottom"/>
            <w:hideMark/>
          </w:tcPr>
          <w:p w14:paraId="578697A4"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2013</w:t>
            </w:r>
          </w:p>
        </w:tc>
        <w:tc>
          <w:tcPr>
            <w:tcW w:w="661" w:type="dxa"/>
            <w:shd w:val="clear" w:color="auto" w:fill="0070C0"/>
            <w:vAlign w:val="bottom"/>
            <w:hideMark/>
          </w:tcPr>
          <w:p w14:paraId="61745A07"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2014</w:t>
            </w:r>
          </w:p>
        </w:tc>
        <w:tc>
          <w:tcPr>
            <w:tcW w:w="661" w:type="dxa"/>
            <w:shd w:val="clear" w:color="auto" w:fill="0070C0"/>
            <w:vAlign w:val="bottom"/>
            <w:hideMark/>
          </w:tcPr>
          <w:p w14:paraId="47AE9B27"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2015</w:t>
            </w:r>
          </w:p>
        </w:tc>
        <w:tc>
          <w:tcPr>
            <w:tcW w:w="710" w:type="dxa"/>
            <w:shd w:val="clear" w:color="auto" w:fill="0070C0"/>
            <w:vAlign w:val="bottom"/>
            <w:hideMark/>
          </w:tcPr>
          <w:p w14:paraId="1083147E"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2016</w:t>
            </w:r>
          </w:p>
        </w:tc>
        <w:tc>
          <w:tcPr>
            <w:tcW w:w="661" w:type="dxa"/>
            <w:shd w:val="clear" w:color="auto" w:fill="0070C0"/>
            <w:vAlign w:val="bottom"/>
            <w:hideMark/>
          </w:tcPr>
          <w:p w14:paraId="0FB5D9C7" w14:textId="77777777" w:rsidR="00921D9C" w:rsidRPr="00037C61" w:rsidRDefault="00921D9C" w:rsidP="00921D9C">
            <w:pPr>
              <w:spacing w:after="0" w:line="240" w:lineRule="auto"/>
              <w:jc w:val="right"/>
              <w:rPr>
                <w:rFonts w:cs="Calibri"/>
                <w:b/>
                <w:color w:val="FFFFFF" w:themeColor="background1"/>
                <w:sz w:val="18"/>
                <w:szCs w:val="18"/>
                <w:lang w:val="en-GB"/>
              </w:rPr>
            </w:pPr>
            <w:r w:rsidRPr="00037C61">
              <w:rPr>
                <w:rFonts w:cs="Calibri"/>
                <w:b/>
                <w:color w:val="FFFFFF" w:themeColor="background1"/>
                <w:sz w:val="18"/>
                <w:szCs w:val="18"/>
                <w:lang w:val="en-GB"/>
              </w:rPr>
              <w:t>2017</w:t>
            </w:r>
          </w:p>
        </w:tc>
      </w:tr>
      <w:tr w:rsidR="00921D9C" w:rsidRPr="00037C61" w14:paraId="7EDDF2D1" w14:textId="77777777" w:rsidTr="00772613">
        <w:trPr>
          <w:trHeight w:val="300"/>
        </w:trPr>
        <w:tc>
          <w:tcPr>
            <w:tcW w:w="1696" w:type="dxa"/>
            <w:shd w:val="clear" w:color="auto" w:fill="FBD1D2" w:themeFill="accent3" w:themeFillTint="33"/>
            <w:hideMark/>
          </w:tcPr>
          <w:p w14:paraId="47AD455C" w14:textId="77777777" w:rsidR="00921D9C" w:rsidRPr="00037C61" w:rsidRDefault="00921D9C" w:rsidP="00921D9C">
            <w:pPr>
              <w:spacing w:after="0" w:line="240" w:lineRule="auto"/>
              <w:jc w:val="left"/>
              <w:rPr>
                <w:rFonts w:cs="Calibri"/>
                <w:color w:val="000000"/>
                <w:sz w:val="18"/>
                <w:szCs w:val="18"/>
                <w:lang w:val="en-GB"/>
              </w:rPr>
            </w:pPr>
            <w:r w:rsidRPr="00037C61">
              <w:rPr>
                <w:rFonts w:cs="Calibri"/>
                <w:color w:val="000000"/>
                <w:sz w:val="18"/>
                <w:szCs w:val="18"/>
                <w:lang w:val="en-GB"/>
              </w:rPr>
              <w:t>Hungary</w:t>
            </w:r>
          </w:p>
        </w:tc>
        <w:tc>
          <w:tcPr>
            <w:tcW w:w="2694" w:type="dxa"/>
            <w:shd w:val="clear" w:color="auto" w:fill="FBD1D2" w:themeFill="accent3" w:themeFillTint="33"/>
            <w:noWrap/>
            <w:vAlign w:val="bottom"/>
            <w:hideMark/>
          </w:tcPr>
          <w:p w14:paraId="5D4AAB45" w14:textId="664F0CDC" w:rsidR="00921D9C" w:rsidRPr="00037C61" w:rsidRDefault="00772613" w:rsidP="00921D9C">
            <w:pPr>
              <w:spacing w:after="0" w:line="240" w:lineRule="auto"/>
              <w:jc w:val="center"/>
              <w:rPr>
                <w:rFonts w:cs="Calibri"/>
                <w:color w:val="000000"/>
                <w:sz w:val="18"/>
                <w:szCs w:val="18"/>
                <w:lang w:val="en-GB"/>
              </w:rPr>
            </w:pPr>
            <w:r w:rsidRPr="00037C61">
              <w:rPr>
                <w:rFonts w:cs="Calibri"/>
                <w:color w:val="000000"/>
                <w:sz w:val="18"/>
                <w:szCs w:val="18"/>
                <w:lang w:val="en-GB"/>
              </w:rPr>
              <w:t>E</w:t>
            </w:r>
            <w:r w:rsidR="00921D9C" w:rsidRPr="00037C61">
              <w:rPr>
                <w:rFonts w:cs="Calibri"/>
                <w:color w:val="000000"/>
                <w:sz w:val="18"/>
                <w:szCs w:val="18"/>
                <w:lang w:val="en-GB"/>
              </w:rPr>
              <w:t>nter</w:t>
            </w:r>
            <w:r w:rsidRPr="00037C61">
              <w:rPr>
                <w:rFonts w:cs="Calibri"/>
                <w:color w:val="000000"/>
                <w:sz w:val="18"/>
                <w:szCs w:val="18"/>
                <w:lang w:val="en-GB"/>
              </w:rPr>
              <w:t xml:space="preserve">prises </w:t>
            </w:r>
            <w:r w:rsidR="00921D9C" w:rsidRPr="00037C61">
              <w:rPr>
                <w:rFonts w:cs="Calibri"/>
                <w:color w:val="000000"/>
                <w:sz w:val="18"/>
                <w:szCs w:val="18"/>
                <w:lang w:val="en-GB"/>
              </w:rPr>
              <w:t xml:space="preserve">/ </w:t>
            </w:r>
            <w:r w:rsidRPr="00037C61">
              <w:rPr>
                <w:rFonts w:cs="Calibri"/>
                <w:color w:val="000000"/>
                <w:sz w:val="18"/>
                <w:szCs w:val="18"/>
                <w:lang w:val="en-GB"/>
              </w:rPr>
              <w:t>1,000 inh.</w:t>
            </w:r>
          </w:p>
        </w:tc>
        <w:tc>
          <w:tcPr>
            <w:tcW w:w="661" w:type="dxa"/>
            <w:shd w:val="clear" w:color="auto" w:fill="FBD1D2" w:themeFill="accent3" w:themeFillTint="33"/>
            <w:noWrap/>
            <w:vAlign w:val="bottom"/>
            <w:hideMark/>
          </w:tcPr>
          <w:p w14:paraId="14994F89"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66</w:t>
            </w:r>
          </w:p>
        </w:tc>
        <w:tc>
          <w:tcPr>
            <w:tcW w:w="756" w:type="dxa"/>
            <w:shd w:val="clear" w:color="auto" w:fill="FBD1D2" w:themeFill="accent3" w:themeFillTint="33"/>
            <w:noWrap/>
            <w:vAlign w:val="bottom"/>
            <w:hideMark/>
          </w:tcPr>
          <w:p w14:paraId="588CE999"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60</w:t>
            </w:r>
          </w:p>
        </w:tc>
        <w:tc>
          <w:tcPr>
            <w:tcW w:w="661" w:type="dxa"/>
            <w:shd w:val="clear" w:color="auto" w:fill="FBD1D2" w:themeFill="accent3" w:themeFillTint="33"/>
            <w:noWrap/>
            <w:vAlign w:val="bottom"/>
            <w:hideMark/>
          </w:tcPr>
          <w:p w14:paraId="30EA8094"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57</w:t>
            </w:r>
          </w:p>
        </w:tc>
        <w:tc>
          <w:tcPr>
            <w:tcW w:w="661" w:type="dxa"/>
            <w:shd w:val="clear" w:color="auto" w:fill="FBD1D2" w:themeFill="accent3" w:themeFillTint="33"/>
            <w:noWrap/>
            <w:vAlign w:val="bottom"/>
            <w:hideMark/>
          </w:tcPr>
          <w:p w14:paraId="2F537A1E"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53</w:t>
            </w:r>
          </w:p>
        </w:tc>
        <w:tc>
          <w:tcPr>
            <w:tcW w:w="661" w:type="dxa"/>
            <w:shd w:val="clear" w:color="auto" w:fill="FBD1D2" w:themeFill="accent3" w:themeFillTint="33"/>
            <w:noWrap/>
            <w:vAlign w:val="bottom"/>
            <w:hideMark/>
          </w:tcPr>
          <w:p w14:paraId="3080AE43"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51</w:t>
            </w:r>
          </w:p>
        </w:tc>
        <w:tc>
          <w:tcPr>
            <w:tcW w:w="710" w:type="dxa"/>
            <w:shd w:val="clear" w:color="auto" w:fill="FBD1D2" w:themeFill="accent3" w:themeFillTint="33"/>
            <w:noWrap/>
            <w:vAlign w:val="bottom"/>
            <w:hideMark/>
          </w:tcPr>
          <w:p w14:paraId="53AA0041"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50</w:t>
            </w:r>
          </w:p>
        </w:tc>
        <w:tc>
          <w:tcPr>
            <w:tcW w:w="661" w:type="dxa"/>
            <w:shd w:val="clear" w:color="auto" w:fill="FBD1D2" w:themeFill="accent3" w:themeFillTint="33"/>
            <w:noWrap/>
            <w:vAlign w:val="bottom"/>
            <w:hideMark/>
          </w:tcPr>
          <w:p w14:paraId="3BD89521" w14:textId="77777777" w:rsidR="00921D9C" w:rsidRPr="00037C61" w:rsidRDefault="00921D9C" w:rsidP="00921D9C">
            <w:pPr>
              <w:spacing w:after="0" w:line="240" w:lineRule="auto"/>
              <w:jc w:val="right"/>
              <w:rPr>
                <w:rFonts w:cs="Calibri"/>
                <w:color w:val="000000"/>
                <w:sz w:val="18"/>
                <w:szCs w:val="18"/>
                <w:lang w:val="en-GB"/>
              </w:rPr>
            </w:pPr>
            <w:r w:rsidRPr="00037C61">
              <w:rPr>
                <w:rFonts w:cs="Calibri"/>
                <w:color w:val="000000"/>
                <w:sz w:val="18"/>
                <w:szCs w:val="18"/>
                <w:lang w:val="en-GB"/>
              </w:rPr>
              <w:t>49</w:t>
            </w:r>
          </w:p>
        </w:tc>
      </w:tr>
      <w:tr w:rsidR="00772613" w:rsidRPr="00037C61" w14:paraId="281C45E1" w14:textId="77777777" w:rsidTr="00B21A8C">
        <w:trPr>
          <w:trHeight w:val="300"/>
        </w:trPr>
        <w:tc>
          <w:tcPr>
            <w:tcW w:w="1696" w:type="dxa"/>
            <w:shd w:val="clear" w:color="auto" w:fill="EAEDF6" w:themeFill="accent2" w:themeFillTint="33"/>
            <w:hideMark/>
          </w:tcPr>
          <w:p w14:paraId="23B94858"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Romania</w:t>
            </w:r>
          </w:p>
        </w:tc>
        <w:tc>
          <w:tcPr>
            <w:tcW w:w="2694" w:type="dxa"/>
            <w:shd w:val="clear" w:color="auto" w:fill="EAEDF6" w:themeFill="accent2" w:themeFillTint="33"/>
            <w:noWrap/>
            <w:hideMark/>
          </w:tcPr>
          <w:p w14:paraId="16191ABC" w14:textId="2241BEB2"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EAEDF6" w:themeFill="accent2" w:themeFillTint="33"/>
            <w:noWrap/>
            <w:vAlign w:val="bottom"/>
            <w:hideMark/>
          </w:tcPr>
          <w:p w14:paraId="5C234BB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49</w:t>
            </w:r>
          </w:p>
        </w:tc>
        <w:tc>
          <w:tcPr>
            <w:tcW w:w="756" w:type="dxa"/>
            <w:shd w:val="clear" w:color="auto" w:fill="EAEDF6" w:themeFill="accent2" w:themeFillTint="33"/>
            <w:noWrap/>
            <w:vAlign w:val="bottom"/>
            <w:hideMark/>
          </w:tcPr>
          <w:p w14:paraId="511C151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55</w:t>
            </w:r>
          </w:p>
        </w:tc>
        <w:tc>
          <w:tcPr>
            <w:tcW w:w="661" w:type="dxa"/>
            <w:shd w:val="clear" w:color="auto" w:fill="EAEDF6" w:themeFill="accent2" w:themeFillTint="33"/>
            <w:noWrap/>
            <w:vAlign w:val="bottom"/>
            <w:hideMark/>
          </w:tcPr>
          <w:p w14:paraId="3D616E31"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52</w:t>
            </w:r>
          </w:p>
        </w:tc>
        <w:tc>
          <w:tcPr>
            <w:tcW w:w="661" w:type="dxa"/>
            <w:shd w:val="clear" w:color="auto" w:fill="EAEDF6" w:themeFill="accent2" w:themeFillTint="33"/>
            <w:noWrap/>
            <w:vAlign w:val="bottom"/>
            <w:hideMark/>
          </w:tcPr>
          <w:p w14:paraId="5DCD240B"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51</w:t>
            </w:r>
          </w:p>
        </w:tc>
        <w:tc>
          <w:tcPr>
            <w:tcW w:w="661" w:type="dxa"/>
            <w:shd w:val="clear" w:color="auto" w:fill="EAEDF6" w:themeFill="accent2" w:themeFillTint="33"/>
            <w:noWrap/>
            <w:vAlign w:val="bottom"/>
            <w:hideMark/>
          </w:tcPr>
          <w:p w14:paraId="21EC9676"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710" w:type="dxa"/>
            <w:shd w:val="clear" w:color="auto" w:fill="EAEDF6" w:themeFill="accent2" w:themeFillTint="33"/>
            <w:noWrap/>
            <w:vAlign w:val="bottom"/>
            <w:hideMark/>
          </w:tcPr>
          <w:p w14:paraId="0C54E5E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45</w:t>
            </w:r>
          </w:p>
        </w:tc>
        <w:tc>
          <w:tcPr>
            <w:tcW w:w="661" w:type="dxa"/>
            <w:shd w:val="clear" w:color="auto" w:fill="EAEDF6" w:themeFill="accent2" w:themeFillTint="33"/>
            <w:noWrap/>
            <w:vAlign w:val="bottom"/>
            <w:hideMark/>
          </w:tcPr>
          <w:p w14:paraId="3004181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43</w:t>
            </w:r>
          </w:p>
        </w:tc>
      </w:tr>
      <w:tr w:rsidR="00772613" w:rsidRPr="00037C61" w14:paraId="25C13DB1" w14:textId="77777777" w:rsidTr="00B21A8C">
        <w:trPr>
          <w:trHeight w:val="300"/>
        </w:trPr>
        <w:tc>
          <w:tcPr>
            <w:tcW w:w="1696" w:type="dxa"/>
            <w:shd w:val="clear" w:color="auto" w:fill="auto"/>
            <w:noWrap/>
            <w:hideMark/>
          </w:tcPr>
          <w:p w14:paraId="5FB18C52"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RO HU area</w:t>
            </w:r>
          </w:p>
        </w:tc>
        <w:tc>
          <w:tcPr>
            <w:tcW w:w="2694" w:type="dxa"/>
            <w:shd w:val="clear" w:color="auto" w:fill="auto"/>
            <w:noWrap/>
            <w:hideMark/>
          </w:tcPr>
          <w:p w14:paraId="39611FD9" w14:textId="0458A42A"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auto"/>
            <w:noWrap/>
            <w:vAlign w:val="bottom"/>
            <w:hideMark/>
          </w:tcPr>
          <w:p w14:paraId="5E0F9D8C"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45</w:t>
            </w:r>
          </w:p>
        </w:tc>
        <w:tc>
          <w:tcPr>
            <w:tcW w:w="756" w:type="dxa"/>
            <w:shd w:val="clear" w:color="auto" w:fill="auto"/>
            <w:noWrap/>
            <w:vAlign w:val="bottom"/>
            <w:hideMark/>
          </w:tcPr>
          <w:p w14:paraId="181BFC46"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661" w:type="dxa"/>
            <w:shd w:val="clear" w:color="auto" w:fill="auto"/>
            <w:noWrap/>
            <w:vAlign w:val="bottom"/>
            <w:hideMark/>
          </w:tcPr>
          <w:p w14:paraId="04A9B8F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661" w:type="dxa"/>
            <w:shd w:val="clear" w:color="auto" w:fill="auto"/>
            <w:noWrap/>
            <w:vAlign w:val="bottom"/>
            <w:hideMark/>
          </w:tcPr>
          <w:p w14:paraId="7E2888CE"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47</w:t>
            </w:r>
          </w:p>
        </w:tc>
        <w:tc>
          <w:tcPr>
            <w:tcW w:w="661" w:type="dxa"/>
            <w:shd w:val="clear" w:color="auto" w:fill="auto"/>
            <w:noWrap/>
            <w:vAlign w:val="bottom"/>
            <w:hideMark/>
          </w:tcPr>
          <w:p w14:paraId="74153AD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47</w:t>
            </w:r>
          </w:p>
        </w:tc>
        <w:tc>
          <w:tcPr>
            <w:tcW w:w="710" w:type="dxa"/>
            <w:shd w:val="clear" w:color="auto" w:fill="auto"/>
            <w:noWrap/>
            <w:vAlign w:val="bottom"/>
            <w:hideMark/>
          </w:tcPr>
          <w:p w14:paraId="6D7E916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49</w:t>
            </w:r>
          </w:p>
        </w:tc>
        <w:tc>
          <w:tcPr>
            <w:tcW w:w="661" w:type="dxa"/>
            <w:shd w:val="clear" w:color="auto" w:fill="auto"/>
            <w:noWrap/>
            <w:vAlign w:val="bottom"/>
            <w:hideMark/>
          </w:tcPr>
          <w:p w14:paraId="2B9C49A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51</w:t>
            </w:r>
          </w:p>
        </w:tc>
      </w:tr>
      <w:tr w:rsidR="00921D9C" w:rsidRPr="00037C61" w14:paraId="782D0812" w14:textId="77777777" w:rsidTr="00772613">
        <w:trPr>
          <w:trHeight w:val="300"/>
        </w:trPr>
        <w:tc>
          <w:tcPr>
            <w:tcW w:w="1696" w:type="dxa"/>
            <w:shd w:val="clear" w:color="auto" w:fill="auto"/>
            <w:noWrap/>
            <w:vAlign w:val="bottom"/>
            <w:hideMark/>
          </w:tcPr>
          <w:p w14:paraId="01687C7B" w14:textId="77777777" w:rsidR="00921D9C" w:rsidRPr="00037C61" w:rsidRDefault="00921D9C" w:rsidP="00921D9C">
            <w:pPr>
              <w:spacing w:after="0" w:line="240" w:lineRule="auto"/>
              <w:jc w:val="right"/>
              <w:rPr>
                <w:rFonts w:cs="Calibri"/>
                <w:color w:val="000000"/>
                <w:sz w:val="18"/>
                <w:szCs w:val="18"/>
                <w:lang w:val="en-GB"/>
              </w:rPr>
            </w:pPr>
          </w:p>
        </w:tc>
        <w:tc>
          <w:tcPr>
            <w:tcW w:w="2694" w:type="dxa"/>
            <w:shd w:val="clear" w:color="auto" w:fill="auto"/>
            <w:noWrap/>
            <w:vAlign w:val="bottom"/>
            <w:hideMark/>
          </w:tcPr>
          <w:p w14:paraId="207C319C"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5787E69E" w14:textId="77777777" w:rsidR="00921D9C" w:rsidRPr="00037C61" w:rsidRDefault="00921D9C" w:rsidP="00921D9C">
            <w:pPr>
              <w:spacing w:after="0" w:line="240" w:lineRule="auto"/>
              <w:jc w:val="center"/>
              <w:rPr>
                <w:rFonts w:cs="Calibri"/>
                <w:sz w:val="18"/>
                <w:szCs w:val="18"/>
                <w:lang w:val="en-GB"/>
              </w:rPr>
            </w:pPr>
          </w:p>
        </w:tc>
        <w:tc>
          <w:tcPr>
            <w:tcW w:w="756" w:type="dxa"/>
            <w:shd w:val="clear" w:color="auto" w:fill="auto"/>
            <w:noWrap/>
            <w:vAlign w:val="bottom"/>
            <w:hideMark/>
          </w:tcPr>
          <w:p w14:paraId="13A7228A"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0DE4CFEB"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1E091E4C"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5EDC1EBA" w14:textId="77777777" w:rsidR="00921D9C" w:rsidRPr="00037C61" w:rsidRDefault="00921D9C" w:rsidP="00921D9C">
            <w:pPr>
              <w:spacing w:after="0" w:line="240" w:lineRule="auto"/>
              <w:jc w:val="left"/>
              <w:rPr>
                <w:rFonts w:cs="Calibri"/>
                <w:sz w:val="18"/>
                <w:szCs w:val="18"/>
                <w:lang w:val="en-GB"/>
              </w:rPr>
            </w:pPr>
          </w:p>
        </w:tc>
        <w:tc>
          <w:tcPr>
            <w:tcW w:w="710" w:type="dxa"/>
            <w:shd w:val="clear" w:color="auto" w:fill="auto"/>
            <w:noWrap/>
            <w:vAlign w:val="bottom"/>
            <w:hideMark/>
          </w:tcPr>
          <w:p w14:paraId="3D93AC99"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65513A0E" w14:textId="77777777" w:rsidR="00921D9C" w:rsidRPr="00037C61" w:rsidRDefault="00921D9C" w:rsidP="00921D9C">
            <w:pPr>
              <w:spacing w:after="0" w:line="240" w:lineRule="auto"/>
              <w:jc w:val="left"/>
              <w:rPr>
                <w:rFonts w:cs="Calibri"/>
                <w:sz w:val="18"/>
                <w:szCs w:val="18"/>
                <w:lang w:val="en-GB"/>
              </w:rPr>
            </w:pPr>
          </w:p>
        </w:tc>
      </w:tr>
      <w:tr w:rsidR="00772613" w:rsidRPr="00037C61" w14:paraId="73FB8E39" w14:textId="77777777" w:rsidTr="00B21A8C">
        <w:trPr>
          <w:trHeight w:val="300"/>
        </w:trPr>
        <w:tc>
          <w:tcPr>
            <w:tcW w:w="1696" w:type="dxa"/>
            <w:shd w:val="clear" w:color="auto" w:fill="FBD1D2" w:themeFill="accent3" w:themeFillTint="33"/>
            <w:noWrap/>
            <w:vAlign w:val="bottom"/>
            <w:hideMark/>
          </w:tcPr>
          <w:p w14:paraId="729B8456"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 xml:space="preserve">Hajdú-Bihar </w:t>
            </w:r>
          </w:p>
        </w:tc>
        <w:tc>
          <w:tcPr>
            <w:tcW w:w="2694" w:type="dxa"/>
            <w:shd w:val="clear" w:color="auto" w:fill="FBD1D2" w:themeFill="accent3" w:themeFillTint="33"/>
            <w:noWrap/>
            <w:hideMark/>
          </w:tcPr>
          <w:p w14:paraId="5330C35D" w14:textId="1F8EC937"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FBD1D2" w:themeFill="accent3" w:themeFillTint="33"/>
            <w:noWrap/>
            <w:vAlign w:val="bottom"/>
            <w:hideMark/>
          </w:tcPr>
          <w:p w14:paraId="10C3A4D3"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57</w:t>
            </w:r>
          </w:p>
        </w:tc>
        <w:tc>
          <w:tcPr>
            <w:tcW w:w="756" w:type="dxa"/>
            <w:shd w:val="clear" w:color="auto" w:fill="FBD1D2" w:themeFill="accent3" w:themeFillTint="33"/>
            <w:noWrap/>
            <w:vAlign w:val="bottom"/>
            <w:hideMark/>
          </w:tcPr>
          <w:p w14:paraId="3C96E48E"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53</w:t>
            </w:r>
          </w:p>
        </w:tc>
        <w:tc>
          <w:tcPr>
            <w:tcW w:w="661" w:type="dxa"/>
            <w:shd w:val="clear" w:color="auto" w:fill="FBD1D2" w:themeFill="accent3" w:themeFillTint="33"/>
            <w:noWrap/>
            <w:vAlign w:val="bottom"/>
            <w:hideMark/>
          </w:tcPr>
          <w:p w14:paraId="03CAF461"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53</w:t>
            </w:r>
          </w:p>
        </w:tc>
        <w:tc>
          <w:tcPr>
            <w:tcW w:w="661" w:type="dxa"/>
            <w:shd w:val="clear" w:color="auto" w:fill="FBD1D2" w:themeFill="accent3" w:themeFillTint="33"/>
            <w:noWrap/>
            <w:vAlign w:val="bottom"/>
            <w:hideMark/>
          </w:tcPr>
          <w:p w14:paraId="1C0DEA15"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54</w:t>
            </w:r>
          </w:p>
        </w:tc>
        <w:tc>
          <w:tcPr>
            <w:tcW w:w="661" w:type="dxa"/>
            <w:shd w:val="clear" w:color="auto" w:fill="FBD1D2" w:themeFill="accent3" w:themeFillTint="33"/>
            <w:noWrap/>
            <w:vAlign w:val="bottom"/>
            <w:hideMark/>
          </w:tcPr>
          <w:p w14:paraId="5CD9EDFC"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55</w:t>
            </w:r>
          </w:p>
        </w:tc>
        <w:tc>
          <w:tcPr>
            <w:tcW w:w="710" w:type="dxa"/>
            <w:shd w:val="clear" w:color="auto" w:fill="FBD1D2" w:themeFill="accent3" w:themeFillTint="33"/>
            <w:noWrap/>
            <w:vAlign w:val="bottom"/>
            <w:hideMark/>
          </w:tcPr>
          <w:p w14:paraId="2F8BCBE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56</w:t>
            </w:r>
          </w:p>
        </w:tc>
        <w:tc>
          <w:tcPr>
            <w:tcW w:w="661" w:type="dxa"/>
            <w:shd w:val="clear" w:color="auto" w:fill="FBD1D2" w:themeFill="accent3" w:themeFillTint="33"/>
            <w:noWrap/>
            <w:vAlign w:val="bottom"/>
            <w:hideMark/>
          </w:tcPr>
          <w:p w14:paraId="2119C086"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59</w:t>
            </w:r>
          </w:p>
        </w:tc>
      </w:tr>
      <w:tr w:rsidR="00772613" w:rsidRPr="00037C61" w14:paraId="7CF509DB" w14:textId="77777777" w:rsidTr="00B21A8C">
        <w:trPr>
          <w:trHeight w:val="300"/>
        </w:trPr>
        <w:tc>
          <w:tcPr>
            <w:tcW w:w="1696" w:type="dxa"/>
            <w:shd w:val="clear" w:color="auto" w:fill="FBD1D2" w:themeFill="accent3" w:themeFillTint="33"/>
            <w:noWrap/>
            <w:vAlign w:val="bottom"/>
            <w:hideMark/>
          </w:tcPr>
          <w:p w14:paraId="148C0DBB"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 xml:space="preserve">Sz-Sz-Bereg </w:t>
            </w:r>
          </w:p>
        </w:tc>
        <w:tc>
          <w:tcPr>
            <w:tcW w:w="2694" w:type="dxa"/>
            <w:shd w:val="clear" w:color="auto" w:fill="FBD1D2" w:themeFill="accent3" w:themeFillTint="33"/>
            <w:noWrap/>
            <w:hideMark/>
          </w:tcPr>
          <w:p w14:paraId="5BF77D7F" w14:textId="37932612"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FBD1D2" w:themeFill="accent3" w:themeFillTint="33"/>
            <w:noWrap/>
            <w:vAlign w:val="bottom"/>
            <w:hideMark/>
          </w:tcPr>
          <w:p w14:paraId="409664AD"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47</w:t>
            </w:r>
          </w:p>
        </w:tc>
        <w:tc>
          <w:tcPr>
            <w:tcW w:w="756" w:type="dxa"/>
            <w:shd w:val="clear" w:color="auto" w:fill="FBD1D2" w:themeFill="accent3" w:themeFillTint="33"/>
            <w:noWrap/>
            <w:vAlign w:val="bottom"/>
            <w:hideMark/>
          </w:tcPr>
          <w:p w14:paraId="64A11E2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43</w:t>
            </w:r>
          </w:p>
        </w:tc>
        <w:tc>
          <w:tcPr>
            <w:tcW w:w="661" w:type="dxa"/>
            <w:shd w:val="clear" w:color="auto" w:fill="FBD1D2" w:themeFill="accent3" w:themeFillTint="33"/>
            <w:noWrap/>
            <w:vAlign w:val="bottom"/>
            <w:hideMark/>
          </w:tcPr>
          <w:p w14:paraId="140DDDAA"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43</w:t>
            </w:r>
          </w:p>
        </w:tc>
        <w:tc>
          <w:tcPr>
            <w:tcW w:w="661" w:type="dxa"/>
            <w:shd w:val="clear" w:color="auto" w:fill="FBD1D2" w:themeFill="accent3" w:themeFillTint="33"/>
            <w:noWrap/>
            <w:vAlign w:val="bottom"/>
            <w:hideMark/>
          </w:tcPr>
          <w:p w14:paraId="72FD7807"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661" w:type="dxa"/>
            <w:shd w:val="clear" w:color="auto" w:fill="FBD1D2" w:themeFill="accent3" w:themeFillTint="33"/>
            <w:noWrap/>
            <w:vAlign w:val="bottom"/>
            <w:hideMark/>
          </w:tcPr>
          <w:p w14:paraId="00F2AA5E"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710" w:type="dxa"/>
            <w:shd w:val="clear" w:color="auto" w:fill="FBD1D2" w:themeFill="accent3" w:themeFillTint="33"/>
            <w:noWrap/>
            <w:vAlign w:val="bottom"/>
            <w:hideMark/>
          </w:tcPr>
          <w:p w14:paraId="787E9B81"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45</w:t>
            </w:r>
          </w:p>
        </w:tc>
        <w:tc>
          <w:tcPr>
            <w:tcW w:w="661" w:type="dxa"/>
            <w:shd w:val="clear" w:color="auto" w:fill="FBD1D2" w:themeFill="accent3" w:themeFillTint="33"/>
            <w:noWrap/>
            <w:vAlign w:val="bottom"/>
            <w:hideMark/>
          </w:tcPr>
          <w:p w14:paraId="2C20AF6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r>
      <w:tr w:rsidR="00772613" w:rsidRPr="00037C61" w14:paraId="6D5CC6F1" w14:textId="77777777" w:rsidTr="00B21A8C">
        <w:trPr>
          <w:trHeight w:val="300"/>
        </w:trPr>
        <w:tc>
          <w:tcPr>
            <w:tcW w:w="1696" w:type="dxa"/>
            <w:shd w:val="clear" w:color="auto" w:fill="FBD1D2" w:themeFill="accent3" w:themeFillTint="33"/>
            <w:noWrap/>
            <w:vAlign w:val="bottom"/>
            <w:hideMark/>
          </w:tcPr>
          <w:p w14:paraId="5F880CCB"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 xml:space="preserve">Békés </w:t>
            </w:r>
          </w:p>
        </w:tc>
        <w:tc>
          <w:tcPr>
            <w:tcW w:w="2694" w:type="dxa"/>
            <w:shd w:val="clear" w:color="auto" w:fill="FBD1D2" w:themeFill="accent3" w:themeFillTint="33"/>
            <w:noWrap/>
            <w:hideMark/>
          </w:tcPr>
          <w:p w14:paraId="015FB9DE" w14:textId="5DD55045"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FBD1D2" w:themeFill="accent3" w:themeFillTint="33"/>
            <w:noWrap/>
            <w:vAlign w:val="bottom"/>
            <w:hideMark/>
          </w:tcPr>
          <w:p w14:paraId="506A1F43"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47</w:t>
            </w:r>
          </w:p>
        </w:tc>
        <w:tc>
          <w:tcPr>
            <w:tcW w:w="756" w:type="dxa"/>
            <w:shd w:val="clear" w:color="auto" w:fill="FBD1D2" w:themeFill="accent3" w:themeFillTint="33"/>
            <w:noWrap/>
            <w:vAlign w:val="bottom"/>
            <w:hideMark/>
          </w:tcPr>
          <w:p w14:paraId="123E2E3A"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661" w:type="dxa"/>
            <w:shd w:val="clear" w:color="auto" w:fill="FBD1D2" w:themeFill="accent3" w:themeFillTint="33"/>
            <w:noWrap/>
            <w:vAlign w:val="bottom"/>
            <w:hideMark/>
          </w:tcPr>
          <w:p w14:paraId="768020B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661" w:type="dxa"/>
            <w:shd w:val="clear" w:color="auto" w:fill="FBD1D2" w:themeFill="accent3" w:themeFillTint="33"/>
            <w:noWrap/>
            <w:vAlign w:val="bottom"/>
            <w:hideMark/>
          </w:tcPr>
          <w:p w14:paraId="2C72F3EE"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45</w:t>
            </w:r>
          </w:p>
        </w:tc>
        <w:tc>
          <w:tcPr>
            <w:tcW w:w="661" w:type="dxa"/>
            <w:shd w:val="clear" w:color="auto" w:fill="FBD1D2" w:themeFill="accent3" w:themeFillTint="33"/>
            <w:noWrap/>
            <w:vAlign w:val="bottom"/>
            <w:hideMark/>
          </w:tcPr>
          <w:p w14:paraId="5104ABD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45</w:t>
            </w:r>
          </w:p>
        </w:tc>
        <w:tc>
          <w:tcPr>
            <w:tcW w:w="710" w:type="dxa"/>
            <w:shd w:val="clear" w:color="auto" w:fill="FBD1D2" w:themeFill="accent3" w:themeFillTint="33"/>
            <w:noWrap/>
            <w:vAlign w:val="bottom"/>
            <w:hideMark/>
          </w:tcPr>
          <w:p w14:paraId="3B40D0F6"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661" w:type="dxa"/>
            <w:shd w:val="clear" w:color="auto" w:fill="FBD1D2" w:themeFill="accent3" w:themeFillTint="33"/>
            <w:noWrap/>
            <w:vAlign w:val="bottom"/>
            <w:hideMark/>
          </w:tcPr>
          <w:p w14:paraId="409D4B41"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49</w:t>
            </w:r>
          </w:p>
        </w:tc>
      </w:tr>
      <w:tr w:rsidR="00772613" w:rsidRPr="00037C61" w14:paraId="014B9A39" w14:textId="77777777" w:rsidTr="00B21A8C">
        <w:trPr>
          <w:trHeight w:val="300"/>
        </w:trPr>
        <w:tc>
          <w:tcPr>
            <w:tcW w:w="1696" w:type="dxa"/>
            <w:shd w:val="clear" w:color="auto" w:fill="FBD1D2" w:themeFill="accent3" w:themeFillTint="33"/>
            <w:noWrap/>
            <w:vAlign w:val="bottom"/>
            <w:hideMark/>
          </w:tcPr>
          <w:p w14:paraId="1B48EC96" w14:textId="14D38931"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themeColor="text1"/>
                <w:sz w:val="18"/>
                <w:szCs w:val="18"/>
                <w:lang w:val="en-GB"/>
              </w:rPr>
              <w:t>Csongrád-Csanád</w:t>
            </w:r>
          </w:p>
        </w:tc>
        <w:tc>
          <w:tcPr>
            <w:tcW w:w="2694" w:type="dxa"/>
            <w:shd w:val="clear" w:color="auto" w:fill="FBD1D2" w:themeFill="accent3" w:themeFillTint="33"/>
            <w:noWrap/>
            <w:hideMark/>
          </w:tcPr>
          <w:p w14:paraId="57A8F2A9" w14:textId="40C5A239"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FBD1D2" w:themeFill="accent3" w:themeFillTint="33"/>
            <w:noWrap/>
            <w:vAlign w:val="bottom"/>
            <w:hideMark/>
          </w:tcPr>
          <w:p w14:paraId="077211C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63</w:t>
            </w:r>
          </w:p>
        </w:tc>
        <w:tc>
          <w:tcPr>
            <w:tcW w:w="756" w:type="dxa"/>
            <w:shd w:val="clear" w:color="auto" w:fill="FBD1D2" w:themeFill="accent3" w:themeFillTint="33"/>
            <w:noWrap/>
            <w:vAlign w:val="bottom"/>
            <w:hideMark/>
          </w:tcPr>
          <w:p w14:paraId="3E2053E9"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60</w:t>
            </w:r>
          </w:p>
        </w:tc>
        <w:tc>
          <w:tcPr>
            <w:tcW w:w="661" w:type="dxa"/>
            <w:shd w:val="clear" w:color="auto" w:fill="FBD1D2" w:themeFill="accent3" w:themeFillTint="33"/>
            <w:noWrap/>
            <w:vAlign w:val="bottom"/>
            <w:hideMark/>
          </w:tcPr>
          <w:p w14:paraId="793FE4F6"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60</w:t>
            </w:r>
          </w:p>
        </w:tc>
        <w:tc>
          <w:tcPr>
            <w:tcW w:w="661" w:type="dxa"/>
            <w:shd w:val="clear" w:color="auto" w:fill="FBD1D2" w:themeFill="accent3" w:themeFillTint="33"/>
            <w:noWrap/>
            <w:vAlign w:val="bottom"/>
            <w:hideMark/>
          </w:tcPr>
          <w:p w14:paraId="233FB0F9"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61</w:t>
            </w:r>
          </w:p>
        </w:tc>
        <w:tc>
          <w:tcPr>
            <w:tcW w:w="661" w:type="dxa"/>
            <w:shd w:val="clear" w:color="auto" w:fill="FBD1D2" w:themeFill="accent3" w:themeFillTint="33"/>
            <w:noWrap/>
            <w:vAlign w:val="bottom"/>
            <w:hideMark/>
          </w:tcPr>
          <w:p w14:paraId="5D7500D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62</w:t>
            </w:r>
          </w:p>
        </w:tc>
        <w:tc>
          <w:tcPr>
            <w:tcW w:w="710" w:type="dxa"/>
            <w:shd w:val="clear" w:color="auto" w:fill="FBD1D2" w:themeFill="accent3" w:themeFillTint="33"/>
            <w:noWrap/>
            <w:vAlign w:val="bottom"/>
            <w:hideMark/>
          </w:tcPr>
          <w:p w14:paraId="6CAD534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63</w:t>
            </w:r>
          </w:p>
        </w:tc>
        <w:tc>
          <w:tcPr>
            <w:tcW w:w="661" w:type="dxa"/>
            <w:shd w:val="clear" w:color="auto" w:fill="FBD1D2" w:themeFill="accent3" w:themeFillTint="33"/>
            <w:noWrap/>
            <w:vAlign w:val="bottom"/>
            <w:hideMark/>
          </w:tcPr>
          <w:p w14:paraId="505FABB8"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66</w:t>
            </w:r>
          </w:p>
        </w:tc>
      </w:tr>
      <w:tr w:rsidR="00921D9C" w:rsidRPr="00037C61" w14:paraId="22AFC8E1" w14:textId="77777777" w:rsidTr="00772613">
        <w:trPr>
          <w:trHeight w:val="300"/>
        </w:trPr>
        <w:tc>
          <w:tcPr>
            <w:tcW w:w="1696" w:type="dxa"/>
            <w:shd w:val="clear" w:color="auto" w:fill="auto"/>
            <w:noWrap/>
            <w:vAlign w:val="bottom"/>
            <w:hideMark/>
          </w:tcPr>
          <w:p w14:paraId="4C683128" w14:textId="77777777" w:rsidR="00921D9C" w:rsidRPr="00037C61" w:rsidRDefault="00921D9C" w:rsidP="00921D9C">
            <w:pPr>
              <w:spacing w:after="0" w:line="240" w:lineRule="auto"/>
              <w:jc w:val="right"/>
              <w:rPr>
                <w:rFonts w:cs="Calibri"/>
                <w:color w:val="000000"/>
                <w:sz w:val="18"/>
                <w:szCs w:val="18"/>
                <w:lang w:val="en-GB"/>
              </w:rPr>
            </w:pPr>
          </w:p>
        </w:tc>
        <w:tc>
          <w:tcPr>
            <w:tcW w:w="2694" w:type="dxa"/>
            <w:shd w:val="clear" w:color="auto" w:fill="auto"/>
            <w:noWrap/>
            <w:vAlign w:val="bottom"/>
            <w:hideMark/>
          </w:tcPr>
          <w:p w14:paraId="5432AB11"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36D980D2" w14:textId="77777777" w:rsidR="00921D9C" w:rsidRPr="00037C61" w:rsidRDefault="00921D9C" w:rsidP="00921D9C">
            <w:pPr>
              <w:spacing w:after="0" w:line="240" w:lineRule="auto"/>
              <w:jc w:val="center"/>
              <w:rPr>
                <w:rFonts w:cs="Calibri"/>
                <w:sz w:val="18"/>
                <w:szCs w:val="18"/>
                <w:lang w:val="en-GB"/>
              </w:rPr>
            </w:pPr>
          </w:p>
        </w:tc>
        <w:tc>
          <w:tcPr>
            <w:tcW w:w="756" w:type="dxa"/>
            <w:shd w:val="clear" w:color="auto" w:fill="auto"/>
            <w:noWrap/>
            <w:vAlign w:val="bottom"/>
            <w:hideMark/>
          </w:tcPr>
          <w:p w14:paraId="512FC35E"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3066C723"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71F26952"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7BBF664C" w14:textId="77777777" w:rsidR="00921D9C" w:rsidRPr="00037C61" w:rsidRDefault="00921D9C" w:rsidP="00921D9C">
            <w:pPr>
              <w:spacing w:after="0" w:line="240" w:lineRule="auto"/>
              <w:jc w:val="left"/>
              <w:rPr>
                <w:rFonts w:cs="Calibri"/>
                <w:sz w:val="18"/>
                <w:szCs w:val="18"/>
                <w:lang w:val="en-GB"/>
              </w:rPr>
            </w:pPr>
          </w:p>
        </w:tc>
        <w:tc>
          <w:tcPr>
            <w:tcW w:w="710" w:type="dxa"/>
            <w:shd w:val="clear" w:color="auto" w:fill="auto"/>
            <w:noWrap/>
            <w:vAlign w:val="bottom"/>
            <w:hideMark/>
          </w:tcPr>
          <w:p w14:paraId="78C46705" w14:textId="77777777" w:rsidR="00921D9C" w:rsidRPr="00037C61" w:rsidRDefault="00921D9C" w:rsidP="00921D9C">
            <w:pPr>
              <w:spacing w:after="0" w:line="240" w:lineRule="auto"/>
              <w:jc w:val="left"/>
              <w:rPr>
                <w:rFonts w:cs="Calibri"/>
                <w:sz w:val="18"/>
                <w:szCs w:val="18"/>
                <w:lang w:val="en-GB"/>
              </w:rPr>
            </w:pPr>
          </w:p>
        </w:tc>
        <w:tc>
          <w:tcPr>
            <w:tcW w:w="661" w:type="dxa"/>
            <w:shd w:val="clear" w:color="auto" w:fill="auto"/>
            <w:noWrap/>
            <w:vAlign w:val="bottom"/>
            <w:hideMark/>
          </w:tcPr>
          <w:p w14:paraId="21B11CEF" w14:textId="77777777" w:rsidR="00921D9C" w:rsidRPr="00037C61" w:rsidRDefault="00921D9C" w:rsidP="00921D9C">
            <w:pPr>
              <w:spacing w:after="0" w:line="240" w:lineRule="auto"/>
              <w:jc w:val="left"/>
              <w:rPr>
                <w:rFonts w:cs="Calibri"/>
                <w:sz w:val="18"/>
                <w:szCs w:val="18"/>
                <w:lang w:val="en-GB"/>
              </w:rPr>
            </w:pPr>
          </w:p>
        </w:tc>
      </w:tr>
      <w:tr w:rsidR="00772613" w:rsidRPr="00037C61" w14:paraId="4D8DBB6F" w14:textId="77777777" w:rsidTr="00B21A8C">
        <w:trPr>
          <w:trHeight w:val="300"/>
        </w:trPr>
        <w:tc>
          <w:tcPr>
            <w:tcW w:w="1696" w:type="dxa"/>
            <w:shd w:val="clear" w:color="auto" w:fill="EAEDF6" w:themeFill="accent2" w:themeFillTint="33"/>
            <w:vAlign w:val="bottom"/>
            <w:hideMark/>
          </w:tcPr>
          <w:p w14:paraId="4CBA213A"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Bihor</w:t>
            </w:r>
          </w:p>
        </w:tc>
        <w:tc>
          <w:tcPr>
            <w:tcW w:w="2694" w:type="dxa"/>
            <w:shd w:val="clear" w:color="auto" w:fill="EAEDF6" w:themeFill="accent2" w:themeFillTint="33"/>
            <w:noWrap/>
            <w:hideMark/>
          </w:tcPr>
          <w:p w14:paraId="1B997E79" w14:textId="4E3955E5"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EAEDF6" w:themeFill="accent2" w:themeFillTint="33"/>
            <w:vAlign w:val="bottom"/>
            <w:hideMark/>
          </w:tcPr>
          <w:p w14:paraId="6A95979C"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41</w:t>
            </w:r>
          </w:p>
        </w:tc>
        <w:tc>
          <w:tcPr>
            <w:tcW w:w="756" w:type="dxa"/>
            <w:shd w:val="clear" w:color="auto" w:fill="EAEDF6" w:themeFill="accent2" w:themeFillTint="33"/>
            <w:vAlign w:val="bottom"/>
            <w:hideMark/>
          </w:tcPr>
          <w:p w14:paraId="07E62998"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45</w:t>
            </w:r>
          </w:p>
        </w:tc>
        <w:tc>
          <w:tcPr>
            <w:tcW w:w="661" w:type="dxa"/>
            <w:shd w:val="clear" w:color="auto" w:fill="EAEDF6" w:themeFill="accent2" w:themeFillTint="33"/>
            <w:vAlign w:val="bottom"/>
            <w:hideMark/>
          </w:tcPr>
          <w:p w14:paraId="23D6719B"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661" w:type="dxa"/>
            <w:shd w:val="clear" w:color="auto" w:fill="EAEDF6" w:themeFill="accent2" w:themeFillTint="33"/>
            <w:vAlign w:val="bottom"/>
            <w:hideMark/>
          </w:tcPr>
          <w:p w14:paraId="74D1026D"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47</w:t>
            </w:r>
          </w:p>
        </w:tc>
        <w:tc>
          <w:tcPr>
            <w:tcW w:w="661" w:type="dxa"/>
            <w:shd w:val="clear" w:color="auto" w:fill="EAEDF6" w:themeFill="accent2" w:themeFillTint="33"/>
            <w:vAlign w:val="bottom"/>
            <w:hideMark/>
          </w:tcPr>
          <w:p w14:paraId="1156F581"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48</w:t>
            </w:r>
          </w:p>
        </w:tc>
        <w:tc>
          <w:tcPr>
            <w:tcW w:w="710" w:type="dxa"/>
            <w:shd w:val="clear" w:color="auto" w:fill="EAEDF6" w:themeFill="accent2" w:themeFillTint="33"/>
            <w:vAlign w:val="bottom"/>
            <w:hideMark/>
          </w:tcPr>
          <w:p w14:paraId="50150A8A"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50</w:t>
            </w:r>
          </w:p>
        </w:tc>
        <w:tc>
          <w:tcPr>
            <w:tcW w:w="661" w:type="dxa"/>
            <w:shd w:val="clear" w:color="auto" w:fill="EAEDF6" w:themeFill="accent2" w:themeFillTint="33"/>
            <w:vAlign w:val="bottom"/>
            <w:hideMark/>
          </w:tcPr>
          <w:p w14:paraId="52421E35"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52</w:t>
            </w:r>
          </w:p>
        </w:tc>
      </w:tr>
      <w:tr w:rsidR="00772613" w:rsidRPr="00037C61" w14:paraId="1AC8B088" w14:textId="77777777" w:rsidTr="00B21A8C">
        <w:trPr>
          <w:trHeight w:val="300"/>
        </w:trPr>
        <w:tc>
          <w:tcPr>
            <w:tcW w:w="1696" w:type="dxa"/>
            <w:shd w:val="clear" w:color="auto" w:fill="EAEDF6" w:themeFill="accent2" w:themeFillTint="33"/>
            <w:vAlign w:val="bottom"/>
            <w:hideMark/>
          </w:tcPr>
          <w:p w14:paraId="515C658B"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Satu Mare</w:t>
            </w:r>
          </w:p>
        </w:tc>
        <w:tc>
          <w:tcPr>
            <w:tcW w:w="2694" w:type="dxa"/>
            <w:shd w:val="clear" w:color="auto" w:fill="EAEDF6" w:themeFill="accent2" w:themeFillTint="33"/>
            <w:noWrap/>
            <w:hideMark/>
          </w:tcPr>
          <w:p w14:paraId="60B065A1" w14:textId="24DBC624"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EAEDF6" w:themeFill="accent2" w:themeFillTint="33"/>
            <w:vAlign w:val="bottom"/>
            <w:hideMark/>
          </w:tcPr>
          <w:p w14:paraId="6A37AD0C"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29</w:t>
            </w:r>
          </w:p>
        </w:tc>
        <w:tc>
          <w:tcPr>
            <w:tcW w:w="756" w:type="dxa"/>
            <w:shd w:val="clear" w:color="auto" w:fill="EAEDF6" w:themeFill="accent2" w:themeFillTint="33"/>
            <w:vAlign w:val="bottom"/>
            <w:hideMark/>
          </w:tcPr>
          <w:p w14:paraId="74F6A436"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33</w:t>
            </w:r>
          </w:p>
        </w:tc>
        <w:tc>
          <w:tcPr>
            <w:tcW w:w="661" w:type="dxa"/>
            <w:shd w:val="clear" w:color="auto" w:fill="EAEDF6" w:themeFill="accent2" w:themeFillTint="33"/>
            <w:vAlign w:val="bottom"/>
            <w:hideMark/>
          </w:tcPr>
          <w:p w14:paraId="3506995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35</w:t>
            </w:r>
          </w:p>
        </w:tc>
        <w:tc>
          <w:tcPr>
            <w:tcW w:w="661" w:type="dxa"/>
            <w:shd w:val="clear" w:color="auto" w:fill="EAEDF6" w:themeFill="accent2" w:themeFillTint="33"/>
            <w:vAlign w:val="bottom"/>
            <w:hideMark/>
          </w:tcPr>
          <w:p w14:paraId="593468E7"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35</w:t>
            </w:r>
          </w:p>
        </w:tc>
        <w:tc>
          <w:tcPr>
            <w:tcW w:w="661" w:type="dxa"/>
            <w:shd w:val="clear" w:color="auto" w:fill="EAEDF6" w:themeFill="accent2" w:themeFillTint="33"/>
            <w:vAlign w:val="bottom"/>
            <w:hideMark/>
          </w:tcPr>
          <w:p w14:paraId="4AA953C3"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35</w:t>
            </w:r>
          </w:p>
        </w:tc>
        <w:tc>
          <w:tcPr>
            <w:tcW w:w="710" w:type="dxa"/>
            <w:shd w:val="clear" w:color="auto" w:fill="EAEDF6" w:themeFill="accent2" w:themeFillTint="33"/>
            <w:vAlign w:val="bottom"/>
            <w:hideMark/>
          </w:tcPr>
          <w:p w14:paraId="5CFF449E"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36</w:t>
            </w:r>
          </w:p>
        </w:tc>
        <w:tc>
          <w:tcPr>
            <w:tcW w:w="661" w:type="dxa"/>
            <w:shd w:val="clear" w:color="auto" w:fill="EAEDF6" w:themeFill="accent2" w:themeFillTint="33"/>
            <w:vAlign w:val="bottom"/>
            <w:hideMark/>
          </w:tcPr>
          <w:p w14:paraId="47F8470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37</w:t>
            </w:r>
          </w:p>
        </w:tc>
      </w:tr>
      <w:tr w:rsidR="00772613" w:rsidRPr="00037C61" w14:paraId="4E9AE7B7" w14:textId="77777777" w:rsidTr="00B21A8C">
        <w:trPr>
          <w:trHeight w:val="300"/>
        </w:trPr>
        <w:tc>
          <w:tcPr>
            <w:tcW w:w="1696" w:type="dxa"/>
            <w:shd w:val="clear" w:color="auto" w:fill="EAEDF6" w:themeFill="accent2" w:themeFillTint="33"/>
            <w:vAlign w:val="bottom"/>
            <w:hideMark/>
          </w:tcPr>
          <w:p w14:paraId="2029099B" w14:textId="77777777"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t>Arad</w:t>
            </w:r>
          </w:p>
        </w:tc>
        <w:tc>
          <w:tcPr>
            <w:tcW w:w="2694" w:type="dxa"/>
            <w:shd w:val="clear" w:color="auto" w:fill="EAEDF6" w:themeFill="accent2" w:themeFillTint="33"/>
            <w:noWrap/>
            <w:hideMark/>
          </w:tcPr>
          <w:p w14:paraId="61623BA0" w14:textId="0F7F3F0A"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EAEDF6" w:themeFill="accent2" w:themeFillTint="33"/>
            <w:vAlign w:val="bottom"/>
            <w:hideMark/>
          </w:tcPr>
          <w:p w14:paraId="10964B6F"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38</w:t>
            </w:r>
          </w:p>
        </w:tc>
        <w:tc>
          <w:tcPr>
            <w:tcW w:w="756" w:type="dxa"/>
            <w:shd w:val="clear" w:color="auto" w:fill="EAEDF6" w:themeFill="accent2" w:themeFillTint="33"/>
            <w:vAlign w:val="bottom"/>
            <w:hideMark/>
          </w:tcPr>
          <w:p w14:paraId="70D8A0C9"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42</w:t>
            </w:r>
          </w:p>
        </w:tc>
        <w:tc>
          <w:tcPr>
            <w:tcW w:w="661" w:type="dxa"/>
            <w:shd w:val="clear" w:color="auto" w:fill="EAEDF6" w:themeFill="accent2" w:themeFillTint="33"/>
            <w:vAlign w:val="bottom"/>
            <w:hideMark/>
          </w:tcPr>
          <w:p w14:paraId="419D3974"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43</w:t>
            </w:r>
          </w:p>
        </w:tc>
        <w:tc>
          <w:tcPr>
            <w:tcW w:w="661" w:type="dxa"/>
            <w:shd w:val="clear" w:color="auto" w:fill="EAEDF6" w:themeFill="accent2" w:themeFillTint="33"/>
            <w:vAlign w:val="bottom"/>
            <w:hideMark/>
          </w:tcPr>
          <w:p w14:paraId="47B1E97D"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43</w:t>
            </w:r>
          </w:p>
        </w:tc>
        <w:tc>
          <w:tcPr>
            <w:tcW w:w="661" w:type="dxa"/>
            <w:shd w:val="clear" w:color="auto" w:fill="EAEDF6" w:themeFill="accent2" w:themeFillTint="33"/>
            <w:vAlign w:val="bottom"/>
            <w:hideMark/>
          </w:tcPr>
          <w:p w14:paraId="0F572BCB"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710" w:type="dxa"/>
            <w:shd w:val="clear" w:color="auto" w:fill="EAEDF6" w:themeFill="accent2" w:themeFillTint="33"/>
            <w:vAlign w:val="bottom"/>
            <w:hideMark/>
          </w:tcPr>
          <w:p w14:paraId="1E37B3E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661" w:type="dxa"/>
            <w:shd w:val="clear" w:color="auto" w:fill="EAEDF6" w:themeFill="accent2" w:themeFillTint="33"/>
            <w:vAlign w:val="bottom"/>
            <w:hideMark/>
          </w:tcPr>
          <w:p w14:paraId="59FCB439"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48</w:t>
            </w:r>
          </w:p>
        </w:tc>
      </w:tr>
      <w:tr w:rsidR="00772613" w:rsidRPr="00037C61" w14:paraId="53EF592B" w14:textId="77777777" w:rsidTr="00B21A8C">
        <w:trPr>
          <w:trHeight w:val="300"/>
        </w:trPr>
        <w:tc>
          <w:tcPr>
            <w:tcW w:w="1696" w:type="dxa"/>
            <w:shd w:val="clear" w:color="auto" w:fill="EAEDF6" w:themeFill="accent2" w:themeFillTint="33"/>
            <w:vAlign w:val="bottom"/>
            <w:hideMark/>
          </w:tcPr>
          <w:p w14:paraId="27B83EBC" w14:textId="1242CF3B" w:rsidR="00772613" w:rsidRPr="00037C61" w:rsidRDefault="00772613" w:rsidP="00772613">
            <w:pPr>
              <w:spacing w:after="0" w:line="240" w:lineRule="auto"/>
              <w:jc w:val="left"/>
              <w:rPr>
                <w:rFonts w:cs="Calibri"/>
                <w:color w:val="000000"/>
                <w:sz w:val="18"/>
                <w:szCs w:val="18"/>
                <w:lang w:val="en-GB"/>
              </w:rPr>
            </w:pPr>
            <w:r w:rsidRPr="00037C61">
              <w:rPr>
                <w:rFonts w:cs="Calibri"/>
                <w:color w:val="000000"/>
                <w:sz w:val="18"/>
                <w:szCs w:val="18"/>
                <w:lang w:val="en-GB"/>
              </w:rPr>
              <w:lastRenderedPageBreak/>
              <w:t>Timiș</w:t>
            </w:r>
          </w:p>
        </w:tc>
        <w:tc>
          <w:tcPr>
            <w:tcW w:w="2694" w:type="dxa"/>
            <w:shd w:val="clear" w:color="auto" w:fill="EAEDF6" w:themeFill="accent2" w:themeFillTint="33"/>
            <w:noWrap/>
            <w:hideMark/>
          </w:tcPr>
          <w:p w14:paraId="624B714F" w14:textId="2B8CBB6F" w:rsidR="00772613" w:rsidRPr="00037C61" w:rsidRDefault="00772613" w:rsidP="00772613">
            <w:pPr>
              <w:spacing w:after="0" w:line="240" w:lineRule="auto"/>
              <w:jc w:val="center"/>
              <w:rPr>
                <w:rFonts w:cs="Calibri"/>
                <w:color w:val="000000"/>
                <w:sz w:val="18"/>
                <w:szCs w:val="18"/>
                <w:lang w:val="en-GB"/>
              </w:rPr>
            </w:pPr>
            <w:r w:rsidRPr="00037C61">
              <w:rPr>
                <w:rFonts w:cs="Calibri"/>
                <w:color w:val="000000"/>
                <w:sz w:val="18"/>
                <w:szCs w:val="18"/>
                <w:lang w:val="en-GB"/>
              </w:rPr>
              <w:t>Enterprises / 1,000 inh.</w:t>
            </w:r>
          </w:p>
        </w:tc>
        <w:tc>
          <w:tcPr>
            <w:tcW w:w="661" w:type="dxa"/>
            <w:shd w:val="clear" w:color="auto" w:fill="EAEDF6" w:themeFill="accent2" w:themeFillTint="33"/>
            <w:vAlign w:val="bottom"/>
            <w:hideMark/>
          </w:tcPr>
          <w:p w14:paraId="0346DAB0"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41</w:t>
            </w:r>
          </w:p>
        </w:tc>
        <w:tc>
          <w:tcPr>
            <w:tcW w:w="756" w:type="dxa"/>
            <w:shd w:val="clear" w:color="auto" w:fill="EAEDF6" w:themeFill="accent2" w:themeFillTint="33"/>
            <w:vAlign w:val="bottom"/>
            <w:hideMark/>
          </w:tcPr>
          <w:p w14:paraId="5040567F"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661" w:type="dxa"/>
            <w:shd w:val="clear" w:color="auto" w:fill="EAEDF6" w:themeFill="accent2" w:themeFillTint="33"/>
            <w:vAlign w:val="bottom"/>
            <w:hideMark/>
          </w:tcPr>
          <w:p w14:paraId="4F4327B2"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43</w:t>
            </w:r>
          </w:p>
        </w:tc>
        <w:tc>
          <w:tcPr>
            <w:tcW w:w="661" w:type="dxa"/>
            <w:shd w:val="clear" w:color="auto" w:fill="EAEDF6" w:themeFill="accent2" w:themeFillTint="33"/>
            <w:vAlign w:val="bottom"/>
            <w:hideMark/>
          </w:tcPr>
          <w:p w14:paraId="5E56B52C"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661" w:type="dxa"/>
            <w:shd w:val="clear" w:color="auto" w:fill="EAEDF6" w:themeFill="accent2" w:themeFillTint="33"/>
            <w:vAlign w:val="bottom"/>
            <w:hideMark/>
          </w:tcPr>
          <w:p w14:paraId="3F714D33"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44</w:t>
            </w:r>
          </w:p>
        </w:tc>
        <w:tc>
          <w:tcPr>
            <w:tcW w:w="710" w:type="dxa"/>
            <w:shd w:val="clear" w:color="auto" w:fill="EAEDF6" w:themeFill="accent2" w:themeFillTint="33"/>
            <w:vAlign w:val="bottom"/>
            <w:hideMark/>
          </w:tcPr>
          <w:p w14:paraId="78AB6CCC"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46</w:t>
            </w:r>
          </w:p>
        </w:tc>
        <w:tc>
          <w:tcPr>
            <w:tcW w:w="661" w:type="dxa"/>
            <w:shd w:val="clear" w:color="auto" w:fill="EAEDF6" w:themeFill="accent2" w:themeFillTint="33"/>
            <w:vAlign w:val="bottom"/>
            <w:hideMark/>
          </w:tcPr>
          <w:p w14:paraId="6379D50E" w14:textId="77777777" w:rsidR="00772613" w:rsidRPr="00037C61" w:rsidRDefault="00772613" w:rsidP="00772613">
            <w:pPr>
              <w:spacing w:after="0" w:line="240" w:lineRule="auto"/>
              <w:jc w:val="right"/>
              <w:rPr>
                <w:rFonts w:cs="Calibri"/>
                <w:color w:val="000000"/>
                <w:sz w:val="18"/>
                <w:szCs w:val="18"/>
                <w:lang w:val="en-GB"/>
              </w:rPr>
            </w:pPr>
            <w:r w:rsidRPr="00037C61">
              <w:rPr>
                <w:rFonts w:cs="Calibri"/>
                <w:color w:val="000000"/>
                <w:sz w:val="18"/>
                <w:szCs w:val="18"/>
                <w:lang w:val="en-GB"/>
              </w:rPr>
              <w:t>48</w:t>
            </w:r>
          </w:p>
        </w:tc>
      </w:tr>
    </w:tbl>
    <w:p w14:paraId="4C7316CF" w14:textId="7E5FD7BC" w:rsidR="00B8289A" w:rsidRPr="00037C61" w:rsidRDefault="00B8289A" w:rsidP="00B8289A">
      <w:pPr>
        <w:pStyle w:val="Caption"/>
        <w:spacing w:after="240"/>
        <w:jc w:val="left"/>
        <w:rPr>
          <w:lang w:val="en-GB"/>
        </w:rPr>
      </w:pPr>
      <w:r w:rsidRPr="00037C61">
        <w:rPr>
          <w:lang w:val="en-GB"/>
        </w:rPr>
        <w:t xml:space="preserve">Source: </w:t>
      </w:r>
      <w:r w:rsidR="00124940" w:rsidRPr="00037C61">
        <w:rPr>
          <w:lang w:val="en-GB"/>
        </w:rPr>
        <w:t>INS</w:t>
      </w:r>
      <w:r w:rsidRPr="00037C61">
        <w:rPr>
          <w:lang w:val="en-GB"/>
        </w:rPr>
        <w:t xml:space="preserve">, </w:t>
      </w:r>
      <w:r w:rsidR="00743CF6" w:rsidRPr="00037C61">
        <w:rPr>
          <w:lang w:val="en-GB"/>
        </w:rPr>
        <w:t>KSH</w:t>
      </w:r>
      <w:r w:rsidRPr="00037C61">
        <w:rPr>
          <w:lang w:val="en-GB"/>
        </w:rPr>
        <w:t>, calculated</w:t>
      </w:r>
    </w:p>
    <w:p w14:paraId="7EFB5876" w14:textId="4D87CE8B" w:rsidR="00542215" w:rsidRPr="00037C61" w:rsidRDefault="00883A27" w:rsidP="00C90E44">
      <w:pPr>
        <w:rPr>
          <w:lang w:val="en-GB"/>
        </w:rPr>
      </w:pPr>
      <w:r w:rsidRPr="00037C61">
        <w:rPr>
          <w:bCs/>
          <w:lang w:val="en-GB"/>
        </w:rPr>
        <w:t>The</w:t>
      </w:r>
      <w:r w:rsidR="00542215" w:rsidRPr="00037C61">
        <w:rPr>
          <w:lang w:val="en-GB"/>
        </w:rPr>
        <w:t xml:space="preserve"> annual stock of active companies in Romanian counties is also explained by a greater capacity to start new businesses, with a much higher rate than the deregistration of companies in various adverse situations. Thus, from Eurostat sources, the average number of newly established companies, annually, is 10,266 in the Romanian counties and 9,935 in the Hungarian ones. During 2011-2017, a total of 181,803 companies were established, of which 89,413 companies are Hungarian, the rest Romanian. This dynamic is encouraging for the future of the analysed region as there is availability for new initiatives, but an institutional component must be considered, to consolidate and develop the entrepreneurial ecosystem, both by applying best practice models and by educational programs and entrepreneurial projects.</w:t>
      </w:r>
    </w:p>
    <w:p w14:paraId="6B3D94CA" w14:textId="7911D5BD" w:rsidR="00542215" w:rsidRPr="00037C61" w:rsidRDefault="00542215" w:rsidP="00C90E44">
      <w:pPr>
        <w:rPr>
          <w:lang w:val="en-GB"/>
        </w:rPr>
      </w:pPr>
      <w:r w:rsidRPr="00037C61">
        <w:rPr>
          <w:lang w:val="en-GB"/>
        </w:rPr>
        <w:t>Regarding the size of active enterprises at the end of 2017 in the RO-HU Region, the largest share is held by micro-enterprises (54.39%), followed by companies in which only founders (without employees) operate by (40.02%), while small enterprises (10-49 employees), medium enterprises (50-249 employees) and large ones have a very small share in the total active units, with only 5.59%</w:t>
      </w:r>
      <w:r w:rsidR="00B54ED1" w:rsidRPr="00037C61">
        <w:rPr>
          <w:lang w:val="en-GB"/>
        </w:rPr>
        <w:t xml:space="preserve"> of the total</w:t>
      </w:r>
      <w:r w:rsidRPr="00037C61">
        <w:rPr>
          <w:lang w:val="en-GB"/>
        </w:rPr>
        <w:t>.</w:t>
      </w:r>
    </w:p>
    <w:p w14:paraId="28230AEF" w14:textId="42A5AB94" w:rsidR="000914CC" w:rsidRPr="00037C61" w:rsidRDefault="00542215" w:rsidP="48589249">
      <w:pPr>
        <w:pStyle w:val="Caption"/>
        <w:keepNext/>
        <w:jc w:val="both"/>
        <w:rPr>
          <w:i w:val="0"/>
          <w:iCs w:val="0"/>
          <w:color w:val="auto"/>
          <w:sz w:val="22"/>
          <w:szCs w:val="22"/>
          <w:lang w:val="en-GB"/>
        </w:rPr>
      </w:pPr>
      <w:r w:rsidRPr="00037C61">
        <w:rPr>
          <w:i w:val="0"/>
          <w:iCs w:val="0"/>
          <w:color w:val="auto"/>
          <w:sz w:val="22"/>
          <w:szCs w:val="22"/>
          <w:lang w:val="en-GB"/>
        </w:rPr>
        <w:t>Even if these figures would indicate a low level of economic activity, it should be noted that in the analysed period there was a maturity of active companies, in the sense that the share of companies without employees decreased in total by the same level as those with maximum 9 employees - in other words, the founders exceeded the growth period from their own sources, grew organically and generated employment, and this pattern is easily observed in the Hungarian counties; in Romanian companies, even if the previously highlighted phenomenon is more widespread, the share of companies with employees to the detriment of new companies without employees decreases</w:t>
      </w:r>
      <w:r w:rsidR="5FA3ECE3" w:rsidRPr="00037C61">
        <w:rPr>
          <w:i w:val="0"/>
          <w:iCs w:val="0"/>
          <w:color w:val="auto"/>
          <w:sz w:val="22"/>
          <w:szCs w:val="22"/>
          <w:lang w:val="en-GB"/>
        </w:rPr>
        <w:t>.</w:t>
      </w:r>
    </w:p>
    <w:p w14:paraId="2D69FE3C" w14:textId="77777777" w:rsidR="000914CC" w:rsidRPr="00037C61" w:rsidRDefault="000914CC" w:rsidP="000914CC">
      <w:pPr>
        <w:rPr>
          <w:lang w:val="en-GB"/>
        </w:rPr>
      </w:pPr>
    </w:p>
    <w:p w14:paraId="50B69617" w14:textId="0BB3654C" w:rsidR="006C5543" w:rsidRPr="00037C61" w:rsidRDefault="00B8289A" w:rsidP="00715B98">
      <w:pPr>
        <w:pStyle w:val="Caption"/>
        <w:keepNext/>
        <w:jc w:val="both"/>
        <w:rPr>
          <w:lang w:val="en-GB"/>
        </w:rPr>
      </w:pPr>
      <w:bookmarkStart w:id="362" w:name="_Toc58237644"/>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22</w:t>
      </w:r>
      <w:r w:rsidR="00552808" w:rsidRPr="00037C61">
        <w:rPr>
          <w:lang w:val="en-GB"/>
        </w:rPr>
        <w:fldChar w:fldCharType="end"/>
      </w:r>
      <w:r w:rsidR="00EA5E72" w:rsidRPr="00037C61">
        <w:rPr>
          <w:lang w:val="en-GB"/>
        </w:rPr>
        <w:t xml:space="preserve"> -</w:t>
      </w:r>
      <w:r w:rsidRPr="00037C61">
        <w:rPr>
          <w:lang w:val="en-GB"/>
        </w:rPr>
        <w:t xml:space="preserve"> Share enterprises* by size in Romania, Hungary, RO-HU area</w:t>
      </w:r>
      <w:bookmarkEnd w:id="362"/>
    </w:p>
    <w:tbl>
      <w:tblPr>
        <w:tblStyle w:val="ListTable3-Accent11"/>
        <w:tblW w:w="10092" w:type="dxa"/>
        <w:tblInd w:w="-289" w:type="dxa"/>
        <w:tblLayout w:type="fixed"/>
        <w:tblLook w:val="04A0" w:firstRow="1" w:lastRow="0" w:firstColumn="1" w:lastColumn="0" w:noHBand="0" w:noVBand="1"/>
      </w:tblPr>
      <w:tblGrid>
        <w:gridCol w:w="993"/>
        <w:gridCol w:w="587"/>
        <w:gridCol w:w="588"/>
        <w:gridCol w:w="588"/>
        <w:gridCol w:w="447"/>
        <w:gridCol w:w="588"/>
        <w:gridCol w:w="588"/>
        <w:gridCol w:w="588"/>
        <w:gridCol w:w="505"/>
        <w:gridCol w:w="588"/>
        <w:gridCol w:w="588"/>
        <w:gridCol w:w="588"/>
        <w:gridCol w:w="504"/>
        <w:gridCol w:w="588"/>
        <w:gridCol w:w="588"/>
        <w:gridCol w:w="588"/>
        <w:gridCol w:w="588"/>
      </w:tblGrid>
      <w:tr w:rsidR="00884A59" w:rsidRPr="00037C61" w14:paraId="775E472E" w14:textId="77777777" w:rsidTr="003979D6">
        <w:trPr>
          <w:cnfStyle w:val="100000000000" w:firstRow="1" w:lastRow="0" w:firstColumn="0" w:lastColumn="0" w:oddVBand="0" w:evenVBand="0" w:oddHBand="0" w:evenHBand="0" w:firstRowFirstColumn="0" w:firstRowLastColumn="0" w:lastRowFirstColumn="0" w:lastRowLastColumn="0"/>
          <w:trHeight w:val="277"/>
          <w:tblHeader/>
        </w:trPr>
        <w:tc>
          <w:tcPr>
            <w:cnfStyle w:val="001000000100" w:firstRow="0" w:lastRow="0" w:firstColumn="1" w:lastColumn="0" w:oddVBand="0" w:evenVBand="0" w:oddHBand="0" w:evenHBand="0" w:firstRowFirstColumn="1" w:firstRowLastColumn="0" w:lastRowFirstColumn="0" w:lastRowLastColumn="0"/>
            <w:tcW w:w="993" w:type="dxa"/>
            <w:tcBorders>
              <w:right w:val="single" w:sz="4" w:space="0" w:color="auto"/>
            </w:tcBorders>
            <w:hideMark/>
          </w:tcPr>
          <w:p w14:paraId="07A8CA33" w14:textId="77777777" w:rsidR="006C5543" w:rsidRPr="00037C61" w:rsidRDefault="006C5543" w:rsidP="006C5543">
            <w:pPr>
              <w:jc w:val="left"/>
              <w:rPr>
                <w:sz w:val="18"/>
                <w:lang w:val="en-GB"/>
              </w:rPr>
            </w:pPr>
            <w:r w:rsidRPr="00037C61">
              <w:rPr>
                <w:sz w:val="18"/>
                <w:lang w:val="en-GB"/>
              </w:rPr>
              <w:t>Region</w:t>
            </w:r>
          </w:p>
        </w:tc>
        <w:tc>
          <w:tcPr>
            <w:tcW w:w="2210" w:type="dxa"/>
            <w:gridSpan w:val="4"/>
            <w:tcBorders>
              <w:top w:val="single" w:sz="4" w:space="0" w:color="auto"/>
              <w:left w:val="single" w:sz="4" w:space="0" w:color="auto"/>
              <w:bottom w:val="single" w:sz="4" w:space="0" w:color="auto"/>
              <w:right w:val="single" w:sz="4" w:space="0" w:color="auto"/>
            </w:tcBorders>
            <w:hideMark/>
          </w:tcPr>
          <w:p w14:paraId="7161B1D5"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2011</w:t>
            </w:r>
          </w:p>
        </w:tc>
        <w:tc>
          <w:tcPr>
            <w:tcW w:w="2269" w:type="dxa"/>
            <w:gridSpan w:val="4"/>
            <w:tcBorders>
              <w:top w:val="single" w:sz="4" w:space="0" w:color="auto"/>
              <w:left w:val="single" w:sz="4" w:space="0" w:color="auto"/>
              <w:right w:val="single" w:sz="4" w:space="0" w:color="auto"/>
            </w:tcBorders>
            <w:hideMark/>
          </w:tcPr>
          <w:p w14:paraId="4BF03822"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2013</w:t>
            </w:r>
          </w:p>
        </w:tc>
        <w:tc>
          <w:tcPr>
            <w:tcW w:w="2268" w:type="dxa"/>
            <w:gridSpan w:val="4"/>
            <w:tcBorders>
              <w:top w:val="single" w:sz="4" w:space="0" w:color="auto"/>
              <w:left w:val="single" w:sz="4" w:space="0" w:color="auto"/>
              <w:right w:val="single" w:sz="4" w:space="0" w:color="auto"/>
            </w:tcBorders>
            <w:hideMark/>
          </w:tcPr>
          <w:p w14:paraId="59A63EA6"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2015</w:t>
            </w:r>
          </w:p>
        </w:tc>
        <w:tc>
          <w:tcPr>
            <w:tcW w:w="2352" w:type="dxa"/>
            <w:gridSpan w:val="4"/>
            <w:tcBorders>
              <w:left w:val="single" w:sz="4" w:space="0" w:color="auto"/>
            </w:tcBorders>
            <w:hideMark/>
          </w:tcPr>
          <w:p w14:paraId="59BE5F63"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2017</w:t>
            </w:r>
          </w:p>
        </w:tc>
      </w:tr>
      <w:tr w:rsidR="00884A59" w:rsidRPr="00037C61" w14:paraId="7EC2526E"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hideMark/>
          </w:tcPr>
          <w:p w14:paraId="76DDB754" w14:textId="77777777" w:rsidR="006C5543" w:rsidRPr="00037C61" w:rsidRDefault="006C5543" w:rsidP="006C5543">
            <w:pPr>
              <w:jc w:val="center"/>
              <w:rPr>
                <w:color w:val="000000"/>
                <w:sz w:val="14"/>
                <w:lang w:val="en-GB"/>
              </w:rPr>
            </w:pPr>
          </w:p>
        </w:tc>
        <w:tc>
          <w:tcPr>
            <w:tcW w:w="587" w:type="dxa"/>
            <w:tcBorders>
              <w:left w:val="single" w:sz="4" w:space="0" w:color="auto"/>
            </w:tcBorders>
            <w:hideMark/>
          </w:tcPr>
          <w:p w14:paraId="32CF0907"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total</w:t>
            </w:r>
          </w:p>
        </w:tc>
        <w:tc>
          <w:tcPr>
            <w:tcW w:w="588" w:type="dxa"/>
            <w:hideMark/>
          </w:tcPr>
          <w:p w14:paraId="4B9A2098"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0</w:t>
            </w:r>
          </w:p>
        </w:tc>
        <w:tc>
          <w:tcPr>
            <w:tcW w:w="588" w:type="dxa"/>
            <w:hideMark/>
          </w:tcPr>
          <w:p w14:paraId="72E132E5"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1-9</w:t>
            </w:r>
          </w:p>
        </w:tc>
        <w:tc>
          <w:tcPr>
            <w:tcW w:w="447" w:type="dxa"/>
            <w:tcBorders>
              <w:right w:val="single" w:sz="4" w:space="0" w:color="auto"/>
            </w:tcBorders>
            <w:hideMark/>
          </w:tcPr>
          <w:p w14:paraId="446A6690"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&gt;10</w:t>
            </w:r>
          </w:p>
        </w:tc>
        <w:tc>
          <w:tcPr>
            <w:tcW w:w="588" w:type="dxa"/>
            <w:tcBorders>
              <w:left w:val="single" w:sz="4" w:space="0" w:color="auto"/>
            </w:tcBorders>
            <w:hideMark/>
          </w:tcPr>
          <w:p w14:paraId="40ED8764"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total</w:t>
            </w:r>
          </w:p>
        </w:tc>
        <w:tc>
          <w:tcPr>
            <w:tcW w:w="588" w:type="dxa"/>
            <w:hideMark/>
          </w:tcPr>
          <w:p w14:paraId="736FE270"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0</w:t>
            </w:r>
          </w:p>
        </w:tc>
        <w:tc>
          <w:tcPr>
            <w:tcW w:w="588" w:type="dxa"/>
            <w:hideMark/>
          </w:tcPr>
          <w:p w14:paraId="264EDE19"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1-9</w:t>
            </w:r>
          </w:p>
        </w:tc>
        <w:tc>
          <w:tcPr>
            <w:tcW w:w="505" w:type="dxa"/>
            <w:tcBorders>
              <w:right w:val="single" w:sz="4" w:space="0" w:color="auto"/>
            </w:tcBorders>
            <w:hideMark/>
          </w:tcPr>
          <w:p w14:paraId="3AAB1EDA"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&gt;10</w:t>
            </w:r>
          </w:p>
        </w:tc>
        <w:tc>
          <w:tcPr>
            <w:tcW w:w="588" w:type="dxa"/>
            <w:tcBorders>
              <w:left w:val="single" w:sz="4" w:space="0" w:color="auto"/>
            </w:tcBorders>
            <w:hideMark/>
          </w:tcPr>
          <w:p w14:paraId="51CB6CC2"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total</w:t>
            </w:r>
          </w:p>
        </w:tc>
        <w:tc>
          <w:tcPr>
            <w:tcW w:w="588" w:type="dxa"/>
            <w:hideMark/>
          </w:tcPr>
          <w:p w14:paraId="041826F9"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0</w:t>
            </w:r>
          </w:p>
        </w:tc>
        <w:tc>
          <w:tcPr>
            <w:tcW w:w="588" w:type="dxa"/>
            <w:hideMark/>
          </w:tcPr>
          <w:p w14:paraId="2D9BBF6D"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1-9</w:t>
            </w:r>
          </w:p>
        </w:tc>
        <w:tc>
          <w:tcPr>
            <w:tcW w:w="504" w:type="dxa"/>
            <w:tcBorders>
              <w:right w:val="single" w:sz="4" w:space="0" w:color="auto"/>
            </w:tcBorders>
            <w:hideMark/>
          </w:tcPr>
          <w:p w14:paraId="4B0B8F70"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&gt;10</w:t>
            </w:r>
          </w:p>
        </w:tc>
        <w:tc>
          <w:tcPr>
            <w:tcW w:w="588" w:type="dxa"/>
            <w:tcBorders>
              <w:left w:val="single" w:sz="4" w:space="0" w:color="auto"/>
            </w:tcBorders>
            <w:hideMark/>
          </w:tcPr>
          <w:p w14:paraId="158AA989"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total</w:t>
            </w:r>
          </w:p>
        </w:tc>
        <w:tc>
          <w:tcPr>
            <w:tcW w:w="588" w:type="dxa"/>
            <w:hideMark/>
          </w:tcPr>
          <w:p w14:paraId="0396AB30"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0</w:t>
            </w:r>
          </w:p>
        </w:tc>
        <w:tc>
          <w:tcPr>
            <w:tcW w:w="588" w:type="dxa"/>
            <w:hideMark/>
          </w:tcPr>
          <w:p w14:paraId="46320FAD"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1-9</w:t>
            </w:r>
          </w:p>
        </w:tc>
        <w:tc>
          <w:tcPr>
            <w:tcW w:w="588" w:type="dxa"/>
            <w:hideMark/>
          </w:tcPr>
          <w:p w14:paraId="09904561"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&gt;10</w:t>
            </w:r>
          </w:p>
        </w:tc>
      </w:tr>
      <w:tr w:rsidR="00C21093" w:rsidRPr="00037C61" w14:paraId="77E6A373" w14:textId="77777777" w:rsidTr="48589249">
        <w:trPr>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FBD1D2" w:themeFill="accent3" w:themeFillTint="33"/>
            <w:hideMark/>
          </w:tcPr>
          <w:p w14:paraId="34147E8D" w14:textId="77777777" w:rsidR="006C5543" w:rsidRPr="00037C61" w:rsidRDefault="006C5543" w:rsidP="006C5543">
            <w:pPr>
              <w:jc w:val="left"/>
              <w:rPr>
                <w:color w:val="000000"/>
                <w:sz w:val="14"/>
                <w:lang w:val="en-GB"/>
              </w:rPr>
            </w:pPr>
            <w:r w:rsidRPr="00037C61">
              <w:rPr>
                <w:color w:val="000000"/>
                <w:sz w:val="14"/>
                <w:lang w:val="en-GB"/>
              </w:rPr>
              <w:t>Hajdú-Bihar</w:t>
            </w:r>
          </w:p>
        </w:tc>
        <w:tc>
          <w:tcPr>
            <w:tcW w:w="587" w:type="dxa"/>
            <w:tcBorders>
              <w:left w:val="single" w:sz="4" w:space="0" w:color="auto"/>
            </w:tcBorders>
            <w:shd w:val="clear" w:color="auto" w:fill="FBD1D2" w:themeFill="accent3" w:themeFillTint="33"/>
            <w:hideMark/>
          </w:tcPr>
          <w:p w14:paraId="1147B740" w14:textId="77777777" w:rsidR="006C5543" w:rsidRPr="00037C61" w:rsidRDefault="006C5543" w:rsidP="00715B98">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30,879</w:t>
            </w:r>
          </w:p>
        </w:tc>
        <w:tc>
          <w:tcPr>
            <w:tcW w:w="588" w:type="dxa"/>
            <w:shd w:val="clear" w:color="auto" w:fill="FBD1D2" w:themeFill="accent3" w:themeFillTint="33"/>
            <w:hideMark/>
          </w:tcPr>
          <w:p w14:paraId="074DC56E"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13,454</w:t>
            </w:r>
          </w:p>
        </w:tc>
        <w:tc>
          <w:tcPr>
            <w:tcW w:w="588" w:type="dxa"/>
            <w:shd w:val="clear" w:color="auto" w:fill="FBD1D2" w:themeFill="accent3" w:themeFillTint="33"/>
            <w:hideMark/>
          </w:tcPr>
          <w:p w14:paraId="4D9BC2C2"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16,058</w:t>
            </w:r>
          </w:p>
        </w:tc>
        <w:tc>
          <w:tcPr>
            <w:tcW w:w="447" w:type="dxa"/>
            <w:tcBorders>
              <w:right w:val="single" w:sz="4" w:space="0" w:color="auto"/>
            </w:tcBorders>
            <w:shd w:val="clear" w:color="auto" w:fill="FBD1D2" w:themeFill="accent3" w:themeFillTint="33"/>
            <w:hideMark/>
          </w:tcPr>
          <w:p w14:paraId="6B8B7659"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1,367</w:t>
            </w:r>
          </w:p>
        </w:tc>
        <w:tc>
          <w:tcPr>
            <w:tcW w:w="588" w:type="dxa"/>
            <w:tcBorders>
              <w:left w:val="single" w:sz="4" w:space="0" w:color="auto"/>
            </w:tcBorders>
            <w:shd w:val="clear" w:color="auto" w:fill="FBD1D2" w:themeFill="accent3" w:themeFillTint="33"/>
            <w:hideMark/>
          </w:tcPr>
          <w:p w14:paraId="6048276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28,883</w:t>
            </w:r>
          </w:p>
        </w:tc>
        <w:tc>
          <w:tcPr>
            <w:tcW w:w="588" w:type="dxa"/>
            <w:shd w:val="clear" w:color="auto" w:fill="FBD1D2" w:themeFill="accent3" w:themeFillTint="33"/>
            <w:hideMark/>
          </w:tcPr>
          <w:p w14:paraId="4B1D3413"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11,945</w:t>
            </w:r>
          </w:p>
        </w:tc>
        <w:tc>
          <w:tcPr>
            <w:tcW w:w="588" w:type="dxa"/>
            <w:shd w:val="clear" w:color="auto" w:fill="FBD1D2" w:themeFill="accent3" w:themeFillTint="33"/>
            <w:hideMark/>
          </w:tcPr>
          <w:p w14:paraId="3A638E93"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15,648</w:t>
            </w:r>
          </w:p>
        </w:tc>
        <w:tc>
          <w:tcPr>
            <w:tcW w:w="505" w:type="dxa"/>
            <w:tcBorders>
              <w:right w:val="single" w:sz="4" w:space="0" w:color="auto"/>
            </w:tcBorders>
            <w:shd w:val="clear" w:color="auto" w:fill="FBD1D2" w:themeFill="accent3" w:themeFillTint="33"/>
            <w:hideMark/>
          </w:tcPr>
          <w:p w14:paraId="186176CB"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1,290</w:t>
            </w:r>
          </w:p>
        </w:tc>
        <w:tc>
          <w:tcPr>
            <w:tcW w:w="588" w:type="dxa"/>
            <w:tcBorders>
              <w:left w:val="single" w:sz="4" w:space="0" w:color="auto"/>
            </w:tcBorders>
            <w:shd w:val="clear" w:color="auto" w:fill="FBD1D2" w:themeFill="accent3" w:themeFillTint="33"/>
            <w:hideMark/>
          </w:tcPr>
          <w:p w14:paraId="6E1717F8"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29,647</w:t>
            </w:r>
          </w:p>
        </w:tc>
        <w:tc>
          <w:tcPr>
            <w:tcW w:w="588" w:type="dxa"/>
            <w:shd w:val="clear" w:color="auto" w:fill="FBD1D2" w:themeFill="accent3" w:themeFillTint="33"/>
            <w:hideMark/>
          </w:tcPr>
          <w:p w14:paraId="06FF7737"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9,835</w:t>
            </w:r>
          </w:p>
        </w:tc>
        <w:tc>
          <w:tcPr>
            <w:tcW w:w="588" w:type="dxa"/>
            <w:shd w:val="clear" w:color="auto" w:fill="FBD1D2" w:themeFill="accent3" w:themeFillTint="33"/>
            <w:hideMark/>
          </w:tcPr>
          <w:p w14:paraId="118D1EA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18,430</w:t>
            </w:r>
          </w:p>
        </w:tc>
        <w:tc>
          <w:tcPr>
            <w:tcW w:w="504" w:type="dxa"/>
            <w:tcBorders>
              <w:right w:val="single" w:sz="4" w:space="0" w:color="auto"/>
            </w:tcBorders>
            <w:shd w:val="clear" w:color="auto" w:fill="FBD1D2" w:themeFill="accent3" w:themeFillTint="33"/>
            <w:hideMark/>
          </w:tcPr>
          <w:p w14:paraId="6DDE6DF8"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1,382</w:t>
            </w:r>
          </w:p>
        </w:tc>
        <w:tc>
          <w:tcPr>
            <w:tcW w:w="588" w:type="dxa"/>
            <w:tcBorders>
              <w:left w:val="single" w:sz="4" w:space="0" w:color="auto"/>
            </w:tcBorders>
            <w:shd w:val="clear" w:color="auto" w:fill="FBD1D2" w:themeFill="accent3" w:themeFillTint="33"/>
            <w:hideMark/>
          </w:tcPr>
          <w:p w14:paraId="092DB9D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31,383</w:t>
            </w:r>
          </w:p>
        </w:tc>
        <w:tc>
          <w:tcPr>
            <w:tcW w:w="588" w:type="dxa"/>
            <w:shd w:val="clear" w:color="auto" w:fill="FBD1D2" w:themeFill="accent3" w:themeFillTint="33"/>
            <w:hideMark/>
          </w:tcPr>
          <w:p w14:paraId="3A3FDCA7"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10,258</w:t>
            </w:r>
          </w:p>
        </w:tc>
        <w:tc>
          <w:tcPr>
            <w:tcW w:w="588" w:type="dxa"/>
            <w:shd w:val="clear" w:color="auto" w:fill="FBD1D2" w:themeFill="accent3" w:themeFillTint="33"/>
            <w:hideMark/>
          </w:tcPr>
          <w:p w14:paraId="3F00C131"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19,739</w:t>
            </w:r>
          </w:p>
        </w:tc>
        <w:tc>
          <w:tcPr>
            <w:tcW w:w="588" w:type="dxa"/>
            <w:shd w:val="clear" w:color="auto" w:fill="FBD1D2" w:themeFill="accent3" w:themeFillTint="33"/>
            <w:hideMark/>
          </w:tcPr>
          <w:p w14:paraId="1B005C6E"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1,386</w:t>
            </w:r>
          </w:p>
        </w:tc>
      </w:tr>
      <w:tr w:rsidR="00C21093" w:rsidRPr="00037C61" w14:paraId="0832E2D7"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FBD1D2" w:themeFill="accent3" w:themeFillTint="33"/>
            <w:noWrap/>
            <w:hideMark/>
          </w:tcPr>
          <w:p w14:paraId="66197B85" w14:textId="77777777" w:rsidR="006C5543" w:rsidRPr="00037C61" w:rsidRDefault="006C5543" w:rsidP="006C5543">
            <w:pPr>
              <w:jc w:val="left"/>
              <w:rPr>
                <w:color w:val="000000"/>
                <w:sz w:val="14"/>
                <w:lang w:val="en-GB"/>
              </w:rPr>
            </w:pPr>
            <w:r w:rsidRPr="00037C61">
              <w:rPr>
                <w:color w:val="000000"/>
                <w:sz w:val="14"/>
                <w:lang w:val="en-GB"/>
              </w:rPr>
              <w:t xml:space="preserve">Sz-Sz-Bereg </w:t>
            </w:r>
          </w:p>
        </w:tc>
        <w:tc>
          <w:tcPr>
            <w:tcW w:w="587" w:type="dxa"/>
            <w:tcBorders>
              <w:left w:val="single" w:sz="4" w:space="0" w:color="auto"/>
            </w:tcBorders>
            <w:shd w:val="clear" w:color="auto" w:fill="FBD1D2" w:themeFill="accent3" w:themeFillTint="33"/>
            <w:hideMark/>
          </w:tcPr>
          <w:p w14:paraId="7AA48A2F" w14:textId="77777777" w:rsidR="006C5543" w:rsidRPr="00037C61" w:rsidRDefault="006C5543" w:rsidP="00715B98">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25,940</w:t>
            </w:r>
          </w:p>
        </w:tc>
        <w:tc>
          <w:tcPr>
            <w:tcW w:w="588" w:type="dxa"/>
            <w:shd w:val="clear" w:color="auto" w:fill="FBD1D2" w:themeFill="accent3" w:themeFillTint="33"/>
            <w:hideMark/>
          </w:tcPr>
          <w:p w14:paraId="15562A5B"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13,754</w:t>
            </w:r>
          </w:p>
        </w:tc>
        <w:tc>
          <w:tcPr>
            <w:tcW w:w="588" w:type="dxa"/>
            <w:shd w:val="clear" w:color="auto" w:fill="FBD1D2" w:themeFill="accent3" w:themeFillTint="33"/>
            <w:hideMark/>
          </w:tcPr>
          <w:p w14:paraId="25A3B383"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11,108</w:t>
            </w:r>
          </w:p>
        </w:tc>
        <w:tc>
          <w:tcPr>
            <w:tcW w:w="447" w:type="dxa"/>
            <w:tcBorders>
              <w:right w:val="single" w:sz="4" w:space="0" w:color="auto"/>
            </w:tcBorders>
            <w:shd w:val="clear" w:color="auto" w:fill="FBD1D2" w:themeFill="accent3" w:themeFillTint="33"/>
            <w:hideMark/>
          </w:tcPr>
          <w:p w14:paraId="142A62E3"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1,078</w:t>
            </w:r>
          </w:p>
        </w:tc>
        <w:tc>
          <w:tcPr>
            <w:tcW w:w="588" w:type="dxa"/>
            <w:tcBorders>
              <w:left w:val="single" w:sz="4" w:space="0" w:color="auto"/>
            </w:tcBorders>
            <w:shd w:val="clear" w:color="auto" w:fill="FBD1D2" w:themeFill="accent3" w:themeFillTint="33"/>
            <w:hideMark/>
          </w:tcPr>
          <w:p w14:paraId="39205E14"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24,209</w:t>
            </w:r>
          </w:p>
        </w:tc>
        <w:tc>
          <w:tcPr>
            <w:tcW w:w="588" w:type="dxa"/>
            <w:shd w:val="clear" w:color="auto" w:fill="FBD1D2" w:themeFill="accent3" w:themeFillTint="33"/>
            <w:hideMark/>
          </w:tcPr>
          <w:p w14:paraId="29C60746"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12,206</w:t>
            </w:r>
          </w:p>
        </w:tc>
        <w:tc>
          <w:tcPr>
            <w:tcW w:w="588" w:type="dxa"/>
            <w:shd w:val="clear" w:color="auto" w:fill="FBD1D2" w:themeFill="accent3" w:themeFillTint="33"/>
            <w:hideMark/>
          </w:tcPr>
          <w:p w14:paraId="2D11D263"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10,993</w:t>
            </w:r>
          </w:p>
        </w:tc>
        <w:tc>
          <w:tcPr>
            <w:tcW w:w="505" w:type="dxa"/>
            <w:tcBorders>
              <w:right w:val="single" w:sz="4" w:space="0" w:color="auto"/>
            </w:tcBorders>
            <w:shd w:val="clear" w:color="auto" w:fill="FBD1D2" w:themeFill="accent3" w:themeFillTint="33"/>
            <w:hideMark/>
          </w:tcPr>
          <w:p w14:paraId="1FC0DE28"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1,010</w:t>
            </w:r>
          </w:p>
        </w:tc>
        <w:tc>
          <w:tcPr>
            <w:tcW w:w="588" w:type="dxa"/>
            <w:tcBorders>
              <w:left w:val="single" w:sz="4" w:space="0" w:color="auto"/>
            </w:tcBorders>
            <w:shd w:val="clear" w:color="auto" w:fill="FBD1D2" w:themeFill="accent3" w:themeFillTint="33"/>
            <w:hideMark/>
          </w:tcPr>
          <w:p w14:paraId="4517753B"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24,978</w:t>
            </w:r>
          </w:p>
        </w:tc>
        <w:tc>
          <w:tcPr>
            <w:tcW w:w="588" w:type="dxa"/>
            <w:shd w:val="clear" w:color="auto" w:fill="FBD1D2" w:themeFill="accent3" w:themeFillTint="33"/>
            <w:hideMark/>
          </w:tcPr>
          <w:p w14:paraId="2FF923F6"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10,071</w:t>
            </w:r>
          </w:p>
        </w:tc>
        <w:tc>
          <w:tcPr>
            <w:tcW w:w="588" w:type="dxa"/>
            <w:shd w:val="clear" w:color="auto" w:fill="FBD1D2" w:themeFill="accent3" w:themeFillTint="33"/>
            <w:hideMark/>
          </w:tcPr>
          <w:p w14:paraId="03E571C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13,788</w:t>
            </w:r>
          </w:p>
        </w:tc>
        <w:tc>
          <w:tcPr>
            <w:tcW w:w="504" w:type="dxa"/>
            <w:tcBorders>
              <w:right w:val="single" w:sz="4" w:space="0" w:color="auto"/>
            </w:tcBorders>
            <w:shd w:val="clear" w:color="auto" w:fill="FBD1D2" w:themeFill="accent3" w:themeFillTint="33"/>
            <w:hideMark/>
          </w:tcPr>
          <w:p w14:paraId="144BB2B9"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1,119</w:t>
            </w:r>
          </w:p>
        </w:tc>
        <w:tc>
          <w:tcPr>
            <w:tcW w:w="588" w:type="dxa"/>
            <w:tcBorders>
              <w:left w:val="single" w:sz="4" w:space="0" w:color="auto"/>
            </w:tcBorders>
            <w:shd w:val="clear" w:color="auto" w:fill="FBD1D2" w:themeFill="accent3" w:themeFillTint="33"/>
            <w:hideMark/>
          </w:tcPr>
          <w:p w14:paraId="3714103D"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25,878</w:t>
            </w:r>
          </w:p>
        </w:tc>
        <w:tc>
          <w:tcPr>
            <w:tcW w:w="588" w:type="dxa"/>
            <w:shd w:val="clear" w:color="auto" w:fill="FBD1D2" w:themeFill="accent3" w:themeFillTint="33"/>
            <w:hideMark/>
          </w:tcPr>
          <w:p w14:paraId="17BFD45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9,628</w:t>
            </w:r>
          </w:p>
        </w:tc>
        <w:tc>
          <w:tcPr>
            <w:tcW w:w="588" w:type="dxa"/>
            <w:shd w:val="clear" w:color="auto" w:fill="FBD1D2" w:themeFill="accent3" w:themeFillTint="33"/>
            <w:hideMark/>
          </w:tcPr>
          <w:p w14:paraId="3542FCAE"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15,156</w:t>
            </w:r>
          </w:p>
        </w:tc>
        <w:tc>
          <w:tcPr>
            <w:tcW w:w="588" w:type="dxa"/>
            <w:shd w:val="clear" w:color="auto" w:fill="FBD1D2" w:themeFill="accent3" w:themeFillTint="33"/>
            <w:hideMark/>
          </w:tcPr>
          <w:p w14:paraId="65E4739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1,094</w:t>
            </w:r>
          </w:p>
        </w:tc>
      </w:tr>
      <w:tr w:rsidR="00C21093" w:rsidRPr="00037C61" w14:paraId="2918C386" w14:textId="77777777" w:rsidTr="48589249">
        <w:trPr>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FBD1D2" w:themeFill="accent3" w:themeFillTint="33"/>
            <w:hideMark/>
          </w:tcPr>
          <w:p w14:paraId="2334FF11" w14:textId="77777777" w:rsidR="006C5543" w:rsidRPr="00037C61" w:rsidRDefault="006C5543" w:rsidP="006C5543">
            <w:pPr>
              <w:jc w:val="left"/>
              <w:rPr>
                <w:color w:val="000000"/>
                <w:sz w:val="14"/>
                <w:lang w:val="en-GB"/>
              </w:rPr>
            </w:pPr>
            <w:r w:rsidRPr="00037C61">
              <w:rPr>
                <w:color w:val="000000"/>
                <w:sz w:val="14"/>
                <w:lang w:val="en-GB"/>
              </w:rPr>
              <w:t>Békés</w:t>
            </w:r>
          </w:p>
        </w:tc>
        <w:tc>
          <w:tcPr>
            <w:tcW w:w="587" w:type="dxa"/>
            <w:tcBorders>
              <w:left w:val="single" w:sz="4" w:space="0" w:color="auto"/>
            </w:tcBorders>
            <w:shd w:val="clear" w:color="auto" w:fill="FBD1D2" w:themeFill="accent3" w:themeFillTint="33"/>
            <w:hideMark/>
          </w:tcPr>
          <w:p w14:paraId="4329E20D" w14:textId="77777777" w:rsidR="006C5543" w:rsidRPr="00037C61" w:rsidRDefault="006C5543" w:rsidP="00715B98">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16,942</w:t>
            </w:r>
          </w:p>
        </w:tc>
        <w:tc>
          <w:tcPr>
            <w:tcW w:w="588" w:type="dxa"/>
            <w:shd w:val="clear" w:color="auto" w:fill="FBD1D2" w:themeFill="accent3" w:themeFillTint="33"/>
            <w:hideMark/>
          </w:tcPr>
          <w:p w14:paraId="38D1F360"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8,707</w:t>
            </w:r>
          </w:p>
        </w:tc>
        <w:tc>
          <w:tcPr>
            <w:tcW w:w="588" w:type="dxa"/>
            <w:shd w:val="clear" w:color="auto" w:fill="FBD1D2" w:themeFill="accent3" w:themeFillTint="33"/>
            <w:hideMark/>
          </w:tcPr>
          <w:p w14:paraId="69727DDE"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7,494</w:t>
            </w:r>
          </w:p>
        </w:tc>
        <w:tc>
          <w:tcPr>
            <w:tcW w:w="447" w:type="dxa"/>
            <w:tcBorders>
              <w:right w:val="single" w:sz="4" w:space="0" w:color="auto"/>
            </w:tcBorders>
            <w:shd w:val="clear" w:color="auto" w:fill="FBD1D2" w:themeFill="accent3" w:themeFillTint="33"/>
            <w:hideMark/>
          </w:tcPr>
          <w:p w14:paraId="68539F3D"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741</w:t>
            </w:r>
          </w:p>
        </w:tc>
        <w:tc>
          <w:tcPr>
            <w:tcW w:w="588" w:type="dxa"/>
            <w:tcBorders>
              <w:left w:val="single" w:sz="4" w:space="0" w:color="auto"/>
            </w:tcBorders>
            <w:shd w:val="clear" w:color="auto" w:fill="FBD1D2" w:themeFill="accent3" w:themeFillTint="33"/>
            <w:hideMark/>
          </w:tcPr>
          <w:p w14:paraId="6B10CF15"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15,632</w:t>
            </w:r>
          </w:p>
        </w:tc>
        <w:tc>
          <w:tcPr>
            <w:tcW w:w="588" w:type="dxa"/>
            <w:shd w:val="clear" w:color="auto" w:fill="FBD1D2" w:themeFill="accent3" w:themeFillTint="33"/>
            <w:hideMark/>
          </w:tcPr>
          <w:p w14:paraId="7EE5565B"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7,483</w:t>
            </w:r>
          </w:p>
        </w:tc>
        <w:tc>
          <w:tcPr>
            <w:tcW w:w="588" w:type="dxa"/>
            <w:shd w:val="clear" w:color="auto" w:fill="FBD1D2" w:themeFill="accent3" w:themeFillTint="33"/>
            <w:hideMark/>
          </w:tcPr>
          <w:p w14:paraId="3F2ED978"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7,441</w:t>
            </w:r>
          </w:p>
        </w:tc>
        <w:tc>
          <w:tcPr>
            <w:tcW w:w="505" w:type="dxa"/>
            <w:tcBorders>
              <w:right w:val="single" w:sz="4" w:space="0" w:color="auto"/>
            </w:tcBorders>
            <w:shd w:val="clear" w:color="auto" w:fill="FBD1D2" w:themeFill="accent3" w:themeFillTint="33"/>
            <w:hideMark/>
          </w:tcPr>
          <w:p w14:paraId="0359A68A"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708</w:t>
            </w:r>
          </w:p>
        </w:tc>
        <w:tc>
          <w:tcPr>
            <w:tcW w:w="588" w:type="dxa"/>
            <w:tcBorders>
              <w:left w:val="single" w:sz="4" w:space="0" w:color="auto"/>
            </w:tcBorders>
            <w:shd w:val="clear" w:color="auto" w:fill="FBD1D2" w:themeFill="accent3" w:themeFillTint="33"/>
            <w:hideMark/>
          </w:tcPr>
          <w:p w14:paraId="2156BCB9"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15,972</w:t>
            </w:r>
          </w:p>
        </w:tc>
        <w:tc>
          <w:tcPr>
            <w:tcW w:w="588" w:type="dxa"/>
            <w:shd w:val="clear" w:color="auto" w:fill="FBD1D2" w:themeFill="accent3" w:themeFillTint="33"/>
            <w:hideMark/>
          </w:tcPr>
          <w:p w14:paraId="1792CEB7"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5,853</w:t>
            </w:r>
          </w:p>
        </w:tc>
        <w:tc>
          <w:tcPr>
            <w:tcW w:w="588" w:type="dxa"/>
            <w:shd w:val="clear" w:color="auto" w:fill="FBD1D2" w:themeFill="accent3" w:themeFillTint="33"/>
            <w:hideMark/>
          </w:tcPr>
          <w:p w14:paraId="7610FD39"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9,350</w:t>
            </w:r>
          </w:p>
        </w:tc>
        <w:tc>
          <w:tcPr>
            <w:tcW w:w="504" w:type="dxa"/>
            <w:tcBorders>
              <w:right w:val="single" w:sz="4" w:space="0" w:color="auto"/>
            </w:tcBorders>
            <w:shd w:val="clear" w:color="auto" w:fill="FBD1D2" w:themeFill="accent3" w:themeFillTint="33"/>
            <w:hideMark/>
          </w:tcPr>
          <w:p w14:paraId="04CF5D23"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769</w:t>
            </w:r>
          </w:p>
        </w:tc>
        <w:tc>
          <w:tcPr>
            <w:tcW w:w="588" w:type="dxa"/>
            <w:tcBorders>
              <w:left w:val="single" w:sz="4" w:space="0" w:color="auto"/>
            </w:tcBorders>
            <w:shd w:val="clear" w:color="auto" w:fill="FBD1D2" w:themeFill="accent3" w:themeFillTint="33"/>
            <w:hideMark/>
          </w:tcPr>
          <w:p w14:paraId="2234AAB5"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16,863</w:t>
            </w:r>
          </w:p>
        </w:tc>
        <w:tc>
          <w:tcPr>
            <w:tcW w:w="588" w:type="dxa"/>
            <w:shd w:val="clear" w:color="auto" w:fill="FBD1D2" w:themeFill="accent3" w:themeFillTint="33"/>
            <w:hideMark/>
          </w:tcPr>
          <w:p w14:paraId="5985B4E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5,945</w:t>
            </w:r>
          </w:p>
        </w:tc>
        <w:tc>
          <w:tcPr>
            <w:tcW w:w="588" w:type="dxa"/>
            <w:shd w:val="clear" w:color="auto" w:fill="FBD1D2" w:themeFill="accent3" w:themeFillTint="33"/>
            <w:hideMark/>
          </w:tcPr>
          <w:p w14:paraId="797AB366"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10,187</w:t>
            </w:r>
          </w:p>
        </w:tc>
        <w:tc>
          <w:tcPr>
            <w:tcW w:w="588" w:type="dxa"/>
            <w:shd w:val="clear" w:color="auto" w:fill="FBD1D2" w:themeFill="accent3" w:themeFillTint="33"/>
            <w:hideMark/>
          </w:tcPr>
          <w:p w14:paraId="73413EF2"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731</w:t>
            </w:r>
          </w:p>
        </w:tc>
      </w:tr>
      <w:tr w:rsidR="00C21093" w:rsidRPr="00037C61" w14:paraId="22A3FB26"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FBD1D2" w:themeFill="accent3" w:themeFillTint="33"/>
            <w:hideMark/>
          </w:tcPr>
          <w:p w14:paraId="3611BE07" w14:textId="4846EA7B" w:rsidR="006C5543" w:rsidRPr="00037C61" w:rsidRDefault="6446A0E8" w:rsidP="6446A0E8">
            <w:pPr>
              <w:jc w:val="left"/>
              <w:rPr>
                <w:color w:val="000000"/>
                <w:sz w:val="14"/>
                <w:szCs w:val="14"/>
                <w:lang w:val="en-GB"/>
              </w:rPr>
            </w:pPr>
            <w:r w:rsidRPr="00037C61">
              <w:rPr>
                <w:color w:val="000000" w:themeColor="text1"/>
                <w:sz w:val="14"/>
                <w:szCs w:val="14"/>
                <w:lang w:val="en-GB"/>
              </w:rPr>
              <w:t>Csongrád-Csanád</w:t>
            </w:r>
          </w:p>
        </w:tc>
        <w:tc>
          <w:tcPr>
            <w:tcW w:w="587" w:type="dxa"/>
            <w:tcBorders>
              <w:left w:val="single" w:sz="4" w:space="0" w:color="auto"/>
            </w:tcBorders>
            <w:shd w:val="clear" w:color="auto" w:fill="FBD1D2" w:themeFill="accent3" w:themeFillTint="33"/>
            <w:hideMark/>
          </w:tcPr>
          <w:p w14:paraId="61B3DDEB" w14:textId="77777777" w:rsidR="006C5543" w:rsidRPr="00037C61" w:rsidRDefault="006C5543" w:rsidP="00715B98">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26,578</w:t>
            </w:r>
          </w:p>
        </w:tc>
        <w:tc>
          <w:tcPr>
            <w:tcW w:w="588" w:type="dxa"/>
            <w:shd w:val="clear" w:color="auto" w:fill="FBD1D2" w:themeFill="accent3" w:themeFillTint="33"/>
            <w:hideMark/>
          </w:tcPr>
          <w:p w14:paraId="4C55763C"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12,457</w:t>
            </w:r>
          </w:p>
        </w:tc>
        <w:tc>
          <w:tcPr>
            <w:tcW w:w="588" w:type="dxa"/>
            <w:shd w:val="clear" w:color="auto" w:fill="FBD1D2" w:themeFill="accent3" w:themeFillTint="33"/>
            <w:hideMark/>
          </w:tcPr>
          <w:p w14:paraId="05A5AAED"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12,923</w:t>
            </w:r>
          </w:p>
        </w:tc>
        <w:tc>
          <w:tcPr>
            <w:tcW w:w="447" w:type="dxa"/>
            <w:tcBorders>
              <w:right w:val="single" w:sz="4" w:space="0" w:color="auto"/>
            </w:tcBorders>
            <w:shd w:val="clear" w:color="auto" w:fill="FBD1D2" w:themeFill="accent3" w:themeFillTint="33"/>
            <w:hideMark/>
          </w:tcPr>
          <w:p w14:paraId="3F9AF261"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1,198</w:t>
            </w:r>
          </w:p>
        </w:tc>
        <w:tc>
          <w:tcPr>
            <w:tcW w:w="588" w:type="dxa"/>
            <w:tcBorders>
              <w:left w:val="single" w:sz="4" w:space="0" w:color="auto"/>
            </w:tcBorders>
            <w:shd w:val="clear" w:color="auto" w:fill="FBD1D2" w:themeFill="accent3" w:themeFillTint="33"/>
            <w:hideMark/>
          </w:tcPr>
          <w:p w14:paraId="36515A7E"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24,374</w:t>
            </w:r>
          </w:p>
        </w:tc>
        <w:tc>
          <w:tcPr>
            <w:tcW w:w="588" w:type="dxa"/>
            <w:shd w:val="clear" w:color="auto" w:fill="FBD1D2" w:themeFill="accent3" w:themeFillTint="33"/>
            <w:hideMark/>
          </w:tcPr>
          <w:p w14:paraId="6A0952C9"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10,588</w:t>
            </w:r>
          </w:p>
        </w:tc>
        <w:tc>
          <w:tcPr>
            <w:tcW w:w="588" w:type="dxa"/>
            <w:shd w:val="clear" w:color="auto" w:fill="FBD1D2" w:themeFill="accent3" w:themeFillTint="33"/>
            <w:hideMark/>
          </w:tcPr>
          <w:p w14:paraId="02B9E002"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12,677</w:t>
            </w:r>
          </w:p>
        </w:tc>
        <w:tc>
          <w:tcPr>
            <w:tcW w:w="505" w:type="dxa"/>
            <w:tcBorders>
              <w:right w:val="single" w:sz="4" w:space="0" w:color="auto"/>
            </w:tcBorders>
            <w:shd w:val="clear" w:color="auto" w:fill="FBD1D2" w:themeFill="accent3" w:themeFillTint="33"/>
            <w:hideMark/>
          </w:tcPr>
          <w:p w14:paraId="2FD3714A"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1,109</w:t>
            </w:r>
          </w:p>
        </w:tc>
        <w:tc>
          <w:tcPr>
            <w:tcW w:w="588" w:type="dxa"/>
            <w:tcBorders>
              <w:left w:val="single" w:sz="4" w:space="0" w:color="auto"/>
            </w:tcBorders>
            <w:shd w:val="clear" w:color="auto" w:fill="FBD1D2" w:themeFill="accent3" w:themeFillTint="33"/>
            <w:hideMark/>
          </w:tcPr>
          <w:p w14:paraId="5DADDF14"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25,022</w:t>
            </w:r>
          </w:p>
        </w:tc>
        <w:tc>
          <w:tcPr>
            <w:tcW w:w="588" w:type="dxa"/>
            <w:shd w:val="clear" w:color="auto" w:fill="FBD1D2" w:themeFill="accent3" w:themeFillTint="33"/>
            <w:hideMark/>
          </w:tcPr>
          <w:p w14:paraId="7253DFC6"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8,337</w:t>
            </w:r>
          </w:p>
        </w:tc>
        <w:tc>
          <w:tcPr>
            <w:tcW w:w="588" w:type="dxa"/>
            <w:shd w:val="clear" w:color="auto" w:fill="FBD1D2" w:themeFill="accent3" w:themeFillTint="33"/>
            <w:hideMark/>
          </w:tcPr>
          <w:p w14:paraId="16BCA325"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15,474</w:t>
            </w:r>
          </w:p>
        </w:tc>
        <w:tc>
          <w:tcPr>
            <w:tcW w:w="504" w:type="dxa"/>
            <w:tcBorders>
              <w:right w:val="single" w:sz="4" w:space="0" w:color="auto"/>
            </w:tcBorders>
            <w:shd w:val="clear" w:color="auto" w:fill="FBD1D2" w:themeFill="accent3" w:themeFillTint="33"/>
            <w:hideMark/>
          </w:tcPr>
          <w:p w14:paraId="5DCB91CA"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1,211</w:t>
            </w:r>
          </w:p>
        </w:tc>
        <w:tc>
          <w:tcPr>
            <w:tcW w:w="588" w:type="dxa"/>
            <w:tcBorders>
              <w:left w:val="single" w:sz="4" w:space="0" w:color="auto"/>
            </w:tcBorders>
            <w:shd w:val="clear" w:color="auto" w:fill="FBD1D2" w:themeFill="accent3" w:themeFillTint="33"/>
            <w:hideMark/>
          </w:tcPr>
          <w:p w14:paraId="65A4D9E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26,661</w:t>
            </w:r>
          </w:p>
        </w:tc>
        <w:tc>
          <w:tcPr>
            <w:tcW w:w="588" w:type="dxa"/>
            <w:shd w:val="clear" w:color="auto" w:fill="FBD1D2" w:themeFill="accent3" w:themeFillTint="33"/>
            <w:hideMark/>
          </w:tcPr>
          <w:p w14:paraId="004980B7"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8,847</w:t>
            </w:r>
          </w:p>
        </w:tc>
        <w:tc>
          <w:tcPr>
            <w:tcW w:w="588" w:type="dxa"/>
            <w:shd w:val="clear" w:color="auto" w:fill="FBD1D2" w:themeFill="accent3" w:themeFillTint="33"/>
            <w:hideMark/>
          </w:tcPr>
          <w:p w14:paraId="1EDBAC9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16,623</w:t>
            </w:r>
          </w:p>
        </w:tc>
        <w:tc>
          <w:tcPr>
            <w:tcW w:w="588" w:type="dxa"/>
            <w:shd w:val="clear" w:color="auto" w:fill="FBD1D2" w:themeFill="accent3" w:themeFillTint="33"/>
            <w:hideMark/>
          </w:tcPr>
          <w:p w14:paraId="6C7A15D2"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1,191</w:t>
            </w:r>
          </w:p>
        </w:tc>
      </w:tr>
      <w:tr w:rsidR="00C21093" w:rsidRPr="00037C61" w14:paraId="4F869320" w14:textId="77777777" w:rsidTr="48589249">
        <w:trPr>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EAEDF6" w:themeFill="accent2" w:themeFillTint="33"/>
            <w:hideMark/>
          </w:tcPr>
          <w:p w14:paraId="07E69CFA" w14:textId="77777777" w:rsidR="006C5543" w:rsidRPr="00037C61" w:rsidRDefault="006C5543" w:rsidP="006C5543">
            <w:pPr>
              <w:jc w:val="left"/>
              <w:rPr>
                <w:color w:val="000000"/>
                <w:sz w:val="14"/>
                <w:lang w:val="en-GB"/>
              </w:rPr>
            </w:pPr>
            <w:r w:rsidRPr="00037C61">
              <w:rPr>
                <w:color w:val="000000"/>
                <w:sz w:val="14"/>
                <w:lang w:val="en-GB"/>
              </w:rPr>
              <w:t>Bihor</w:t>
            </w:r>
          </w:p>
        </w:tc>
        <w:tc>
          <w:tcPr>
            <w:tcW w:w="587" w:type="dxa"/>
            <w:tcBorders>
              <w:left w:val="single" w:sz="4" w:space="0" w:color="auto"/>
            </w:tcBorders>
            <w:shd w:val="clear" w:color="auto" w:fill="EAEDF6" w:themeFill="accent2" w:themeFillTint="33"/>
            <w:hideMark/>
          </w:tcPr>
          <w:p w14:paraId="3520D0D4" w14:textId="77777777" w:rsidR="006C5543" w:rsidRPr="00037C61" w:rsidRDefault="006C5543" w:rsidP="00715B98">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24,067</w:t>
            </w:r>
          </w:p>
        </w:tc>
        <w:tc>
          <w:tcPr>
            <w:tcW w:w="588" w:type="dxa"/>
            <w:shd w:val="clear" w:color="auto" w:fill="EAEDF6" w:themeFill="accent2" w:themeFillTint="33"/>
            <w:hideMark/>
          </w:tcPr>
          <w:p w14:paraId="46F81CB9"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10,191</w:t>
            </w:r>
          </w:p>
        </w:tc>
        <w:tc>
          <w:tcPr>
            <w:tcW w:w="588" w:type="dxa"/>
            <w:shd w:val="clear" w:color="auto" w:fill="EAEDF6" w:themeFill="accent2" w:themeFillTint="33"/>
            <w:hideMark/>
          </w:tcPr>
          <w:p w14:paraId="3772B887"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11,998</w:t>
            </w:r>
          </w:p>
        </w:tc>
        <w:tc>
          <w:tcPr>
            <w:tcW w:w="447" w:type="dxa"/>
            <w:tcBorders>
              <w:right w:val="single" w:sz="4" w:space="0" w:color="auto"/>
            </w:tcBorders>
            <w:shd w:val="clear" w:color="auto" w:fill="EAEDF6" w:themeFill="accent2" w:themeFillTint="33"/>
            <w:hideMark/>
          </w:tcPr>
          <w:p w14:paraId="471DEC48"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1,878</w:t>
            </w:r>
          </w:p>
        </w:tc>
        <w:tc>
          <w:tcPr>
            <w:tcW w:w="588" w:type="dxa"/>
            <w:tcBorders>
              <w:left w:val="single" w:sz="4" w:space="0" w:color="auto"/>
            </w:tcBorders>
            <w:shd w:val="clear" w:color="auto" w:fill="EAEDF6" w:themeFill="accent2" w:themeFillTint="33"/>
            <w:hideMark/>
          </w:tcPr>
          <w:p w14:paraId="61FE6CCE"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26,178</w:t>
            </w:r>
          </w:p>
        </w:tc>
        <w:tc>
          <w:tcPr>
            <w:tcW w:w="588" w:type="dxa"/>
            <w:shd w:val="clear" w:color="auto" w:fill="EAEDF6" w:themeFill="accent2" w:themeFillTint="33"/>
            <w:hideMark/>
          </w:tcPr>
          <w:p w14:paraId="78A11531"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12,134</w:t>
            </w:r>
          </w:p>
        </w:tc>
        <w:tc>
          <w:tcPr>
            <w:tcW w:w="588" w:type="dxa"/>
            <w:shd w:val="clear" w:color="auto" w:fill="EAEDF6" w:themeFill="accent2" w:themeFillTint="33"/>
            <w:hideMark/>
          </w:tcPr>
          <w:p w14:paraId="56B6EA64"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12,124</w:t>
            </w:r>
          </w:p>
        </w:tc>
        <w:tc>
          <w:tcPr>
            <w:tcW w:w="505" w:type="dxa"/>
            <w:tcBorders>
              <w:right w:val="single" w:sz="4" w:space="0" w:color="auto"/>
            </w:tcBorders>
            <w:shd w:val="clear" w:color="auto" w:fill="EAEDF6" w:themeFill="accent2" w:themeFillTint="33"/>
            <w:hideMark/>
          </w:tcPr>
          <w:p w14:paraId="424AE641"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1,920</w:t>
            </w:r>
          </w:p>
        </w:tc>
        <w:tc>
          <w:tcPr>
            <w:tcW w:w="588" w:type="dxa"/>
            <w:tcBorders>
              <w:left w:val="single" w:sz="4" w:space="0" w:color="auto"/>
            </w:tcBorders>
            <w:shd w:val="clear" w:color="auto" w:fill="EAEDF6" w:themeFill="accent2" w:themeFillTint="33"/>
            <w:hideMark/>
          </w:tcPr>
          <w:p w14:paraId="4E7022FB"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27,229</w:t>
            </w:r>
          </w:p>
        </w:tc>
        <w:tc>
          <w:tcPr>
            <w:tcW w:w="588" w:type="dxa"/>
            <w:shd w:val="clear" w:color="auto" w:fill="EAEDF6" w:themeFill="accent2" w:themeFillTint="33"/>
            <w:hideMark/>
          </w:tcPr>
          <w:p w14:paraId="3EFAC915"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12,543</w:t>
            </w:r>
          </w:p>
        </w:tc>
        <w:tc>
          <w:tcPr>
            <w:tcW w:w="588" w:type="dxa"/>
            <w:shd w:val="clear" w:color="auto" w:fill="EAEDF6" w:themeFill="accent2" w:themeFillTint="33"/>
            <w:hideMark/>
          </w:tcPr>
          <w:p w14:paraId="3600F290"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12,717</w:t>
            </w:r>
          </w:p>
        </w:tc>
        <w:tc>
          <w:tcPr>
            <w:tcW w:w="504" w:type="dxa"/>
            <w:tcBorders>
              <w:right w:val="single" w:sz="4" w:space="0" w:color="auto"/>
            </w:tcBorders>
            <w:shd w:val="clear" w:color="auto" w:fill="EAEDF6" w:themeFill="accent2" w:themeFillTint="33"/>
            <w:hideMark/>
          </w:tcPr>
          <w:p w14:paraId="5D66402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1,969</w:t>
            </w:r>
          </w:p>
        </w:tc>
        <w:tc>
          <w:tcPr>
            <w:tcW w:w="588" w:type="dxa"/>
            <w:tcBorders>
              <w:left w:val="single" w:sz="4" w:space="0" w:color="auto"/>
            </w:tcBorders>
            <w:shd w:val="clear" w:color="auto" w:fill="EAEDF6" w:themeFill="accent2" w:themeFillTint="33"/>
            <w:hideMark/>
          </w:tcPr>
          <w:p w14:paraId="36B8CB3A"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29,480</w:t>
            </w:r>
          </w:p>
        </w:tc>
        <w:tc>
          <w:tcPr>
            <w:tcW w:w="588" w:type="dxa"/>
            <w:shd w:val="clear" w:color="auto" w:fill="EAEDF6" w:themeFill="accent2" w:themeFillTint="33"/>
            <w:hideMark/>
          </w:tcPr>
          <w:p w14:paraId="6A59317B"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13,038</w:t>
            </w:r>
          </w:p>
        </w:tc>
        <w:tc>
          <w:tcPr>
            <w:tcW w:w="588" w:type="dxa"/>
            <w:shd w:val="clear" w:color="auto" w:fill="EAEDF6" w:themeFill="accent2" w:themeFillTint="33"/>
            <w:hideMark/>
          </w:tcPr>
          <w:p w14:paraId="7ACC2B79"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14,450</w:t>
            </w:r>
          </w:p>
        </w:tc>
        <w:tc>
          <w:tcPr>
            <w:tcW w:w="588" w:type="dxa"/>
            <w:shd w:val="clear" w:color="auto" w:fill="EAEDF6" w:themeFill="accent2" w:themeFillTint="33"/>
            <w:hideMark/>
          </w:tcPr>
          <w:p w14:paraId="05ACC17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1,992</w:t>
            </w:r>
          </w:p>
        </w:tc>
      </w:tr>
      <w:tr w:rsidR="00C21093" w:rsidRPr="00037C61" w14:paraId="23AECEA4"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EAEDF6" w:themeFill="accent2" w:themeFillTint="33"/>
            <w:hideMark/>
          </w:tcPr>
          <w:p w14:paraId="78C7027F" w14:textId="77777777" w:rsidR="006C5543" w:rsidRPr="00037C61" w:rsidRDefault="006C5543" w:rsidP="006C5543">
            <w:pPr>
              <w:jc w:val="left"/>
              <w:rPr>
                <w:color w:val="000000"/>
                <w:sz w:val="14"/>
                <w:lang w:val="en-GB"/>
              </w:rPr>
            </w:pPr>
            <w:r w:rsidRPr="00037C61">
              <w:rPr>
                <w:color w:val="000000"/>
                <w:sz w:val="14"/>
                <w:lang w:val="en-GB"/>
              </w:rPr>
              <w:t>Satu Mare</w:t>
            </w:r>
          </w:p>
        </w:tc>
        <w:tc>
          <w:tcPr>
            <w:tcW w:w="587" w:type="dxa"/>
            <w:tcBorders>
              <w:left w:val="single" w:sz="4" w:space="0" w:color="auto"/>
            </w:tcBorders>
            <w:shd w:val="clear" w:color="auto" w:fill="EAEDF6" w:themeFill="accent2" w:themeFillTint="33"/>
            <w:hideMark/>
          </w:tcPr>
          <w:p w14:paraId="05B7B41B" w14:textId="77777777" w:rsidR="006C5543" w:rsidRPr="00037C61" w:rsidRDefault="006C5543" w:rsidP="00715B98">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10,660</w:t>
            </w:r>
          </w:p>
        </w:tc>
        <w:tc>
          <w:tcPr>
            <w:tcW w:w="588" w:type="dxa"/>
            <w:shd w:val="clear" w:color="auto" w:fill="EAEDF6" w:themeFill="accent2" w:themeFillTint="33"/>
            <w:hideMark/>
          </w:tcPr>
          <w:p w14:paraId="73852DEC"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4,332</w:t>
            </w:r>
          </w:p>
        </w:tc>
        <w:tc>
          <w:tcPr>
            <w:tcW w:w="588" w:type="dxa"/>
            <w:shd w:val="clear" w:color="auto" w:fill="EAEDF6" w:themeFill="accent2" w:themeFillTint="33"/>
            <w:hideMark/>
          </w:tcPr>
          <w:p w14:paraId="573FA6D3"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5,309</w:t>
            </w:r>
          </w:p>
        </w:tc>
        <w:tc>
          <w:tcPr>
            <w:tcW w:w="447" w:type="dxa"/>
            <w:tcBorders>
              <w:right w:val="single" w:sz="4" w:space="0" w:color="auto"/>
            </w:tcBorders>
            <w:shd w:val="clear" w:color="auto" w:fill="EAEDF6" w:themeFill="accent2" w:themeFillTint="33"/>
            <w:hideMark/>
          </w:tcPr>
          <w:p w14:paraId="3FEFE2AA"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1,019</w:t>
            </w:r>
          </w:p>
        </w:tc>
        <w:tc>
          <w:tcPr>
            <w:tcW w:w="588" w:type="dxa"/>
            <w:tcBorders>
              <w:left w:val="single" w:sz="4" w:space="0" w:color="auto"/>
            </w:tcBorders>
            <w:shd w:val="clear" w:color="auto" w:fill="EAEDF6" w:themeFill="accent2" w:themeFillTint="33"/>
            <w:hideMark/>
          </w:tcPr>
          <w:p w14:paraId="70D770D1"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11,819</w:t>
            </w:r>
          </w:p>
        </w:tc>
        <w:tc>
          <w:tcPr>
            <w:tcW w:w="588" w:type="dxa"/>
            <w:shd w:val="clear" w:color="auto" w:fill="EAEDF6" w:themeFill="accent2" w:themeFillTint="33"/>
            <w:hideMark/>
          </w:tcPr>
          <w:p w14:paraId="140FF2B2"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5,873</w:t>
            </w:r>
          </w:p>
        </w:tc>
        <w:tc>
          <w:tcPr>
            <w:tcW w:w="588" w:type="dxa"/>
            <w:shd w:val="clear" w:color="auto" w:fill="EAEDF6" w:themeFill="accent2" w:themeFillTint="33"/>
            <w:hideMark/>
          </w:tcPr>
          <w:p w14:paraId="42DE5860"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4,955</w:t>
            </w:r>
          </w:p>
        </w:tc>
        <w:tc>
          <w:tcPr>
            <w:tcW w:w="505" w:type="dxa"/>
            <w:tcBorders>
              <w:right w:val="single" w:sz="4" w:space="0" w:color="auto"/>
            </w:tcBorders>
            <w:shd w:val="clear" w:color="auto" w:fill="EAEDF6" w:themeFill="accent2" w:themeFillTint="33"/>
            <w:hideMark/>
          </w:tcPr>
          <w:p w14:paraId="66F1402D"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991</w:t>
            </w:r>
          </w:p>
        </w:tc>
        <w:tc>
          <w:tcPr>
            <w:tcW w:w="588" w:type="dxa"/>
            <w:tcBorders>
              <w:left w:val="single" w:sz="4" w:space="0" w:color="auto"/>
            </w:tcBorders>
            <w:shd w:val="clear" w:color="auto" w:fill="EAEDF6" w:themeFill="accent2" w:themeFillTint="33"/>
            <w:hideMark/>
          </w:tcPr>
          <w:p w14:paraId="5037EE5D"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11,875</w:t>
            </w:r>
          </w:p>
        </w:tc>
        <w:tc>
          <w:tcPr>
            <w:tcW w:w="588" w:type="dxa"/>
            <w:shd w:val="clear" w:color="auto" w:fill="EAEDF6" w:themeFill="accent2" w:themeFillTint="33"/>
            <w:hideMark/>
          </w:tcPr>
          <w:p w14:paraId="0CC054D5"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6,005</w:t>
            </w:r>
          </w:p>
        </w:tc>
        <w:tc>
          <w:tcPr>
            <w:tcW w:w="588" w:type="dxa"/>
            <w:shd w:val="clear" w:color="auto" w:fill="EAEDF6" w:themeFill="accent2" w:themeFillTint="33"/>
            <w:hideMark/>
          </w:tcPr>
          <w:p w14:paraId="49832A33"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4,918</w:t>
            </w:r>
          </w:p>
        </w:tc>
        <w:tc>
          <w:tcPr>
            <w:tcW w:w="504" w:type="dxa"/>
            <w:tcBorders>
              <w:right w:val="single" w:sz="4" w:space="0" w:color="auto"/>
            </w:tcBorders>
            <w:shd w:val="clear" w:color="auto" w:fill="EAEDF6" w:themeFill="accent2" w:themeFillTint="33"/>
            <w:hideMark/>
          </w:tcPr>
          <w:p w14:paraId="47F6B08E"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952</w:t>
            </w:r>
          </w:p>
        </w:tc>
        <w:tc>
          <w:tcPr>
            <w:tcW w:w="588" w:type="dxa"/>
            <w:tcBorders>
              <w:left w:val="single" w:sz="4" w:space="0" w:color="auto"/>
            </w:tcBorders>
            <w:shd w:val="clear" w:color="auto" w:fill="EAEDF6" w:themeFill="accent2" w:themeFillTint="33"/>
            <w:hideMark/>
          </w:tcPr>
          <w:p w14:paraId="5DE0231B"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12,484</w:t>
            </w:r>
          </w:p>
        </w:tc>
        <w:tc>
          <w:tcPr>
            <w:tcW w:w="588" w:type="dxa"/>
            <w:shd w:val="clear" w:color="auto" w:fill="EAEDF6" w:themeFill="accent2" w:themeFillTint="33"/>
            <w:hideMark/>
          </w:tcPr>
          <w:p w14:paraId="7AAFB5B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5,773</w:t>
            </w:r>
          </w:p>
        </w:tc>
        <w:tc>
          <w:tcPr>
            <w:tcW w:w="588" w:type="dxa"/>
            <w:shd w:val="clear" w:color="auto" w:fill="EAEDF6" w:themeFill="accent2" w:themeFillTint="33"/>
            <w:hideMark/>
          </w:tcPr>
          <w:p w14:paraId="41DC52A7"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5,732</w:t>
            </w:r>
          </w:p>
        </w:tc>
        <w:tc>
          <w:tcPr>
            <w:tcW w:w="588" w:type="dxa"/>
            <w:shd w:val="clear" w:color="auto" w:fill="EAEDF6" w:themeFill="accent2" w:themeFillTint="33"/>
            <w:hideMark/>
          </w:tcPr>
          <w:p w14:paraId="3C5BAAA8"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979</w:t>
            </w:r>
          </w:p>
        </w:tc>
      </w:tr>
      <w:tr w:rsidR="00C21093" w:rsidRPr="00037C61" w14:paraId="024ABE81" w14:textId="77777777" w:rsidTr="48589249">
        <w:trPr>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EAEDF6" w:themeFill="accent2" w:themeFillTint="33"/>
            <w:hideMark/>
          </w:tcPr>
          <w:p w14:paraId="043A3ABB" w14:textId="77777777" w:rsidR="006C5543" w:rsidRPr="00037C61" w:rsidRDefault="006C5543" w:rsidP="006C5543">
            <w:pPr>
              <w:jc w:val="left"/>
              <w:rPr>
                <w:color w:val="000000"/>
                <w:sz w:val="14"/>
                <w:lang w:val="en-GB"/>
              </w:rPr>
            </w:pPr>
            <w:r w:rsidRPr="00037C61">
              <w:rPr>
                <w:color w:val="000000"/>
                <w:sz w:val="14"/>
                <w:lang w:val="en-GB"/>
              </w:rPr>
              <w:t>Arad</w:t>
            </w:r>
          </w:p>
        </w:tc>
        <w:tc>
          <w:tcPr>
            <w:tcW w:w="587" w:type="dxa"/>
            <w:tcBorders>
              <w:left w:val="single" w:sz="4" w:space="0" w:color="auto"/>
            </w:tcBorders>
            <w:shd w:val="clear" w:color="auto" w:fill="EAEDF6" w:themeFill="accent2" w:themeFillTint="33"/>
            <w:hideMark/>
          </w:tcPr>
          <w:p w14:paraId="48EBC08B" w14:textId="77777777" w:rsidR="006C5543" w:rsidRPr="00037C61" w:rsidRDefault="006C5543" w:rsidP="00715B98">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17,364</w:t>
            </w:r>
          </w:p>
        </w:tc>
        <w:tc>
          <w:tcPr>
            <w:tcW w:w="588" w:type="dxa"/>
            <w:shd w:val="clear" w:color="auto" w:fill="EAEDF6" w:themeFill="accent2" w:themeFillTint="33"/>
            <w:hideMark/>
          </w:tcPr>
          <w:p w14:paraId="17467F92"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7,775</w:t>
            </w:r>
          </w:p>
        </w:tc>
        <w:tc>
          <w:tcPr>
            <w:tcW w:w="588" w:type="dxa"/>
            <w:shd w:val="clear" w:color="auto" w:fill="EAEDF6" w:themeFill="accent2" w:themeFillTint="33"/>
            <w:hideMark/>
          </w:tcPr>
          <w:p w14:paraId="0698CD2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8,340</w:t>
            </w:r>
          </w:p>
        </w:tc>
        <w:tc>
          <w:tcPr>
            <w:tcW w:w="447" w:type="dxa"/>
            <w:tcBorders>
              <w:right w:val="single" w:sz="4" w:space="0" w:color="auto"/>
            </w:tcBorders>
            <w:shd w:val="clear" w:color="auto" w:fill="EAEDF6" w:themeFill="accent2" w:themeFillTint="33"/>
            <w:hideMark/>
          </w:tcPr>
          <w:p w14:paraId="2F03CF40"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1,249</w:t>
            </w:r>
          </w:p>
        </w:tc>
        <w:tc>
          <w:tcPr>
            <w:tcW w:w="588" w:type="dxa"/>
            <w:tcBorders>
              <w:left w:val="single" w:sz="4" w:space="0" w:color="auto"/>
            </w:tcBorders>
            <w:shd w:val="clear" w:color="auto" w:fill="EAEDF6" w:themeFill="accent2" w:themeFillTint="33"/>
            <w:hideMark/>
          </w:tcPr>
          <w:p w14:paraId="4032A1EB"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18,332</w:t>
            </w:r>
          </w:p>
        </w:tc>
        <w:tc>
          <w:tcPr>
            <w:tcW w:w="588" w:type="dxa"/>
            <w:shd w:val="clear" w:color="auto" w:fill="EAEDF6" w:themeFill="accent2" w:themeFillTint="33"/>
            <w:hideMark/>
          </w:tcPr>
          <w:p w14:paraId="717A7BC6"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9,779</w:t>
            </w:r>
          </w:p>
        </w:tc>
        <w:tc>
          <w:tcPr>
            <w:tcW w:w="588" w:type="dxa"/>
            <w:shd w:val="clear" w:color="auto" w:fill="EAEDF6" w:themeFill="accent2" w:themeFillTint="33"/>
            <w:hideMark/>
          </w:tcPr>
          <w:p w14:paraId="02EB5F1B"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7,333</w:t>
            </w:r>
          </w:p>
        </w:tc>
        <w:tc>
          <w:tcPr>
            <w:tcW w:w="505" w:type="dxa"/>
            <w:tcBorders>
              <w:right w:val="single" w:sz="4" w:space="0" w:color="auto"/>
            </w:tcBorders>
            <w:shd w:val="clear" w:color="auto" w:fill="EAEDF6" w:themeFill="accent2" w:themeFillTint="33"/>
            <w:hideMark/>
          </w:tcPr>
          <w:p w14:paraId="1AAC522C"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1,220</w:t>
            </w:r>
          </w:p>
        </w:tc>
        <w:tc>
          <w:tcPr>
            <w:tcW w:w="588" w:type="dxa"/>
            <w:tcBorders>
              <w:left w:val="single" w:sz="4" w:space="0" w:color="auto"/>
            </w:tcBorders>
            <w:shd w:val="clear" w:color="auto" w:fill="EAEDF6" w:themeFill="accent2" w:themeFillTint="33"/>
            <w:hideMark/>
          </w:tcPr>
          <w:p w14:paraId="5FD920C6"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18,712</w:t>
            </w:r>
          </w:p>
        </w:tc>
        <w:tc>
          <w:tcPr>
            <w:tcW w:w="588" w:type="dxa"/>
            <w:shd w:val="clear" w:color="auto" w:fill="EAEDF6" w:themeFill="accent2" w:themeFillTint="33"/>
            <w:hideMark/>
          </w:tcPr>
          <w:p w14:paraId="27CB4504"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10,317</w:t>
            </w:r>
          </w:p>
        </w:tc>
        <w:tc>
          <w:tcPr>
            <w:tcW w:w="588" w:type="dxa"/>
            <w:shd w:val="clear" w:color="auto" w:fill="EAEDF6" w:themeFill="accent2" w:themeFillTint="33"/>
            <w:hideMark/>
          </w:tcPr>
          <w:p w14:paraId="3C23724F"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7,226</w:t>
            </w:r>
          </w:p>
        </w:tc>
        <w:tc>
          <w:tcPr>
            <w:tcW w:w="504" w:type="dxa"/>
            <w:tcBorders>
              <w:right w:val="single" w:sz="4" w:space="0" w:color="auto"/>
            </w:tcBorders>
            <w:shd w:val="clear" w:color="auto" w:fill="EAEDF6" w:themeFill="accent2" w:themeFillTint="33"/>
            <w:hideMark/>
          </w:tcPr>
          <w:p w14:paraId="36E521F5"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1,169</w:t>
            </w:r>
          </w:p>
        </w:tc>
        <w:tc>
          <w:tcPr>
            <w:tcW w:w="588" w:type="dxa"/>
            <w:tcBorders>
              <w:left w:val="single" w:sz="4" w:space="0" w:color="auto"/>
            </w:tcBorders>
            <w:shd w:val="clear" w:color="auto" w:fill="EAEDF6" w:themeFill="accent2" w:themeFillTint="33"/>
            <w:hideMark/>
          </w:tcPr>
          <w:p w14:paraId="0F548501"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20,295</w:t>
            </w:r>
          </w:p>
        </w:tc>
        <w:tc>
          <w:tcPr>
            <w:tcW w:w="588" w:type="dxa"/>
            <w:shd w:val="clear" w:color="auto" w:fill="EAEDF6" w:themeFill="accent2" w:themeFillTint="33"/>
            <w:hideMark/>
          </w:tcPr>
          <w:p w14:paraId="387F3867"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10,451</w:t>
            </w:r>
          </w:p>
        </w:tc>
        <w:tc>
          <w:tcPr>
            <w:tcW w:w="588" w:type="dxa"/>
            <w:shd w:val="clear" w:color="auto" w:fill="EAEDF6" w:themeFill="accent2" w:themeFillTint="33"/>
            <w:hideMark/>
          </w:tcPr>
          <w:p w14:paraId="03A39460" w14:textId="77777777" w:rsidR="006C5543" w:rsidRPr="00037C61" w:rsidRDefault="006C5543">
            <w:pPr>
              <w:ind w:left="-174"/>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8,627</w:t>
            </w:r>
          </w:p>
        </w:tc>
        <w:tc>
          <w:tcPr>
            <w:tcW w:w="588" w:type="dxa"/>
            <w:shd w:val="clear" w:color="auto" w:fill="EAEDF6" w:themeFill="accent2" w:themeFillTint="33"/>
            <w:hideMark/>
          </w:tcPr>
          <w:p w14:paraId="357FC8E5"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4"/>
                <w:lang w:val="en-GB"/>
              </w:rPr>
            </w:pPr>
            <w:r w:rsidRPr="00037C61">
              <w:rPr>
                <w:color w:val="000000"/>
                <w:sz w:val="14"/>
                <w:lang w:val="en-GB"/>
              </w:rPr>
              <w:t>1,217</w:t>
            </w:r>
          </w:p>
        </w:tc>
      </w:tr>
      <w:tr w:rsidR="00C21093" w:rsidRPr="00037C61" w14:paraId="1754EEDB"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EAEDF6" w:themeFill="accent2" w:themeFillTint="33"/>
            <w:hideMark/>
          </w:tcPr>
          <w:p w14:paraId="087B0F04" w14:textId="50FF6E62" w:rsidR="006C5543" w:rsidRPr="00037C61" w:rsidRDefault="00F0144C" w:rsidP="006C5543">
            <w:pPr>
              <w:jc w:val="left"/>
              <w:rPr>
                <w:color w:val="000000"/>
                <w:sz w:val="14"/>
                <w:lang w:val="en-GB"/>
              </w:rPr>
            </w:pPr>
            <w:r w:rsidRPr="00037C61">
              <w:rPr>
                <w:rFonts w:eastAsia="Times New Roman" w:cs="Calibri"/>
                <w:color w:val="000000"/>
                <w:sz w:val="14"/>
                <w:szCs w:val="14"/>
                <w:lang w:val="en-GB" w:eastAsia="en-GB"/>
              </w:rPr>
              <w:t>Timiș</w:t>
            </w:r>
          </w:p>
        </w:tc>
        <w:tc>
          <w:tcPr>
            <w:tcW w:w="587" w:type="dxa"/>
            <w:tcBorders>
              <w:left w:val="single" w:sz="4" w:space="0" w:color="auto"/>
            </w:tcBorders>
            <w:shd w:val="clear" w:color="auto" w:fill="EAEDF6" w:themeFill="accent2" w:themeFillTint="33"/>
            <w:hideMark/>
          </w:tcPr>
          <w:p w14:paraId="73FBD01D" w14:textId="77777777" w:rsidR="006C5543" w:rsidRPr="00037C61" w:rsidRDefault="006C5543" w:rsidP="00715B98">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27,730</w:t>
            </w:r>
          </w:p>
        </w:tc>
        <w:tc>
          <w:tcPr>
            <w:tcW w:w="588" w:type="dxa"/>
            <w:shd w:val="clear" w:color="auto" w:fill="EAEDF6" w:themeFill="accent2" w:themeFillTint="33"/>
            <w:hideMark/>
          </w:tcPr>
          <w:p w14:paraId="1E6BDA32"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10,884</w:t>
            </w:r>
          </w:p>
        </w:tc>
        <w:tc>
          <w:tcPr>
            <w:tcW w:w="588" w:type="dxa"/>
            <w:shd w:val="clear" w:color="auto" w:fill="EAEDF6" w:themeFill="accent2" w:themeFillTint="33"/>
            <w:hideMark/>
          </w:tcPr>
          <w:p w14:paraId="2A9E697C"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14,521</w:t>
            </w:r>
          </w:p>
        </w:tc>
        <w:tc>
          <w:tcPr>
            <w:tcW w:w="447" w:type="dxa"/>
            <w:tcBorders>
              <w:right w:val="single" w:sz="4" w:space="0" w:color="auto"/>
            </w:tcBorders>
            <w:shd w:val="clear" w:color="auto" w:fill="EAEDF6" w:themeFill="accent2" w:themeFillTint="33"/>
            <w:hideMark/>
          </w:tcPr>
          <w:p w14:paraId="1A41922A"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2,325</w:t>
            </w:r>
          </w:p>
        </w:tc>
        <w:tc>
          <w:tcPr>
            <w:tcW w:w="588" w:type="dxa"/>
            <w:tcBorders>
              <w:left w:val="single" w:sz="4" w:space="0" w:color="auto"/>
            </w:tcBorders>
            <w:shd w:val="clear" w:color="auto" w:fill="EAEDF6" w:themeFill="accent2" w:themeFillTint="33"/>
            <w:hideMark/>
          </w:tcPr>
          <w:p w14:paraId="6091201C"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30,019</w:t>
            </w:r>
          </w:p>
        </w:tc>
        <w:tc>
          <w:tcPr>
            <w:tcW w:w="588" w:type="dxa"/>
            <w:shd w:val="clear" w:color="auto" w:fill="EAEDF6" w:themeFill="accent2" w:themeFillTint="33"/>
            <w:hideMark/>
          </w:tcPr>
          <w:p w14:paraId="3A89BD9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13,460</w:t>
            </w:r>
          </w:p>
        </w:tc>
        <w:tc>
          <w:tcPr>
            <w:tcW w:w="588" w:type="dxa"/>
            <w:shd w:val="clear" w:color="auto" w:fill="EAEDF6" w:themeFill="accent2" w:themeFillTint="33"/>
            <w:hideMark/>
          </w:tcPr>
          <w:p w14:paraId="513C425F"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14,161</w:t>
            </w:r>
          </w:p>
        </w:tc>
        <w:tc>
          <w:tcPr>
            <w:tcW w:w="505" w:type="dxa"/>
            <w:tcBorders>
              <w:right w:val="single" w:sz="4" w:space="0" w:color="auto"/>
            </w:tcBorders>
            <w:shd w:val="clear" w:color="auto" w:fill="EAEDF6" w:themeFill="accent2" w:themeFillTint="33"/>
            <w:hideMark/>
          </w:tcPr>
          <w:p w14:paraId="0FCB068A"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2,398</w:t>
            </w:r>
          </w:p>
        </w:tc>
        <w:tc>
          <w:tcPr>
            <w:tcW w:w="588" w:type="dxa"/>
            <w:tcBorders>
              <w:left w:val="single" w:sz="4" w:space="0" w:color="auto"/>
            </w:tcBorders>
            <w:shd w:val="clear" w:color="auto" w:fill="EAEDF6" w:themeFill="accent2" w:themeFillTint="33"/>
            <w:hideMark/>
          </w:tcPr>
          <w:p w14:paraId="7AC68F4E"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30,891</w:t>
            </w:r>
          </w:p>
        </w:tc>
        <w:tc>
          <w:tcPr>
            <w:tcW w:w="588" w:type="dxa"/>
            <w:shd w:val="clear" w:color="auto" w:fill="EAEDF6" w:themeFill="accent2" w:themeFillTint="33"/>
            <w:hideMark/>
          </w:tcPr>
          <w:p w14:paraId="2E74A5DD"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14,517</w:t>
            </w:r>
          </w:p>
        </w:tc>
        <w:tc>
          <w:tcPr>
            <w:tcW w:w="588" w:type="dxa"/>
            <w:shd w:val="clear" w:color="auto" w:fill="EAEDF6" w:themeFill="accent2" w:themeFillTint="33"/>
            <w:hideMark/>
          </w:tcPr>
          <w:p w14:paraId="4C0BD2F2"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14,035</w:t>
            </w:r>
          </w:p>
        </w:tc>
        <w:tc>
          <w:tcPr>
            <w:tcW w:w="504" w:type="dxa"/>
            <w:tcBorders>
              <w:right w:val="single" w:sz="4" w:space="0" w:color="auto"/>
            </w:tcBorders>
            <w:shd w:val="clear" w:color="auto" w:fill="EAEDF6" w:themeFill="accent2" w:themeFillTint="33"/>
            <w:hideMark/>
          </w:tcPr>
          <w:p w14:paraId="7CA86893"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2,339</w:t>
            </w:r>
          </w:p>
        </w:tc>
        <w:tc>
          <w:tcPr>
            <w:tcW w:w="588" w:type="dxa"/>
            <w:tcBorders>
              <w:left w:val="single" w:sz="4" w:space="0" w:color="auto"/>
            </w:tcBorders>
            <w:shd w:val="clear" w:color="auto" w:fill="EAEDF6" w:themeFill="accent2" w:themeFillTint="33"/>
            <w:hideMark/>
          </w:tcPr>
          <w:p w14:paraId="63C0C75C"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33,489</w:t>
            </w:r>
          </w:p>
        </w:tc>
        <w:tc>
          <w:tcPr>
            <w:tcW w:w="588" w:type="dxa"/>
            <w:shd w:val="clear" w:color="auto" w:fill="EAEDF6" w:themeFill="accent2" w:themeFillTint="33"/>
            <w:hideMark/>
          </w:tcPr>
          <w:p w14:paraId="75AD0D47"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14,715</w:t>
            </w:r>
          </w:p>
        </w:tc>
        <w:tc>
          <w:tcPr>
            <w:tcW w:w="588" w:type="dxa"/>
            <w:shd w:val="clear" w:color="auto" w:fill="EAEDF6" w:themeFill="accent2" w:themeFillTint="33"/>
            <w:hideMark/>
          </w:tcPr>
          <w:p w14:paraId="0AE35C79" w14:textId="77777777" w:rsidR="006C5543" w:rsidRPr="00037C61" w:rsidRDefault="006C5543">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16,375</w:t>
            </w:r>
          </w:p>
        </w:tc>
        <w:tc>
          <w:tcPr>
            <w:tcW w:w="588" w:type="dxa"/>
            <w:shd w:val="clear" w:color="auto" w:fill="EAEDF6" w:themeFill="accent2" w:themeFillTint="33"/>
            <w:hideMark/>
          </w:tcPr>
          <w:p w14:paraId="4F5F5537"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color w:val="000000"/>
                <w:sz w:val="14"/>
                <w:lang w:val="en-GB"/>
              </w:rPr>
              <w:t>2,399</w:t>
            </w:r>
          </w:p>
        </w:tc>
      </w:tr>
      <w:tr w:rsidR="00884A59" w:rsidRPr="00037C61" w14:paraId="35373855" w14:textId="77777777" w:rsidTr="48589249">
        <w:trPr>
          <w:trHeight w:val="255"/>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noWrap/>
            <w:hideMark/>
          </w:tcPr>
          <w:p w14:paraId="305C132A" w14:textId="77777777" w:rsidR="006C5543" w:rsidRPr="00037C61" w:rsidRDefault="006C5543" w:rsidP="006C5543">
            <w:pPr>
              <w:jc w:val="right"/>
              <w:rPr>
                <w:color w:val="000000"/>
                <w:sz w:val="14"/>
                <w:lang w:val="en-GB"/>
              </w:rPr>
            </w:pPr>
          </w:p>
        </w:tc>
        <w:tc>
          <w:tcPr>
            <w:tcW w:w="587" w:type="dxa"/>
            <w:tcBorders>
              <w:left w:val="single" w:sz="4" w:space="0" w:color="auto"/>
            </w:tcBorders>
            <w:noWrap/>
            <w:hideMark/>
          </w:tcPr>
          <w:p w14:paraId="5757F04C" w14:textId="77777777" w:rsidR="006C5543" w:rsidRPr="00037C61" w:rsidRDefault="006C5543" w:rsidP="00715B98">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63AA7CBB"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1E800C12"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447" w:type="dxa"/>
            <w:tcBorders>
              <w:right w:val="single" w:sz="4" w:space="0" w:color="auto"/>
            </w:tcBorders>
            <w:noWrap/>
            <w:hideMark/>
          </w:tcPr>
          <w:p w14:paraId="315BC4DD"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tcBorders>
              <w:left w:val="single" w:sz="4" w:space="0" w:color="auto"/>
            </w:tcBorders>
            <w:noWrap/>
            <w:hideMark/>
          </w:tcPr>
          <w:p w14:paraId="289C2036"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088C8DDD"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132B0D63"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05" w:type="dxa"/>
            <w:tcBorders>
              <w:right w:val="single" w:sz="4" w:space="0" w:color="auto"/>
            </w:tcBorders>
            <w:noWrap/>
            <w:hideMark/>
          </w:tcPr>
          <w:p w14:paraId="75AD47FB"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tcBorders>
              <w:left w:val="single" w:sz="4" w:space="0" w:color="auto"/>
            </w:tcBorders>
            <w:noWrap/>
            <w:hideMark/>
          </w:tcPr>
          <w:p w14:paraId="13AF7128"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4C94C081"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01A9FED1"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04" w:type="dxa"/>
            <w:tcBorders>
              <w:right w:val="single" w:sz="4" w:space="0" w:color="auto"/>
            </w:tcBorders>
            <w:noWrap/>
            <w:hideMark/>
          </w:tcPr>
          <w:p w14:paraId="71A14541"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tcBorders>
              <w:left w:val="single" w:sz="4" w:space="0" w:color="auto"/>
            </w:tcBorders>
            <w:noWrap/>
            <w:hideMark/>
          </w:tcPr>
          <w:p w14:paraId="52EACAB2"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146EEC41"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7E6A2811" w14:textId="77777777" w:rsidR="006C5543" w:rsidRPr="00037C61" w:rsidRDefault="006C5543">
            <w:pPr>
              <w:ind w:left="-174"/>
              <w:jc w:val="left"/>
              <w:cnfStyle w:val="000000000000" w:firstRow="0" w:lastRow="0" w:firstColumn="0" w:lastColumn="0" w:oddVBand="0" w:evenVBand="0" w:oddHBand="0" w:evenHBand="0" w:firstRowFirstColumn="0" w:firstRowLastColumn="0" w:lastRowFirstColumn="0" w:lastRowLastColumn="0"/>
              <w:rPr>
                <w:sz w:val="14"/>
                <w:lang w:val="en-GB"/>
              </w:rPr>
            </w:pPr>
          </w:p>
        </w:tc>
        <w:tc>
          <w:tcPr>
            <w:tcW w:w="588" w:type="dxa"/>
            <w:noWrap/>
            <w:hideMark/>
          </w:tcPr>
          <w:p w14:paraId="499005B1"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4"/>
                <w:lang w:val="en-GB"/>
              </w:rPr>
            </w:pPr>
          </w:p>
        </w:tc>
      </w:tr>
      <w:tr w:rsidR="00C21093" w:rsidRPr="00037C61" w14:paraId="56C205B0"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FBD1D2" w:themeFill="accent3" w:themeFillTint="33"/>
            <w:hideMark/>
          </w:tcPr>
          <w:p w14:paraId="2278F756" w14:textId="12C9A504" w:rsidR="000914CC" w:rsidRPr="00037C61" w:rsidRDefault="000914CC" w:rsidP="48589249">
            <w:pPr>
              <w:jc w:val="left"/>
              <w:rPr>
                <w:color w:val="000000"/>
                <w:sz w:val="14"/>
                <w:szCs w:val="14"/>
                <w:lang w:val="en-GB"/>
              </w:rPr>
            </w:pPr>
            <w:r w:rsidRPr="00037C61">
              <w:rPr>
                <w:color w:val="000000" w:themeColor="text1"/>
                <w:sz w:val="14"/>
                <w:szCs w:val="14"/>
                <w:lang w:val="en-GB"/>
              </w:rPr>
              <w:t>Hungar</w:t>
            </w:r>
            <w:r w:rsidR="0E2E2E8D" w:rsidRPr="00037C61">
              <w:rPr>
                <w:color w:val="000000" w:themeColor="text1"/>
                <w:sz w:val="14"/>
                <w:szCs w:val="14"/>
                <w:lang w:val="en-GB"/>
              </w:rPr>
              <w:t>ian Counties</w:t>
            </w:r>
          </w:p>
        </w:tc>
        <w:tc>
          <w:tcPr>
            <w:tcW w:w="587" w:type="dxa"/>
            <w:tcBorders>
              <w:left w:val="single" w:sz="4" w:space="0" w:color="auto"/>
            </w:tcBorders>
            <w:shd w:val="clear" w:color="auto" w:fill="FBD1D2" w:themeFill="accent3" w:themeFillTint="33"/>
            <w:vAlign w:val="center"/>
            <w:hideMark/>
          </w:tcPr>
          <w:p w14:paraId="15B56BA5" w14:textId="0A91166C" w:rsidR="000914CC" w:rsidRPr="00037C61" w:rsidRDefault="000914CC" w:rsidP="000914CC">
            <w:pPr>
              <w:ind w:left="-173" w:right="-120"/>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100,339</w:t>
            </w:r>
          </w:p>
        </w:tc>
        <w:tc>
          <w:tcPr>
            <w:tcW w:w="588" w:type="dxa"/>
            <w:shd w:val="clear" w:color="auto" w:fill="FBD1D2" w:themeFill="accent3" w:themeFillTint="33"/>
            <w:vAlign w:val="center"/>
            <w:hideMark/>
          </w:tcPr>
          <w:p w14:paraId="6BEF64C4" w14:textId="10970096"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48,372</w:t>
            </w:r>
          </w:p>
        </w:tc>
        <w:tc>
          <w:tcPr>
            <w:tcW w:w="588" w:type="dxa"/>
            <w:shd w:val="clear" w:color="auto" w:fill="FBD1D2" w:themeFill="accent3" w:themeFillTint="33"/>
            <w:vAlign w:val="center"/>
            <w:hideMark/>
          </w:tcPr>
          <w:p w14:paraId="59F9AC83" w14:textId="32EB411C"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47,583</w:t>
            </w:r>
          </w:p>
        </w:tc>
        <w:tc>
          <w:tcPr>
            <w:tcW w:w="447" w:type="dxa"/>
            <w:tcBorders>
              <w:right w:val="single" w:sz="4" w:space="0" w:color="auto"/>
            </w:tcBorders>
            <w:shd w:val="clear" w:color="auto" w:fill="FBD1D2" w:themeFill="accent3" w:themeFillTint="33"/>
            <w:vAlign w:val="center"/>
            <w:hideMark/>
          </w:tcPr>
          <w:p w14:paraId="5A5BFA6D" w14:textId="1EC58044"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4,384</w:t>
            </w:r>
          </w:p>
        </w:tc>
        <w:tc>
          <w:tcPr>
            <w:tcW w:w="588" w:type="dxa"/>
            <w:tcBorders>
              <w:left w:val="single" w:sz="4" w:space="0" w:color="auto"/>
            </w:tcBorders>
            <w:shd w:val="clear" w:color="auto" w:fill="FBD1D2" w:themeFill="accent3" w:themeFillTint="33"/>
            <w:vAlign w:val="center"/>
            <w:hideMark/>
          </w:tcPr>
          <w:p w14:paraId="15A30376" w14:textId="54B65D60"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93,098</w:t>
            </w:r>
          </w:p>
        </w:tc>
        <w:tc>
          <w:tcPr>
            <w:tcW w:w="588" w:type="dxa"/>
            <w:shd w:val="clear" w:color="auto" w:fill="FBD1D2" w:themeFill="accent3" w:themeFillTint="33"/>
            <w:vAlign w:val="center"/>
            <w:hideMark/>
          </w:tcPr>
          <w:p w14:paraId="29C893DF" w14:textId="0B482711"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42,222</w:t>
            </w:r>
          </w:p>
        </w:tc>
        <w:tc>
          <w:tcPr>
            <w:tcW w:w="588" w:type="dxa"/>
            <w:shd w:val="clear" w:color="auto" w:fill="FBD1D2" w:themeFill="accent3" w:themeFillTint="33"/>
            <w:vAlign w:val="center"/>
            <w:hideMark/>
          </w:tcPr>
          <w:p w14:paraId="0EDD88DD" w14:textId="6AAF6F08"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46,759</w:t>
            </w:r>
          </w:p>
        </w:tc>
        <w:tc>
          <w:tcPr>
            <w:tcW w:w="505" w:type="dxa"/>
            <w:tcBorders>
              <w:right w:val="single" w:sz="4" w:space="0" w:color="auto"/>
            </w:tcBorders>
            <w:shd w:val="clear" w:color="auto" w:fill="FBD1D2" w:themeFill="accent3" w:themeFillTint="33"/>
            <w:vAlign w:val="center"/>
            <w:hideMark/>
          </w:tcPr>
          <w:p w14:paraId="63D83843" w14:textId="1FBFA86C"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4,117</w:t>
            </w:r>
          </w:p>
        </w:tc>
        <w:tc>
          <w:tcPr>
            <w:tcW w:w="588" w:type="dxa"/>
            <w:tcBorders>
              <w:left w:val="single" w:sz="4" w:space="0" w:color="auto"/>
            </w:tcBorders>
            <w:shd w:val="clear" w:color="auto" w:fill="FBD1D2" w:themeFill="accent3" w:themeFillTint="33"/>
            <w:vAlign w:val="center"/>
            <w:hideMark/>
          </w:tcPr>
          <w:p w14:paraId="78F34218" w14:textId="048C8495"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95,619</w:t>
            </w:r>
          </w:p>
        </w:tc>
        <w:tc>
          <w:tcPr>
            <w:tcW w:w="588" w:type="dxa"/>
            <w:shd w:val="clear" w:color="auto" w:fill="FBD1D2" w:themeFill="accent3" w:themeFillTint="33"/>
            <w:vAlign w:val="center"/>
            <w:hideMark/>
          </w:tcPr>
          <w:p w14:paraId="273B982B" w14:textId="77D16268"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34,096</w:t>
            </w:r>
          </w:p>
        </w:tc>
        <w:tc>
          <w:tcPr>
            <w:tcW w:w="588" w:type="dxa"/>
            <w:shd w:val="clear" w:color="auto" w:fill="FBD1D2" w:themeFill="accent3" w:themeFillTint="33"/>
            <w:vAlign w:val="center"/>
            <w:hideMark/>
          </w:tcPr>
          <w:p w14:paraId="3449706E" w14:textId="7705C43A"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57,042</w:t>
            </w:r>
          </w:p>
        </w:tc>
        <w:tc>
          <w:tcPr>
            <w:tcW w:w="504" w:type="dxa"/>
            <w:tcBorders>
              <w:right w:val="single" w:sz="4" w:space="0" w:color="auto"/>
            </w:tcBorders>
            <w:shd w:val="clear" w:color="auto" w:fill="FBD1D2" w:themeFill="accent3" w:themeFillTint="33"/>
            <w:vAlign w:val="center"/>
            <w:hideMark/>
          </w:tcPr>
          <w:p w14:paraId="006AF864" w14:textId="17DEC9C5"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4,481</w:t>
            </w:r>
          </w:p>
        </w:tc>
        <w:tc>
          <w:tcPr>
            <w:tcW w:w="588" w:type="dxa"/>
            <w:tcBorders>
              <w:left w:val="single" w:sz="4" w:space="0" w:color="auto"/>
            </w:tcBorders>
            <w:shd w:val="clear" w:color="auto" w:fill="FBD1D2" w:themeFill="accent3" w:themeFillTint="33"/>
            <w:vAlign w:val="center"/>
            <w:hideMark/>
          </w:tcPr>
          <w:p w14:paraId="22C7D24C" w14:textId="6C37A8A9"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100,785</w:t>
            </w:r>
          </w:p>
        </w:tc>
        <w:tc>
          <w:tcPr>
            <w:tcW w:w="588" w:type="dxa"/>
            <w:shd w:val="clear" w:color="auto" w:fill="FBD1D2" w:themeFill="accent3" w:themeFillTint="33"/>
            <w:vAlign w:val="center"/>
            <w:hideMark/>
          </w:tcPr>
          <w:p w14:paraId="66DB6967" w14:textId="0A0C6895"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34,678</w:t>
            </w:r>
          </w:p>
        </w:tc>
        <w:tc>
          <w:tcPr>
            <w:tcW w:w="588" w:type="dxa"/>
            <w:shd w:val="clear" w:color="auto" w:fill="FBD1D2" w:themeFill="accent3" w:themeFillTint="33"/>
            <w:vAlign w:val="center"/>
            <w:hideMark/>
          </w:tcPr>
          <w:p w14:paraId="0A6777D0" w14:textId="50EE4224"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61,705</w:t>
            </w:r>
          </w:p>
        </w:tc>
        <w:tc>
          <w:tcPr>
            <w:tcW w:w="588" w:type="dxa"/>
            <w:shd w:val="clear" w:color="auto" w:fill="FBD1D2" w:themeFill="accent3" w:themeFillTint="33"/>
            <w:vAlign w:val="center"/>
            <w:hideMark/>
          </w:tcPr>
          <w:p w14:paraId="3E6C2B32" w14:textId="56013ED8" w:rsidR="000914CC" w:rsidRPr="00037C61" w:rsidRDefault="000914CC" w:rsidP="000914CC">
            <w:pPr>
              <w:jc w:val="right"/>
              <w:cnfStyle w:val="000000100000" w:firstRow="0" w:lastRow="0" w:firstColumn="0" w:lastColumn="0" w:oddVBand="0" w:evenVBand="0" w:oddHBand="1"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4,402</w:t>
            </w:r>
          </w:p>
        </w:tc>
      </w:tr>
      <w:tr w:rsidR="00C21093" w:rsidRPr="00037C61" w14:paraId="30290907" w14:textId="77777777" w:rsidTr="48589249">
        <w:trPr>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shd w:val="clear" w:color="auto" w:fill="EAEDF6" w:themeFill="accent2" w:themeFillTint="33"/>
          </w:tcPr>
          <w:p w14:paraId="40208092" w14:textId="0116C065" w:rsidR="000914CC" w:rsidRPr="00037C61" w:rsidRDefault="000914CC" w:rsidP="48589249">
            <w:pPr>
              <w:jc w:val="left"/>
              <w:rPr>
                <w:color w:val="000000" w:themeColor="text1"/>
                <w:sz w:val="14"/>
                <w:szCs w:val="14"/>
                <w:lang w:val="en-GB"/>
              </w:rPr>
            </w:pPr>
            <w:r w:rsidRPr="00037C61">
              <w:rPr>
                <w:color w:val="000000" w:themeColor="text1"/>
                <w:sz w:val="14"/>
                <w:szCs w:val="14"/>
                <w:lang w:val="en-GB"/>
              </w:rPr>
              <w:t>Romania</w:t>
            </w:r>
            <w:r w:rsidR="61882C66" w:rsidRPr="00037C61">
              <w:rPr>
                <w:color w:val="000000" w:themeColor="text1"/>
                <w:sz w:val="14"/>
                <w:szCs w:val="14"/>
                <w:lang w:val="en-GB"/>
              </w:rPr>
              <w:t>n</w:t>
            </w:r>
          </w:p>
          <w:p w14:paraId="6C6119AF" w14:textId="53AF94D1" w:rsidR="000914CC" w:rsidRPr="00037C61" w:rsidRDefault="61882C66" w:rsidP="48589249">
            <w:pPr>
              <w:jc w:val="left"/>
              <w:rPr>
                <w:color w:val="000000"/>
                <w:sz w:val="14"/>
                <w:szCs w:val="14"/>
                <w:lang w:val="en-GB"/>
              </w:rPr>
            </w:pPr>
            <w:r w:rsidRPr="00037C61">
              <w:rPr>
                <w:color w:val="000000" w:themeColor="text1"/>
                <w:sz w:val="14"/>
                <w:szCs w:val="14"/>
                <w:lang w:val="en-GB"/>
              </w:rPr>
              <w:t>Counties</w:t>
            </w:r>
          </w:p>
        </w:tc>
        <w:tc>
          <w:tcPr>
            <w:tcW w:w="587" w:type="dxa"/>
            <w:tcBorders>
              <w:left w:val="single" w:sz="4" w:space="0" w:color="auto"/>
            </w:tcBorders>
            <w:shd w:val="clear" w:color="auto" w:fill="EAEDF6" w:themeFill="accent2" w:themeFillTint="33"/>
            <w:vAlign w:val="center"/>
          </w:tcPr>
          <w:p w14:paraId="64234C3A" w14:textId="08D4C488" w:rsidR="000914CC" w:rsidRPr="00037C61" w:rsidRDefault="000914CC" w:rsidP="000914CC">
            <w:pPr>
              <w:ind w:left="-174" w:right="-109"/>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79,821</w:t>
            </w:r>
          </w:p>
        </w:tc>
        <w:tc>
          <w:tcPr>
            <w:tcW w:w="588" w:type="dxa"/>
            <w:shd w:val="clear" w:color="auto" w:fill="EAEDF6" w:themeFill="accent2" w:themeFillTint="33"/>
            <w:vAlign w:val="center"/>
          </w:tcPr>
          <w:p w14:paraId="39303E70" w14:textId="658443A3"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33,182</w:t>
            </w:r>
          </w:p>
        </w:tc>
        <w:tc>
          <w:tcPr>
            <w:tcW w:w="588" w:type="dxa"/>
            <w:shd w:val="clear" w:color="auto" w:fill="EAEDF6" w:themeFill="accent2" w:themeFillTint="33"/>
            <w:vAlign w:val="center"/>
          </w:tcPr>
          <w:p w14:paraId="0AD821B6" w14:textId="1E23A0D4"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40,168</w:t>
            </w:r>
          </w:p>
        </w:tc>
        <w:tc>
          <w:tcPr>
            <w:tcW w:w="447" w:type="dxa"/>
            <w:tcBorders>
              <w:right w:val="single" w:sz="4" w:space="0" w:color="auto"/>
            </w:tcBorders>
            <w:shd w:val="clear" w:color="auto" w:fill="EAEDF6" w:themeFill="accent2" w:themeFillTint="33"/>
            <w:vAlign w:val="center"/>
          </w:tcPr>
          <w:p w14:paraId="2092007C" w14:textId="57DDABF9"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6,471</w:t>
            </w:r>
          </w:p>
        </w:tc>
        <w:tc>
          <w:tcPr>
            <w:tcW w:w="588" w:type="dxa"/>
            <w:tcBorders>
              <w:left w:val="single" w:sz="4" w:space="0" w:color="auto"/>
            </w:tcBorders>
            <w:shd w:val="clear" w:color="auto" w:fill="EAEDF6" w:themeFill="accent2" w:themeFillTint="33"/>
            <w:vAlign w:val="center"/>
          </w:tcPr>
          <w:p w14:paraId="1C2965D2" w14:textId="6E1B49D1"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86,348</w:t>
            </w:r>
          </w:p>
        </w:tc>
        <w:tc>
          <w:tcPr>
            <w:tcW w:w="588" w:type="dxa"/>
            <w:shd w:val="clear" w:color="auto" w:fill="EAEDF6" w:themeFill="accent2" w:themeFillTint="33"/>
            <w:vAlign w:val="center"/>
          </w:tcPr>
          <w:p w14:paraId="7B33FBC8" w14:textId="27EBD961"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41,246</w:t>
            </w:r>
          </w:p>
        </w:tc>
        <w:tc>
          <w:tcPr>
            <w:tcW w:w="588" w:type="dxa"/>
            <w:shd w:val="clear" w:color="auto" w:fill="EAEDF6" w:themeFill="accent2" w:themeFillTint="33"/>
            <w:vAlign w:val="center"/>
          </w:tcPr>
          <w:p w14:paraId="144F2756" w14:textId="1DFF1ADC"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38,573</w:t>
            </w:r>
          </w:p>
        </w:tc>
        <w:tc>
          <w:tcPr>
            <w:tcW w:w="505" w:type="dxa"/>
            <w:tcBorders>
              <w:right w:val="single" w:sz="4" w:space="0" w:color="auto"/>
            </w:tcBorders>
            <w:shd w:val="clear" w:color="auto" w:fill="EAEDF6" w:themeFill="accent2" w:themeFillTint="33"/>
            <w:vAlign w:val="center"/>
          </w:tcPr>
          <w:p w14:paraId="3BA4D580" w14:textId="5EB61B5F"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6,529</w:t>
            </w:r>
          </w:p>
        </w:tc>
        <w:tc>
          <w:tcPr>
            <w:tcW w:w="588" w:type="dxa"/>
            <w:tcBorders>
              <w:left w:val="single" w:sz="4" w:space="0" w:color="auto"/>
            </w:tcBorders>
            <w:shd w:val="clear" w:color="auto" w:fill="EAEDF6" w:themeFill="accent2" w:themeFillTint="33"/>
            <w:vAlign w:val="center"/>
          </w:tcPr>
          <w:p w14:paraId="3D9F5F60" w14:textId="0B450739"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88,707</w:t>
            </w:r>
          </w:p>
        </w:tc>
        <w:tc>
          <w:tcPr>
            <w:tcW w:w="588" w:type="dxa"/>
            <w:shd w:val="clear" w:color="auto" w:fill="EAEDF6" w:themeFill="accent2" w:themeFillTint="33"/>
            <w:vAlign w:val="center"/>
          </w:tcPr>
          <w:p w14:paraId="261AB17B" w14:textId="7232C4E9"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43,382</w:t>
            </w:r>
          </w:p>
        </w:tc>
        <w:tc>
          <w:tcPr>
            <w:tcW w:w="588" w:type="dxa"/>
            <w:shd w:val="clear" w:color="auto" w:fill="EAEDF6" w:themeFill="accent2" w:themeFillTint="33"/>
            <w:vAlign w:val="center"/>
          </w:tcPr>
          <w:p w14:paraId="691779B9" w14:textId="20B9091F"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38,896</w:t>
            </w:r>
          </w:p>
        </w:tc>
        <w:tc>
          <w:tcPr>
            <w:tcW w:w="504" w:type="dxa"/>
            <w:tcBorders>
              <w:right w:val="single" w:sz="4" w:space="0" w:color="auto"/>
            </w:tcBorders>
            <w:shd w:val="clear" w:color="auto" w:fill="EAEDF6" w:themeFill="accent2" w:themeFillTint="33"/>
            <w:vAlign w:val="center"/>
          </w:tcPr>
          <w:p w14:paraId="44A59755" w14:textId="759FA215"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6,429</w:t>
            </w:r>
          </w:p>
        </w:tc>
        <w:tc>
          <w:tcPr>
            <w:tcW w:w="588" w:type="dxa"/>
            <w:tcBorders>
              <w:left w:val="single" w:sz="4" w:space="0" w:color="auto"/>
            </w:tcBorders>
            <w:shd w:val="clear" w:color="auto" w:fill="EAEDF6" w:themeFill="accent2" w:themeFillTint="33"/>
            <w:vAlign w:val="center"/>
          </w:tcPr>
          <w:p w14:paraId="1FAB6BA7" w14:textId="0819E5D6"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95,748</w:t>
            </w:r>
          </w:p>
        </w:tc>
        <w:tc>
          <w:tcPr>
            <w:tcW w:w="588" w:type="dxa"/>
            <w:shd w:val="clear" w:color="auto" w:fill="EAEDF6" w:themeFill="accent2" w:themeFillTint="33"/>
            <w:vAlign w:val="center"/>
          </w:tcPr>
          <w:p w14:paraId="0E4D9BFF" w14:textId="6492ECED"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43,977</w:t>
            </w:r>
          </w:p>
        </w:tc>
        <w:tc>
          <w:tcPr>
            <w:tcW w:w="588" w:type="dxa"/>
            <w:shd w:val="clear" w:color="auto" w:fill="EAEDF6" w:themeFill="accent2" w:themeFillTint="33"/>
            <w:vAlign w:val="center"/>
          </w:tcPr>
          <w:p w14:paraId="52662D33" w14:textId="7398240D" w:rsidR="000914CC" w:rsidRPr="00037C61" w:rsidRDefault="000914CC" w:rsidP="000914CC">
            <w:pPr>
              <w:ind w:left="-174"/>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45,184</w:t>
            </w:r>
          </w:p>
        </w:tc>
        <w:tc>
          <w:tcPr>
            <w:tcW w:w="588" w:type="dxa"/>
            <w:shd w:val="clear" w:color="auto" w:fill="EAEDF6" w:themeFill="accent2" w:themeFillTint="33"/>
            <w:vAlign w:val="center"/>
            <w:hideMark/>
          </w:tcPr>
          <w:p w14:paraId="34E0D3C5" w14:textId="1498F1A1" w:rsidR="000914CC" w:rsidRPr="00037C61" w:rsidRDefault="000914CC" w:rsidP="000914CC">
            <w:pPr>
              <w:jc w:val="right"/>
              <w:cnfStyle w:val="000000000000" w:firstRow="0" w:lastRow="0" w:firstColumn="0" w:lastColumn="0" w:oddVBand="0" w:evenVBand="0" w:oddHBand="0" w:evenHBand="0" w:firstRowFirstColumn="0" w:firstRowLastColumn="0" w:lastRowFirstColumn="0" w:lastRowLastColumn="0"/>
              <w:rPr>
                <w:color w:val="000000"/>
                <w:sz w:val="14"/>
                <w:szCs w:val="14"/>
                <w:highlight w:val="yellow"/>
                <w:lang w:val="en-GB"/>
              </w:rPr>
            </w:pPr>
            <w:r w:rsidRPr="00037C61">
              <w:rPr>
                <w:rFonts w:cs="Calibri"/>
                <w:color w:val="000000"/>
                <w:sz w:val="14"/>
                <w:szCs w:val="14"/>
                <w:lang w:val="en-GB"/>
              </w:rPr>
              <w:t>6,587</w:t>
            </w:r>
          </w:p>
        </w:tc>
      </w:tr>
      <w:tr w:rsidR="000914CC" w:rsidRPr="00037C61" w14:paraId="50E1BBF5" w14:textId="77777777" w:rsidTr="4858924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993" w:type="dxa"/>
            <w:tcBorders>
              <w:right w:val="single" w:sz="4" w:space="0" w:color="auto"/>
            </w:tcBorders>
            <w:noWrap/>
            <w:hideMark/>
          </w:tcPr>
          <w:p w14:paraId="314C30EE" w14:textId="77777777" w:rsidR="000914CC" w:rsidRPr="00037C61" w:rsidRDefault="000914CC" w:rsidP="000914CC">
            <w:pPr>
              <w:jc w:val="left"/>
              <w:rPr>
                <w:color w:val="000000"/>
                <w:sz w:val="14"/>
                <w:lang w:val="en-GB"/>
              </w:rPr>
            </w:pPr>
            <w:r w:rsidRPr="00037C61">
              <w:rPr>
                <w:color w:val="000000"/>
                <w:sz w:val="14"/>
                <w:lang w:val="en-GB"/>
              </w:rPr>
              <w:t>RO HU area</w:t>
            </w:r>
          </w:p>
        </w:tc>
        <w:tc>
          <w:tcPr>
            <w:tcW w:w="587" w:type="dxa"/>
            <w:tcBorders>
              <w:left w:val="single" w:sz="4" w:space="0" w:color="auto"/>
              <w:bottom w:val="single" w:sz="4" w:space="0" w:color="auto"/>
            </w:tcBorders>
            <w:noWrap/>
            <w:vAlign w:val="center"/>
            <w:hideMark/>
          </w:tcPr>
          <w:p w14:paraId="52FDD6B4" w14:textId="55090857" w:rsidR="000914CC" w:rsidRPr="00037C61" w:rsidRDefault="000914CC" w:rsidP="000914CC">
            <w:pPr>
              <w:ind w:left="-175" w:right="-109"/>
              <w:jc w:val="right"/>
              <w:cnfStyle w:val="000000100000" w:firstRow="0" w:lastRow="0" w:firstColumn="0" w:lastColumn="0" w:oddVBand="0" w:evenVBand="0" w:oddHBand="1" w:evenHBand="0" w:firstRowFirstColumn="0" w:firstRowLastColumn="0" w:lastRowFirstColumn="0" w:lastRowLastColumn="0"/>
              <w:rPr>
                <w:color w:val="000000"/>
                <w:sz w:val="14"/>
                <w:szCs w:val="14"/>
                <w:lang w:val="en-GB"/>
              </w:rPr>
            </w:pPr>
            <w:r w:rsidRPr="00037C61">
              <w:rPr>
                <w:rFonts w:cs="Calibri"/>
                <w:color w:val="000000"/>
                <w:sz w:val="14"/>
                <w:szCs w:val="14"/>
                <w:lang w:val="en-GB"/>
              </w:rPr>
              <w:t>180,160</w:t>
            </w:r>
          </w:p>
        </w:tc>
        <w:tc>
          <w:tcPr>
            <w:tcW w:w="588" w:type="dxa"/>
            <w:tcBorders>
              <w:bottom w:val="single" w:sz="4" w:space="0" w:color="auto"/>
            </w:tcBorders>
            <w:noWrap/>
            <w:vAlign w:val="center"/>
            <w:hideMark/>
          </w:tcPr>
          <w:p w14:paraId="6F2292BA" w14:textId="3302BCE8"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81554</w:t>
            </w:r>
          </w:p>
        </w:tc>
        <w:tc>
          <w:tcPr>
            <w:tcW w:w="588" w:type="dxa"/>
            <w:tcBorders>
              <w:bottom w:val="single" w:sz="4" w:space="0" w:color="auto"/>
            </w:tcBorders>
            <w:noWrap/>
            <w:vAlign w:val="center"/>
            <w:hideMark/>
          </w:tcPr>
          <w:p w14:paraId="1C63D385" w14:textId="5F178339"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87751</w:t>
            </w:r>
          </w:p>
        </w:tc>
        <w:tc>
          <w:tcPr>
            <w:tcW w:w="447" w:type="dxa"/>
            <w:tcBorders>
              <w:bottom w:val="single" w:sz="4" w:space="0" w:color="auto"/>
              <w:right w:val="single" w:sz="4" w:space="0" w:color="auto"/>
            </w:tcBorders>
            <w:noWrap/>
            <w:vAlign w:val="center"/>
            <w:hideMark/>
          </w:tcPr>
          <w:p w14:paraId="3CB66929" w14:textId="619593E6"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10855</w:t>
            </w:r>
          </w:p>
        </w:tc>
        <w:tc>
          <w:tcPr>
            <w:tcW w:w="588" w:type="dxa"/>
            <w:tcBorders>
              <w:left w:val="single" w:sz="4" w:space="0" w:color="auto"/>
            </w:tcBorders>
            <w:noWrap/>
            <w:vAlign w:val="center"/>
            <w:hideMark/>
          </w:tcPr>
          <w:p w14:paraId="3CED2D8D" w14:textId="3E07014C"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179,446</w:t>
            </w:r>
          </w:p>
        </w:tc>
        <w:tc>
          <w:tcPr>
            <w:tcW w:w="588" w:type="dxa"/>
            <w:noWrap/>
            <w:vAlign w:val="center"/>
            <w:hideMark/>
          </w:tcPr>
          <w:p w14:paraId="71F94406" w14:textId="2B761118"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83,468</w:t>
            </w:r>
          </w:p>
        </w:tc>
        <w:tc>
          <w:tcPr>
            <w:tcW w:w="588" w:type="dxa"/>
            <w:noWrap/>
            <w:vAlign w:val="center"/>
            <w:hideMark/>
          </w:tcPr>
          <w:p w14:paraId="02B3972A" w14:textId="5AA6DE5A"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85,332</w:t>
            </w:r>
          </w:p>
        </w:tc>
        <w:tc>
          <w:tcPr>
            <w:tcW w:w="505" w:type="dxa"/>
            <w:tcBorders>
              <w:right w:val="single" w:sz="4" w:space="0" w:color="auto"/>
            </w:tcBorders>
            <w:noWrap/>
            <w:vAlign w:val="center"/>
            <w:hideMark/>
          </w:tcPr>
          <w:p w14:paraId="3EBAD8D6" w14:textId="5FF047F4"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10,646</w:t>
            </w:r>
          </w:p>
        </w:tc>
        <w:tc>
          <w:tcPr>
            <w:tcW w:w="588" w:type="dxa"/>
            <w:tcBorders>
              <w:left w:val="single" w:sz="4" w:space="0" w:color="auto"/>
              <w:bottom w:val="single" w:sz="4" w:space="0" w:color="auto"/>
            </w:tcBorders>
            <w:noWrap/>
            <w:vAlign w:val="center"/>
            <w:hideMark/>
          </w:tcPr>
          <w:p w14:paraId="211D5486" w14:textId="05BBA083"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184,326</w:t>
            </w:r>
          </w:p>
        </w:tc>
        <w:tc>
          <w:tcPr>
            <w:tcW w:w="588" w:type="dxa"/>
            <w:tcBorders>
              <w:bottom w:val="single" w:sz="4" w:space="0" w:color="auto"/>
            </w:tcBorders>
            <w:noWrap/>
            <w:vAlign w:val="center"/>
            <w:hideMark/>
          </w:tcPr>
          <w:p w14:paraId="7D406DCB" w14:textId="2627F282"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77,478</w:t>
            </w:r>
          </w:p>
        </w:tc>
        <w:tc>
          <w:tcPr>
            <w:tcW w:w="588" w:type="dxa"/>
            <w:tcBorders>
              <w:bottom w:val="single" w:sz="4" w:space="0" w:color="auto"/>
            </w:tcBorders>
            <w:noWrap/>
            <w:vAlign w:val="center"/>
            <w:hideMark/>
          </w:tcPr>
          <w:p w14:paraId="2BC11223" w14:textId="3F852E1D"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95,938</w:t>
            </w:r>
          </w:p>
        </w:tc>
        <w:tc>
          <w:tcPr>
            <w:tcW w:w="504" w:type="dxa"/>
            <w:tcBorders>
              <w:bottom w:val="single" w:sz="4" w:space="0" w:color="auto"/>
              <w:right w:val="single" w:sz="4" w:space="0" w:color="auto"/>
            </w:tcBorders>
            <w:noWrap/>
            <w:vAlign w:val="center"/>
            <w:hideMark/>
          </w:tcPr>
          <w:p w14:paraId="28E19944" w14:textId="7FEC17F6"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10,910</w:t>
            </w:r>
          </w:p>
        </w:tc>
        <w:tc>
          <w:tcPr>
            <w:tcW w:w="588" w:type="dxa"/>
            <w:tcBorders>
              <w:left w:val="single" w:sz="4" w:space="0" w:color="auto"/>
            </w:tcBorders>
            <w:noWrap/>
            <w:vAlign w:val="center"/>
            <w:hideMark/>
          </w:tcPr>
          <w:p w14:paraId="71C1834B" w14:textId="480E1A4E"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196,533</w:t>
            </w:r>
          </w:p>
        </w:tc>
        <w:tc>
          <w:tcPr>
            <w:tcW w:w="588" w:type="dxa"/>
            <w:noWrap/>
            <w:vAlign w:val="center"/>
            <w:hideMark/>
          </w:tcPr>
          <w:p w14:paraId="27D6B9ED" w14:textId="7A173802"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78,655</w:t>
            </w:r>
          </w:p>
        </w:tc>
        <w:tc>
          <w:tcPr>
            <w:tcW w:w="588" w:type="dxa"/>
            <w:noWrap/>
            <w:vAlign w:val="center"/>
            <w:hideMark/>
          </w:tcPr>
          <w:p w14:paraId="73A77F4D" w14:textId="2EE906C4" w:rsidR="000914CC" w:rsidRPr="00037C61" w:rsidRDefault="000914CC" w:rsidP="000914CC">
            <w:pPr>
              <w:ind w:left="-174"/>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106,889</w:t>
            </w:r>
          </w:p>
        </w:tc>
        <w:tc>
          <w:tcPr>
            <w:tcW w:w="588" w:type="dxa"/>
            <w:noWrap/>
            <w:vAlign w:val="center"/>
            <w:hideMark/>
          </w:tcPr>
          <w:p w14:paraId="7BCBB4BD" w14:textId="150590C4" w:rsidR="000914CC" w:rsidRPr="00037C61" w:rsidRDefault="000914CC" w:rsidP="000914CC">
            <w:pPr>
              <w:ind w:left="-113"/>
              <w:jc w:val="right"/>
              <w:cnfStyle w:val="000000100000" w:firstRow="0" w:lastRow="0" w:firstColumn="0" w:lastColumn="0" w:oddVBand="0" w:evenVBand="0" w:oddHBand="1" w:evenHBand="0" w:firstRowFirstColumn="0" w:firstRowLastColumn="0" w:lastRowFirstColumn="0" w:lastRowLastColumn="0"/>
              <w:rPr>
                <w:color w:val="000000"/>
                <w:sz w:val="14"/>
                <w:lang w:val="en-GB"/>
              </w:rPr>
            </w:pPr>
            <w:r w:rsidRPr="00037C61">
              <w:rPr>
                <w:rFonts w:cs="Calibri"/>
                <w:color w:val="000000"/>
                <w:sz w:val="14"/>
                <w:lang w:val="en-GB"/>
              </w:rPr>
              <w:t>10,989</w:t>
            </w:r>
          </w:p>
        </w:tc>
      </w:tr>
    </w:tbl>
    <w:p w14:paraId="19A2B4E3" w14:textId="639E4D38" w:rsidR="00B8289A" w:rsidRPr="00037C61" w:rsidRDefault="00B8289A" w:rsidP="00B8289A">
      <w:pPr>
        <w:pStyle w:val="Caption"/>
        <w:spacing w:after="240"/>
        <w:jc w:val="both"/>
        <w:rPr>
          <w:bCs/>
          <w:lang w:val="en-GB"/>
        </w:rPr>
      </w:pPr>
      <w:r w:rsidRPr="00037C61">
        <w:rPr>
          <w:lang w:val="en-GB"/>
        </w:rPr>
        <w:t>Source: Eurostat, *Latest data available in the data bases is 2017</w:t>
      </w:r>
      <w:r w:rsidR="006C5543" w:rsidRPr="00037C61">
        <w:rPr>
          <w:lang w:val="en-GB"/>
        </w:rPr>
        <w:t xml:space="preserve">. 0 – enterprises with no employees; 1-9 – enterprises with 1-9 employees; &gt;10 – enterprises with over 10 employees. </w:t>
      </w:r>
    </w:p>
    <w:p w14:paraId="621B4EDB" w14:textId="21BB9F25" w:rsidR="00542215" w:rsidRPr="00037C61" w:rsidRDefault="00542215" w:rsidP="00C90E44">
      <w:pPr>
        <w:rPr>
          <w:lang w:val="en-GB"/>
        </w:rPr>
      </w:pPr>
      <w:r w:rsidRPr="00037C61">
        <w:rPr>
          <w:lang w:val="en-GB"/>
        </w:rPr>
        <w:t xml:space="preserve">Although small in number, the larger companies with more than 10 employees have a significant contribution to the growth and economic development of the region and out of a total of 196,533 </w:t>
      </w:r>
      <w:r w:rsidR="78E52D82" w:rsidRPr="00037C61">
        <w:rPr>
          <w:lang w:val="en-GB"/>
        </w:rPr>
        <w:t xml:space="preserve">PA </w:t>
      </w:r>
      <w:r w:rsidRPr="00037C61">
        <w:rPr>
          <w:lang w:val="en-GB"/>
        </w:rPr>
        <w:lastRenderedPageBreak/>
        <w:t>companies in 2017, 10,989 companies are active, increasing by only 1.23% in the analysed period, of which approx. 60% are Romanian.</w:t>
      </w:r>
    </w:p>
    <w:p w14:paraId="4CAD201E" w14:textId="452B7F96" w:rsidR="00542215" w:rsidRPr="00037C61" w:rsidRDefault="00542215" w:rsidP="00C90E44">
      <w:pPr>
        <w:rPr>
          <w:lang w:val="en-GB"/>
        </w:rPr>
      </w:pPr>
      <w:r w:rsidRPr="00037C61">
        <w:rPr>
          <w:lang w:val="en-GB"/>
        </w:rPr>
        <w:t>The distribution of active local units on the component counties from the perspective of size follows the trend in the region: in the Hungarian side there is an increase in the share of companies with employees while decreasing those without payrol</w:t>
      </w:r>
      <w:r w:rsidR="00FE09AC" w:rsidRPr="00037C61">
        <w:rPr>
          <w:lang w:val="en-GB"/>
        </w:rPr>
        <w:t>l</w:t>
      </w:r>
      <w:r w:rsidRPr="00037C61">
        <w:rPr>
          <w:lang w:val="en-GB"/>
        </w:rPr>
        <w:t xml:space="preserve">, while companies with more than 10 employees register a slight decline only in </w:t>
      </w:r>
      <w:r w:rsidR="00772613" w:rsidRPr="00037C61">
        <w:rPr>
          <w:lang w:val="en-GB"/>
        </w:rPr>
        <w:t>Békés</w:t>
      </w:r>
      <w:r w:rsidRPr="00037C61">
        <w:rPr>
          <w:lang w:val="en-GB"/>
        </w:rPr>
        <w:t>; in the Romanian counties, the growth is on all size segments, with two exceptions for companies with over 10 employees from Satu Mare and Arad that registered a slight rebound.</w:t>
      </w:r>
    </w:p>
    <w:p w14:paraId="28B602B4" w14:textId="77777777" w:rsidR="00542215" w:rsidRPr="00037C61" w:rsidRDefault="00542215" w:rsidP="00C90E44">
      <w:pPr>
        <w:pStyle w:val="Heading4"/>
        <w:rPr>
          <w:lang w:val="en-GB"/>
        </w:rPr>
      </w:pPr>
      <w:r w:rsidRPr="00037C61">
        <w:rPr>
          <w:lang w:val="en-GB"/>
        </w:rPr>
        <w:t>Employees in new businesses</w:t>
      </w:r>
    </w:p>
    <w:p w14:paraId="69928B21" w14:textId="30CA7C81" w:rsidR="00542215" w:rsidRPr="00037C61" w:rsidRDefault="00542215" w:rsidP="00542215">
      <w:pPr>
        <w:jc w:val="left"/>
        <w:rPr>
          <w:bCs/>
          <w:lang w:val="en-GB"/>
        </w:rPr>
      </w:pPr>
      <w:bookmarkStart w:id="363" w:name="_Toc47692449"/>
      <w:r w:rsidRPr="00037C61">
        <w:rPr>
          <w:bCs/>
          <w:lang w:val="en-GB"/>
        </w:rPr>
        <w:t>In the context of this new entrepreneurial trend, the capacity of the founders for organic but also inclusive development is important, and for this aspect, below the capacity of these companies to develop the employed workforce</w:t>
      </w:r>
      <w:r w:rsidR="00B54ED1" w:rsidRPr="00037C61">
        <w:rPr>
          <w:bCs/>
          <w:lang w:val="en-GB"/>
        </w:rPr>
        <w:t xml:space="preserve"> is analysed</w:t>
      </w:r>
      <w:r w:rsidRPr="00037C61">
        <w:rPr>
          <w:bCs/>
          <w:lang w:val="en-GB"/>
        </w:rPr>
        <w:t>:</w:t>
      </w:r>
    </w:p>
    <w:p w14:paraId="35F065BA" w14:textId="77777777" w:rsidR="00542215" w:rsidRPr="00037C61" w:rsidRDefault="00542215" w:rsidP="0094417F">
      <w:pPr>
        <w:pStyle w:val="InterregROHUBullet1"/>
        <w:ind w:left="567"/>
      </w:pPr>
      <w:r w:rsidRPr="00037C61">
        <w:t>In both countries, the national levels of newly created jobs are decreasing year by year, while the border region registers a higher decrease, evolution given by the Romanian counties that have overcome the increase in the counties across the border. This evolution is the result of an oscillating evolution during the analysed period, both in Romania and in Hungary.</w:t>
      </w:r>
    </w:p>
    <w:p w14:paraId="20654A76" w14:textId="1DAAA785" w:rsidR="00B8289A" w:rsidRPr="00037C61" w:rsidRDefault="00542215" w:rsidP="00F60720">
      <w:pPr>
        <w:pStyle w:val="InterregROHUBullet1"/>
        <w:ind w:left="567"/>
      </w:pPr>
      <w:r w:rsidRPr="00037C61">
        <w:t>The growth of newly established companies is inversely related with the evolution of new jobs established in the region and thus explains the fact that the founders start with the business without human resources, only based on their own knowledge and experience. The records of the analysed period showed that a newly established company created, on average, a single job, a level considered very low, even against the background of the maturity of the entrepreneurial ecosystem mentioned above.</w:t>
      </w:r>
    </w:p>
    <w:p w14:paraId="66BC5312" w14:textId="7C41C396" w:rsidR="006C5543" w:rsidRPr="00037C61" w:rsidRDefault="00B8289A" w:rsidP="00F60720">
      <w:pPr>
        <w:pStyle w:val="Caption"/>
        <w:keepNext/>
        <w:jc w:val="left"/>
        <w:rPr>
          <w:lang w:val="en-GB"/>
        </w:rPr>
      </w:pPr>
      <w:bookmarkStart w:id="364" w:name="_Toc58237645"/>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23</w:t>
      </w:r>
      <w:r w:rsidR="00552808" w:rsidRPr="00037C61">
        <w:rPr>
          <w:lang w:val="en-GB"/>
        </w:rPr>
        <w:fldChar w:fldCharType="end"/>
      </w:r>
      <w:r w:rsidR="00EA5E72" w:rsidRPr="00037C61">
        <w:rPr>
          <w:lang w:val="en-GB"/>
        </w:rPr>
        <w:t xml:space="preserve"> -</w:t>
      </w:r>
      <w:r w:rsidRPr="00037C61">
        <w:rPr>
          <w:lang w:val="en-GB"/>
        </w:rPr>
        <w:t xml:space="preserve"> </w:t>
      </w:r>
      <w:r w:rsidRPr="00037C61">
        <w:rPr>
          <w:i w:val="0"/>
          <w:iCs w:val="0"/>
          <w:lang w:val="en-GB"/>
        </w:rPr>
        <w:t>New jobs created by new companies*in Romania, Hungary, RO-HU area</w:t>
      </w:r>
      <w:bookmarkEnd w:id="364"/>
    </w:p>
    <w:tbl>
      <w:tblPr>
        <w:tblStyle w:val="ListTable3-Accent11"/>
        <w:tblW w:w="9219" w:type="dxa"/>
        <w:tblLook w:val="04A0" w:firstRow="1" w:lastRow="0" w:firstColumn="1" w:lastColumn="0" w:noHBand="0" w:noVBand="1"/>
      </w:tblPr>
      <w:tblGrid>
        <w:gridCol w:w="1555"/>
        <w:gridCol w:w="1364"/>
        <w:gridCol w:w="900"/>
        <w:gridCol w:w="900"/>
        <w:gridCol w:w="900"/>
        <w:gridCol w:w="900"/>
        <w:gridCol w:w="900"/>
        <w:gridCol w:w="900"/>
        <w:gridCol w:w="900"/>
      </w:tblGrid>
      <w:tr w:rsidR="00884A59" w:rsidRPr="00037C61" w14:paraId="7895369C" w14:textId="77777777" w:rsidTr="003979D6">
        <w:trPr>
          <w:cnfStyle w:val="100000000000" w:firstRow="1" w:lastRow="0" w:firstColumn="0" w:lastColumn="0" w:oddVBand="0" w:evenVBand="0" w:oddHBand="0" w:evenHBand="0" w:firstRowFirstColumn="0" w:firstRowLastColumn="0" w:lastRowFirstColumn="0" w:lastRowLastColumn="0"/>
          <w:trHeight w:val="275"/>
          <w:tblHeader/>
        </w:trPr>
        <w:tc>
          <w:tcPr>
            <w:cnfStyle w:val="001000000100" w:firstRow="0" w:lastRow="0" w:firstColumn="1" w:lastColumn="0" w:oddVBand="0" w:evenVBand="0" w:oddHBand="0" w:evenHBand="0" w:firstRowFirstColumn="1" w:firstRowLastColumn="0" w:lastRowFirstColumn="0" w:lastRowLastColumn="0"/>
            <w:tcW w:w="1555" w:type="dxa"/>
            <w:hideMark/>
          </w:tcPr>
          <w:p w14:paraId="61CBC3B7" w14:textId="77777777" w:rsidR="006C5543" w:rsidRPr="00037C61" w:rsidRDefault="006C5543" w:rsidP="006C5543">
            <w:pPr>
              <w:jc w:val="left"/>
              <w:rPr>
                <w:sz w:val="18"/>
                <w:lang w:val="en-GB"/>
              </w:rPr>
            </w:pPr>
            <w:r w:rsidRPr="00037C61">
              <w:rPr>
                <w:sz w:val="18"/>
                <w:lang w:val="en-GB"/>
              </w:rPr>
              <w:t>Region</w:t>
            </w:r>
          </w:p>
        </w:tc>
        <w:tc>
          <w:tcPr>
            <w:tcW w:w="1364" w:type="dxa"/>
            <w:hideMark/>
          </w:tcPr>
          <w:p w14:paraId="61201CB8"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Unit</w:t>
            </w:r>
          </w:p>
        </w:tc>
        <w:tc>
          <w:tcPr>
            <w:tcW w:w="0" w:type="dxa"/>
            <w:hideMark/>
          </w:tcPr>
          <w:p w14:paraId="27FAA57F"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2011</w:t>
            </w:r>
          </w:p>
        </w:tc>
        <w:tc>
          <w:tcPr>
            <w:tcW w:w="0" w:type="dxa"/>
            <w:hideMark/>
          </w:tcPr>
          <w:p w14:paraId="55ABCD21"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2012</w:t>
            </w:r>
          </w:p>
        </w:tc>
        <w:tc>
          <w:tcPr>
            <w:tcW w:w="0" w:type="dxa"/>
            <w:hideMark/>
          </w:tcPr>
          <w:p w14:paraId="3AE95C95"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2013</w:t>
            </w:r>
          </w:p>
        </w:tc>
        <w:tc>
          <w:tcPr>
            <w:tcW w:w="0" w:type="dxa"/>
            <w:hideMark/>
          </w:tcPr>
          <w:p w14:paraId="259181B1"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2014</w:t>
            </w:r>
          </w:p>
        </w:tc>
        <w:tc>
          <w:tcPr>
            <w:tcW w:w="0" w:type="dxa"/>
            <w:hideMark/>
          </w:tcPr>
          <w:p w14:paraId="5A293AAA"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2015</w:t>
            </w:r>
          </w:p>
        </w:tc>
        <w:tc>
          <w:tcPr>
            <w:tcW w:w="0" w:type="dxa"/>
            <w:hideMark/>
          </w:tcPr>
          <w:p w14:paraId="7ABC8404"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2016</w:t>
            </w:r>
          </w:p>
        </w:tc>
        <w:tc>
          <w:tcPr>
            <w:tcW w:w="0" w:type="dxa"/>
            <w:hideMark/>
          </w:tcPr>
          <w:p w14:paraId="2D217BC0" w14:textId="77777777" w:rsidR="006C5543" w:rsidRPr="00037C61" w:rsidRDefault="006C5543" w:rsidP="006C5543">
            <w:pPr>
              <w:jc w:val="center"/>
              <w:cnfStyle w:val="100000000000" w:firstRow="1" w:lastRow="0" w:firstColumn="0" w:lastColumn="0" w:oddVBand="0" w:evenVBand="0" w:oddHBand="0" w:evenHBand="0" w:firstRowFirstColumn="0" w:firstRowLastColumn="0" w:lastRowFirstColumn="0" w:lastRowLastColumn="0"/>
              <w:rPr>
                <w:sz w:val="18"/>
                <w:lang w:val="en-GB"/>
              </w:rPr>
            </w:pPr>
            <w:r w:rsidRPr="00037C61">
              <w:rPr>
                <w:sz w:val="18"/>
                <w:lang w:val="en-GB"/>
              </w:rPr>
              <w:t>2017</w:t>
            </w:r>
          </w:p>
        </w:tc>
      </w:tr>
      <w:tr w:rsidR="006C5543" w:rsidRPr="00037C61" w14:paraId="4BAA4E8A" w14:textId="77777777" w:rsidTr="00F6072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dxa"/>
            <w:hideMark/>
          </w:tcPr>
          <w:p w14:paraId="0F5CF1EA" w14:textId="77777777" w:rsidR="006C5543" w:rsidRPr="00037C61" w:rsidRDefault="006C5543" w:rsidP="006C5543">
            <w:pPr>
              <w:jc w:val="center"/>
              <w:rPr>
                <w:color w:val="FFFFFF" w:themeColor="background1"/>
                <w:sz w:val="18"/>
                <w:lang w:val="en-GB"/>
              </w:rPr>
            </w:pPr>
          </w:p>
        </w:tc>
        <w:tc>
          <w:tcPr>
            <w:tcW w:w="0" w:type="dxa"/>
            <w:hideMark/>
          </w:tcPr>
          <w:p w14:paraId="7BB95F91"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11943B69"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7EB7D6D3"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6DB958E2"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7A93B63B"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0FC2F770"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459B3CDC"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c>
          <w:tcPr>
            <w:tcW w:w="0" w:type="dxa"/>
            <w:hideMark/>
          </w:tcPr>
          <w:p w14:paraId="6F7A8E19"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color w:val="FFFFFF" w:themeColor="background1"/>
                <w:sz w:val="18"/>
                <w:lang w:val="en-GB"/>
              </w:rPr>
            </w:pPr>
          </w:p>
        </w:tc>
      </w:tr>
      <w:tr w:rsidR="00884A59" w:rsidRPr="00037C61" w14:paraId="30E17CBE"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5F93EEE7" w14:textId="77777777" w:rsidR="006C5543" w:rsidRPr="00037C61" w:rsidRDefault="006C5543" w:rsidP="006C5543">
            <w:pPr>
              <w:jc w:val="left"/>
              <w:rPr>
                <w:color w:val="000000"/>
                <w:sz w:val="18"/>
                <w:lang w:val="en-GB"/>
              </w:rPr>
            </w:pPr>
            <w:r w:rsidRPr="00037C61">
              <w:rPr>
                <w:color w:val="000000"/>
                <w:sz w:val="18"/>
                <w:lang w:val="en-GB"/>
              </w:rPr>
              <w:t>Hajdú-Bihar</w:t>
            </w:r>
          </w:p>
        </w:tc>
        <w:tc>
          <w:tcPr>
            <w:tcW w:w="1364" w:type="dxa"/>
            <w:shd w:val="clear" w:color="auto" w:fill="FBD1D2" w:themeFill="accent3" w:themeFillTint="33"/>
            <w:hideMark/>
          </w:tcPr>
          <w:p w14:paraId="49410DE7"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FBD1D2" w:themeFill="accent3" w:themeFillTint="33"/>
            <w:hideMark/>
          </w:tcPr>
          <w:p w14:paraId="5FBF25AA"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2,549</w:t>
            </w:r>
          </w:p>
        </w:tc>
        <w:tc>
          <w:tcPr>
            <w:tcW w:w="900" w:type="dxa"/>
            <w:shd w:val="clear" w:color="auto" w:fill="FBD1D2" w:themeFill="accent3" w:themeFillTint="33"/>
            <w:hideMark/>
          </w:tcPr>
          <w:p w14:paraId="4314E74A"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1,916</w:t>
            </w:r>
          </w:p>
        </w:tc>
        <w:tc>
          <w:tcPr>
            <w:tcW w:w="900" w:type="dxa"/>
            <w:shd w:val="clear" w:color="auto" w:fill="FBD1D2" w:themeFill="accent3" w:themeFillTint="33"/>
            <w:hideMark/>
          </w:tcPr>
          <w:p w14:paraId="13F9D761"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2,537</w:t>
            </w:r>
          </w:p>
        </w:tc>
        <w:tc>
          <w:tcPr>
            <w:tcW w:w="900" w:type="dxa"/>
            <w:shd w:val="clear" w:color="auto" w:fill="FBD1D2" w:themeFill="accent3" w:themeFillTint="33"/>
            <w:hideMark/>
          </w:tcPr>
          <w:p w14:paraId="72C86161"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2,298</w:t>
            </w:r>
          </w:p>
        </w:tc>
        <w:tc>
          <w:tcPr>
            <w:tcW w:w="900" w:type="dxa"/>
            <w:shd w:val="clear" w:color="auto" w:fill="FBD1D2" w:themeFill="accent3" w:themeFillTint="33"/>
            <w:hideMark/>
          </w:tcPr>
          <w:p w14:paraId="0C4CA879"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2,886</w:t>
            </w:r>
          </w:p>
        </w:tc>
        <w:tc>
          <w:tcPr>
            <w:tcW w:w="900" w:type="dxa"/>
            <w:shd w:val="clear" w:color="auto" w:fill="FBD1D2" w:themeFill="accent3" w:themeFillTint="33"/>
            <w:hideMark/>
          </w:tcPr>
          <w:p w14:paraId="73E7E286"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2,470</w:t>
            </w:r>
          </w:p>
        </w:tc>
        <w:tc>
          <w:tcPr>
            <w:tcW w:w="900" w:type="dxa"/>
            <w:shd w:val="clear" w:color="auto" w:fill="FBD1D2" w:themeFill="accent3" w:themeFillTint="33"/>
            <w:hideMark/>
          </w:tcPr>
          <w:p w14:paraId="21EA3434"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2,551</w:t>
            </w:r>
          </w:p>
        </w:tc>
      </w:tr>
      <w:tr w:rsidR="00884A59" w:rsidRPr="00037C61" w14:paraId="59DE3FB4"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557B544C" w14:textId="77777777" w:rsidR="006C5543" w:rsidRPr="00037C61" w:rsidRDefault="006C5543" w:rsidP="006C5543">
            <w:pPr>
              <w:jc w:val="left"/>
              <w:rPr>
                <w:color w:val="000000"/>
                <w:sz w:val="18"/>
                <w:lang w:val="en-GB"/>
              </w:rPr>
            </w:pPr>
            <w:r w:rsidRPr="00037C61">
              <w:rPr>
                <w:color w:val="000000"/>
                <w:sz w:val="18"/>
                <w:lang w:val="en-GB"/>
              </w:rPr>
              <w:t>Szabolcs-Szatmár-Bereg</w:t>
            </w:r>
          </w:p>
        </w:tc>
        <w:tc>
          <w:tcPr>
            <w:tcW w:w="1364" w:type="dxa"/>
            <w:shd w:val="clear" w:color="auto" w:fill="FBD1D2" w:themeFill="accent3" w:themeFillTint="33"/>
            <w:hideMark/>
          </w:tcPr>
          <w:p w14:paraId="775DC830"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FBD1D2" w:themeFill="accent3" w:themeFillTint="33"/>
            <w:hideMark/>
          </w:tcPr>
          <w:p w14:paraId="63D5DECF"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1,945</w:t>
            </w:r>
          </w:p>
        </w:tc>
        <w:tc>
          <w:tcPr>
            <w:tcW w:w="900" w:type="dxa"/>
            <w:shd w:val="clear" w:color="auto" w:fill="FBD1D2" w:themeFill="accent3" w:themeFillTint="33"/>
            <w:hideMark/>
          </w:tcPr>
          <w:p w14:paraId="1ED1915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1,443</w:t>
            </w:r>
          </w:p>
        </w:tc>
        <w:tc>
          <w:tcPr>
            <w:tcW w:w="900" w:type="dxa"/>
            <w:shd w:val="clear" w:color="auto" w:fill="FBD1D2" w:themeFill="accent3" w:themeFillTint="33"/>
            <w:hideMark/>
          </w:tcPr>
          <w:p w14:paraId="68C10D18"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1,912</w:t>
            </w:r>
          </w:p>
        </w:tc>
        <w:tc>
          <w:tcPr>
            <w:tcW w:w="900" w:type="dxa"/>
            <w:shd w:val="clear" w:color="auto" w:fill="FBD1D2" w:themeFill="accent3" w:themeFillTint="33"/>
            <w:hideMark/>
          </w:tcPr>
          <w:p w14:paraId="512039CB"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1,812</w:t>
            </w:r>
          </w:p>
        </w:tc>
        <w:tc>
          <w:tcPr>
            <w:tcW w:w="900" w:type="dxa"/>
            <w:shd w:val="clear" w:color="auto" w:fill="FBD1D2" w:themeFill="accent3" w:themeFillTint="33"/>
            <w:hideMark/>
          </w:tcPr>
          <w:p w14:paraId="5C56060C"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2,146</w:t>
            </w:r>
          </w:p>
        </w:tc>
        <w:tc>
          <w:tcPr>
            <w:tcW w:w="900" w:type="dxa"/>
            <w:shd w:val="clear" w:color="auto" w:fill="FBD1D2" w:themeFill="accent3" w:themeFillTint="33"/>
            <w:hideMark/>
          </w:tcPr>
          <w:p w14:paraId="6B32EA60"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1,949</w:t>
            </w:r>
          </w:p>
        </w:tc>
        <w:tc>
          <w:tcPr>
            <w:tcW w:w="900" w:type="dxa"/>
            <w:shd w:val="clear" w:color="auto" w:fill="FBD1D2" w:themeFill="accent3" w:themeFillTint="33"/>
            <w:hideMark/>
          </w:tcPr>
          <w:p w14:paraId="1B5653EC"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1,762</w:t>
            </w:r>
          </w:p>
        </w:tc>
      </w:tr>
      <w:tr w:rsidR="00884A59" w:rsidRPr="00037C61" w14:paraId="758EAFCD"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3E3EB45B" w14:textId="77777777" w:rsidR="006C5543" w:rsidRPr="00037C61" w:rsidRDefault="006C5543" w:rsidP="006C5543">
            <w:pPr>
              <w:jc w:val="left"/>
              <w:rPr>
                <w:color w:val="000000"/>
                <w:sz w:val="18"/>
                <w:lang w:val="en-GB"/>
              </w:rPr>
            </w:pPr>
            <w:r w:rsidRPr="00037C61">
              <w:rPr>
                <w:color w:val="000000"/>
                <w:sz w:val="18"/>
                <w:lang w:val="en-GB"/>
              </w:rPr>
              <w:t>Békés</w:t>
            </w:r>
          </w:p>
        </w:tc>
        <w:tc>
          <w:tcPr>
            <w:tcW w:w="1364" w:type="dxa"/>
            <w:shd w:val="clear" w:color="auto" w:fill="FBD1D2" w:themeFill="accent3" w:themeFillTint="33"/>
            <w:hideMark/>
          </w:tcPr>
          <w:p w14:paraId="0699EA58"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FBD1D2" w:themeFill="accent3" w:themeFillTint="33"/>
            <w:hideMark/>
          </w:tcPr>
          <w:p w14:paraId="59BFD8EE"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900</w:t>
            </w:r>
          </w:p>
        </w:tc>
        <w:tc>
          <w:tcPr>
            <w:tcW w:w="900" w:type="dxa"/>
            <w:shd w:val="clear" w:color="auto" w:fill="FBD1D2" w:themeFill="accent3" w:themeFillTint="33"/>
            <w:hideMark/>
          </w:tcPr>
          <w:p w14:paraId="2FF20DAF"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1,187</w:t>
            </w:r>
          </w:p>
        </w:tc>
        <w:tc>
          <w:tcPr>
            <w:tcW w:w="900" w:type="dxa"/>
            <w:shd w:val="clear" w:color="auto" w:fill="FBD1D2" w:themeFill="accent3" w:themeFillTint="33"/>
            <w:hideMark/>
          </w:tcPr>
          <w:p w14:paraId="7403C9A3"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1,125</w:t>
            </w:r>
          </w:p>
        </w:tc>
        <w:tc>
          <w:tcPr>
            <w:tcW w:w="900" w:type="dxa"/>
            <w:shd w:val="clear" w:color="auto" w:fill="FBD1D2" w:themeFill="accent3" w:themeFillTint="33"/>
            <w:hideMark/>
          </w:tcPr>
          <w:p w14:paraId="505B74F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1,005</w:t>
            </w:r>
          </w:p>
        </w:tc>
        <w:tc>
          <w:tcPr>
            <w:tcW w:w="900" w:type="dxa"/>
            <w:shd w:val="clear" w:color="auto" w:fill="FBD1D2" w:themeFill="accent3" w:themeFillTint="33"/>
            <w:hideMark/>
          </w:tcPr>
          <w:p w14:paraId="5FA30038"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1,258</w:t>
            </w:r>
          </w:p>
        </w:tc>
        <w:tc>
          <w:tcPr>
            <w:tcW w:w="900" w:type="dxa"/>
            <w:shd w:val="clear" w:color="auto" w:fill="FBD1D2" w:themeFill="accent3" w:themeFillTint="33"/>
            <w:hideMark/>
          </w:tcPr>
          <w:p w14:paraId="0B4C520B"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1,419</w:t>
            </w:r>
          </w:p>
        </w:tc>
        <w:tc>
          <w:tcPr>
            <w:tcW w:w="900" w:type="dxa"/>
            <w:shd w:val="clear" w:color="auto" w:fill="FBD1D2" w:themeFill="accent3" w:themeFillTint="33"/>
            <w:hideMark/>
          </w:tcPr>
          <w:p w14:paraId="09F4207A"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1,097</w:t>
            </w:r>
          </w:p>
        </w:tc>
      </w:tr>
      <w:tr w:rsidR="00884A59" w:rsidRPr="00037C61" w14:paraId="7B64A6C2"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7DFB303F" w14:textId="515E34E4" w:rsidR="006C5543" w:rsidRPr="00037C61" w:rsidRDefault="6446A0E8" w:rsidP="6446A0E8">
            <w:pPr>
              <w:jc w:val="left"/>
              <w:rPr>
                <w:color w:val="000000"/>
                <w:sz w:val="18"/>
                <w:szCs w:val="18"/>
                <w:lang w:val="en-GB"/>
              </w:rPr>
            </w:pPr>
            <w:r w:rsidRPr="00037C61">
              <w:rPr>
                <w:color w:val="000000" w:themeColor="text1"/>
                <w:sz w:val="18"/>
                <w:szCs w:val="18"/>
                <w:lang w:val="en-GB"/>
              </w:rPr>
              <w:t>Csongrád-Csanád</w:t>
            </w:r>
          </w:p>
        </w:tc>
        <w:tc>
          <w:tcPr>
            <w:tcW w:w="1364" w:type="dxa"/>
            <w:shd w:val="clear" w:color="auto" w:fill="FBD1D2" w:themeFill="accent3" w:themeFillTint="33"/>
            <w:hideMark/>
          </w:tcPr>
          <w:p w14:paraId="2876ECEE"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FBD1D2" w:themeFill="accent3" w:themeFillTint="33"/>
            <w:hideMark/>
          </w:tcPr>
          <w:p w14:paraId="756C2CA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2,049</w:t>
            </w:r>
          </w:p>
        </w:tc>
        <w:tc>
          <w:tcPr>
            <w:tcW w:w="900" w:type="dxa"/>
            <w:shd w:val="clear" w:color="auto" w:fill="FBD1D2" w:themeFill="accent3" w:themeFillTint="33"/>
            <w:hideMark/>
          </w:tcPr>
          <w:p w14:paraId="51FA7D87"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1,624</w:t>
            </w:r>
          </w:p>
        </w:tc>
        <w:tc>
          <w:tcPr>
            <w:tcW w:w="900" w:type="dxa"/>
            <w:shd w:val="clear" w:color="auto" w:fill="FBD1D2" w:themeFill="accent3" w:themeFillTint="33"/>
            <w:hideMark/>
          </w:tcPr>
          <w:p w14:paraId="11AE82FB"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2,151</w:t>
            </w:r>
          </w:p>
        </w:tc>
        <w:tc>
          <w:tcPr>
            <w:tcW w:w="900" w:type="dxa"/>
            <w:shd w:val="clear" w:color="auto" w:fill="FBD1D2" w:themeFill="accent3" w:themeFillTint="33"/>
            <w:hideMark/>
          </w:tcPr>
          <w:p w14:paraId="6EE38FF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1,760</w:t>
            </w:r>
          </w:p>
        </w:tc>
        <w:tc>
          <w:tcPr>
            <w:tcW w:w="900" w:type="dxa"/>
            <w:shd w:val="clear" w:color="auto" w:fill="FBD1D2" w:themeFill="accent3" w:themeFillTint="33"/>
            <w:hideMark/>
          </w:tcPr>
          <w:p w14:paraId="2B175DE3"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2,761</w:t>
            </w:r>
          </w:p>
        </w:tc>
        <w:tc>
          <w:tcPr>
            <w:tcW w:w="900" w:type="dxa"/>
            <w:shd w:val="clear" w:color="auto" w:fill="FBD1D2" w:themeFill="accent3" w:themeFillTint="33"/>
            <w:hideMark/>
          </w:tcPr>
          <w:p w14:paraId="3A798EE1"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2,200</w:t>
            </w:r>
          </w:p>
        </w:tc>
        <w:tc>
          <w:tcPr>
            <w:tcW w:w="900" w:type="dxa"/>
            <w:shd w:val="clear" w:color="auto" w:fill="FBD1D2" w:themeFill="accent3" w:themeFillTint="33"/>
            <w:hideMark/>
          </w:tcPr>
          <w:p w14:paraId="646B172B"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2,118</w:t>
            </w:r>
          </w:p>
        </w:tc>
      </w:tr>
      <w:tr w:rsidR="00884A59" w:rsidRPr="00037C61" w14:paraId="5D1196C9"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5F5E4E05" w14:textId="77777777" w:rsidR="006C5543" w:rsidRPr="00037C61" w:rsidRDefault="006C5543" w:rsidP="006C5543">
            <w:pPr>
              <w:jc w:val="left"/>
              <w:rPr>
                <w:color w:val="000000"/>
                <w:sz w:val="18"/>
                <w:lang w:val="en-GB"/>
              </w:rPr>
            </w:pPr>
            <w:r w:rsidRPr="00037C61">
              <w:rPr>
                <w:color w:val="000000"/>
                <w:sz w:val="18"/>
                <w:lang w:val="en-GB"/>
              </w:rPr>
              <w:t>Bihor</w:t>
            </w:r>
          </w:p>
        </w:tc>
        <w:tc>
          <w:tcPr>
            <w:tcW w:w="1364" w:type="dxa"/>
            <w:shd w:val="clear" w:color="auto" w:fill="EAEDF6" w:themeFill="accent2" w:themeFillTint="33"/>
            <w:hideMark/>
          </w:tcPr>
          <w:p w14:paraId="3FE4053C"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EAEDF6" w:themeFill="accent2" w:themeFillTint="33"/>
            <w:hideMark/>
          </w:tcPr>
          <w:p w14:paraId="29A9AC75"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5,595</w:t>
            </w:r>
          </w:p>
        </w:tc>
        <w:tc>
          <w:tcPr>
            <w:tcW w:w="900" w:type="dxa"/>
            <w:shd w:val="clear" w:color="auto" w:fill="EAEDF6" w:themeFill="accent2" w:themeFillTint="33"/>
            <w:hideMark/>
          </w:tcPr>
          <w:p w14:paraId="6D49E04A"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4,377</w:t>
            </w:r>
          </w:p>
        </w:tc>
        <w:tc>
          <w:tcPr>
            <w:tcW w:w="900" w:type="dxa"/>
            <w:shd w:val="clear" w:color="auto" w:fill="EAEDF6" w:themeFill="accent2" w:themeFillTint="33"/>
            <w:hideMark/>
          </w:tcPr>
          <w:p w14:paraId="462E644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4,890</w:t>
            </w:r>
          </w:p>
        </w:tc>
        <w:tc>
          <w:tcPr>
            <w:tcW w:w="900" w:type="dxa"/>
            <w:shd w:val="clear" w:color="auto" w:fill="EAEDF6" w:themeFill="accent2" w:themeFillTint="33"/>
            <w:hideMark/>
          </w:tcPr>
          <w:p w14:paraId="7CC9D91F"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5,682</w:t>
            </w:r>
          </w:p>
        </w:tc>
        <w:tc>
          <w:tcPr>
            <w:tcW w:w="900" w:type="dxa"/>
            <w:shd w:val="clear" w:color="auto" w:fill="EAEDF6" w:themeFill="accent2" w:themeFillTint="33"/>
            <w:hideMark/>
          </w:tcPr>
          <w:p w14:paraId="669B789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3,715</w:t>
            </w:r>
          </w:p>
        </w:tc>
        <w:tc>
          <w:tcPr>
            <w:tcW w:w="900" w:type="dxa"/>
            <w:shd w:val="clear" w:color="auto" w:fill="EAEDF6" w:themeFill="accent2" w:themeFillTint="33"/>
            <w:hideMark/>
          </w:tcPr>
          <w:p w14:paraId="756E1C48"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3,365</w:t>
            </w:r>
          </w:p>
        </w:tc>
        <w:tc>
          <w:tcPr>
            <w:tcW w:w="900" w:type="dxa"/>
            <w:shd w:val="clear" w:color="auto" w:fill="EAEDF6" w:themeFill="accent2" w:themeFillTint="33"/>
            <w:hideMark/>
          </w:tcPr>
          <w:p w14:paraId="1C3FF7C9"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4,125</w:t>
            </w:r>
          </w:p>
        </w:tc>
      </w:tr>
      <w:tr w:rsidR="00884A59" w:rsidRPr="00037C61" w14:paraId="7B6CFDAF"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06D282C7" w14:textId="77777777" w:rsidR="006C5543" w:rsidRPr="00037C61" w:rsidRDefault="006C5543" w:rsidP="006C5543">
            <w:pPr>
              <w:jc w:val="left"/>
              <w:rPr>
                <w:color w:val="000000"/>
                <w:sz w:val="18"/>
                <w:lang w:val="en-GB"/>
              </w:rPr>
            </w:pPr>
            <w:r w:rsidRPr="00037C61">
              <w:rPr>
                <w:color w:val="000000"/>
                <w:sz w:val="18"/>
                <w:lang w:val="en-GB"/>
              </w:rPr>
              <w:t>Satu Mare</w:t>
            </w:r>
          </w:p>
        </w:tc>
        <w:tc>
          <w:tcPr>
            <w:tcW w:w="1364" w:type="dxa"/>
            <w:shd w:val="clear" w:color="auto" w:fill="EAEDF6" w:themeFill="accent2" w:themeFillTint="33"/>
            <w:hideMark/>
          </w:tcPr>
          <w:p w14:paraId="54EFB308"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EAEDF6" w:themeFill="accent2" w:themeFillTint="33"/>
            <w:hideMark/>
          </w:tcPr>
          <w:p w14:paraId="0AB4103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1,751</w:t>
            </w:r>
          </w:p>
        </w:tc>
        <w:tc>
          <w:tcPr>
            <w:tcW w:w="900" w:type="dxa"/>
            <w:shd w:val="clear" w:color="auto" w:fill="EAEDF6" w:themeFill="accent2" w:themeFillTint="33"/>
            <w:hideMark/>
          </w:tcPr>
          <w:p w14:paraId="38DF3E23"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1,860</w:t>
            </w:r>
          </w:p>
        </w:tc>
        <w:tc>
          <w:tcPr>
            <w:tcW w:w="900" w:type="dxa"/>
            <w:shd w:val="clear" w:color="auto" w:fill="EAEDF6" w:themeFill="accent2" w:themeFillTint="33"/>
            <w:hideMark/>
          </w:tcPr>
          <w:p w14:paraId="675F9FF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1,950</w:t>
            </w:r>
          </w:p>
        </w:tc>
        <w:tc>
          <w:tcPr>
            <w:tcW w:w="900" w:type="dxa"/>
            <w:shd w:val="clear" w:color="auto" w:fill="EAEDF6" w:themeFill="accent2" w:themeFillTint="33"/>
            <w:hideMark/>
          </w:tcPr>
          <w:p w14:paraId="5A891CCD"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1,903</w:t>
            </w:r>
          </w:p>
        </w:tc>
        <w:tc>
          <w:tcPr>
            <w:tcW w:w="900" w:type="dxa"/>
            <w:shd w:val="clear" w:color="auto" w:fill="EAEDF6" w:themeFill="accent2" w:themeFillTint="33"/>
            <w:hideMark/>
          </w:tcPr>
          <w:p w14:paraId="5922BC4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1,228</w:t>
            </w:r>
          </w:p>
        </w:tc>
        <w:tc>
          <w:tcPr>
            <w:tcW w:w="900" w:type="dxa"/>
            <w:shd w:val="clear" w:color="auto" w:fill="EAEDF6" w:themeFill="accent2" w:themeFillTint="33"/>
            <w:hideMark/>
          </w:tcPr>
          <w:p w14:paraId="249E383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1,688</w:t>
            </w:r>
          </w:p>
        </w:tc>
        <w:tc>
          <w:tcPr>
            <w:tcW w:w="900" w:type="dxa"/>
            <w:shd w:val="clear" w:color="auto" w:fill="EAEDF6" w:themeFill="accent2" w:themeFillTint="33"/>
            <w:hideMark/>
          </w:tcPr>
          <w:p w14:paraId="64DFDEA3"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1,565</w:t>
            </w:r>
          </w:p>
        </w:tc>
      </w:tr>
      <w:tr w:rsidR="00884A59" w:rsidRPr="00037C61" w14:paraId="259A0DDD"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1F4D270D" w14:textId="77777777" w:rsidR="006C5543" w:rsidRPr="00037C61" w:rsidRDefault="006C5543" w:rsidP="006C5543">
            <w:pPr>
              <w:jc w:val="left"/>
              <w:rPr>
                <w:color w:val="000000"/>
                <w:sz w:val="18"/>
                <w:lang w:val="en-GB"/>
              </w:rPr>
            </w:pPr>
            <w:r w:rsidRPr="00037C61">
              <w:rPr>
                <w:color w:val="000000"/>
                <w:sz w:val="18"/>
                <w:lang w:val="en-GB"/>
              </w:rPr>
              <w:t>Arad</w:t>
            </w:r>
          </w:p>
        </w:tc>
        <w:tc>
          <w:tcPr>
            <w:tcW w:w="1364" w:type="dxa"/>
            <w:shd w:val="clear" w:color="auto" w:fill="EAEDF6" w:themeFill="accent2" w:themeFillTint="33"/>
            <w:hideMark/>
          </w:tcPr>
          <w:p w14:paraId="6DDFD697"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EAEDF6" w:themeFill="accent2" w:themeFillTint="33"/>
            <w:hideMark/>
          </w:tcPr>
          <w:p w14:paraId="3F3859E3"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3,543</w:t>
            </w:r>
          </w:p>
        </w:tc>
        <w:tc>
          <w:tcPr>
            <w:tcW w:w="900" w:type="dxa"/>
            <w:shd w:val="clear" w:color="auto" w:fill="EAEDF6" w:themeFill="accent2" w:themeFillTint="33"/>
            <w:hideMark/>
          </w:tcPr>
          <w:p w14:paraId="6FDD3D31"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3,770</w:t>
            </w:r>
          </w:p>
        </w:tc>
        <w:tc>
          <w:tcPr>
            <w:tcW w:w="900" w:type="dxa"/>
            <w:shd w:val="clear" w:color="auto" w:fill="EAEDF6" w:themeFill="accent2" w:themeFillTint="33"/>
            <w:hideMark/>
          </w:tcPr>
          <w:p w14:paraId="158177F1"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2,585</w:t>
            </w:r>
          </w:p>
        </w:tc>
        <w:tc>
          <w:tcPr>
            <w:tcW w:w="900" w:type="dxa"/>
            <w:shd w:val="clear" w:color="auto" w:fill="EAEDF6" w:themeFill="accent2" w:themeFillTint="33"/>
            <w:hideMark/>
          </w:tcPr>
          <w:p w14:paraId="22E304D6"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2,552</w:t>
            </w:r>
          </w:p>
        </w:tc>
        <w:tc>
          <w:tcPr>
            <w:tcW w:w="900" w:type="dxa"/>
            <w:shd w:val="clear" w:color="auto" w:fill="EAEDF6" w:themeFill="accent2" w:themeFillTint="33"/>
            <w:hideMark/>
          </w:tcPr>
          <w:p w14:paraId="7A3D46A0"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2,255</w:t>
            </w:r>
          </w:p>
        </w:tc>
        <w:tc>
          <w:tcPr>
            <w:tcW w:w="900" w:type="dxa"/>
            <w:shd w:val="clear" w:color="auto" w:fill="EAEDF6" w:themeFill="accent2" w:themeFillTint="33"/>
            <w:hideMark/>
          </w:tcPr>
          <w:p w14:paraId="1BCB73DE"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1,986</w:t>
            </w:r>
          </w:p>
        </w:tc>
        <w:tc>
          <w:tcPr>
            <w:tcW w:w="900" w:type="dxa"/>
            <w:shd w:val="clear" w:color="auto" w:fill="EAEDF6" w:themeFill="accent2" w:themeFillTint="33"/>
            <w:hideMark/>
          </w:tcPr>
          <w:p w14:paraId="6728DC58"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2,198</w:t>
            </w:r>
          </w:p>
        </w:tc>
      </w:tr>
      <w:tr w:rsidR="00884A59" w:rsidRPr="00037C61" w14:paraId="6EAD9E99"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22128E5C" w14:textId="4CA77C26" w:rsidR="006C5543" w:rsidRPr="00037C61" w:rsidRDefault="00F0144C" w:rsidP="006C5543">
            <w:pPr>
              <w:jc w:val="left"/>
              <w:rPr>
                <w:color w:val="000000"/>
                <w:sz w:val="18"/>
                <w:lang w:val="en-GB"/>
              </w:rPr>
            </w:pPr>
            <w:r w:rsidRPr="00037C61">
              <w:rPr>
                <w:rFonts w:eastAsia="Times New Roman" w:cs="Calibri"/>
                <w:color w:val="000000"/>
                <w:sz w:val="18"/>
                <w:szCs w:val="18"/>
                <w:lang w:val="en-GB" w:eastAsia="en-GB"/>
              </w:rPr>
              <w:t>Timiș</w:t>
            </w:r>
          </w:p>
        </w:tc>
        <w:tc>
          <w:tcPr>
            <w:tcW w:w="1364" w:type="dxa"/>
            <w:shd w:val="clear" w:color="auto" w:fill="EAEDF6" w:themeFill="accent2" w:themeFillTint="33"/>
            <w:hideMark/>
          </w:tcPr>
          <w:p w14:paraId="3CEC264E"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EAEDF6" w:themeFill="accent2" w:themeFillTint="33"/>
            <w:hideMark/>
          </w:tcPr>
          <w:p w14:paraId="4A8651BB"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4,554</w:t>
            </w:r>
          </w:p>
        </w:tc>
        <w:tc>
          <w:tcPr>
            <w:tcW w:w="900" w:type="dxa"/>
            <w:shd w:val="clear" w:color="auto" w:fill="EAEDF6" w:themeFill="accent2" w:themeFillTint="33"/>
            <w:hideMark/>
          </w:tcPr>
          <w:p w14:paraId="1DFA5325"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5,445</w:t>
            </w:r>
          </w:p>
        </w:tc>
        <w:tc>
          <w:tcPr>
            <w:tcW w:w="900" w:type="dxa"/>
            <w:shd w:val="clear" w:color="auto" w:fill="EAEDF6" w:themeFill="accent2" w:themeFillTint="33"/>
            <w:hideMark/>
          </w:tcPr>
          <w:p w14:paraId="27546E9C"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5,146</w:t>
            </w:r>
          </w:p>
        </w:tc>
        <w:tc>
          <w:tcPr>
            <w:tcW w:w="900" w:type="dxa"/>
            <w:shd w:val="clear" w:color="auto" w:fill="EAEDF6" w:themeFill="accent2" w:themeFillTint="33"/>
            <w:hideMark/>
          </w:tcPr>
          <w:p w14:paraId="6D242B0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6,499</w:t>
            </w:r>
          </w:p>
        </w:tc>
        <w:tc>
          <w:tcPr>
            <w:tcW w:w="900" w:type="dxa"/>
            <w:shd w:val="clear" w:color="auto" w:fill="EAEDF6" w:themeFill="accent2" w:themeFillTint="33"/>
            <w:hideMark/>
          </w:tcPr>
          <w:p w14:paraId="1F940CB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4,586</w:t>
            </w:r>
          </w:p>
        </w:tc>
        <w:tc>
          <w:tcPr>
            <w:tcW w:w="900" w:type="dxa"/>
            <w:shd w:val="clear" w:color="auto" w:fill="EAEDF6" w:themeFill="accent2" w:themeFillTint="33"/>
            <w:hideMark/>
          </w:tcPr>
          <w:p w14:paraId="0DB828C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5,168</w:t>
            </w:r>
          </w:p>
        </w:tc>
        <w:tc>
          <w:tcPr>
            <w:tcW w:w="900" w:type="dxa"/>
            <w:shd w:val="clear" w:color="auto" w:fill="EAEDF6" w:themeFill="accent2" w:themeFillTint="33"/>
            <w:hideMark/>
          </w:tcPr>
          <w:p w14:paraId="6D01873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4,813</w:t>
            </w:r>
          </w:p>
        </w:tc>
      </w:tr>
      <w:tr w:rsidR="006C5543" w:rsidRPr="00037C61" w14:paraId="17F6F964" w14:textId="77777777" w:rsidTr="00F60720">
        <w:trPr>
          <w:trHeight w:val="275"/>
        </w:trPr>
        <w:tc>
          <w:tcPr>
            <w:cnfStyle w:val="001000000000" w:firstRow="0" w:lastRow="0" w:firstColumn="1" w:lastColumn="0" w:oddVBand="0" w:evenVBand="0" w:oddHBand="0" w:evenHBand="0" w:firstRowFirstColumn="0" w:firstRowLastColumn="0" w:lastRowFirstColumn="0" w:lastRowLastColumn="0"/>
            <w:tcW w:w="0" w:type="dxa"/>
            <w:noWrap/>
            <w:hideMark/>
          </w:tcPr>
          <w:p w14:paraId="15AA4E64" w14:textId="77777777" w:rsidR="006C5543" w:rsidRPr="00037C61" w:rsidRDefault="006C5543" w:rsidP="006C5543">
            <w:pPr>
              <w:jc w:val="right"/>
              <w:rPr>
                <w:color w:val="000000"/>
                <w:sz w:val="18"/>
                <w:lang w:val="en-GB"/>
              </w:rPr>
            </w:pPr>
          </w:p>
        </w:tc>
        <w:tc>
          <w:tcPr>
            <w:tcW w:w="0" w:type="dxa"/>
            <w:noWrap/>
            <w:hideMark/>
          </w:tcPr>
          <w:p w14:paraId="418E2114"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0497D270"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4F70C1D1"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33C8526E"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270F2832"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0B85BEAA"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24F03196"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c>
          <w:tcPr>
            <w:tcW w:w="0" w:type="dxa"/>
            <w:noWrap/>
            <w:hideMark/>
          </w:tcPr>
          <w:p w14:paraId="2DAB1951" w14:textId="77777777" w:rsidR="006C5543" w:rsidRPr="00037C61" w:rsidRDefault="006C5543" w:rsidP="006C5543">
            <w:pPr>
              <w:jc w:val="left"/>
              <w:cnfStyle w:val="000000000000" w:firstRow="0" w:lastRow="0" w:firstColumn="0" w:lastColumn="0" w:oddVBand="0" w:evenVBand="0" w:oddHBand="0" w:evenHBand="0" w:firstRowFirstColumn="0" w:firstRowLastColumn="0" w:lastRowFirstColumn="0" w:lastRowLastColumn="0"/>
              <w:rPr>
                <w:sz w:val="18"/>
                <w:lang w:val="en-GB"/>
              </w:rPr>
            </w:pPr>
          </w:p>
        </w:tc>
      </w:tr>
      <w:tr w:rsidR="00884A59" w:rsidRPr="00037C61" w14:paraId="6546904B"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78CA374F" w14:textId="77777777" w:rsidR="006C5543" w:rsidRPr="00037C61" w:rsidRDefault="006C5543" w:rsidP="006C5543">
            <w:pPr>
              <w:jc w:val="left"/>
              <w:rPr>
                <w:color w:val="000000"/>
                <w:sz w:val="18"/>
                <w:lang w:val="en-GB"/>
              </w:rPr>
            </w:pPr>
            <w:r w:rsidRPr="00037C61">
              <w:rPr>
                <w:color w:val="000000"/>
                <w:sz w:val="18"/>
                <w:lang w:val="en-GB"/>
              </w:rPr>
              <w:t>Hungary</w:t>
            </w:r>
          </w:p>
        </w:tc>
        <w:tc>
          <w:tcPr>
            <w:tcW w:w="1364" w:type="dxa"/>
            <w:shd w:val="clear" w:color="auto" w:fill="FBD1D2" w:themeFill="accent3" w:themeFillTint="33"/>
            <w:hideMark/>
          </w:tcPr>
          <w:p w14:paraId="00B8C492"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FBD1D2" w:themeFill="accent3" w:themeFillTint="33"/>
            <w:hideMark/>
          </w:tcPr>
          <w:p w14:paraId="4B59B3AF"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68,883</w:t>
            </w:r>
          </w:p>
        </w:tc>
        <w:tc>
          <w:tcPr>
            <w:tcW w:w="900" w:type="dxa"/>
            <w:shd w:val="clear" w:color="auto" w:fill="FBD1D2" w:themeFill="accent3" w:themeFillTint="33"/>
            <w:hideMark/>
          </w:tcPr>
          <w:p w14:paraId="4B4F259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53,035</w:t>
            </w:r>
          </w:p>
        </w:tc>
        <w:tc>
          <w:tcPr>
            <w:tcW w:w="900" w:type="dxa"/>
            <w:shd w:val="clear" w:color="auto" w:fill="FBD1D2" w:themeFill="accent3" w:themeFillTint="33"/>
            <w:hideMark/>
          </w:tcPr>
          <w:p w14:paraId="36617E60"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62,455</w:t>
            </w:r>
          </w:p>
        </w:tc>
        <w:tc>
          <w:tcPr>
            <w:tcW w:w="900" w:type="dxa"/>
            <w:shd w:val="clear" w:color="auto" w:fill="FBD1D2" w:themeFill="accent3" w:themeFillTint="33"/>
            <w:hideMark/>
          </w:tcPr>
          <w:p w14:paraId="5539FA05"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62,363</w:t>
            </w:r>
          </w:p>
        </w:tc>
        <w:tc>
          <w:tcPr>
            <w:tcW w:w="900" w:type="dxa"/>
            <w:shd w:val="clear" w:color="auto" w:fill="FBD1D2" w:themeFill="accent3" w:themeFillTint="33"/>
            <w:hideMark/>
          </w:tcPr>
          <w:p w14:paraId="2C398728"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83,566</w:t>
            </w:r>
          </w:p>
        </w:tc>
        <w:tc>
          <w:tcPr>
            <w:tcW w:w="900" w:type="dxa"/>
            <w:shd w:val="clear" w:color="auto" w:fill="FBD1D2" w:themeFill="accent3" w:themeFillTint="33"/>
            <w:hideMark/>
          </w:tcPr>
          <w:p w14:paraId="3602CE3E"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72,717</w:t>
            </w:r>
          </w:p>
        </w:tc>
        <w:tc>
          <w:tcPr>
            <w:tcW w:w="900" w:type="dxa"/>
            <w:shd w:val="clear" w:color="auto" w:fill="FBD1D2" w:themeFill="accent3" w:themeFillTint="33"/>
            <w:hideMark/>
          </w:tcPr>
          <w:p w14:paraId="24AEE9A8"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64,688</w:t>
            </w:r>
          </w:p>
        </w:tc>
      </w:tr>
      <w:tr w:rsidR="00884A59" w:rsidRPr="00037C61" w14:paraId="175C8432"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5F1A8B46" w14:textId="77777777" w:rsidR="006C5543" w:rsidRPr="00037C61" w:rsidRDefault="006C5543" w:rsidP="006C5543">
            <w:pPr>
              <w:jc w:val="left"/>
              <w:rPr>
                <w:color w:val="000000"/>
                <w:sz w:val="18"/>
                <w:lang w:val="en-GB"/>
              </w:rPr>
            </w:pPr>
            <w:r w:rsidRPr="00037C61">
              <w:rPr>
                <w:color w:val="000000"/>
                <w:sz w:val="18"/>
                <w:lang w:val="en-GB"/>
              </w:rPr>
              <w:t>Romania</w:t>
            </w:r>
          </w:p>
        </w:tc>
        <w:tc>
          <w:tcPr>
            <w:tcW w:w="1364" w:type="dxa"/>
            <w:shd w:val="clear" w:color="auto" w:fill="EAEDF6" w:themeFill="accent2" w:themeFillTint="33"/>
            <w:hideMark/>
          </w:tcPr>
          <w:p w14:paraId="185DEA34"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EAEDF6" w:themeFill="accent2" w:themeFillTint="33"/>
            <w:hideMark/>
          </w:tcPr>
          <w:p w14:paraId="65EE8456"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124,813</w:t>
            </w:r>
          </w:p>
        </w:tc>
        <w:tc>
          <w:tcPr>
            <w:tcW w:w="900" w:type="dxa"/>
            <w:shd w:val="clear" w:color="auto" w:fill="EAEDF6" w:themeFill="accent2" w:themeFillTint="33"/>
            <w:hideMark/>
          </w:tcPr>
          <w:p w14:paraId="0A57C0F8"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141,971</w:t>
            </w:r>
          </w:p>
        </w:tc>
        <w:tc>
          <w:tcPr>
            <w:tcW w:w="900" w:type="dxa"/>
            <w:shd w:val="clear" w:color="auto" w:fill="EAEDF6" w:themeFill="accent2" w:themeFillTint="33"/>
            <w:hideMark/>
          </w:tcPr>
          <w:p w14:paraId="6392A8E2"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117,248</w:t>
            </w:r>
          </w:p>
        </w:tc>
        <w:tc>
          <w:tcPr>
            <w:tcW w:w="900" w:type="dxa"/>
            <w:shd w:val="clear" w:color="auto" w:fill="EAEDF6" w:themeFill="accent2" w:themeFillTint="33"/>
            <w:hideMark/>
          </w:tcPr>
          <w:p w14:paraId="0C65C830"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123,828</w:t>
            </w:r>
          </w:p>
        </w:tc>
        <w:tc>
          <w:tcPr>
            <w:tcW w:w="900" w:type="dxa"/>
            <w:shd w:val="clear" w:color="auto" w:fill="EAEDF6" w:themeFill="accent2" w:themeFillTint="33"/>
            <w:hideMark/>
          </w:tcPr>
          <w:p w14:paraId="37BD83FF"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108,600</w:t>
            </w:r>
          </w:p>
        </w:tc>
        <w:tc>
          <w:tcPr>
            <w:tcW w:w="900" w:type="dxa"/>
            <w:shd w:val="clear" w:color="auto" w:fill="EAEDF6" w:themeFill="accent2" w:themeFillTint="33"/>
            <w:hideMark/>
          </w:tcPr>
          <w:p w14:paraId="7C7DAE11"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106,445</w:t>
            </w:r>
          </w:p>
        </w:tc>
        <w:tc>
          <w:tcPr>
            <w:tcW w:w="900" w:type="dxa"/>
            <w:shd w:val="clear" w:color="auto" w:fill="EAEDF6" w:themeFill="accent2" w:themeFillTint="33"/>
            <w:hideMark/>
          </w:tcPr>
          <w:p w14:paraId="7C8BB99C"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111,303</w:t>
            </w:r>
          </w:p>
        </w:tc>
      </w:tr>
      <w:tr w:rsidR="006C5543" w:rsidRPr="00037C61" w14:paraId="2FD9FF0B" w14:textId="77777777" w:rsidTr="00F6072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dxa"/>
            <w:hideMark/>
          </w:tcPr>
          <w:p w14:paraId="534822A4" w14:textId="77777777" w:rsidR="006C5543" w:rsidRPr="00037C61" w:rsidRDefault="006C5543" w:rsidP="006C5543">
            <w:pPr>
              <w:jc w:val="right"/>
              <w:rPr>
                <w:color w:val="000000"/>
                <w:sz w:val="18"/>
                <w:lang w:val="en-GB"/>
              </w:rPr>
            </w:pPr>
          </w:p>
        </w:tc>
        <w:tc>
          <w:tcPr>
            <w:tcW w:w="0" w:type="dxa"/>
            <w:hideMark/>
          </w:tcPr>
          <w:p w14:paraId="1165DB6D"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0B9FA304"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063D8FB2"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02BE5ED5"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5C48C993"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6F69EF15"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4E05F1F0"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hideMark/>
          </w:tcPr>
          <w:p w14:paraId="551F6106"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p>
        </w:tc>
      </w:tr>
      <w:tr w:rsidR="00884A59" w:rsidRPr="00037C61" w14:paraId="589A340D"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591A16FF" w14:textId="77777777" w:rsidR="006C5543" w:rsidRPr="00037C61" w:rsidRDefault="006C5543" w:rsidP="006C5543">
            <w:pPr>
              <w:jc w:val="left"/>
              <w:rPr>
                <w:color w:val="000000"/>
                <w:sz w:val="18"/>
                <w:lang w:val="en-GB"/>
              </w:rPr>
            </w:pPr>
            <w:r w:rsidRPr="00037C61">
              <w:rPr>
                <w:color w:val="000000"/>
                <w:sz w:val="18"/>
                <w:lang w:val="en-GB"/>
              </w:rPr>
              <w:t>HU regions</w:t>
            </w:r>
          </w:p>
        </w:tc>
        <w:tc>
          <w:tcPr>
            <w:tcW w:w="1364" w:type="dxa"/>
            <w:shd w:val="clear" w:color="auto" w:fill="FBD1D2" w:themeFill="accent3" w:themeFillTint="33"/>
            <w:hideMark/>
          </w:tcPr>
          <w:p w14:paraId="58F111D9"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FBD1D2" w:themeFill="accent3" w:themeFillTint="33"/>
            <w:noWrap/>
            <w:hideMark/>
          </w:tcPr>
          <w:p w14:paraId="33468A2C"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7,443</w:t>
            </w:r>
          </w:p>
        </w:tc>
        <w:tc>
          <w:tcPr>
            <w:tcW w:w="900" w:type="dxa"/>
            <w:shd w:val="clear" w:color="auto" w:fill="FBD1D2" w:themeFill="accent3" w:themeFillTint="33"/>
            <w:noWrap/>
            <w:hideMark/>
          </w:tcPr>
          <w:p w14:paraId="342F99BE"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6,170</w:t>
            </w:r>
          </w:p>
        </w:tc>
        <w:tc>
          <w:tcPr>
            <w:tcW w:w="900" w:type="dxa"/>
            <w:shd w:val="clear" w:color="auto" w:fill="FBD1D2" w:themeFill="accent3" w:themeFillTint="33"/>
            <w:noWrap/>
            <w:hideMark/>
          </w:tcPr>
          <w:p w14:paraId="2129ED1C"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7,725</w:t>
            </w:r>
          </w:p>
        </w:tc>
        <w:tc>
          <w:tcPr>
            <w:tcW w:w="900" w:type="dxa"/>
            <w:shd w:val="clear" w:color="auto" w:fill="FBD1D2" w:themeFill="accent3" w:themeFillTint="33"/>
            <w:noWrap/>
            <w:hideMark/>
          </w:tcPr>
          <w:p w14:paraId="607A11E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6,875</w:t>
            </w:r>
          </w:p>
        </w:tc>
        <w:tc>
          <w:tcPr>
            <w:tcW w:w="900" w:type="dxa"/>
            <w:shd w:val="clear" w:color="auto" w:fill="FBD1D2" w:themeFill="accent3" w:themeFillTint="33"/>
            <w:noWrap/>
            <w:hideMark/>
          </w:tcPr>
          <w:p w14:paraId="460DB6BD"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9,051</w:t>
            </w:r>
          </w:p>
        </w:tc>
        <w:tc>
          <w:tcPr>
            <w:tcW w:w="900" w:type="dxa"/>
            <w:shd w:val="clear" w:color="auto" w:fill="FBD1D2" w:themeFill="accent3" w:themeFillTint="33"/>
            <w:noWrap/>
            <w:hideMark/>
          </w:tcPr>
          <w:p w14:paraId="1728591D"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8,038</w:t>
            </w:r>
          </w:p>
        </w:tc>
        <w:tc>
          <w:tcPr>
            <w:tcW w:w="900" w:type="dxa"/>
            <w:shd w:val="clear" w:color="auto" w:fill="FBD1D2" w:themeFill="accent3" w:themeFillTint="33"/>
            <w:noWrap/>
            <w:hideMark/>
          </w:tcPr>
          <w:p w14:paraId="01EF68F5"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7,528</w:t>
            </w:r>
          </w:p>
        </w:tc>
      </w:tr>
      <w:tr w:rsidR="00884A59" w:rsidRPr="00037C61" w14:paraId="6672A159"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2ECBC7A5" w14:textId="77777777" w:rsidR="006C5543" w:rsidRPr="00037C61" w:rsidRDefault="006C5543" w:rsidP="006C5543">
            <w:pPr>
              <w:jc w:val="left"/>
              <w:rPr>
                <w:color w:val="000000"/>
                <w:sz w:val="18"/>
                <w:lang w:val="en-GB"/>
              </w:rPr>
            </w:pPr>
            <w:r w:rsidRPr="00037C61">
              <w:rPr>
                <w:color w:val="000000"/>
                <w:sz w:val="18"/>
                <w:lang w:val="en-GB"/>
              </w:rPr>
              <w:t>RO regions</w:t>
            </w:r>
          </w:p>
        </w:tc>
        <w:tc>
          <w:tcPr>
            <w:tcW w:w="1364" w:type="dxa"/>
            <w:shd w:val="clear" w:color="auto" w:fill="EAEDF6" w:themeFill="accent2" w:themeFillTint="33"/>
            <w:hideMark/>
          </w:tcPr>
          <w:p w14:paraId="5AB6C527"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employees</w:t>
            </w:r>
          </w:p>
        </w:tc>
        <w:tc>
          <w:tcPr>
            <w:tcW w:w="900" w:type="dxa"/>
            <w:shd w:val="clear" w:color="auto" w:fill="EAEDF6" w:themeFill="accent2" w:themeFillTint="33"/>
            <w:noWrap/>
            <w:hideMark/>
          </w:tcPr>
          <w:p w14:paraId="30B65C8F"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15,443</w:t>
            </w:r>
          </w:p>
        </w:tc>
        <w:tc>
          <w:tcPr>
            <w:tcW w:w="900" w:type="dxa"/>
            <w:shd w:val="clear" w:color="auto" w:fill="EAEDF6" w:themeFill="accent2" w:themeFillTint="33"/>
            <w:noWrap/>
            <w:hideMark/>
          </w:tcPr>
          <w:p w14:paraId="5F09A94C"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15,452</w:t>
            </w:r>
          </w:p>
        </w:tc>
        <w:tc>
          <w:tcPr>
            <w:tcW w:w="900" w:type="dxa"/>
            <w:shd w:val="clear" w:color="auto" w:fill="EAEDF6" w:themeFill="accent2" w:themeFillTint="33"/>
            <w:noWrap/>
            <w:hideMark/>
          </w:tcPr>
          <w:p w14:paraId="10B0B02A"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14,571</w:t>
            </w:r>
          </w:p>
        </w:tc>
        <w:tc>
          <w:tcPr>
            <w:tcW w:w="900" w:type="dxa"/>
            <w:shd w:val="clear" w:color="auto" w:fill="EAEDF6" w:themeFill="accent2" w:themeFillTint="33"/>
            <w:noWrap/>
            <w:hideMark/>
          </w:tcPr>
          <w:p w14:paraId="6562EFC8"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16,636</w:t>
            </w:r>
          </w:p>
        </w:tc>
        <w:tc>
          <w:tcPr>
            <w:tcW w:w="900" w:type="dxa"/>
            <w:shd w:val="clear" w:color="auto" w:fill="EAEDF6" w:themeFill="accent2" w:themeFillTint="33"/>
            <w:noWrap/>
            <w:hideMark/>
          </w:tcPr>
          <w:p w14:paraId="1F95B229"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11,784</w:t>
            </w:r>
          </w:p>
        </w:tc>
        <w:tc>
          <w:tcPr>
            <w:tcW w:w="900" w:type="dxa"/>
            <w:shd w:val="clear" w:color="auto" w:fill="EAEDF6" w:themeFill="accent2" w:themeFillTint="33"/>
            <w:noWrap/>
            <w:hideMark/>
          </w:tcPr>
          <w:p w14:paraId="4CE094F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12,207</w:t>
            </w:r>
          </w:p>
        </w:tc>
        <w:tc>
          <w:tcPr>
            <w:tcW w:w="900" w:type="dxa"/>
            <w:shd w:val="clear" w:color="auto" w:fill="EAEDF6" w:themeFill="accent2" w:themeFillTint="33"/>
            <w:noWrap/>
            <w:hideMark/>
          </w:tcPr>
          <w:p w14:paraId="5EBF281C"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12,701</w:t>
            </w:r>
          </w:p>
        </w:tc>
      </w:tr>
      <w:tr w:rsidR="006C5543" w:rsidRPr="00037C61" w14:paraId="6C9CBC28" w14:textId="77777777" w:rsidTr="00F60720">
        <w:trPr>
          <w:trHeight w:val="275"/>
        </w:trPr>
        <w:tc>
          <w:tcPr>
            <w:cnfStyle w:val="001000000000" w:firstRow="0" w:lastRow="0" w:firstColumn="1" w:lastColumn="0" w:oddVBand="0" w:evenVBand="0" w:oddHBand="0" w:evenHBand="0" w:firstRowFirstColumn="0" w:firstRowLastColumn="0" w:lastRowFirstColumn="0" w:lastRowLastColumn="0"/>
            <w:tcW w:w="0" w:type="dxa"/>
            <w:noWrap/>
            <w:hideMark/>
          </w:tcPr>
          <w:p w14:paraId="56A4B1BE" w14:textId="77777777" w:rsidR="006C5543" w:rsidRPr="00037C61" w:rsidRDefault="006C5543" w:rsidP="006C5543">
            <w:pPr>
              <w:jc w:val="left"/>
              <w:rPr>
                <w:color w:val="000000"/>
                <w:sz w:val="18"/>
                <w:lang w:val="en-GB"/>
              </w:rPr>
            </w:pPr>
            <w:r w:rsidRPr="00037C61">
              <w:rPr>
                <w:color w:val="000000"/>
                <w:sz w:val="18"/>
                <w:lang w:val="en-GB"/>
              </w:rPr>
              <w:t>RO HU area</w:t>
            </w:r>
          </w:p>
        </w:tc>
        <w:tc>
          <w:tcPr>
            <w:tcW w:w="0" w:type="dxa"/>
            <w:hideMark/>
          </w:tcPr>
          <w:p w14:paraId="07439AC5"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employees</w:t>
            </w:r>
          </w:p>
        </w:tc>
        <w:tc>
          <w:tcPr>
            <w:tcW w:w="0" w:type="dxa"/>
            <w:noWrap/>
            <w:hideMark/>
          </w:tcPr>
          <w:p w14:paraId="47953BC0"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22,886</w:t>
            </w:r>
          </w:p>
        </w:tc>
        <w:tc>
          <w:tcPr>
            <w:tcW w:w="0" w:type="dxa"/>
            <w:noWrap/>
            <w:hideMark/>
          </w:tcPr>
          <w:p w14:paraId="432219D4"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21,622</w:t>
            </w:r>
          </w:p>
        </w:tc>
        <w:tc>
          <w:tcPr>
            <w:tcW w:w="0" w:type="dxa"/>
            <w:noWrap/>
            <w:hideMark/>
          </w:tcPr>
          <w:p w14:paraId="0E45B522"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22,296</w:t>
            </w:r>
          </w:p>
        </w:tc>
        <w:tc>
          <w:tcPr>
            <w:tcW w:w="0" w:type="dxa"/>
            <w:noWrap/>
            <w:hideMark/>
          </w:tcPr>
          <w:p w14:paraId="23428809"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23,511</w:t>
            </w:r>
          </w:p>
        </w:tc>
        <w:tc>
          <w:tcPr>
            <w:tcW w:w="0" w:type="dxa"/>
            <w:noWrap/>
            <w:hideMark/>
          </w:tcPr>
          <w:p w14:paraId="4A697AF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20,835</w:t>
            </w:r>
          </w:p>
        </w:tc>
        <w:tc>
          <w:tcPr>
            <w:tcW w:w="0" w:type="dxa"/>
            <w:noWrap/>
            <w:hideMark/>
          </w:tcPr>
          <w:p w14:paraId="4B9F2A53"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20,245</w:t>
            </w:r>
          </w:p>
        </w:tc>
        <w:tc>
          <w:tcPr>
            <w:tcW w:w="0" w:type="dxa"/>
            <w:noWrap/>
            <w:hideMark/>
          </w:tcPr>
          <w:p w14:paraId="34278EC4"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20,229</w:t>
            </w:r>
          </w:p>
        </w:tc>
      </w:tr>
      <w:tr w:rsidR="006C5543" w:rsidRPr="00037C61" w14:paraId="2731D566" w14:textId="77777777" w:rsidTr="00F6072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dxa"/>
            <w:noWrap/>
            <w:hideMark/>
          </w:tcPr>
          <w:p w14:paraId="53EB4B42" w14:textId="77777777" w:rsidR="006C5543" w:rsidRPr="00037C61" w:rsidRDefault="006C5543" w:rsidP="006C5543">
            <w:pPr>
              <w:jc w:val="right"/>
              <w:rPr>
                <w:color w:val="000000"/>
                <w:sz w:val="18"/>
                <w:lang w:val="en-GB"/>
              </w:rPr>
            </w:pPr>
          </w:p>
        </w:tc>
        <w:tc>
          <w:tcPr>
            <w:tcW w:w="0" w:type="dxa"/>
            <w:noWrap/>
            <w:hideMark/>
          </w:tcPr>
          <w:p w14:paraId="04B2FF38"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61F5AB75"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28BF9679"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58FC7A2B"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68E7B822"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1C8FDB80"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55E48D99"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3C190717"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r>
      <w:tr w:rsidR="00884A59" w:rsidRPr="00037C61" w14:paraId="653D4F40" w14:textId="77777777" w:rsidTr="6446A0E8">
        <w:trPr>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hideMark/>
          </w:tcPr>
          <w:p w14:paraId="3DD46DF1" w14:textId="77777777" w:rsidR="006C5543" w:rsidRPr="00037C61" w:rsidRDefault="006C5543" w:rsidP="006C5543">
            <w:pPr>
              <w:jc w:val="left"/>
              <w:rPr>
                <w:color w:val="000000"/>
                <w:sz w:val="18"/>
                <w:lang w:val="en-GB"/>
              </w:rPr>
            </w:pPr>
            <w:r w:rsidRPr="00037C61">
              <w:rPr>
                <w:color w:val="000000"/>
                <w:sz w:val="18"/>
                <w:lang w:val="en-GB"/>
              </w:rPr>
              <w:t>Hungary</w:t>
            </w:r>
          </w:p>
        </w:tc>
        <w:tc>
          <w:tcPr>
            <w:tcW w:w="1364" w:type="dxa"/>
            <w:shd w:val="clear" w:color="auto" w:fill="FBD1D2" w:themeFill="accent3" w:themeFillTint="33"/>
            <w:noWrap/>
            <w:hideMark/>
          </w:tcPr>
          <w:p w14:paraId="198A7FC2"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new companies</w:t>
            </w:r>
          </w:p>
        </w:tc>
        <w:tc>
          <w:tcPr>
            <w:tcW w:w="900" w:type="dxa"/>
            <w:shd w:val="clear" w:color="auto" w:fill="FBD1D2" w:themeFill="accent3" w:themeFillTint="33"/>
            <w:hideMark/>
          </w:tcPr>
          <w:p w14:paraId="7153FAB5"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66,507</w:t>
            </w:r>
          </w:p>
        </w:tc>
        <w:tc>
          <w:tcPr>
            <w:tcW w:w="900" w:type="dxa"/>
            <w:shd w:val="clear" w:color="auto" w:fill="FBD1D2" w:themeFill="accent3" w:themeFillTint="33"/>
            <w:hideMark/>
          </w:tcPr>
          <w:p w14:paraId="3DC5EBAA"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54,434</w:t>
            </w:r>
          </w:p>
        </w:tc>
        <w:tc>
          <w:tcPr>
            <w:tcW w:w="900" w:type="dxa"/>
            <w:shd w:val="clear" w:color="auto" w:fill="FBD1D2" w:themeFill="accent3" w:themeFillTint="33"/>
            <w:hideMark/>
          </w:tcPr>
          <w:p w14:paraId="6CEEA09D"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62,808</w:t>
            </w:r>
          </w:p>
        </w:tc>
        <w:tc>
          <w:tcPr>
            <w:tcW w:w="900" w:type="dxa"/>
            <w:shd w:val="clear" w:color="auto" w:fill="FBD1D2" w:themeFill="accent3" w:themeFillTint="33"/>
            <w:hideMark/>
          </w:tcPr>
          <w:p w14:paraId="1994884B"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65,380</w:t>
            </w:r>
          </w:p>
        </w:tc>
        <w:tc>
          <w:tcPr>
            <w:tcW w:w="900" w:type="dxa"/>
            <w:shd w:val="clear" w:color="auto" w:fill="FBD1D2" w:themeFill="accent3" w:themeFillTint="33"/>
            <w:hideMark/>
          </w:tcPr>
          <w:p w14:paraId="723D7664"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71,056</w:t>
            </w:r>
          </w:p>
        </w:tc>
        <w:tc>
          <w:tcPr>
            <w:tcW w:w="900" w:type="dxa"/>
            <w:shd w:val="clear" w:color="auto" w:fill="FBD1D2" w:themeFill="accent3" w:themeFillTint="33"/>
            <w:hideMark/>
          </w:tcPr>
          <w:p w14:paraId="3AF3CFAB"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73,274</w:t>
            </w:r>
          </w:p>
        </w:tc>
        <w:tc>
          <w:tcPr>
            <w:tcW w:w="900" w:type="dxa"/>
            <w:shd w:val="clear" w:color="auto" w:fill="FBD1D2" w:themeFill="accent3" w:themeFillTint="33"/>
            <w:hideMark/>
          </w:tcPr>
          <w:p w14:paraId="367297FB"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sz w:val="18"/>
                <w:lang w:val="en-GB"/>
              </w:rPr>
            </w:pPr>
            <w:r w:rsidRPr="00037C61">
              <w:rPr>
                <w:sz w:val="18"/>
                <w:lang w:val="en-GB"/>
              </w:rPr>
              <w:t>92,835</w:t>
            </w:r>
          </w:p>
        </w:tc>
      </w:tr>
      <w:tr w:rsidR="00884A59" w:rsidRPr="00037C61" w14:paraId="57713E51" w14:textId="77777777" w:rsidTr="6446A0E8">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hideMark/>
          </w:tcPr>
          <w:p w14:paraId="7C1626A2" w14:textId="77777777" w:rsidR="006C5543" w:rsidRPr="00037C61" w:rsidRDefault="006C5543" w:rsidP="006C5543">
            <w:pPr>
              <w:jc w:val="left"/>
              <w:rPr>
                <w:color w:val="000000"/>
                <w:sz w:val="18"/>
                <w:lang w:val="en-GB"/>
              </w:rPr>
            </w:pPr>
            <w:r w:rsidRPr="00037C61">
              <w:rPr>
                <w:color w:val="000000"/>
                <w:sz w:val="18"/>
                <w:lang w:val="en-GB"/>
              </w:rPr>
              <w:t>Romania</w:t>
            </w:r>
          </w:p>
        </w:tc>
        <w:tc>
          <w:tcPr>
            <w:tcW w:w="1364" w:type="dxa"/>
            <w:shd w:val="clear" w:color="auto" w:fill="EAEDF6" w:themeFill="accent2" w:themeFillTint="33"/>
            <w:noWrap/>
            <w:hideMark/>
          </w:tcPr>
          <w:p w14:paraId="78D513A1"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color w:val="000000"/>
                <w:sz w:val="18"/>
                <w:lang w:val="en-GB"/>
              </w:rPr>
            </w:pPr>
            <w:r w:rsidRPr="00037C61">
              <w:rPr>
                <w:color w:val="000000"/>
                <w:sz w:val="18"/>
                <w:lang w:val="en-GB"/>
              </w:rPr>
              <w:t>new companies</w:t>
            </w:r>
          </w:p>
        </w:tc>
        <w:tc>
          <w:tcPr>
            <w:tcW w:w="900" w:type="dxa"/>
            <w:shd w:val="clear" w:color="auto" w:fill="EAEDF6" w:themeFill="accent2" w:themeFillTint="33"/>
            <w:hideMark/>
          </w:tcPr>
          <w:p w14:paraId="215EEE38"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89,481</w:t>
            </w:r>
          </w:p>
        </w:tc>
        <w:tc>
          <w:tcPr>
            <w:tcW w:w="900" w:type="dxa"/>
            <w:shd w:val="clear" w:color="auto" w:fill="EAEDF6" w:themeFill="accent2" w:themeFillTint="33"/>
            <w:hideMark/>
          </w:tcPr>
          <w:p w14:paraId="51E58F0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92,043</w:t>
            </w:r>
          </w:p>
        </w:tc>
        <w:tc>
          <w:tcPr>
            <w:tcW w:w="900" w:type="dxa"/>
            <w:shd w:val="clear" w:color="auto" w:fill="EAEDF6" w:themeFill="accent2" w:themeFillTint="33"/>
            <w:hideMark/>
          </w:tcPr>
          <w:p w14:paraId="6EAC80E4"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171,541</w:t>
            </w:r>
          </w:p>
        </w:tc>
        <w:tc>
          <w:tcPr>
            <w:tcW w:w="900" w:type="dxa"/>
            <w:shd w:val="clear" w:color="auto" w:fill="EAEDF6" w:themeFill="accent2" w:themeFillTint="33"/>
            <w:hideMark/>
          </w:tcPr>
          <w:p w14:paraId="6AD98F01"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78,922</w:t>
            </w:r>
          </w:p>
        </w:tc>
        <w:tc>
          <w:tcPr>
            <w:tcW w:w="900" w:type="dxa"/>
            <w:shd w:val="clear" w:color="auto" w:fill="EAEDF6" w:themeFill="accent2" w:themeFillTint="33"/>
            <w:hideMark/>
          </w:tcPr>
          <w:p w14:paraId="37501406"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92,289</w:t>
            </w:r>
          </w:p>
        </w:tc>
        <w:tc>
          <w:tcPr>
            <w:tcW w:w="900" w:type="dxa"/>
            <w:shd w:val="clear" w:color="auto" w:fill="EAEDF6" w:themeFill="accent2" w:themeFillTint="33"/>
            <w:hideMark/>
          </w:tcPr>
          <w:p w14:paraId="161CEAFF"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87,654</w:t>
            </w:r>
          </w:p>
        </w:tc>
        <w:tc>
          <w:tcPr>
            <w:tcW w:w="900" w:type="dxa"/>
            <w:shd w:val="clear" w:color="auto" w:fill="EAEDF6" w:themeFill="accent2" w:themeFillTint="33"/>
            <w:hideMark/>
          </w:tcPr>
          <w:p w14:paraId="6E6FF0AE" w14:textId="77777777" w:rsidR="006C5543" w:rsidRPr="00037C61" w:rsidRDefault="006C5543" w:rsidP="006C5543">
            <w:pPr>
              <w:jc w:val="right"/>
              <w:cnfStyle w:val="000000100000" w:firstRow="0" w:lastRow="0" w:firstColumn="0" w:lastColumn="0" w:oddVBand="0" w:evenVBand="0" w:oddHBand="1" w:evenHBand="0" w:firstRowFirstColumn="0" w:firstRowLastColumn="0" w:lastRowFirstColumn="0" w:lastRowLastColumn="0"/>
              <w:rPr>
                <w:sz w:val="18"/>
                <w:lang w:val="en-GB"/>
              </w:rPr>
            </w:pPr>
            <w:r w:rsidRPr="00037C61">
              <w:rPr>
                <w:sz w:val="18"/>
                <w:lang w:val="en-GB"/>
              </w:rPr>
              <w:t>96,160</w:t>
            </w:r>
          </w:p>
        </w:tc>
      </w:tr>
      <w:tr w:rsidR="006C5543" w:rsidRPr="00037C61" w14:paraId="443DB75F" w14:textId="77777777" w:rsidTr="00F60720">
        <w:trPr>
          <w:trHeight w:val="275"/>
        </w:trPr>
        <w:tc>
          <w:tcPr>
            <w:cnfStyle w:val="001000000000" w:firstRow="0" w:lastRow="0" w:firstColumn="1" w:lastColumn="0" w:oddVBand="0" w:evenVBand="0" w:oddHBand="0" w:evenHBand="0" w:firstRowFirstColumn="0" w:firstRowLastColumn="0" w:lastRowFirstColumn="0" w:lastRowLastColumn="0"/>
            <w:tcW w:w="0" w:type="dxa"/>
            <w:noWrap/>
            <w:hideMark/>
          </w:tcPr>
          <w:p w14:paraId="2E70940D" w14:textId="77777777" w:rsidR="006C5543" w:rsidRPr="00037C61" w:rsidRDefault="006C5543" w:rsidP="006C5543">
            <w:pPr>
              <w:jc w:val="left"/>
              <w:rPr>
                <w:color w:val="000000"/>
                <w:sz w:val="18"/>
                <w:lang w:val="en-GB"/>
              </w:rPr>
            </w:pPr>
            <w:r w:rsidRPr="00037C61">
              <w:rPr>
                <w:color w:val="000000"/>
                <w:sz w:val="18"/>
                <w:lang w:val="en-GB"/>
              </w:rPr>
              <w:t>RO HU area</w:t>
            </w:r>
          </w:p>
        </w:tc>
        <w:tc>
          <w:tcPr>
            <w:tcW w:w="0" w:type="dxa"/>
            <w:noWrap/>
            <w:hideMark/>
          </w:tcPr>
          <w:p w14:paraId="2FEC7C68" w14:textId="77777777"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color w:val="000000"/>
                <w:sz w:val="18"/>
                <w:lang w:val="en-GB"/>
              </w:rPr>
              <w:t>new companies</w:t>
            </w:r>
          </w:p>
        </w:tc>
        <w:tc>
          <w:tcPr>
            <w:tcW w:w="0" w:type="dxa"/>
            <w:hideMark/>
          </w:tcPr>
          <w:p w14:paraId="1E6D78C6"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20,193</w:t>
            </w:r>
          </w:p>
        </w:tc>
        <w:tc>
          <w:tcPr>
            <w:tcW w:w="0" w:type="dxa"/>
            <w:hideMark/>
          </w:tcPr>
          <w:p w14:paraId="68BF1959"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19,416</w:t>
            </w:r>
          </w:p>
        </w:tc>
        <w:tc>
          <w:tcPr>
            <w:tcW w:w="0" w:type="dxa"/>
            <w:hideMark/>
          </w:tcPr>
          <w:p w14:paraId="063C47DF"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28,960</w:t>
            </w:r>
          </w:p>
        </w:tc>
        <w:tc>
          <w:tcPr>
            <w:tcW w:w="0" w:type="dxa"/>
            <w:hideMark/>
          </w:tcPr>
          <w:p w14:paraId="519DF600"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19,033</w:t>
            </w:r>
          </w:p>
        </w:tc>
        <w:tc>
          <w:tcPr>
            <w:tcW w:w="0" w:type="dxa"/>
            <w:hideMark/>
          </w:tcPr>
          <w:p w14:paraId="33F33C7C"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20,347</w:t>
            </w:r>
          </w:p>
        </w:tc>
        <w:tc>
          <w:tcPr>
            <w:tcW w:w="0" w:type="dxa"/>
            <w:hideMark/>
          </w:tcPr>
          <w:p w14:paraId="15643CC3"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20,295</w:t>
            </w:r>
          </w:p>
        </w:tc>
        <w:tc>
          <w:tcPr>
            <w:tcW w:w="0" w:type="dxa"/>
            <w:hideMark/>
          </w:tcPr>
          <w:p w14:paraId="417BC4E7"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sz w:val="18"/>
                <w:lang w:val="en-GB"/>
              </w:rPr>
            </w:pPr>
            <w:r w:rsidRPr="00037C61">
              <w:rPr>
                <w:b/>
                <w:sz w:val="18"/>
                <w:lang w:val="en-GB"/>
              </w:rPr>
              <w:t>24,198</w:t>
            </w:r>
          </w:p>
        </w:tc>
      </w:tr>
      <w:tr w:rsidR="006C5543" w:rsidRPr="00037C61" w14:paraId="3C210DA4" w14:textId="77777777" w:rsidTr="00F6072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dxa"/>
            <w:noWrap/>
            <w:hideMark/>
          </w:tcPr>
          <w:p w14:paraId="0EB08F1B" w14:textId="77777777" w:rsidR="006C5543" w:rsidRPr="00037C61" w:rsidRDefault="006C5543" w:rsidP="006C5543">
            <w:pPr>
              <w:jc w:val="right"/>
              <w:rPr>
                <w:sz w:val="18"/>
                <w:lang w:val="en-GB"/>
              </w:rPr>
            </w:pPr>
          </w:p>
        </w:tc>
        <w:tc>
          <w:tcPr>
            <w:tcW w:w="0" w:type="dxa"/>
            <w:noWrap/>
            <w:hideMark/>
          </w:tcPr>
          <w:p w14:paraId="266EBF40"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01ABB5D2" w14:textId="77777777" w:rsidR="006C5543" w:rsidRPr="00037C61" w:rsidRDefault="006C5543" w:rsidP="006C5543">
            <w:pPr>
              <w:jc w:val="center"/>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336AFC47"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2A5CF21C"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4AC0DD22"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63F04DB2"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14E19888"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c>
          <w:tcPr>
            <w:tcW w:w="0" w:type="dxa"/>
            <w:noWrap/>
            <w:hideMark/>
          </w:tcPr>
          <w:p w14:paraId="2DA55E57" w14:textId="77777777" w:rsidR="006C5543" w:rsidRPr="00037C61" w:rsidRDefault="006C5543" w:rsidP="006C5543">
            <w:pPr>
              <w:jc w:val="left"/>
              <w:cnfStyle w:val="000000100000" w:firstRow="0" w:lastRow="0" w:firstColumn="0" w:lastColumn="0" w:oddVBand="0" w:evenVBand="0" w:oddHBand="1" w:evenHBand="0" w:firstRowFirstColumn="0" w:firstRowLastColumn="0" w:lastRowFirstColumn="0" w:lastRowLastColumn="0"/>
              <w:rPr>
                <w:sz w:val="18"/>
                <w:lang w:val="en-GB"/>
              </w:rPr>
            </w:pPr>
          </w:p>
        </w:tc>
      </w:tr>
      <w:tr w:rsidR="006C5543" w:rsidRPr="00037C61" w14:paraId="125F2925" w14:textId="77777777" w:rsidTr="00F60720">
        <w:trPr>
          <w:trHeight w:val="275"/>
        </w:trPr>
        <w:tc>
          <w:tcPr>
            <w:cnfStyle w:val="001000000000" w:firstRow="0" w:lastRow="0" w:firstColumn="1" w:lastColumn="0" w:oddVBand="0" w:evenVBand="0" w:oddHBand="0" w:evenHBand="0" w:firstRowFirstColumn="0" w:firstRowLastColumn="0" w:lastRowFirstColumn="0" w:lastRowLastColumn="0"/>
            <w:tcW w:w="0" w:type="dxa"/>
            <w:noWrap/>
            <w:hideMark/>
          </w:tcPr>
          <w:p w14:paraId="5B1524D8" w14:textId="77777777" w:rsidR="006C5543" w:rsidRPr="00037C61" w:rsidRDefault="006C5543" w:rsidP="006C5543">
            <w:pPr>
              <w:jc w:val="left"/>
              <w:rPr>
                <w:color w:val="000000"/>
                <w:sz w:val="18"/>
                <w:lang w:val="en-GB"/>
              </w:rPr>
            </w:pPr>
            <w:r w:rsidRPr="00037C61">
              <w:rPr>
                <w:color w:val="000000"/>
                <w:sz w:val="18"/>
                <w:lang w:val="en-GB"/>
              </w:rPr>
              <w:t>RO HU area</w:t>
            </w:r>
          </w:p>
        </w:tc>
        <w:tc>
          <w:tcPr>
            <w:tcW w:w="0" w:type="dxa"/>
            <w:noWrap/>
            <w:hideMark/>
          </w:tcPr>
          <w:p w14:paraId="55334B42" w14:textId="7467A7CE" w:rsidR="006C5543" w:rsidRPr="00037C61" w:rsidRDefault="006C5543" w:rsidP="006C5543">
            <w:pPr>
              <w:jc w:val="center"/>
              <w:cnfStyle w:val="000000000000" w:firstRow="0" w:lastRow="0" w:firstColumn="0" w:lastColumn="0" w:oddVBand="0" w:evenVBand="0" w:oddHBand="0" w:evenHBand="0" w:firstRowFirstColumn="0" w:firstRowLastColumn="0" w:lastRowFirstColumn="0" w:lastRowLastColumn="0"/>
              <w:rPr>
                <w:color w:val="000000"/>
                <w:sz w:val="18"/>
                <w:lang w:val="en-GB"/>
              </w:rPr>
            </w:pPr>
            <w:r w:rsidRPr="00037C61">
              <w:rPr>
                <w:rFonts w:eastAsia="Times New Roman" w:cs="Calibri"/>
                <w:color w:val="000000"/>
                <w:sz w:val="18"/>
                <w:szCs w:val="18"/>
                <w:lang w:val="en-GB" w:eastAsia="en-GB"/>
              </w:rPr>
              <w:t>E</w:t>
            </w:r>
            <w:r w:rsidRPr="00037C61">
              <w:rPr>
                <w:color w:val="000000"/>
                <w:sz w:val="18"/>
                <w:lang w:val="en-GB"/>
              </w:rPr>
              <w:t>mpl</w:t>
            </w:r>
            <w:r w:rsidRPr="00037C61">
              <w:rPr>
                <w:rFonts w:eastAsia="Times New Roman" w:cs="Calibri"/>
                <w:color w:val="000000"/>
                <w:sz w:val="18"/>
                <w:szCs w:val="18"/>
                <w:lang w:val="en-GB" w:eastAsia="en-GB"/>
              </w:rPr>
              <w:t>oyees / company</w:t>
            </w:r>
          </w:p>
        </w:tc>
        <w:tc>
          <w:tcPr>
            <w:tcW w:w="0" w:type="dxa"/>
            <w:noWrap/>
            <w:hideMark/>
          </w:tcPr>
          <w:p w14:paraId="2BDB062F"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1.13</w:t>
            </w:r>
          </w:p>
        </w:tc>
        <w:tc>
          <w:tcPr>
            <w:tcW w:w="0" w:type="dxa"/>
            <w:noWrap/>
            <w:hideMark/>
          </w:tcPr>
          <w:p w14:paraId="0C88FF6F"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1.11</w:t>
            </w:r>
          </w:p>
        </w:tc>
        <w:tc>
          <w:tcPr>
            <w:tcW w:w="0" w:type="dxa"/>
            <w:noWrap/>
            <w:hideMark/>
          </w:tcPr>
          <w:p w14:paraId="7EBC0E4D"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0.77</w:t>
            </w:r>
          </w:p>
        </w:tc>
        <w:tc>
          <w:tcPr>
            <w:tcW w:w="0" w:type="dxa"/>
            <w:noWrap/>
            <w:hideMark/>
          </w:tcPr>
          <w:p w14:paraId="0F7D9D08"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1.24</w:t>
            </w:r>
          </w:p>
        </w:tc>
        <w:tc>
          <w:tcPr>
            <w:tcW w:w="0" w:type="dxa"/>
            <w:noWrap/>
            <w:hideMark/>
          </w:tcPr>
          <w:p w14:paraId="60FDF586"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1.02</w:t>
            </w:r>
          </w:p>
        </w:tc>
        <w:tc>
          <w:tcPr>
            <w:tcW w:w="0" w:type="dxa"/>
            <w:noWrap/>
            <w:hideMark/>
          </w:tcPr>
          <w:p w14:paraId="09C109AC"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1.00</w:t>
            </w:r>
          </w:p>
        </w:tc>
        <w:tc>
          <w:tcPr>
            <w:tcW w:w="0" w:type="dxa"/>
            <w:noWrap/>
            <w:hideMark/>
          </w:tcPr>
          <w:p w14:paraId="4D9CC5DA" w14:textId="77777777" w:rsidR="006C5543" w:rsidRPr="00037C61" w:rsidRDefault="006C5543" w:rsidP="006C5543">
            <w:pPr>
              <w:jc w:val="right"/>
              <w:cnfStyle w:val="000000000000" w:firstRow="0" w:lastRow="0" w:firstColumn="0" w:lastColumn="0" w:oddVBand="0" w:evenVBand="0" w:oddHBand="0" w:evenHBand="0" w:firstRowFirstColumn="0" w:firstRowLastColumn="0" w:lastRowFirstColumn="0" w:lastRowLastColumn="0"/>
              <w:rPr>
                <w:b/>
                <w:color w:val="000000"/>
                <w:sz w:val="18"/>
                <w:lang w:val="en-GB"/>
              </w:rPr>
            </w:pPr>
            <w:r w:rsidRPr="00037C61">
              <w:rPr>
                <w:b/>
                <w:color w:val="000000"/>
                <w:sz w:val="18"/>
                <w:lang w:val="en-GB"/>
              </w:rPr>
              <w:t>0.84</w:t>
            </w:r>
          </w:p>
        </w:tc>
      </w:tr>
    </w:tbl>
    <w:p w14:paraId="33A85013" w14:textId="70B4313D" w:rsidR="00542215" w:rsidRPr="00037C61" w:rsidRDefault="00883A27" w:rsidP="00911B60">
      <w:pPr>
        <w:pStyle w:val="Caption"/>
        <w:spacing w:after="240"/>
        <w:jc w:val="left"/>
        <w:rPr>
          <w:bCs/>
          <w:lang w:val="en-GB"/>
        </w:rPr>
      </w:pPr>
      <w:r w:rsidRPr="00037C61">
        <w:rPr>
          <w:lang w:val="en-GB"/>
        </w:rPr>
        <w:t xml:space="preserve">Source: Eurostat, *Latest comparable data available in the data bases is 2017 </w:t>
      </w:r>
    </w:p>
    <w:p w14:paraId="486F1A49" w14:textId="400B41FF" w:rsidR="00542215" w:rsidRPr="00037C61" w:rsidRDefault="00542215" w:rsidP="00C90E44">
      <w:pPr>
        <w:pStyle w:val="Heading4"/>
        <w:rPr>
          <w:lang w:val="en-GB"/>
        </w:rPr>
      </w:pPr>
      <w:r w:rsidRPr="00037C61">
        <w:rPr>
          <w:lang w:val="en-GB"/>
        </w:rPr>
        <w:t>Complementarities / disparities in the CB region</w:t>
      </w:r>
    </w:p>
    <w:p w14:paraId="695034DD" w14:textId="31FC9641" w:rsidR="00542215" w:rsidRPr="00037C61" w:rsidRDefault="52230E0C" w:rsidP="0094417F">
      <w:pPr>
        <w:pStyle w:val="InterregROHUBullet1"/>
        <w:ind w:left="567"/>
      </w:pPr>
      <w:r w:rsidRPr="00037C61">
        <w:t>The entrepreneurial phenomenon has entered in a process of maturity at the PA, the trend being given by initiatives in Romania, most likely due to the service sector and especially around metropolitan areas, which have become a magnet for entrepreneurs.</w:t>
      </w:r>
    </w:p>
    <w:p w14:paraId="4508F407" w14:textId="584E8A34" w:rsidR="00542215" w:rsidRPr="00037C61" w:rsidRDefault="00542215" w:rsidP="0094417F">
      <w:pPr>
        <w:pStyle w:val="InterregROHUBullet1"/>
        <w:ind w:left="567"/>
      </w:pPr>
      <w:r w:rsidRPr="00037C61">
        <w:t xml:space="preserve">The share of active companies with employees in the total number of active companies is changing </w:t>
      </w:r>
      <w:r w:rsidR="006C5543" w:rsidRPr="00037C61">
        <w:t>favourably</w:t>
      </w:r>
      <w:r w:rsidRPr="00037C61">
        <w:t>, but the new companies still prefer to start with the experiences of the founders rather than with payrol</w:t>
      </w:r>
      <w:r w:rsidR="003F1AC5" w:rsidRPr="00037C61">
        <w:t>l</w:t>
      </w:r>
      <w:r w:rsidRPr="00037C61">
        <w:t xml:space="preserve">, </w:t>
      </w:r>
      <w:r w:rsidR="00B54ED1" w:rsidRPr="00037C61">
        <w:t>therefore</w:t>
      </w:r>
      <w:r w:rsidRPr="00037C61">
        <w:t xml:space="preserve"> the share of micro-enterprises remains the majority in the region</w:t>
      </w:r>
    </w:p>
    <w:p w14:paraId="0386800C" w14:textId="5818CE39" w:rsidR="00542215" w:rsidRPr="00037C61" w:rsidRDefault="00542215" w:rsidP="0094417F">
      <w:pPr>
        <w:pStyle w:val="InterregROHUBullet1"/>
        <w:ind w:left="567"/>
      </w:pPr>
      <w:r w:rsidRPr="00037C61">
        <w:t xml:space="preserve">The institutional framework to stimulate entrepreneurial initiatives still </w:t>
      </w:r>
      <w:r w:rsidR="00772613" w:rsidRPr="00037C61">
        <w:t>does not</w:t>
      </w:r>
      <w:r w:rsidRPr="00037C61">
        <w:t xml:space="preserve"> have sustainable results, the level of new jobs annually created by new companies is very low.</w:t>
      </w:r>
    </w:p>
    <w:p w14:paraId="6BD10FC6" w14:textId="4477450D" w:rsidR="190BB3BE" w:rsidRPr="00037C61" w:rsidRDefault="1C774ED0" w:rsidP="00014AA0">
      <w:pPr>
        <w:pStyle w:val="Heading3"/>
        <w:numPr>
          <w:ilvl w:val="3"/>
          <w:numId w:val="3"/>
        </w:numPr>
      </w:pPr>
      <w:bookmarkStart w:id="365" w:name="_Toc53137196"/>
      <w:bookmarkStart w:id="366" w:name="_Ref53439875"/>
      <w:bookmarkStart w:id="367" w:name="_Ref53439879"/>
      <w:bookmarkStart w:id="368" w:name="_Toc64619539"/>
      <w:bookmarkEnd w:id="363"/>
      <w:r w:rsidRPr="00037C61">
        <w:t>Tourism and hospitality</w:t>
      </w:r>
      <w:bookmarkEnd w:id="365"/>
      <w:bookmarkEnd w:id="366"/>
      <w:bookmarkEnd w:id="367"/>
      <w:r w:rsidR="005D64A2" w:rsidRPr="00037C61">
        <w:t xml:space="preserve"> industry</w:t>
      </w:r>
      <w:bookmarkEnd w:id="368"/>
    </w:p>
    <w:p w14:paraId="73F5068D" w14:textId="2EA0E62F" w:rsidR="00542215" w:rsidRPr="00037C61" w:rsidRDefault="00542215" w:rsidP="00911B60">
      <w:pPr>
        <w:rPr>
          <w:lang w:val="en-GB"/>
        </w:rPr>
      </w:pPr>
      <w:r w:rsidRPr="00037C61">
        <w:rPr>
          <w:lang w:val="en-GB"/>
        </w:rPr>
        <w:t>The region, viewed through the diversity of current, natural and cultural tourism resources, but also from the perspective of trends in current tourism, new tourism, has potential for tourism development on each border and extraordinary resources for various forms of joint tourism to increase attractiveness on international markets.</w:t>
      </w:r>
      <w:r w:rsidR="00817163" w:rsidRPr="00037C61">
        <w:rPr>
          <w:lang w:val="en-GB"/>
        </w:rPr>
        <w:t xml:space="preserve"> T</w:t>
      </w:r>
      <w:r w:rsidRPr="00037C61">
        <w:rPr>
          <w:lang w:val="en-GB"/>
        </w:rPr>
        <w:t xml:space="preserve">here are many similarities in terms of </w:t>
      </w:r>
      <w:r w:rsidRPr="00037C61">
        <w:rPr>
          <w:b/>
          <w:bCs/>
          <w:lang w:val="en-GB"/>
        </w:rPr>
        <w:t>spa and spa tourism</w:t>
      </w:r>
      <w:r w:rsidRPr="00037C61">
        <w:rPr>
          <w:lang w:val="en-GB"/>
        </w:rPr>
        <w:t>, based on the existence of mineral and thermal water, which are in a more advanced status on the Hungarian side.</w:t>
      </w:r>
    </w:p>
    <w:p w14:paraId="5D0AC2CE" w14:textId="0C654239" w:rsidR="00542215" w:rsidRPr="00037C61" w:rsidRDefault="00542215" w:rsidP="00911B60">
      <w:pPr>
        <w:spacing w:after="0"/>
        <w:rPr>
          <w:lang w:val="en-GB"/>
        </w:rPr>
      </w:pPr>
      <w:r w:rsidRPr="00037C61">
        <w:rPr>
          <w:lang w:val="en-GB"/>
        </w:rPr>
        <w:t xml:space="preserve">The increase of </w:t>
      </w:r>
      <w:r w:rsidRPr="00037C61">
        <w:rPr>
          <w:b/>
          <w:bCs/>
          <w:lang w:val="en-GB"/>
        </w:rPr>
        <w:t>business and event tourism</w:t>
      </w:r>
      <w:r w:rsidRPr="00037C61">
        <w:rPr>
          <w:lang w:val="en-GB"/>
        </w:rPr>
        <w:t xml:space="preserve"> is observed mainly in large cities and universities, which justifies the transit tourism segment too, in each county seat municipality being accommodation units typical of this form of tourism and centres or halls conferences. Lately, business tourism is combined with other forms in a unique way, both in health resorts or in the mountain resorts</w:t>
      </w:r>
      <w:r w:rsidR="00911B60" w:rsidRPr="00037C61">
        <w:rPr>
          <w:lang w:val="en-GB"/>
        </w:rPr>
        <w:t>.</w:t>
      </w:r>
    </w:p>
    <w:p w14:paraId="23AA4A64" w14:textId="77777777" w:rsidR="00817163" w:rsidRPr="00037C61" w:rsidRDefault="00817163" w:rsidP="00911B60">
      <w:pPr>
        <w:spacing w:after="0"/>
        <w:rPr>
          <w:lang w:val="en-GB"/>
        </w:rPr>
      </w:pPr>
    </w:p>
    <w:p w14:paraId="33DCAA55" w14:textId="36A308A7" w:rsidR="00542215" w:rsidRPr="00037C61" w:rsidRDefault="00542215" w:rsidP="00911B60">
      <w:pPr>
        <w:spacing w:after="0"/>
        <w:rPr>
          <w:lang w:val="en-GB"/>
        </w:rPr>
      </w:pPr>
      <w:r w:rsidRPr="00037C61">
        <w:rPr>
          <w:lang w:val="en-GB"/>
        </w:rPr>
        <w:t xml:space="preserve">Another dimension of modern tourism is defined by the </w:t>
      </w:r>
      <w:r w:rsidRPr="00037C61">
        <w:rPr>
          <w:b/>
          <w:bCs/>
          <w:lang w:val="en-GB"/>
        </w:rPr>
        <w:t>routes formed throughout Europe</w:t>
      </w:r>
      <w:r w:rsidRPr="00037C61">
        <w:rPr>
          <w:lang w:val="en-GB"/>
        </w:rPr>
        <w:t>, whether they are cultural routes or wine routes, these having a very high potential for the cross</w:t>
      </w:r>
      <w:r w:rsidR="003F1AC5" w:rsidRPr="00037C61">
        <w:rPr>
          <w:lang w:val="en-GB"/>
        </w:rPr>
        <w:t>-</w:t>
      </w:r>
      <w:r w:rsidRPr="00037C61">
        <w:rPr>
          <w:lang w:val="en-GB"/>
        </w:rPr>
        <w:t xml:space="preserve">border approach, the essential element in this regard is the common promotion and by developing a </w:t>
      </w:r>
      <w:r w:rsidRPr="00037C61">
        <w:rPr>
          <w:b/>
          <w:bCs/>
          <w:lang w:val="en-GB"/>
        </w:rPr>
        <w:t>brand of the region</w:t>
      </w:r>
      <w:r w:rsidRPr="00037C61">
        <w:rPr>
          <w:lang w:val="en-GB"/>
        </w:rPr>
        <w:t xml:space="preserve"> that would magnetically attract tourists from international markets in the counties of the region, thus generating chain revenues.</w:t>
      </w:r>
    </w:p>
    <w:p w14:paraId="278FCB5B" w14:textId="77777777" w:rsidR="00817163" w:rsidRPr="00037C61" w:rsidRDefault="00817163" w:rsidP="00911B60">
      <w:pPr>
        <w:spacing w:after="0"/>
        <w:rPr>
          <w:lang w:val="en-GB"/>
        </w:rPr>
      </w:pPr>
    </w:p>
    <w:p w14:paraId="27BDC7B4" w14:textId="5629E608" w:rsidR="00817163" w:rsidRPr="00037C61" w:rsidRDefault="00817163" w:rsidP="00817163">
      <w:pPr>
        <w:spacing w:after="0"/>
        <w:rPr>
          <w:lang w:val="en-GB"/>
        </w:rPr>
      </w:pPr>
      <w:r w:rsidRPr="00037C61">
        <w:rPr>
          <w:lang w:val="en-GB"/>
        </w:rPr>
        <w:t xml:space="preserve">With the growing interest in slow food and sustainable agriculture, gastronomic tourism could be assimilated as a form of </w:t>
      </w:r>
      <w:r w:rsidRPr="00037C61">
        <w:rPr>
          <w:b/>
          <w:bCs/>
          <w:lang w:val="en-GB"/>
        </w:rPr>
        <w:t>creative and cultural tourism</w:t>
      </w:r>
      <w:r w:rsidRPr="00037C61">
        <w:rPr>
          <w:lang w:val="en-GB"/>
        </w:rPr>
        <w:t>. Tourists want to participate in the creative act, in the preparation of gastro products or the creation of household items, to consume tourist services and, as such gastronomic and craft products are associated with "tasting". Many of these attractions may include a cross border dimension.</w:t>
      </w:r>
    </w:p>
    <w:p w14:paraId="0294F669" w14:textId="77777777" w:rsidR="00817163" w:rsidRPr="00037C61" w:rsidRDefault="00817163" w:rsidP="00911B60">
      <w:pPr>
        <w:spacing w:after="0"/>
        <w:rPr>
          <w:lang w:val="en-GB"/>
        </w:rPr>
      </w:pPr>
    </w:p>
    <w:p w14:paraId="337F453D" w14:textId="3C133D1B" w:rsidR="00542215" w:rsidRPr="00037C61" w:rsidRDefault="00542215" w:rsidP="00911B60">
      <w:pPr>
        <w:rPr>
          <w:lang w:val="en-GB"/>
        </w:rPr>
      </w:pPr>
      <w:r w:rsidRPr="00037C61">
        <w:rPr>
          <w:lang w:val="en-GB"/>
        </w:rPr>
        <w:t>In general, the forms of tourism that can be identified with the greatest potential for cross-border actions and projects are those related to</w:t>
      </w:r>
      <w:r w:rsidR="00817163" w:rsidRPr="00037C61">
        <w:rPr>
          <w:lang w:val="en-GB"/>
        </w:rPr>
        <w:t xml:space="preserve"> </w:t>
      </w:r>
      <w:r w:rsidR="00817163" w:rsidRPr="00037C61">
        <w:rPr>
          <w:b/>
          <w:bCs/>
          <w:lang w:val="en-GB"/>
        </w:rPr>
        <w:t>cultural tourism,</w:t>
      </w:r>
      <w:r w:rsidRPr="00037C61">
        <w:rPr>
          <w:b/>
          <w:bCs/>
          <w:lang w:val="en-GB"/>
        </w:rPr>
        <w:t xml:space="preserve"> ecological tourism, </w:t>
      </w:r>
      <w:r w:rsidR="00817163" w:rsidRPr="00037C61">
        <w:rPr>
          <w:b/>
          <w:bCs/>
          <w:lang w:val="en-GB"/>
        </w:rPr>
        <w:t>event tourism</w:t>
      </w:r>
      <w:r w:rsidR="00817163" w:rsidRPr="00037C61">
        <w:rPr>
          <w:lang w:val="en-GB"/>
        </w:rPr>
        <w:t xml:space="preserve"> (with respect to well-established university centres of Timisoara, Szeged and Debrecen</w:t>
      </w:r>
      <w:r w:rsidR="1A32848E" w:rsidRPr="00037C61">
        <w:rPr>
          <w:lang w:val="en-GB"/>
        </w:rPr>
        <w:t xml:space="preserve"> or economy centres</w:t>
      </w:r>
      <w:r w:rsidR="00817163" w:rsidRPr="00037C61">
        <w:rPr>
          <w:lang w:val="en-GB"/>
        </w:rPr>
        <w:t xml:space="preserve">)) </w:t>
      </w:r>
      <w:r w:rsidRPr="00037C61">
        <w:rPr>
          <w:lang w:val="en-GB"/>
        </w:rPr>
        <w:t xml:space="preserve">as well as any </w:t>
      </w:r>
      <w:r w:rsidRPr="00037C61">
        <w:rPr>
          <w:b/>
          <w:bCs/>
          <w:lang w:val="en-GB"/>
        </w:rPr>
        <w:t>niche tourism based on natural resources</w:t>
      </w:r>
      <w:r w:rsidR="7F5CEC52" w:rsidRPr="00037C61">
        <w:rPr>
          <w:b/>
          <w:bCs/>
          <w:lang w:val="en-GB"/>
        </w:rPr>
        <w:t xml:space="preserve"> (adventure, caving</w:t>
      </w:r>
      <w:r w:rsidR="30601709" w:rsidRPr="00037C61">
        <w:rPr>
          <w:b/>
          <w:bCs/>
          <w:lang w:val="en-GB"/>
        </w:rPr>
        <w:t xml:space="preserve"> </w:t>
      </w:r>
      <w:r w:rsidR="7F5CEC52" w:rsidRPr="00037C61">
        <w:rPr>
          <w:b/>
          <w:bCs/>
          <w:lang w:val="en-GB"/>
        </w:rPr>
        <w:t>&amp;</w:t>
      </w:r>
      <w:r w:rsidR="3B0FEE6F" w:rsidRPr="00037C61">
        <w:rPr>
          <w:b/>
          <w:bCs/>
          <w:lang w:val="en-GB"/>
        </w:rPr>
        <w:t xml:space="preserve"> </w:t>
      </w:r>
      <w:r w:rsidR="7F5CEC52" w:rsidRPr="00037C61">
        <w:rPr>
          <w:b/>
          <w:bCs/>
          <w:lang w:val="en-GB"/>
        </w:rPr>
        <w:t>hiking</w:t>
      </w:r>
      <w:r w:rsidR="0685DF64" w:rsidRPr="00037C61">
        <w:rPr>
          <w:b/>
          <w:bCs/>
          <w:lang w:val="en-GB"/>
        </w:rPr>
        <w:t>)</w:t>
      </w:r>
      <w:r w:rsidRPr="00037C61">
        <w:rPr>
          <w:lang w:val="en-GB"/>
        </w:rPr>
        <w:t>.</w:t>
      </w:r>
    </w:p>
    <w:p w14:paraId="5A58C0B1" w14:textId="489ABA49" w:rsidR="00542215" w:rsidRPr="00037C61" w:rsidRDefault="00817163" w:rsidP="00C90E44">
      <w:pPr>
        <w:pStyle w:val="Heading4"/>
        <w:rPr>
          <w:lang w:val="en-GB"/>
        </w:rPr>
      </w:pPr>
      <w:r w:rsidRPr="00037C61">
        <w:rPr>
          <w:noProof/>
          <w:lang w:val="ro-RO" w:eastAsia="ro-RO"/>
        </w:rPr>
        <w:lastRenderedPageBreak/>
        <w:drawing>
          <wp:anchor distT="0" distB="0" distL="114300" distR="114300" simplePos="0" relativeHeight="251651584" behindDoc="0" locked="0" layoutInCell="1" allowOverlap="1" wp14:anchorId="3D3E2509" wp14:editId="513E938D">
            <wp:simplePos x="0" y="0"/>
            <wp:positionH relativeFrom="margin">
              <wp:align>right</wp:align>
            </wp:positionH>
            <wp:positionV relativeFrom="paragraph">
              <wp:posOffset>181186</wp:posOffset>
            </wp:positionV>
            <wp:extent cx="2861310" cy="2114550"/>
            <wp:effectExtent l="19050" t="19050" r="15240" b="19050"/>
            <wp:wrapSquare wrapText="bothSides"/>
            <wp:docPr id="1490160188" name="Chart 149016018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43A884-20A7-4566-9401-24023D7CD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V relativeFrom="margin">
              <wp14:pctHeight>0</wp14:pctHeight>
            </wp14:sizeRelV>
          </wp:anchor>
        </w:drawing>
      </w:r>
      <w:r w:rsidRPr="00037C61">
        <w:rPr>
          <w:lang w:val="en-GB"/>
        </w:rPr>
        <w:t>Tourism infrastructure</w:t>
      </w:r>
    </w:p>
    <w:p w14:paraId="7BEC0925" w14:textId="39BFE7F0" w:rsidR="00542215" w:rsidRPr="00037C61" w:rsidRDefault="00542215" w:rsidP="00911B60">
      <w:pPr>
        <w:spacing w:after="0"/>
        <w:jc w:val="left"/>
        <w:rPr>
          <w:bCs/>
          <w:lang w:val="en-GB"/>
        </w:rPr>
      </w:pPr>
      <w:r w:rsidRPr="00037C61">
        <w:rPr>
          <w:bCs/>
          <w:lang w:val="en-GB"/>
        </w:rPr>
        <w:t>The tourist capacity has evolved with same pace as national economies, thus in 2018 in the region are registered structures with 78,029 beds, 13.45% more than ten years ago, out of which 61% are located in Hungary.</w:t>
      </w:r>
    </w:p>
    <w:p w14:paraId="1231ABEC" w14:textId="25C20C37" w:rsidR="00817163" w:rsidRPr="00037C61" w:rsidRDefault="00817163" w:rsidP="00911B60">
      <w:pPr>
        <w:spacing w:after="0"/>
        <w:jc w:val="left"/>
        <w:rPr>
          <w:bCs/>
          <w:lang w:val="en-GB"/>
        </w:rPr>
      </w:pPr>
    </w:p>
    <w:p w14:paraId="43F42D58" w14:textId="56442BB4" w:rsidR="00817163" w:rsidRPr="00037C61" w:rsidRDefault="00817163" w:rsidP="6446A0E8">
      <w:pPr>
        <w:rPr>
          <w:lang w:val="en-GB"/>
        </w:rPr>
      </w:pPr>
      <w:r w:rsidRPr="00037C61">
        <w:rPr>
          <w:noProof/>
          <w:lang w:val="ro-RO" w:eastAsia="ro-RO"/>
        </w:rPr>
        <mc:AlternateContent>
          <mc:Choice Requires="wps">
            <w:drawing>
              <wp:anchor distT="0" distB="0" distL="114300" distR="114300" simplePos="0" relativeHeight="251652608" behindDoc="0" locked="0" layoutInCell="1" allowOverlap="1" wp14:anchorId="7A2E83B3" wp14:editId="68AF6B47">
                <wp:simplePos x="0" y="0"/>
                <wp:positionH relativeFrom="margin">
                  <wp:align>right</wp:align>
                </wp:positionH>
                <wp:positionV relativeFrom="paragraph">
                  <wp:posOffset>1072727</wp:posOffset>
                </wp:positionV>
                <wp:extent cx="2861310" cy="635"/>
                <wp:effectExtent l="0" t="0" r="0" b="6985"/>
                <wp:wrapSquare wrapText="bothSides"/>
                <wp:docPr id="1490160189" name="Text Box 1490160189"/>
                <wp:cNvGraphicFramePr/>
                <a:graphic xmlns:a="http://schemas.openxmlformats.org/drawingml/2006/main">
                  <a:graphicData uri="http://schemas.microsoft.com/office/word/2010/wordprocessingShape">
                    <wps:wsp>
                      <wps:cNvSpPr txBox="1"/>
                      <wps:spPr>
                        <a:xfrm>
                          <a:off x="0" y="0"/>
                          <a:ext cx="2861310" cy="635"/>
                        </a:xfrm>
                        <a:prstGeom prst="rect">
                          <a:avLst/>
                        </a:prstGeom>
                        <a:solidFill>
                          <a:prstClr val="white"/>
                        </a:solidFill>
                        <a:ln>
                          <a:noFill/>
                        </a:ln>
                      </wps:spPr>
                      <wps:txbx>
                        <w:txbxContent>
                          <w:p w14:paraId="5FA5B9B9" w14:textId="5E4F811F" w:rsidR="00944B4A" w:rsidRPr="0061187F" w:rsidRDefault="00944B4A" w:rsidP="00817163">
                            <w:pPr>
                              <w:pStyle w:val="Caption"/>
                              <w:rPr>
                                <w:lang w:val="en-GB"/>
                              </w:rPr>
                            </w:pPr>
                            <w:bookmarkStart w:id="369" w:name="_Toc64611010"/>
                            <w:r w:rsidRPr="0061187F">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61</w:t>
                            </w:r>
                            <w:r>
                              <w:rPr>
                                <w:lang w:val="en-GB"/>
                              </w:rPr>
                              <w:fldChar w:fldCharType="end"/>
                            </w:r>
                            <w:r w:rsidRPr="0061187F">
                              <w:rPr>
                                <w:lang w:val="en-GB"/>
                              </w:rPr>
                              <w:t xml:space="preserve"> - Tourism capacities, 2018</w:t>
                            </w:r>
                            <w:bookmarkEnd w:id="369"/>
                          </w:p>
                          <w:p w14:paraId="74EA41DB" w14:textId="7CC37C76" w:rsidR="00944B4A" w:rsidRPr="0061187F" w:rsidRDefault="00944B4A" w:rsidP="005E0849">
                            <w:pPr>
                              <w:pStyle w:val="Caption"/>
                              <w:rPr>
                                <w:lang w:val="en-GB"/>
                              </w:rPr>
                            </w:pPr>
                            <w:r w:rsidRPr="0061187F">
                              <w:rPr>
                                <w:lang w:val="en-GB"/>
                              </w:rPr>
                              <w:t>Source: INS, KSH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2E83B3" id="Text Box 1490160189" o:spid="_x0000_s1033" type="#_x0000_t202" style="position:absolute;left:0;text-align:left;margin-left:174.1pt;margin-top:84.45pt;width:225.3pt;height:.05pt;z-index:25165260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" stroked="f">
                <v:textbox style="mso-fit-shape-to-text:t" inset="0,0,0,0">
                  <w:txbxContent>
                    <w:p w14:paraId="5FA5B9B9" w14:textId="5E4F811F" w:rsidR="00944B4A" w:rsidRPr="0061187F" w:rsidRDefault="00944B4A" w:rsidP="00817163">
                      <w:pPr>
                        <w:pStyle w:val="Didascalia"/>
                        <w:rPr>
                          <w:lang w:val="en-GB"/>
                        </w:rPr>
                      </w:pPr>
                      <w:bookmarkStart w:id="398" w:name="_Toc64611010"/>
                      <w:r w:rsidRPr="0061187F">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61</w:t>
                      </w:r>
                      <w:r>
                        <w:rPr>
                          <w:lang w:val="en-GB"/>
                        </w:rPr>
                        <w:fldChar w:fldCharType="end"/>
                      </w:r>
                      <w:r w:rsidRPr="0061187F">
                        <w:rPr>
                          <w:lang w:val="en-GB"/>
                        </w:rPr>
                        <w:t xml:space="preserve"> - Tourism capacities, 2018</w:t>
                      </w:r>
                      <w:bookmarkEnd w:id="398"/>
                    </w:p>
                    <w:p w14:paraId="74EA41DB" w14:textId="7CC37C76" w:rsidR="00944B4A" w:rsidRPr="0061187F" w:rsidRDefault="00944B4A" w:rsidP="005E0849">
                      <w:pPr>
                        <w:pStyle w:val="Didascalia"/>
                        <w:rPr>
                          <w:lang w:val="en-GB"/>
                        </w:rPr>
                      </w:pPr>
                      <w:r w:rsidRPr="0061187F">
                        <w:rPr>
                          <w:lang w:val="en-GB"/>
                        </w:rPr>
                        <w:t>Source: INS, KSH</w:t>
                      </w:r>
                    </w:p>
                  </w:txbxContent>
                </v:textbox>
                <w10:wrap type="square" anchorx="margin"/>
              </v:shape>
            </w:pict>
          </mc:Fallback>
        </mc:AlternateContent>
      </w:r>
      <w:r w:rsidR="6446A0E8" w:rsidRPr="00037C61">
        <w:rPr>
          <w:lang w:val="en-GB"/>
        </w:rPr>
        <w:t xml:space="preserve">Most accommodation capacities are built in </w:t>
      </w:r>
      <w:r w:rsidR="6446A0E8" w:rsidRPr="00037C61">
        <w:rPr>
          <w:b/>
          <w:bCs/>
          <w:lang w:val="en-GB"/>
        </w:rPr>
        <w:t>Hajdú-Bihar and Bihor</w:t>
      </w:r>
      <w:r w:rsidR="6446A0E8" w:rsidRPr="00037C61">
        <w:rPr>
          <w:lang w:val="en-GB"/>
        </w:rPr>
        <w:t>, followed by Csongrád-Csanád and the most plausible explanation is given by the existence of thermal springs that ensure the accommodation of tourists regardless of the season and thus can generate higher incomes.</w:t>
      </w:r>
    </w:p>
    <w:p w14:paraId="172E4ECF" w14:textId="085CDB7A" w:rsidR="00817163" w:rsidRPr="00037C61" w:rsidRDefault="00817163" w:rsidP="6446A0E8">
      <w:pPr>
        <w:rPr>
          <w:lang w:val="en-GB"/>
        </w:rPr>
      </w:pPr>
      <w:r w:rsidRPr="00037C61">
        <w:rPr>
          <w:lang w:val="en-GB"/>
        </w:rPr>
        <w:t>The opposite case is Satu Mare with the fewest beds (2,379 in 2018) after a dramatic decrease of 10 pp in the last ten years of analysis, but the most unfavourable evolution is recorded by Szabolcs-Szatmár-Bereg with a decrease of approx. 16% (2018: 8,747 beds). Overall, when taking dynamics into account the champion of the region is Bihor (46%) followed by Békés (22%), Timiș (22%) and Csongrád-Csanád (16%), which indicated that not always well-performing economic regions lead the growth in bed-places.</w:t>
      </w:r>
    </w:p>
    <w:p w14:paraId="1975049C" w14:textId="6139DCA8" w:rsidR="00C64569" w:rsidRPr="00037C61" w:rsidRDefault="006E131C" w:rsidP="00C90E44">
      <w:pPr>
        <w:rPr>
          <w:lang w:val="en-GB"/>
        </w:rPr>
      </w:pPr>
      <w:r w:rsidRPr="00037C61">
        <w:rPr>
          <w:lang w:val="en-GB"/>
        </w:rPr>
        <w:t xml:space="preserve">The </w:t>
      </w:r>
      <w:r w:rsidR="00542215" w:rsidRPr="00037C61">
        <w:rPr>
          <w:lang w:val="en-GB"/>
        </w:rPr>
        <w:t xml:space="preserve">counties on both sides register the </w:t>
      </w:r>
      <w:r w:rsidR="00817163" w:rsidRPr="00037C61">
        <w:rPr>
          <w:lang w:val="en-GB"/>
        </w:rPr>
        <w:t xml:space="preserve">beds in tourist </w:t>
      </w:r>
      <w:r w:rsidR="00C01C72" w:rsidRPr="00037C61">
        <w:rPr>
          <w:lang w:val="en-GB"/>
        </w:rPr>
        <w:t>accommodations ratio to inhabitants,</w:t>
      </w:r>
      <w:r w:rsidR="00817163" w:rsidRPr="00037C61">
        <w:rPr>
          <w:lang w:val="en-GB"/>
        </w:rPr>
        <w:t xml:space="preserve"> </w:t>
      </w:r>
      <w:r w:rsidR="00542215" w:rsidRPr="00037C61">
        <w:rPr>
          <w:lang w:val="en-GB"/>
        </w:rPr>
        <w:t>respectively 26 beds per thousand inhabitants in the Hungarian counties, compared to 15 beds per thousand inhabitants in the Romanian counties</w:t>
      </w:r>
      <w:r w:rsidR="00C01C72" w:rsidRPr="00037C61">
        <w:rPr>
          <w:lang w:val="en-GB"/>
        </w:rPr>
        <w:t xml:space="preserve">, nevertheless a significant disparity. </w:t>
      </w:r>
      <w:r w:rsidR="00542215" w:rsidRPr="00037C61">
        <w:rPr>
          <w:lang w:val="en-GB"/>
        </w:rPr>
        <w:tab/>
      </w:r>
    </w:p>
    <w:p w14:paraId="22889879" w14:textId="6C2F3F6F" w:rsidR="00C64569" w:rsidRPr="00037C61" w:rsidRDefault="00D66BD6" w:rsidP="005E0849">
      <w:pPr>
        <w:rPr>
          <w:lang w:val="en-GB"/>
        </w:rPr>
      </w:pPr>
      <w:bookmarkStart w:id="370" w:name="_Toc50657566"/>
      <w:r w:rsidRPr="00037C61">
        <w:rPr>
          <w:noProof/>
          <w:lang w:val="ro-RO" w:eastAsia="ro-RO"/>
        </w:rPr>
        <w:drawing>
          <wp:anchor distT="0" distB="0" distL="114300" distR="114300" simplePos="0" relativeHeight="251692544" behindDoc="1" locked="0" layoutInCell="1" allowOverlap="1" wp14:anchorId="3E3D08C5" wp14:editId="2CB36194">
            <wp:simplePos x="0" y="0"/>
            <wp:positionH relativeFrom="column">
              <wp:posOffset>-56092</wp:posOffset>
            </wp:positionH>
            <wp:positionV relativeFrom="paragraph">
              <wp:posOffset>4445</wp:posOffset>
            </wp:positionV>
            <wp:extent cx="3028950" cy="3920490"/>
            <wp:effectExtent l="0" t="0" r="0" b="3810"/>
            <wp:wrapTight wrapText="bothSides">
              <wp:wrapPolygon edited="0">
                <wp:start x="0" y="0"/>
                <wp:lineTo x="0" y="21516"/>
                <wp:lineTo x="21464" y="21516"/>
                <wp:lineTo x="21464"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39" cstate="screen">
                      <a:extLst>
                        <a:ext uri="{28A0092B-C50C-407E-A947-70E740481C1C}">
                          <a14:useLocalDpi xmlns:a14="http://schemas.microsoft.com/office/drawing/2010/main"/>
                        </a:ext>
                      </a:extLst>
                    </a:blip>
                    <a:stretch>
                      <a:fillRect/>
                    </a:stretch>
                  </pic:blipFill>
                  <pic:spPr>
                    <a:xfrm>
                      <a:off x="0" y="0"/>
                      <a:ext cx="3028950" cy="3920490"/>
                    </a:xfrm>
                    <a:prstGeom prst="rect">
                      <a:avLst/>
                    </a:prstGeom>
                  </pic:spPr>
                </pic:pic>
              </a:graphicData>
            </a:graphic>
            <wp14:sizeRelH relativeFrom="page">
              <wp14:pctWidth>0</wp14:pctWidth>
            </wp14:sizeRelH>
            <wp14:sizeRelV relativeFrom="page">
              <wp14:pctHeight>0</wp14:pctHeight>
            </wp14:sizeRelV>
          </wp:anchor>
        </w:drawing>
      </w:r>
      <w:r w:rsidR="00542215" w:rsidRPr="00037C61">
        <w:rPr>
          <w:lang w:val="en-GB"/>
        </w:rPr>
        <w:tab/>
      </w:r>
      <w:bookmarkEnd w:id="370"/>
    </w:p>
    <w:p w14:paraId="40E5458D" w14:textId="36AA1521" w:rsidR="00C90E44" w:rsidRPr="00037C61" w:rsidRDefault="00C90E44" w:rsidP="00542215">
      <w:pPr>
        <w:rPr>
          <w:bCs/>
          <w:lang w:val="en-GB"/>
        </w:rPr>
      </w:pPr>
    </w:p>
    <w:p w14:paraId="3485000C" w14:textId="6BA1672E" w:rsidR="00542215" w:rsidRPr="00037C61" w:rsidRDefault="00C01C72" w:rsidP="00C90E44">
      <w:pPr>
        <w:pStyle w:val="Heading4"/>
        <w:rPr>
          <w:lang w:val="en-GB"/>
        </w:rPr>
      </w:pPr>
      <w:r w:rsidRPr="00037C61">
        <w:rPr>
          <w:lang w:val="en-GB"/>
        </w:rPr>
        <w:t>Tourism infrastructure performance</w:t>
      </w:r>
    </w:p>
    <w:p w14:paraId="07587CA5" w14:textId="5395EED0" w:rsidR="00542215" w:rsidRPr="00037C61" w:rsidRDefault="00C01C72" w:rsidP="5CA115F1">
      <w:pPr>
        <w:spacing w:before="240"/>
        <w:rPr>
          <w:lang w:val="en-GB"/>
        </w:rPr>
      </w:pPr>
      <w:r w:rsidRPr="00037C61">
        <w:rPr>
          <w:lang w:val="en-GB"/>
        </w:rPr>
        <w:t>The</w:t>
      </w:r>
      <w:r w:rsidR="5F5A0187" w:rsidRPr="00037C61">
        <w:rPr>
          <w:lang w:val="en-GB"/>
        </w:rPr>
        <w:t xml:space="preserve"> </w:t>
      </w:r>
      <w:r w:rsidR="00542215" w:rsidRPr="00037C61">
        <w:rPr>
          <w:lang w:val="en-GB"/>
        </w:rPr>
        <w:t xml:space="preserve">number of tourists attracted by the </w:t>
      </w:r>
      <w:r w:rsidRPr="00037C61">
        <w:rPr>
          <w:lang w:val="en-GB"/>
        </w:rPr>
        <w:t>counties on the Hungarian and Romanian side is comparable</w:t>
      </w:r>
      <w:r w:rsidR="00542215" w:rsidRPr="00037C61">
        <w:rPr>
          <w:lang w:val="en-GB"/>
        </w:rPr>
        <w:t>, despite the superior accommodation capacity in Hungary: thus, in 2018 the total number of nights spent by those who visited the region was 6,3 million, out of which 54% in Hungary and 46% in Romania.</w:t>
      </w:r>
    </w:p>
    <w:p w14:paraId="59B8ECA5" w14:textId="478F28BD" w:rsidR="00D66BD6" w:rsidRPr="00037C61" w:rsidRDefault="007C48E8" w:rsidP="003979D6">
      <w:pPr>
        <w:jc w:val="left"/>
        <w:rPr>
          <w:lang w:val="en-GB"/>
        </w:rPr>
      </w:pPr>
      <w:r w:rsidRPr="00037C61">
        <w:rPr>
          <w:noProof/>
          <w:lang w:val="ro-RO" w:eastAsia="ro-RO"/>
        </w:rPr>
        <w:lastRenderedPageBreak/>
        <w:drawing>
          <wp:inline distT="0" distB="0" distL="0" distR="0" wp14:anchorId="08B7D222" wp14:editId="0B31D177">
            <wp:extent cx="4981575" cy="2847975"/>
            <wp:effectExtent l="0" t="0" r="9525" b="9525"/>
            <wp:docPr id="171" name="Chart 17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2A4E85-7C53-41AD-8478-AB08A3FF09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6014BF14" w14:textId="01F94D6D" w:rsidR="00D66BD6" w:rsidRPr="00037C61" w:rsidRDefault="00D66BD6" w:rsidP="00D66BD6">
      <w:pPr>
        <w:pStyle w:val="Caption"/>
        <w:jc w:val="both"/>
        <w:rPr>
          <w:lang w:val="en-GB"/>
        </w:rPr>
      </w:pPr>
      <w:bookmarkStart w:id="371" w:name="_Toc50657567"/>
      <w:bookmarkStart w:id="372" w:name="_Toc6461101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62</w:t>
      </w:r>
      <w:r w:rsidR="00412697">
        <w:rPr>
          <w:lang w:val="en-GB"/>
        </w:rPr>
        <w:fldChar w:fldCharType="end"/>
      </w:r>
      <w:r w:rsidRPr="00037C61">
        <w:rPr>
          <w:lang w:val="en-GB"/>
        </w:rPr>
        <w:t xml:space="preserve"> - Overnights spent</w:t>
      </w:r>
      <w:bookmarkEnd w:id="371"/>
      <w:bookmarkEnd w:id="372"/>
    </w:p>
    <w:p w14:paraId="564876F9" w14:textId="64A18F2E" w:rsidR="002A4322" w:rsidRPr="00037C61" w:rsidRDefault="00D66BD6" w:rsidP="00D66BD6">
      <w:pPr>
        <w:pStyle w:val="Caption"/>
        <w:jc w:val="both"/>
        <w:rPr>
          <w:bCs/>
          <w:lang w:val="en-GB"/>
        </w:rPr>
      </w:pPr>
      <w:r w:rsidRPr="00037C61">
        <w:rPr>
          <w:lang w:val="en-GB"/>
        </w:rPr>
        <w:t xml:space="preserve">Source: </w:t>
      </w:r>
      <w:r w:rsidR="00124940" w:rsidRPr="00037C61">
        <w:rPr>
          <w:lang w:val="en-GB"/>
        </w:rPr>
        <w:t>INS</w:t>
      </w:r>
      <w:r w:rsidRPr="00037C61">
        <w:rPr>
          <w:lang w:val="en-GB"/>
        </w:rPr>
        <w:t xml:space="preserve">, </w:t>
      </w:r>
      <w:r w:rsidR="00743CF6" w:rsidRPr="00037C61">
        <w:rPr>
          <w:lang w:val="en-GB"/>
        </w:rPr>
        <w:t>KSH</w:t>
      </w:r>
      <w:r w:rsidR="00542215" w:rsidRPr="00037C61">
        <w:rPr>
          <w:bCs/>
          <w:lang w:val="en-GB"/>
        </w:rPr>
        <w:tab/>
      </w:r>
      <w:r w:rsidR="00C90E44" w:rsidRPr="00037C61">
        <w:rPr>
          <w:bCs/>
          <w:lang w:val="en-GB"/>
        </w:rPr>
        <w:tab/>
      </w:r>
    </w:p>
    <w:p w14:paraId="0DE10B3F" w14:textId="3ABF41B4" w:rsidR="00D66BD6" w:rsidRPr="00037C61" w:rsidRDefault="00542215" w:rsidP="00D66BD6">
      <w:pPr>
        <w:pStyle w:val="Caption"/>
        <w:jc w:val="both"/>
        <w:rPr>
          <w:lang w:val="en-GB"/>
        </w:rPr>
      </w:pPr>
      <w:r w:rsidRPr="00037C61">
        <w:rPr>
          <w:bCs/>
          <w:lang w:val="en-GB"/>
        </w:rPr>
        <w:t xml:space="preserve">  </w:t>
      </w:r>
    </w:p>
    <w:p w14:paraId="1F3E7946" w14:textId="47346663" w:rsidR="002A4322" w:rsidRPr="00037C61" w:rsidRDefault="00542215" w:rsidP="002A4322">
      <w:pPr>
        <w:rPr>
          <w:lang w:val="en-GB"/>
        </w:rPr>
      </w:pPr>
      <w:r w:rsidRPr="00037C61">
        <w:rPr>
          <w:lang w:val="en-GB"/>
        </w:rPr>
        <w:t xml:space="preserve">But in the ten years of evolution, the growth rate of tourists did not determine an increase with the same rate of nights spent, as such </w:t>
      </w:r>
      <w:r w:rsidRPr="00037C61">
        <w:rPr>
          <w:b/>
          <w:bCs/>
          <w:lang w:val="en-GB"/>
        </w:rPr>
        <w:t>the average length of stay in the border region decreased from 2.78 days to 2</w:t>
      </w:r>
      <w:r w:rsidR="00C01C72" w:rsidRPr="00037C61">
        <w:rPr>
          <w:b/>
          <w:bCs/>
          <w:lang w:val="en-GB"/>
        </w:rPr>
        <w:t>.</w:t>
      </w:r>
      <w:r w:rsidRPr="00037C61">
        <w:rPr>
          <w:b/>
          <w:bCs/>
          <w:lang w:val="en-GB"/>
        </w:rPr>
        <w:t>41 days</w:t>
      </w:r>
      <w:r w:rsidRPr="00037C61">
        <w:rPr>
          <w:lang w:val="en-GB"/>
        </w:rPr>
        <w:t xml:space="preserve">. In the counties from Hungary the duration of the stay registers a higher value (2.47 days) and is close to the national one (Hungary, 2018: 2.5 days), while in the counties from Romania there is an average duration of 2.35 days, </w:t>
      </w:r>
      <w:r w:rsidR="00D47B7E" w:rsidRPr="00037C61">
        <w:rPr>
          <w:lang w:val="en-GB"/>
        </w:rPr>
        <w:t xml:space="preserve">slightly </w:t>
      </w:r>
      <w:r w:rsidRPr="00037C61">
        <w:rPr>
          <w:lang w:val="en-GB"/>
        </w:rPr>
        <w:t xml:space="preserve">above the national level (Romania, 2018: 2.2 days).                        </w:t>
      </w:r>
    </w:p>
    <w:p w14:paraId="5EA76ADD" w14:textId="4BAC6032" w:rsidR="00542215" w:rsidRPr="00037C61" w:rsidRDefault="6446A0E8" w:rsidP="002A4322">
      <w:pPr>
        <w:rPr>
          <w:lang w:val="en-GB"/>
        </w:rPr>
      </w:pPr>
      <w:r w:rsidRPr="00037C61">
        <w:rPr>
          <w:lang w:val="en-GB"/>
        </w:rPr>
        <w:t xml:space="preserve">Champions of </w:t>
      </w:r>
      <w:r w:rsidR="00866764" w:rsidRPr="00037C61">
        <w:rPr>
          <w:lang w:val="en-GB"/>
        </w:rPr>
        <w:t xml:space="preserve">the </w:t>
      </w:r>
      <w:r w:rsidRPr="00037C61">
        <w:rPr>
          <w:lang w:val="en-GB"/>
        </w:rPr>
        <w:t>tourist average length of stay in 2018 are Hajdú-Bihar and Bihor with 2.8 days/tourist, who also have the most accommodation places (1.53 million nights each), followed by Békés with 2.7 days which shows a higher attractiveness</w:t>
      </w:r>
      <w:r w:rsidR="00C01C72" w:rsidRPr="00037C61">
        <w:rPr>
          <w:lang w:val="en-GB"/>
        </w:rPr>
        <w:t>.</w:t>
      </w:r>
      <w:r w:rsidRPr="00037C61">
        <w:rPr>
          <w:lang w:val="en-GB"/>
        </w:rPr>
        <w:t xml:space="preserve"> </w:t>
      </w:r>
      <w:r w:rsidR="006E131C" w:rsidRPr="00037C61">
        <w:rPr>
          <w:lang w:val="en-GB"/>
        </w:rPr>
        <w:t xml:space="preserve">The </w:t>
      </w:r>
      <w:r w:rsidRPr="00037C61">
        <w:rPr>
          <w:lang w:val="en-GB"/>
        </w:rPr>
        <w:t>smallest tourist average length of stay is registered in Satu-Mare, which has the lowest number of accommodation spaces, but not inferior in terms of tourist attractions than the other counties. There can be different explanations regarding the short duration of the average length of stay, from the fragmentation of the vacation or the allocation of weekends for nature outings / city breaks, participation in concerts</w:t>
      </w:r>
      <w:r w:rsidR="00866764" w:rsidRPr="00037C61">
        <w:rPr>
          <w:lang w:val="en-GB"/>
        </w:rPr>
        <w:t xml:space="preserve">, </w:t>
      </w:r>
      <w:r w:rsidR="39D8910C" w:rsidRPr="00037C61">
        <w:rPr>
          <w:lang w:val="en-GB"/>
        </w:rPr>
        <w:t>cultural events</w:t>
      </w:r>
      <w:r w:rsidRPr="00037C61">
        <w:rPr>
          <w:lang w:val="en-GB"/>
        </w:rPr>
        <w:t>, but there is still large room for improvement.</w:t>
      </w:r>
    </w:p>
    <w:p w14:paraId="5AEDBA8D" w14:textId="541C12DB" w:rsidR="00662F53" w:rsidRPr="00037C61" w:rsidRDefault="00662F53" w:rsidP="00662F53">
      <w:pPr>
        <w:pStyle w:val="Caption"/>
        <w:keepNext/>
        <w:jc w:val="left"/>
        <w:rPr>
          <w:lang w:val="en-GB"/>
        </w:rPr>
      </w:pPr>
      <w:bookmarkStart w:id="373" w:name="_Toc58237646"/>
      <w:r w:rsidRPr="00037C61">
        <w:rPr>
          <w:lang w:val="en-GB"/>
        </w:rPr>
        <w:t xml:space="preserve">Table </w:t>
      </w:r>
      <w:r w:rsidR="00AB694E" w:rsidRPr="00037C61">
        <w:rPr>
          <w:lang w:val="en-GB"/>
        </w:rPr>
        <w:fldChar w:fldCharType="begin"/>
      </w:r>
      <w:r w:rsidR="00AB694E" w:rsidRPr="00037C61">
        <w:rPr>
          <w:lang w:val="en-GB"/>
        </w:rPr>
        <w:instrText xml:space="preserve"> SEQ Table \* ARABIC </w:instrText>
      </w:r>
      <w:r w:rsidR="00AB694E" w:rsidRPr="00037C61">
        <w:rPr>
          <w:lang w:val="en-GB"/>
        </w:rPr>
        <w:fldChar w:fldCharType="separate"/>
      </w:r>
      <w:r w:rsidR="005A7BD8">
        <w:rPr>
          <w:noProof/>
          <w:lang w:val="en-GB"/>
        </w:rPr>
        <w:t>24</w:t>
      </w:r>
      <w:r w:rsidR="00AB694E" w:rsidRPr="00037C61">
        <w:rPr>
          <w:noProof/>
          <w:lang w:val="en-GB"/>
        </w:rPr>
        <w:fldChar w:fldCharType="end"/>
      </w:r>
      <w:r w:rsidRPr="00037C61">
        <w:rPr>
          <w:lang w:val="en-GB"/>
        </w:rPr>
        <w:t xml:space="preserve"> - Average length of stay (nights) in Romania area, Hungary area, RO-HU area</w:t>
      </w:r>
      <w:bookmarkEnd w:id="373"/>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960"/>
        <w:gridCol w:w="694"/>
        <w:gridCol w:w="709"/>
        <w:gridCol w:w="663"/>
        <w:gridCol w:w="663"/>
        <w:gridCol w:w="709"/>
        <w:gridCol w:w="663"/>
        <w:gridCol w:w="663"/>
        <w:gridCol w:w="709"/>
        <w:gridCol w:w="663"/>
        <w:gridCol w:w="663"/>
      </w:tblGrid>
      <w:tr w:rsidR="0085507E" w:rsidRPr="00037C61" w14:paraId="162DDBB5" w14:textId="77777777" w:rsidTr="00662F53">
        <w:trPr>
          <w:trHeight w:val="300"/>
        </w:trPr>
        <w:tc>
          <w:tcPr>
            <w:tcW w:w="1460" w:type="dxa"/>
            <w:shd w:val="clear" w:color="auto" w:fill="002060"/>
            <w:hideMark/>
          </w:tcPr>
          <w:p w14:paraId="7D491FF6" w14:textId="77777777" w:rsidR="0085507E" w:rsidRPr="00037C61" w:rsidRDefault="0085507E" w:rsidP="0085507E">
            <w:pPr>
              <w:spacing w:after="0" w:line="240" w:lineRule="auto"/>
              <w:jc w:val="left"/>
              <w:rPr>
                <w:b/>
                <w:color w:val="FFFFFF" w:themeColor="background1"/>
                <w:lang w:val="en-GB"/>
              </w:rPr>
            </w:pPr>
            <w:r w:rsidRPr="00037C61">
              <w:rPr>
                <w:b/>
                <w:color w:val="FFFFFF" w:themeColor="background1"/>
                <w:lang w:val="en-GB"/>
              </w:rPr>
              <w:t>Region</w:t>
            </w:r>
          </w:p>
        </w:tc>
        <w:tc>
          <w:tcPr>
            <w:tcW w:w="960" w:type="dxa"/>
            <w:shd w:val="clear" w:color="auto" w:fill="002060"/>
            <w:hideMark/>
          </w:tcPr>
          <w:p w14:paraId="795C1900" w14:textId="77777777" w:rsidR="0085507E" w:rsidRPr="00037C61" w:rsidRDefault="0085507E" w:rsidP="0085507E">
            <w:pPr>
              <w:spacing w:after="0" w:line="240" w:lineRule="auto"/>
              <w:jc w:val="left"/>
              <w:rPr>
                <w:b/>
                <w:color w:val="FFFFFF" w:themeColor="background1"/>
                <w:lang w:val="en-GB"/>
              </w:rPr>
            </w:pPr>
            <w:r w:rsidRPr="00037C61">
              <w:rPr>
                <w:b/>
                <w:color w:val="FFFFFF" w:themeColor="background1"/>
                <w:lang w:val="en-GB"/>
              </w:rPr>
              <w:t>unit</w:t>
            </w:r>
          </w:p>
        </w:tc>
        <w:tc>
          <w:tcPr>
            <w:tcW w:w="694" w:type="dxa"/>
            <w:shd w:val="clear" w:color="auto" w:fill="002060"/>
            <w:hideMark/>
          </w:tcPr>
          <w:p w14:paraId="5D37FFEC"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2009</w:t>
            </w:r>
          </w:p>
        </w:tc>
        <w:tc>
          <w:tcPr>
            <w:tcW w:w="709" w:type="dxa"/>
            <w:shd w:val="clear" w:color="auto" w:fill="002060"/>
            <w:hideMark/>
          </w:tcPr>
          <w:p w14:paraId="4861E25E"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2010</w:t>
            </w:r>
          </w:p>
        </w:tc>
        <w:tc>
          <w:tcPr>
            <w:tcW w:w="663" w:type="dxa"/>
            <w:shd w:val="clear" w:color="auto" w:fill="002060"/>
            <w:hideMark/>
          </w:tcPr>
          <w:p w14:paraId="6E35FD9F"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2011</w:t>
            </w:r>
          </w:p>
        </w:tc>
        <w:tc>
          <w:tcPr>
            <w:tcW w:w="663" w:type="dxa"/>
            <w:shd w:val="clear" w:color="auto" w:fill="002060"/>
            <w:hideMark/>
          </w:tcPr>
          <w:p w14:paraId="284FB5EC"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2012</w:t>
            </w:r>
          </w:p>
        </w:tc>
        <w:tc>
          <w:tcPr>
            <w:tcW w:w="709" w:type="dxa"/>
            <w:shd w:val="clear" w:color="auto" w:fill="002060"/>
            <w:hideMark/>
          </w:tcPr>
          <w:p w14:paraId="1502EDA3"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2013</w:t>
            </w:r>
          </w:p>
        </w:tc>
        <w:tc>
          <w:tcPr>
            <w:tcW w:w="663" w:type="dxa"/>
            <w:shd w:val="clear" w:color="auto" w:fill="002060"/>
            <w:hideMark/>
          </w:tcPr>
          <w:p w14:paraId="2C6343F5"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2014</w:t>
            </w:r>
          </w:p>
        </w:tc>
        <w:tc>
          <w:tcPr>
            <w:tcW w:w="663" w:type="dxa"/>
            <w:shd w:val="clear" w:color="auto" w:fill="002060"/>
            <w:hideMark/>
          </w:tcPr>
          <w:p w14:paraId="7732DB40"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2015</w:t>
            </w:r>
          </w:p>
        </w:tc>
        <w:tc>
          <w:tcPr>
            <w:tcW w:w="709" w:type="dxa"/>
            <w:shd w:val="clear" w:color="auto" w:fill="002060"/>
            <w:hideMark/>
          </w:tcPr>
          <w:p w14:paraId="751230DD"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2016</w:t>
            </w:r>
          </w:p>
        </w:tc>
        <w:tc>
          <w:tcPr>
            <w:tcW w:w="663" w:type="dxa"/>
            <w:shd w:val="clear" w:color="auto" w:fill="002060"/>
            <w:hideMark/>
          </w:tcPr>
          <w:p w14:paraId="55E98FFC"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2017</w:t>
            </w:r>
          </w:p>
        </w:tc>
        <w:tc>
          <w:tcPr>
            <w:tcW w:w="663" w:type="dxa"/>
            <w:shd w:val="clear" w:color="auto" w:fill="002060"/>
            <w:hideMark/>
          </w:tcPr>
          <w:p w14:paraId="7C45A091" w14:textId="77777777" w:rsidR="0085507E" w:rsidRPr="00037C61" w:rsidRDefault="0085507E" w:rsidP="0085507E">
            <w:pPr>
              <w:spacing w:after="0" w:line="240" w:lineRule="auto"/>
              <w:jc w:val="center"/>
              <w:rPr>
                <w:b/>
                <w:color w:val="FFFFFF" w:themeColor="background1"/>
                <w:lang w:val="en-GB"/>
              </w:rPr>
            </w:pPr>
            <w:r w:rsidRPr="00037C61">
              <w:rPr>
                <w:b/>
                <w:color w:val="FFFFFF" w:themeColor="background1"/>
                <w:lang w:val="en-GB"/>
              </w:rPr>
              <w:t>2018</w:t>
            </w:r>
          </w:p>
        </w:tc>
      </w:tr>
      <w:tr w:rsidR="0085507E" w:rsidRPr="00037C61" w14:paraId="19851B66" w14:textId="77777777" w:rsidTr="00662F53">
        <w:trPr>
          <w:trHeight w:val="300"/>
        </w:trPr>
        <w:tc>
          <w:tcPr>
            <w:tcW w:w="1460" w:type="dxa"/>
            <w:shd w:val="clear" w:color="auto" w:fill="auto"/>
            <w:hideMark/>
          </w:tcPr>
          <w:p w14:paraId="78525A22" w14:textId="77777777" w:rsidR="0085507E" w:rsidRPr="00037C61" w:rsidRDefault="0085507E" w:rsidP="0085507E">
            <w:pPr>
              <w:spacing w:after="0" w:line="240" w:lineRule="auto"/>
              <w:jc w:val="center"/>
              <w:rPr>
                <w:b/>
                <w:color w:val="000000"/>
                <w:sz w:val="20"/>
                <w:lang w:val="en-GB"/>
              </w:rPr>
            </w:pPr>
          </w:p>
        </w:tc>
        <w:tc>
          <w:tcPr>
            <w:tcW w:w="960" w:type="dxa"/>
            <w:shd w:val="clear" w:color="auto" w:fill="auto"/>
            <w:hideMark/>
          </w:tcPr>
          <w:p w14:paraId="0A58D114" w14:textId="77777777" w:rsidR="0085507E" w:rsidRPr="00037C61" w:rsidRDefault="0085507E" w:rsidP="0085507E">
            <w:pPr>
              <w:spacing w:after="0" w:line="240" w:lineRule="auto"/>
              <w:jc w:val="left"/>
              <w:rPr>
                <w:sz w:val="20"/>
                <w:lang w:val="en-GB"/>
              </w:rPr>
            </w:pPr>
          </w:p>
        </w:tc>
        <w:tc>
          <w:tcPr>
            <w:tcW w:w="694" w:type="dxa"/>
            <w:shd w:val="clear" w:color="auto" w:fill="auto"/>
            <w:hideMark/>
          </w:tcPr>
          <w:p w14:paraId="0C599029" w14:textId="77777777" w:rsidR="0085507E" w:rsidRPr="00037C61" w:rsidRDefault="0085507E" w:rsidP="0085507E">
            <w:pPr>
              <w:spacing w:after="0" w:line="240" w:lineRule="auto"/>
              <w:jc w:val="left"/>
              <w:rPr>
                <w:sz w:val="20"/>
                <w:lang w:val="en-GB"/>
              </w:rPr>
            </w:pPr>
          </w:p>
        </w:tc>
        <w:tc>
          <w:tcPr>
            <w:tcW w:w="709" w:type="dxa"/>
            <w:shd w:val="clear" w:color="auto" w:fill="auto"/>
            <w:hideMark/>
          </w:tcPr>
          <w:p w14:paraId="62FC2898" w14:textId="77777777" w:rsidR="0085507E" w:rsidRPr="00037C61" w:rsidRDefault="0085507E" w:rsidP="0085507E">
            <w:pPr>
              <w:spacing w:after="0" w:line="240" w:lineRule="auto"/>
              <w:jc w:val="left"/>
              <w:rPr>
                <w:sz w:val="20"/>
                <w:lang w:val="en-GB"/>
              </w:rPr>
            </w:pPr>
          </w:p>
        </w:tc>
        <w:tc>
          <w:tcPr>
            <w:tcW w:w="663" w:type="dxa"/>
            <w:shd w:val="clear" w:color="auto" w:fill="auto"/>
            <w:hideMark/>
          </w:tcPr>
          <w:p w14:paraId="7EAE35CB" w14:textId="77777777" w:rsidR="0085507E" w:rsidRPr="00037C61" w:rsidRDefault="0085507E" w:rsidP="0085507E">
            <w:pPr>
              <w:spacing w:after="0" w:line="240" w:lineRule="auto"/>
              <w:jc w:val="left"/>
              <w:rPr>
                <w:sz w:val="20"/>
                <w:lang w:val="en-GB"/>
              </w:rPr>
            </w:pPr>
          </w:p>
        </w:tc>
        <w:tc>
          <w:tcPr>
            <w:tcW w:w="663" w:type="dxa"/>
            <w:shd w:val="clear" w:color="auto" w:fill="auto"/>
            <w:hideMark/>
          </w:tcPr>
          <w:p w14:paraId="7C52A022" w14:textId="77777777" w:rsidR="0085507E" w:rsidRPr="00037C61" w:rsidRDefault="0085507E" w:rsidP="0085507E">
            <w:pPr>
              <w:spacing w:after="0" w:line="240" w:lineRule="auto"/>
              <w:jc w:val="left"/>
              <w:rPr>
                <w:sz w:val="20"/>
                <w:lang w:val="en-GB"/>
              </w:rPr>
            </w:pPr>
          </w:p>
        </w:tc>
        <w:tc>
          <w:tcPr>
            <w:tcW w:w="709" w:type="dxa"/>
            <w:shd w:val="clear" w:color="auto" w:fill="auto"/>
            <w:hideMark/>
          </w:tcPr>
          <w:p w14:paraId="08D62E11" w14:textId="77777777" w:rsidR="0085507E" w:rsidRPr="00037C61" w:rsidRDefault="0085507E" w:rsidP="0085507E">
            <w:pPr>
              <w:spacing w:after="0" w:line="240" w:lineRule="auto"/>
              <w:jc w:val="left"/>
              <w:rPr>
                <w:sz w:val="20"/>
                <w:lang w:val="en-GB"/>
              </w:rPr>
            </w:pPr>
          </w:p>
        </w:tc>
        <w:tc>
          <w:tcPr>
            <w:tcW w:w="663" w:type="dxa"/>
            <w:shd w:val="clear" w:color="auto" w:fill="auto"/>
            <w:hideMark/>
          </w:tcPr>
          <w:p w14:paraId="1BB20371" w14:textId="77777777" w:rsidR="0085507E" w:rsidRPr="00037C61" w:rsidRDefault="0085507E" w:rsidP="0085507E">
            <w:pPr>
              <w:spacing w:after="0" w:line="240" w:lineRule="auto"/>
              <w:jc w:val="left"/>
              <w:rPr>
                <w:sz w:val="20"/>
                <w:lang w:val="en-GB"/>
              </w:rPr>
            </w:pPr>
          </w:p>
        </w:tc>
        <w:tc>
          <w:tcPr>
            <w:tcW w:w="663" w:type="dxa"/>
            <w:shd w:val="clear" w:color="auto" w:fill="auto"/>
            <w:hideMark/>
          </w:tcPr>
          <w:p w14:paraId="173AC18C" w14:textId="77777777" w:rsidR="0085507E" w:rsidRPr="00037C61" w:rsidRDefault="0085507E" w:rsidP="0085507E">
            <w:pPr>
              <w:spacing w:after="0" w:line="240" w:lineRule="auto"/>
              <w:jc w:val="left"/>
              <w:rPr>
                <w:sz w:val="20"/>
                <w:lang w:val="en-GB"/>
              </w:rPr>
            </w:pPr>
          </w:p>
        </w:tc>
        <w:tc>
          <w:tcPr>
            <w:tcW w:w="709" w:type="dxa"/>
            <w:shd w:val="clear" w:color="auto" w:fill="auto"/>
            <w:hideMark/>
          </w:tcPr>
          <w:p w14:paraId="441FD3E1" w14:textId="77777777" w:rsidR="0085507E" w:rsidRPr="00037C61" w:rsidRDefault="0085507E" w:rsidP="0085507E">
            <w:pPr>
              <w:spacing w:after="0" w:line="240" w:lineRule="auto"/>
              <w:jc w:val="left"/>
              <w:rPr>
                <w:sz w:val="20"/>
                <w:lang w:val="en-GB"/>
              </w:rPr>
            </w:pPr>
          </w:p>
        </w:tc>
        <w:tc>
          <w:tcPr>
            <w:tcW w:w="663" w:type="dxa"/>
            <w:shd w:val="clear" w:color="auto" w:fill="auto"/>
            <w:hideMark/>
          </w:tcPr>
          <w:p w14:paraId="1410252D" w14:textId="77777777" w:rsidR="0085507E" w:rsidRPr="00037C61" w:rsidRDefault="0085507E" w:rsidP="0085507E">
            <w:pPr>
              <w:spacing w:after="0" w:line="240" w:lineRule="auto"/>
              <w:jc w:val="left"/>
              <w:rPr>
                <w:sz w:val="20"/>
                <w:lang w:val="en-GB"/>
              </w:rPr>
            </w:pPr>
          </w:p>
        </w:tc>
        <w:tc>
          <w:tcPr>
            <w:tcW w:w="663" w:type="dxa"/>
            <w:shd w:val="clear" w:color="auto" w:fill="auto"/>
            <w:hideMark/>
          </w:tcPr>
          <w:p w14:paraId="4A6ED8EF" w14:textId="77777777" w:rsidR="0085507E" w:rsidRPr="00037C61" w:rsidRDefault="0085507E" w:rsidP="0085507E">
            <w:pPr>
              <w:spacing w:after="0" w:line="240" w:lineRule="auto"/>
              <w:jc w:val="left"/>
              <w:rPr>
                <w:sz w:val="20"/>
                <w:lang w:val="en-GB"/>
              </w:rPr>
            </w:pPr>
          </w:p>
        </w:tc>
      </w:tr>
      <w:tr w:rsidR="0085507E" w:rsidRPr="00037C61" w14:paraId="738E9883" w14:textId="77777777" w:rsidTr="00662F53">
        <w:trPr>
          <w:trHeight w:val="300"/>
        </w:trPr>
        <w:tc>
          <w:tcPr>
            <w:tcW w:w="1460" w:type="dxa"/>
            <w:shd w:val="clear" w:color="auto" w:fill="FBD1D2" w:themeFill="accent3" w:themeFillTint="33"/>
            <w:hideMark/>
          </w:tcPr>
          <w:p w14:paraId="2278D1FA"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Hajdú-Bihar</w:t>
            </w:r>
          </w:p>
        </w:tc>
        <w:tc>
          <w:tcPr>
            <w:tcW w:w="960" w:type="dxa"/>
            <w:shd w:val="clear" w:color="auto" w:fill="FBD1D2" w:themeFill="accent3" w:themeFillTint="33"/>
            <w:hideMark/>
          </w:tcPr>
          <w:p w14:paraId="101C26F6"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FBD1D2" w:themeFill="accent3" w:themeFillTint="33"/>
            <w:hideMark/>
          </w:tcPr>
          <w:p w14:paraId="230F5541"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3.1</w:t>
            </w:r>
          </w:p>
        </w:tc>
        <w:tc>
          <w:tcPr>
            <w:tcW w:w="709" w:type="dxa"/>
            <w:shd w:val="clear" w:color="auto" w:fill="FBD1D2" w:themeFill="accent3" w:themeFillTint="33"/>
            <w:hideMark/>
          </w:tcPr>
          <w:p w14:paraId="1E4666B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3.3</w:t>
            </w:r>
          </w:p>
        </w:tc>
        <w:tc>
          <w:tcPr>
            <w:tcW w:w="663" w:type="dxa"/>
            <w:shd w:val="clear" w:color="auto" w:fill="FBD1D2" w:themeFill="accent3" w:themeFillTint="33"/>
            <w:hideMark/>
          </w:tcPr>
          <w:p w14:paraId="0DDE8A77"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3.1</w:t>
            </w:r>
          </w:p>
        </w:tc>
        <w:tc>
          <w:tcPr>
            <w:tcW w:w="663" w:type="dxa"/>
            <w:shd w:val="clear" w:color="auto" w:fill="FBD1D2" w:themeFill="accent3" w:themeFillTint="33"/>
            <w:hideMark/>
          </w:tcPr>
          <w:p w14:paraId="2D72BBD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3.2</w:t>
            </w:r>
          </w:p>
        </w:tc>
        <w:tc>
          <w:tcPr>
            <w:tcW w:w="709" w:type="dxa"/>
            <w:shd w:val="clear" w:color="auto" w:fill="FBD1D2" w:themeFill="accent3" w:themeFillTint="33"/>
            <w:hideMark/>
          </w:tcPr>
          <w:p w14:paraId="259DF5D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3.1</w:t>
            </w:r>
          </w:p>
        </w:tc>
        <w:tc>
          <w:tcPr>
            <w:tcW w:w="663" w:type="dxa"/>
            <w:shd w:val="clear" w:color="auto" w:fill="FBD1D2" w:themeFill="accent3" w:themeFillTint="33"/>
            <w:hideMark/>
          </w:tcPr>
          <w:p w14:paraId="37EBEEF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w:t>
            </w:r>
          </w:p>
        </w:tc>
        <w:tc>
          <w:tcPr>
            <w:tcW w:w="663" w:type="dxa"/>
            <w:shd w:val="clear" w:color="auto" w:fill="FBD1D2" w:themeFill="accent3" w:themeFillTint="33"/>
            <w:hideMark/>
          </w:tcPr>
          <w:p w14:paraId="713AB791"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2.9</w:t>
            </w:r>
          </w:p>
        </w:tc>
        <w:tc>
          <w:tcPr>
            <w:tcW w:w="709" w:type="dxa"/>
            <w:shd w:val="clear" w:color="auto" w:fill="FBD1D2" w:themeFill="accent3" w:themeFillTint="33"/>
            <w:hideMark/>
          </w:tcPr>
          <w:p w14:paraId="74A126F7"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2.9</w:t>
            </w:r>
          </w:p>
        </w:tc>
        <w:tc>
          <w:tcPr>
            <w:tcW w:w="663" w:type="dxa"/>
            <w:shd w:val="clear" w:color="auto" w:fill="FBD1D2" w:themeFill="accent3" w:themeFillTint="33"/>
            <w:hideMark/>
          </w:tcPr>
          <w:p w14:paraId="6560C425"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2.8</w:t>
            </w:r>
          </w:p>
        </w:tc>
        <w:tc>
          <w:tcPr>
            <w:tcW w:w="663" w:type="dxa"/>
            <w:shd w:val="clear" w:color="auto" w:fill="FBD1D2" w:themeFill="accent3" w:themeFillTint="33"/>
            <w:hideMark/>
          </w:tcPr>
          <w:p w14:paraId="4C51A75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2.8</w:t>
            </w:r>
          </w:p>
        </w:tc>
      </w:tr>
      <w:tr w:rsidR="0085507E" w:rsidRPr="00037C61" w14:paraId="11622207" w14:textId="77777777" w:rsidTr="00662F53">
        <w:trPr>
          <w:trHeight w:val="300"/>
        </w:trPr>
        <w:tc>
          <w:tcPr>
            <w:tcW w:w="1460" w:type="dxa"/>
            <w:shd w:val="clear" w:color="auto" w:fill="FBD1D2" w:themeFill="accent3" w:themeFillTint="33"/>
            <w:noWrap/>
            <w:vAlign w:val="bottom"/>
            <w:hideMark/>
          </w:tcPr>
          <w:p w14:paraId="407DD1DA"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 xml:space="preserve">Sz-Sz-Bereg </w:t>
            </w:r>
          </w:p>
        </w:tc>
        <w:tc>
          <w:tcPr>
            <w:tcW w:w="960" w:type="dxa"/>
            <w:shd w:val="clear" w:color="auto" w:fill="FBD1D2" w:themeFill="accent3" w:themeFillTint="33"/>
            <w:hideMark/>
          </w:tcPr>
          <w:p w14:paraId="35E86034"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FBD1D2" w:themeFill="accent3" w:themeFillTint="33"/>
            <w:hideMark/>
          </w:tcPr>
          <w:p w14:paraId="2EBF73B9"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c>
          <w:tcPr>
            <w:tcW w:w="709" w:type="dxa"/>
            <w:shd w:val="clear" w:color="auto" w:fill="FBD1D2" w:themeFill="accent3" w:themeFillTint="33"/>
            <w:hideMark/>
          </w:tcPr>
          <w:p w14:paraId="01C748F7"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663" w:type="dxa"/>
            <w:shd w:val="clear" w:color="auto" w:fill="FBD1D2" w:themeFill="accent3" w:themeFillTint="33"/>
            <w:hideMark/>
          </w:tcPr>
          <w:p w14:paraId="5546ED8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663" w:type="dxa"/>
            <w:shd w:val="clear" w:color="auto" w:fill="FBD1D2" w:themeFill="accent3" w:themeFillTint="33"/>
            <w:hideMark/>
          </w:tcPr>
          <w:p w14:paraId="1D12CD3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709" w:type="dxa"/>
            <w:shd w:val="clear" w:color="auto" w:fill="FBD1D2" w:themeFill="accent3" w:themeFillTint="33"/>
            <w:hideMark/>
          </w:tcPr>
          <w:p w14:paraId="7558069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663" w:type="dxa"/>
            <w:shd w:val="clear" w:color="auto" w:fill="FBD1D2" w:themeFill="accent3" w:themeFillTint="33"/>
            <w:hideMark/>
          </w:tcPr>
          <w:p w14:paraId="4D024EA9"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663" w:type="dxa"/>
            <w:shd w:val="clear" w:color="auto" w:fill="FBD1D2" w:themeFill="accent3" w:themeFillTint="33"/>
            <w:hideMark/>
          </w:tcPr>
          <w:p w14:paraId="6C908807"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709" w:type="dxa"/>
            <w:shd w:val="clear" w:color="auto" w:fill="FBD1D2" w:themeFill="accent3" w:themeFillTint="33"/>
            <w:hideMark/>
          </w:tcPr>
          <w:p w14:paraId="7FBF5E3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c>
          <w:tcPr>
            <w:tcW w:w="663" w:type="dxa"/>
            <w:shd w:val="clear" w:color="auto" w:fill="FBD1D2" w:themeFill="accent3" w:themeFillTint="33"/>
            <w:hideMark/>
          </w:tcPr>
          <w:p w14:paraId="6B8D5C2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c>
          <w:tcPr>
            <w:tcW w:w="663" w:type="dxa"/>
            <w:shd w:val="clear" w:color="auto" w:fill="FBD1D2" w:themeFill="accent3" w:themeFillTint="33"/>
            <w:hideMark/>
          </w:tcPr>
          <w:p w14:paraId="29147891"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r>
      <w:tr w:rsidR="0085507E" w:rsidRPr="00037C61" w14:paraId="31B7B1B1" w14:textId="77777777" w:rsidTr="00662F53">
        <w:trPr>
          <w:trHeight w:val="300"/>
        </w:trPr>
        <w:tc>
          <w:tcPr>
            <w:tcW w:w="1460" w:type="dxa"/>
            <w:shd w:val="clear" w:color="auto" w:fill="FBD1D2" w:themeFill="accent3" w:themeFillTint="33"/>
            <w:hideMark/>
          </w:tcPr>
          <w:p w14:paraId="7CC027BA"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Békés</w:t>
            </w:r>
          </w:p>
        </w:tc>
        <w:tc>
          <w:tcPr>
            <w:tcW w:w="960" w:type="dxa"/>
            <w:shd w:val="clear" w:color="auto" w:fill="FBD1D2" w:themeFill="accent3" w:themeFillTint="33"/>
            <w:hideMark/>
          </w:tcPr>
          <w:p w14:paraId="72C10BD2"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FBD1D2" w:themeFill="accent3" w:themeFillTint="33"/>
            <w:hideMark/>
          </w:tcPr>
          <w:p w14:paraId="72EF5DDD"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2.9</w:t>
            </w:r>
          </w:p>
        </w:tc>
        <w:tc>
          <w:tcPr>
            <w:tcW w:w="709" w:type="dxa"/>
            <w:shd w:val="clear" w:color="auto" w:fill="FBD1D2" w:themeFill="accent3" w:themeFillTint="33"/>
            <w:hideMark/>
          </w:tcPr>
          <w:p w14:paraId="63F0DAB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3.3</w:t>
            </w:r>
          </w:p>
        </w:tc>
        <w:tc>
          <w:tcPr>
            <w:tcW w:w="663" w:type="dxa"/>
            <w:shd w:val="clear" w:color="auto" w:fill="FBD1D2" w:themeFill="accent3" w:themeFillTint="33"/>
            <w:hideMark/>
          </w:tcPr>
          <w:p w14:paraId="2A04CE25"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3.1</w:t>
            </w:r>
          </w:p>
        </w:tc>
        <w:tc>
          <w:tcPr>
            <w:tcW w:w="663" w:type="dxa"/>
            <w:shd w:val="clear" w:color="auto" w:fill="FBD1D2" w:themeFill="accent3" w:themeFillTint="33"/>
            <w:hideMark/>
          </w:tcPr>
          <w:p w14:paraId="1565257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3.1</w:t>
            </w:r>
          </w:p>
        </w:tc>
        <w:tc>
          <w:tcPr>
            <w:tcW w:w="709" w:type="dxa"/>
            <w:shd w:val="clear" w:color="auto" w:fill="FBD1D2" w:themeFill="accent3" w:themeFillTint="33"/>
            <w:hideMark/>
          </w:tcPr>
          <w:p w14:paraId="645B9076"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3.1</w:t>
            </w:r>
          </w:p>
        </w:tc>
        <w:tc>
          <w:tcPr>
            <w:tcW w:w="663" w:type="dxa"/>
            <w:shd w:val="clear" w:color="auto" w:fill="FBD1D2" w:themeFill="accent3" w:themeFillTint="33"/>
            <w:hideMark/>
          </w:tcPr>
          <w:p w14:paraId="27C1E239"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2.9</w:t>
            </w:r>
          </w:p>
        </w:tc>
        <w:tc>
          <w:tcPr>
            <w:tcW w:w="663" w:type="dxa"/>
            <w:shd w:val="clear" w:color="auto" w:fill="FBD1D2" w:themeFill="accent3" w:themeFillTint="33"/>
            <w:hideMark/>
          </w:tcPr>
          <w:p w14:paraId="5410790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w:t>
            </w:r>
          </w:p>
        </w:tc>
        <w:tc>
          <w:tcPr>
            <w:tcW w:w="709" w:type="dxa"/>
            <w:shd w:val="clear" w:color="auto" w:fill="FBD1D2" w:themeFill="accent3" w:themeFillTint="33"/>
            <w:hideMark/>
          </w:tcPr>
          <w:p w14:paraId="16FEDC1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w:t>
            </w:r>
          </w:p>
        </w:tc>
        <w:tc>
          <w:tcPr>
            <w:tcW w:w="663" w:type="dxa"/>
            <w:shd w:val="clear" w:color="auto" w:fill="FBD1D2" w:themeFill="accent3" w:themeFillTint="33"/>
            <w:hideMark/>
          </w:tcPr>
          <w:p w14:paraId="4A4EA8E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w:t>
            </w:r>
          </w:p>
        </w:tc>
        <w:tc>
          <w:tcPr>
            <w:tcW w:w="663" w:type="dxa"/>
            <w:shd w:val="clear" w:color="auto" w:fill="FBD1D2" w:themeFill="accent3" w:themeFillTint="33"/>
            <w:hideMark/>
          </w:tcPr>
          <w:p w14:paraId="46B1E55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w:t>
            </w:r>
          </w:p>
        </w:tc>
      </w:tr>
      <w:tr w:rsidR="0085507E" w:rsidRPr="00037C61" w14:paraId="2A73357B" w14:textId="77777777" w:rsidTr="00662F53">
        <w:trPr>
          <w:trHeight w:val="300"/>
        </w:trPr>
        <w:tc>
          <w:tcPr>
            <w:tcW w:w="1460" w:type="dxa"/>
            <w:shd w:val="clear" w:color="auto" w:fill="FBD1D2" w:themeFill="accent3" w:themeFillTint="33"/>
            <w:hideMark/>
          </w:tcPr>
          <w:p w14:paraId="6F289589" w14:textId="41CC7144" w:rsidR="0085507E" w:rsidRPr="00037C61" w:rsidRDefault="6446A0E8" w:rsidP="6446A0E8">
            <w:pPr>
              <w:spacing w:after="0" w:line="240" w:lineRule="auto"/>
              <w:jc w:val="left"/>
              <w:rPr>
                <w:color w:val="000000"/>
                <w:sz w:val="20"/>
                <w:szCs w:val="20"/>
                <w:lang w:val="en-GB"/>
              </w:rPr>
            </w:pPr>
            <w:r w:rsidRPr="00037C61">
              <w:rPr>
                <w:color w:val="000000" w:themeColor="text1"/>
                <w:sz w:val="20"/>
                <w:szCs w:val="20"/>
                <w:lang w:val="en-GB"/>
              </w:rPr>
              <w:t>Csongrád-Csanád</w:t>
            </w:r>
          </w:p>
        </w:tc>
        <w:tc>
          <w:tcPr>
            <w:tcW w:w="960" w:type="dxa"/>
            <w:shd w:val="clear" w:color="auto" w:fill="FBD1D2" w:themeFill="accent3" w:themeFillTint="33"/>
            <w:hideMark/>
          </w:tcPr>
          <w:p w14:paraId="02FD987E"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FBD1D2" w:themeFill="accent3" w:themeFillTint="33"/>
            <w:hideMark/>
          </w:tcPr>
          <w:p w14:paraId="55CFC6A8"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c>
          <w:tcPr>
            <w:tcW w:w="709" w:type="dxa"/>
            <w:shd w:val="clear" w:color="auto" w:fill="FBD1D2" w:themeFill="accent3" w:themeFillTint="33"/>
            <w:hideMark/>
          </w:tcPr>
          <w:p w14:paraId="1F04ED4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663" w:type="dxa"/>
            <w:shd w:val="clear" w:color="auto" w:fill="FBD1D2" w:themeFill="accent3" w:themeFillTint="33"/>
            <w:hideMark/>
          </w:tcPr>
          <w:p w14:paraId="1B10A4C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c>
          <w:tcPr>
            <w:tcW w:w="663" w:type="dxa"/>
            <w:shd w:val="clear" w:color="auto" w:fill="FBD1D2" w:themeFill="accent3" w:themeFillTint="33"/>
            <w:hideMark/>
          </w:tcPr>
          <w:p w14:paraId="688D244D"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709" w:type="dxa"/>
            <w:shd w:val="clear" w:color="auto" w:fill="FBD1D2" w:themeFill="accent3" w:themeFillTint="33"/>
            <w:hideMark/>
          </w:tcPr>
          <w:p w14:paraId="09B693EA"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663" w:type="dxa"/>
            <w:shd w:val="clear" w:color="auto" w:fill="FBD1D2" w:themeFill="accent3" w:themeFillTint="33"/>
            <w:hideMark/>
          </w:tcPr>
          <w:p w14:paraId="3C5527BD"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663" w:type="dxa"/>
            <w:shd w:val="clear" w:color="auto" w:fill="FBD1D2" w:themeFill="accent3" w:themeFillTint="33"/>
            <w:hideMark/>
          </w:tcPr>
          <w:p w14:paraId="29E24C3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709" w:type="dxa"/>
            <w:shd w:val="clear" w:color="auto" w:fill="FBD1D2" w:themeFill="accent3" w:themeFillTint="33"/>
            <w:hideMark/>
          </w:tcPr>
          <w:p w14:paraId="69918EB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663" w:type="dxa"/>
            <w:shd w:val="clear" w:color="auto" w:fill="FBD1D2" w:themeFill="accent3" w:themeFillTint="33"/>
            <w:hideMark/>
          </w:tcPr>
          <w:p w14:paraId="101C4AE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c>
          <w:tcPr>
            <w:tcW w:w="663" w:type="dxa"/>
            <w:shd w:val="clear" w:color="auto" w:fill="FBD1D2" w:themeFill="accent3" w:themeFillTint="33"/>
            <w:hideMark/>
          </w:tcPr>
          <w:p w14:paraId="2871A27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w:t>
            </w:r>
          </w:p>
        </w:tc>
      </w:tr>
      <w:tr w:rsidR="0085507E" w:rsidRPr="00037C61" w14:paraId="046272F1" w14:textId="77777777" w:rsidTr="00662F53">
        <w:trPr>
          <w:trHeight w:val="300"/>
        </w:trPr>
        <w:tc>
          <w:tcPr>
            <w:tcW w:w="1460" w:type="dxa"/>
            <w:shd w:val="clear" w:color="auto" w:fill="EAEDF6" w:themeFill="accent2" w:themeFillTint="33"/>
            <w:hideMark/>
          </w:tcPr>
          <w:p w14:paraId="20D77FA2"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Bihor</w:t>
            </w:r>
          </w:p>
        </w:tc>
        <w:tc>
          <w:tcPr>
            <w:tcW w:w="960" w:type="dxa"/>
            <w:shd w:val="clear" w:color="auto" w:fill="EAEDF6" w:themeFill="accent2" w:themeFillTint="33"/>
            <w:hideMark/>
          </w:tcPr>
          <w:p w14:paraId="06483C6D"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EAEDF6" w:themeFill="accent2" w:themeFillTint="33"/>
            <w:hideMark/>
          </w:tcPr>
          <w:p w14:paraId="1C42DB85"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5</w:t>
            </w:r>
          </w:p>
        </w:tc>
        <w:tc>
          <w:tcPr>
            <w:tcW w:w="709" w:type="dxa"/>
            <w:shd w:val="clear" w:color="auto" w:fill="EAEDF6" w:themeFill="accent2" w:themeFillTint="33"/>
            <w:hideMark/>
          </w:tcPr>
          <w:p w14:paraId="4BEC407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4.6</w:t>
            </w:r>
          </w:p>
        </w:tc>
        <w:tc>
          <w:tcPr>
            <w:tcW w:w="663" w:type="dxa"/>
            <w:shd w:val="clear" w:color="auto" w:fill="EAEDF6" w:themeFill="accent2" w:themeFillTint="33"/>
            <w:hideMark/>
          </w:tcPr>
          <w:p w14:paraId="4171726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4.4</w:t>
            </w:r>
          </w:p>
        </w:tc>
        <w:tc>
          <w:tcPr>
            <w:tcW w:w="663" w:type="dxa"/>
            <w:shd w:val="clear" w:color="auto" w:fill="EAEDF6" w:themeFill="accent2" w:themeFillTint="33"/>
            <w:hideMark/>
          </w:tcPr>
          <w:p w14:paraId="383E2E69"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3.8</w:t>
            </w:r>
          </w:p>
        </w:tc>
        <w:tc>
          <w:tcPr>
            <w:tcW w:w="709" w:type="dxa"/>
            <w:shd w:val="clear" w:color="auto" w:fill="EAEDF6" w:themeFill="accent2" w:themeFillTint="33"/>
            <w:hideMark/>
          </w:tcPr>
          <w:p w14:paraId="448741F1"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3.8</w:t>
            </w:r>
          </w:p>
        </w:tc>
        <w:tc>
          <w:tcPr>
            <w:tcW w:w="663" w:type="dxa"/>
            <w:shd w:val="clear" w:color="auto" w:fill="EAEDF6" w:themeFill="accent2" w:themeFillTint="33"/>
            <w:hideMark/>
          </w:tcPr>
          <w:p w14:paraId="13F9A58D"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3.5</w:t>
            </w:r>
          </w:p>
        </w:tc>
        <w:tc>
          <w:tcPr>
            <w:tcW w:w="663" w:type="dxa"/>
            <w:shd w:val="clear" w:color="auto" w:fill="EAEDF6" w:themeFill="accent2" w:themeFillTint="33"/>
            <w:hideMark/>
          </w:tcPr>
          <w:p w14:paraId="6B50D46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3.3</w:t>
            </w:r>
          </w:p>
        </w:tc>
        <w:tc>
          <w:tcPr>
            <w:tcW w:w="709" w:type="dxa"/>
            <w:shd w:val="clear" w:color="auto" w:fill="EAEDF6" w:themeFill="accent2" w:themeFillTint="33"/>
            <w:hideMark/>
          </w:tcPr>
          <w:p w14:paraId="16F09C5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3.4</w:t>
            </w:r>
          </w:p>
        </w:tc>
        <w:tc>
          <w:tcPr>
            <w:tcW w:w="663" w:type="dxa"/>
            <w:shd w:val="clear" w:color="auto" w:fill="EAEDF6" w:themeFill="accent2" w:themeFillTint="33"/>
            <w:hideMark/>
          </w:tcPr>
          <w:p w14:paraId="27AB002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w:t>
            </w:r>
          </w:p>
        </w:tc>
        <w:tc>
          <w:tcPr>
            <w:tcW w:w="663" w:type="dxa"/>
            <w:shd w:val="clear" w:color="auto" w:fill="EAEDF6" w:themeFill="accent2" w:themeFillTint="33"/>
            <w:hideMark/>
          </w:tcPr>
          <w:p w14:paraId="6631179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2.8</w:t>
            </w:r>
          </w:p>
        </w:tc>
      </w:tr>
      <w:tr w:rsidR="0085507E" w:rsidRPr="00037C61" w14:paraId="5BC5C2AE" w14:textId="77777777" w:rsidTr="00662F53">
        <w:trPr>
          <w:trHeight w:val="300"/>
        </w:trPr>
        <w:tc>
          <w:tcPr>
            <w:tcW w:w="1460" w:type="dxa"/>
            <w:shd w:val="clear" w:color="auto" w:fill="EAEDF6" w:themeFill="accent2" w:themeFillTint="33"/>
            <w:hideMark/>
          </w:tcPr>
          <w:p w14:paraId="4FE049C9"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Satu Mare</w:t>
            </w:r>
          </w:p>
        </w:tc>
        <w:tc>
          <w:tcPr>
            <w:tcW w:w="960" w:type="dxa"/>
            <w:shd w:val="clear" w:color="auto" w:fill="EAEDF6" w:themeFill="accent2" w:themeFillTint="33"/>
            <w:hideMark/>
          </w:tcPr>
          <w:p w14:paraId="6A7B93BC"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EAEDF6" w:themeFill="accent2" w:themeFillTint="33"/>
            <w:hideMark/>
          </w:tcPr>
          <w:p w14:paraId="21DF8CD5"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1.6</w:t>
            </w:r>
          </w:p>
        </w:tc>
        <w:tc>
          <w:tcPr>
            <w:tcW w:w="709" w:type="dxa"/>
            <w:shd w:val="clear" w:color="auto" w:fill="EAEDF6" w:themeFill="accent2" w:themeFillTint="33"/>
            <w:hideMark/>
          </w:tcPr>
          <w:p w14:paraId="182A92A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663" w:type="dxa"/>
            <w:shd w:val="clear" w:color="auto" w:fill="EAEDF6" w:themeFill="accent2" w:themeFillTint="33"/>
            <w:hideMark/>
          </w:tcPr>
          <w:p w14:paraId="344A0C1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663" w:type="dxa"/>
            <w:shd w:val="clear" w:color="auto" w:fill="EAEDF6" w:themeFill="accent2" w:themeFillTint="33"/>
            <w:hideMark/>
          </w:tcPr>
          <w:p w14:paraId="17BF3B0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709" w:type="dxa"/>
            <w:shd w:val="clear" w:color="auto" w:fill="EAEDF6" w:themeFill="accent2" w:themeFillTint="33"/>
            <w:hideMark/>
          </w:tcPr>
          <w:p w14:paraId="1E495A5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663" w:type="dxa"/>
            <w:shd w:val="clear" w:color="auto" w:fill="EAEDF6" w:themeFill="accent2" w:themeFillTint="33"/>
            <w:hideMark/>
          </w:tcPr>
          <w:p w14:paraId="7F1C3FD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1.6</w:t>
            </w:r>
          </w:p>
        </w:tc>
        <w:tc>
          <w:tcPr>
            <w:tcW w:w="663" w:type="dxa"/>
            <w:shd w:val="clear" w:color="auto" w:fill="EAEDF6" w:themeFill="accent2" w:themeFillTint="33"/>
            <w:hideMark/>
          </w:tcPr>
          <w:p w14:paraId="79C9A1F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1.6</w:t>
            </w:r>
          </w:p>
        </w:tc>
        <w:tc>
          <w:tcPr>
            <w:tcW w:w="709" w:type="dxa"/>
            <w:shd w:val="clear" w:color="auto" w:fill="EAEDF6" w:themeFill="accent2" w:themeFillTint="33"/>
            <w:hideMark/>
          </w:tcPr>
          <w:p w14:paraId="4758A8C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1.5</w:t>
            </w:r>
          </w:p>
        </w:tc>
        <w:tc>
          <w:tcPr>
            <w:tcW w:w="663" w:type="dxa"/>
            <w:shd w:val="clear" w:color="auto" w:fill="EAEDF6" w:themeFill="accent2" w:themeFillTint="33"/>
            <w:hideMark/>
          </w:tcPr>
          <w:p w14:paraId="2F4EA3F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1.3</w:t>
            </w:r>
          </w:p>
        </w:tc>
        <w:tc>
          <w:tcPr>
            <w:tcW w:w="663" w:type="dxa"/>
            <w:shd w:val="clear" w:color="auto" w:fill="EAEDF6" w:themeFill="accent2" w:themeFillTint="33"/>
            <w:hideMark/>
          </w:tcPr>
          <w:p w14:paraId="76F623B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1.3</w:t>
            </w:r>
          </w:p>
        </w:tc>
      </w:tr>
      <w:tr w:rsidR="0085507E" w:rsidRPr="00037C61" w14:paraId="16A384CA" w14:textId="77777777" w:rsidTr="00662F53">
        <w:trPr>
          <w:trHeight w:val="300"/>
        </w:trPr>
        <w:tc>
          <w:tcPr>
            <w:tcW w:w="1460" w:type="dxa"/>
            <w:shd w:val="clear" w:color="auto" w:fill="EAEDF6" w:themeFill="accent2" w:themeFillTint="33"/>
            <w:hideMark/>
          </w:tcPr>
          <w:p w14:paraId="4CCA6FE4"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Arad</w:t>
            </w:r>
          </w:p>
        </w:tc>
        <w:tc>
          <w:tcPr>
            <w:tcW w:w="960" w:type="dxa"/>
            <w:shd w:val="clear" w:color="auto" w:fill="EAEDF6" w:themeFill="accent2" w:themeFillTint="33"/>
            <w:hideMark/>
          </w:tcPr>
          <w:p w14:paraId="0D336023"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EAEDF6" w:themeFill="accent2" w:themeFillTint="33"/>
            <w:hideMark/>
          </w:tcPr>
          <w:p w14:paraId="06FBDE2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709" w:type="dxa"/>
            <w:shd w:val="clear" w:color="auto" w:fill="EAEDF6" w:themeFill="accent2" w:themeFillTint="33"/>
            <w:hideMark/>
          </w:tcPr>
          <w:p w14:paraId="07875EC9"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663" w:type="dxa"/>
            <w:shd w:val="clear" w:color="auto" w:fill="EAEDF6" w:themeFill="accent2" w:themeFillTint="33"/>
            <w:hideMark/>
          </w:tcPr>
          <w:p w14:paraId="6F4BF0DA"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1.8</w:t>
            </w:r>
          </w:p>
        </w:tc>
        <w:tc>
          <w:tcPr>
            <w:tcW w:w="663" w:type="dxa"/>
            <w:shd w:val="clear" w:color="auto" w:fill="EAEDF6" w:themeFill="accent2" w:themeFillTint="33"/>
            <w:hideMark/>
          </w:tcPr>
          <w:p w14:paraId="4F63BF0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709" w:type="dxa"/>
            <w:shd w:val="clear" w:color="auto" w:fill="EAEDF6" w:themeFill="accent2" w:themeFillTint="33"/>
            <w:hideMark/>
          </w:tcPr>
          <w:p w14:paraId="40A33AB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663" w:type="dxa"/>
            <w:shd w:val="clear" w:color="auto" w:fill="EAEDF6" w:themeFill="accent2" w:themeFillTint="33"/>
            <w:hideMark/>
          </w:tcPr>
          <w:p w14:paraId="51115966"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c>
          <w:tcPr>
            <w:tcW w:w="663" w:type="dxa"/>
            <w:shd w:val="clear" w:color="auto" w:fill="EAEDF6" w:themeFill="accent2" w:themeFillTint="33"/>
            <w:hideMark/>
          </w:tcPr>
          <w:p w14:paraId="219F77B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1.8</w:t>
            </w:r>
          </w:p>
        </w:tc>
        <w:tc>
          <w:tcPr>
            <w:tcW w:w="709" w:type="dxa"/>
            <w:shd w:val="clear" w:color="auto" w:fill="EAEDF6" w:themeFill="accent2" w:themeFillTint="33"/>
            <w:hideMark/>
          </w:tcPr>
          <w:p w14:paraId="7DC19E1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1.9</w:t>
            </w:r>
          </w:p>
        </w:tc>
        <w:tc>
          <w:tcPr>
            <w:tcW w:w="663" w:type="dxa"/>
            <w:shd w:val="clear" w:color="auto" w:fill="EAEDF6" w:themeFill="accent2" w:themeFillTint="33"/>
            <w:hideMark/>
          </w:tcPr>
          <w:p w14:paraId="07DBECE6"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1.8</w:t>
            </w:r>
          </w:p>
        </w:tc>
        <w:tc>
          <w:tcPr>
            <w:tcW w:w="663" w:type="dxa"/>
            <w:shd w:val="clear" w:color="auto" w:fill="EAEDF6" w:themeFill="accent2" w:themeFillTint="33"/>
            <w:hideMark/>
          </w:tcPr>
          <w:p w14:paraId="1B1BDAB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1.7</w:t>
            </w:r>
          </w:p>
        </w:tc>
      </w:tr>
      <w:tr w:rsidR="0085507E" w:rsidRPr="00037C61" w14:paraId="3A24AEE3" w14:textId="77777777" w:rsidTr="00662F53">
        <w:trPr>
          <w:trHeight w:val="300"/>
        </w:trPr>
        <w:tc>
          <w:tcPr>
            <w:tcW w:w="1460" w:type="dxa"/>
            <w:shd w:val="clear" w:color="auto" w:fill="EAEDF6" w:themeFill="accent2" w:themeFillTint="33"/>
            <w:hideMark/>
          </w:tcPr>
          <w:p w14:paraId="1A2A0417" w14:textId="5B222733" w:rsidR="0085507E" w:rsidRPr="00037C61" w:rsidRDefault="008B32DD" w:rsidP="0085507E">
            <w:pPr>
              <w:spacing w:after="0" w:line="240" w:lineRule="auto"/>
              <w:jc w:val="left"/>
              <w:rPr>
                <w:color w:val="000000"/>
                <w:sz w:val="20"/>
                <w:lang w:val="en-GB"/>
              </w:rPr>
            </w:pPr>
            <w:r w:rsidRPr="00037C61">
              <w:rPr>
                <w:color w:val="000000"/>
                <w:sz w:val="20"/>
                <w:lang w:val="en-GB"/>
              </w:rPr>
              <w:t>Timiș</w:t>
            </w:r>
          </w:p>
        </w:tc>
        <w:tc>
          <w:tcPr>
            <w:tcW w:w="960" w:type="dxa"/>
            <w:shd w:val="clear" w:color="auto" w:fill="EAEDF6" w:themeFill="accent2" w:themeFillTint="33"/>
            <w:hideMark/>
          </w:tcPr>
          <w:p w14:paraId="58EB9D80"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number</w:t>
            </w:r>
          </w:p>
        </w:tc>
        <w:tc>
          <w:tcPr>
            <w:tcW w:w="694" w:type="dxa"/>
            <w:shd w:val="clear" w:color="auto" w:fill="EAEDF6" w:themeFill="accent2" w:themeFillTint="33"/>
            <w:hideMark/>
          </w:tcPr>
          <w:p w14:paraId="62062BB6"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2.3</w:t>
            </w:r>
          </w:p>
        </w:tc>
        <w:tc>
          <w:tcPr>
            <w:tcW w:w="709" w:type="dxa"/>
            <w:shd w:val="clear" w:color="auto" w:fill="EAEDF6" w:themeFill="accent2" w:themeFillTint="33"/>
            <w:hideMark/>
          </w:tcPr>
          <w:p w14:paraId="21C7DAC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2.3</w:t>
            </w:r>
          </w:p>
        </w:tc>
        <w:tc>
          <w:tcPr>
            <w:tcW w:w="663" w:type="dxa"/>
            <w:shd w:val="clear" w:color="auto" w:fill="EAEDF6" w:themeFill="accent2" w:themeFillTint="33"/>
            <w:hideMark/>
          </w:tcPr>
          <w:p w14:paraId="0B1FFEB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2.2</w:t>
            </w:r>
          </w:p>
        </w:tc>
        <w:tc>
          <w:tcPr>
            <w:tcW w:w="663" w:type="dxa"/>
            <w:shd w:val="clear" w:color="auto" w:fill="EAEDF6" w:themeFill="accent2" w:themeFillTint="33"/>
            <w:hideMark/>
          </w:tcPr>
          <w:p w14:paraId="657AD1A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2.1</w:t>
            </w:r>
          </w:p>
        </w:tc>
        <w:tc>
          <w:tcPr>
            <w:tcW w:w="709" w:type="dxa"/>
            <w:shd w:val="clear" w:color="auto" w:fill="EAEDF6" w:themeFill="accent2" w:themeFillTint="33"/>
            <w:hideMark/>
          </w:tcPr>
          <w:p w14:paraId="33CA999D"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2.3</w:t>
            </w:r>
          </w:p>
        </w:tc>
        <w:tc>
          <w:tcPr>
            <w:tcW w:w="663" w:type="dxa"/>
            <w:shd w:val="clear" w:color="auto" w:fill="EAEDF6" w:themeFill="accent2" w:themeFillTint="33"/>
            <w:hideMark/>
          </w:tcPr>
          <w:p w14:paraId="7E73E59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w:t>
            </w:r>
          </w:p>
        </w:tc>
        <w:tc>
          <w:tcPr>
            <w:tcW w:w="663" w:type="dxa"/>
            <w:shd w:val="clear" w:color="auto" w:fill="EAEDF6" w:themeFill="accent2" w:themeFillTint="33"/>
            <w:hideMark/>
          </w:tcPr>
          <w:p w14:paraId="3F3CA01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w:t>
            </w:r>
          </w:p>
        </w:tc>
        <w:tc>
          <w:tcPr>
            <w:tcW w:w="709" w:type="dxa"/>
            <w:shd w:val="clear" w:color="auto" w:fill="EAEDF6" w:themeFill="accent2" w:themeFillTint="33"/>
            <w:hideMark/>
          </w:tcPr>
          <w:p w14:paraId="13D7378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w:t>
            </w:r>
          </w:p>
        </w:tc>
        <w:tc>
          <w:tcPr>
            <w:tcW w:w="663" w:type="dxa"/>
            <w:shd w:val="clear" w:color="auto" w:fill="EAEDF6" w:themeFill="accent2" w:themeFillTint="33"/>
            <w:hideMark/>
          </w:tcPr>
          <w:p w14:paraId="427AECD8"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2.3</w:t>
            </w:r>
          </w:p>
        </w:tc>
        <w:tc>
          <w:tcPr>
            <w:tcW w:w="663" w:type="dxa"/>
            <w:shd w:val="clear" w:color="auto" w:fill="EAEDF6" w:themeFill="accent2" w:themeFillTint="33"/>
            <w:hideMark/>
          </w:tcPr>
          <w:p w14:paraId="00DD0565"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w:t>
            </w:r>
          </w:p>
        </w:tc>
      </w:tr>
      <w:tr w:rsidR="0085507E" w:rsidRPr="00037C61" w14:paraId="23D1E45A" w14:textId="77777777" w:rsidTr="00662F53">
        <w:trPr>
          <w:trHeight w:val="300"/>
        </w:trPr>
        <w:tc>
          <w:tcPr>
            <w:tcW w:w="1460" w:type="dxa"/>
            <w:shd w:val="clear" w:color="auto" w:fill="auto"/>
            <w:noWrap/>
            <w:vAlign w:val="bottom"/>
            <w:hideMark/>
          </w:tcPr>
          <w:p w14:paraId="2C5600FA" w14:textId="77777777" w:rsidR="0085507E" w:rsidRPr="00037C61" w:rsidRDefault="0085507E" w:rsidP="0085507E">
            <w:pPr>
              <w:spacing w:after="0" w:line="240" w:lineRule="auto"/>
              <w:jc w:val="right"/>
              <w:rPr>
                <w:color w:val="000000"/>
                <w:sz w:val="20"/>
                <w:lang w:val="en-GB"/>
              </w:rPr>
            </w:pPr>
          </w:p>
        </w:tc>
        <w:tc>
          <w:tcPr>
            <w:tcW w:w="960" w:type="dxa"/>
            <w:shd w:val="clear" w:color="auto" w:fill="auto"/>
            <w:noWrap/>
            <w:vAlign w:val="bottom"/>
            <w:hideMark/>
          </w:tcPr>
          <w:p w14:paraId="7A7032D6" w14:textId="77777777" w:rsidR="0085507E" w:rsidRPr="00037C61" w:rsidRDefault="0085507E" w:rsidP="0085507E">
            <w:pPr>
              <w:spacing w:after="0" w:line="240" w:lineRule="auto"/>
              <w:jc w:val="left"/>
              <w:rPr>
                <w:sz w:val="20"/>
                <w:lang w:val="en-GB"/>
              </w:rPr>
            </w:pPr>
          </w:p>
        </w:tc>
        <w:tc>
          <w:tcPr>
            <w:tcW w:w="694" w:type="dxa"/>
            <w:shd w:val="clear" w:color="auto" w:fill="auto"/>
            <w:noWrap/>
            <w:vAlign w:val="bottom"/>
            <w:hideMark/>
          </w:tcPr>
          <w:p w14:paraId="3D5B288A" w14:textId="77777777" w:rsidR="0085507E" w:rsidRPr="00037C61" w:rsidRDefault="0085507E" w:rsidP="0085507E">
            <w:pPr>
              <w:spacing w:after="0" w:line="240" w:lineRule="auto"/>
              <w:jc w:val="left"/>
              <w:rPr>
                <w:sz w:val="20"/>
                <w:lang w:val="en-GB"/>
              </w:rPr>
            </w:pPr>
          </w:p>
        </w:tc>
        <w:tc>
          <w:tcPr>
            <w:tcW w:w="709" w:type="dxa"/>
            <w:shd w:val="clear" w:color="auto" w:fill="auto"/>
            <w:noWrap/>
            <w:vAlign w:val="bottom"/>
            <w:hideMark/>
          </w:tcPr>
          <w:p w14:paraId="6D2F0614" w14:textId="77777777" w:rsidR="0085507E" w:rsidRPr="00037C61" w:rsidRDefault="0085507E" w:rsidP="0085507E">
            <w:pPr>
              <w:spacing w:after="0" w:line="240" w:lineRule="auto"/>
              <w:jc w:val="left"/>
              <w:rPr>
                <w:sz w:val="20"/>
                <w:lang w:val="en-GB"/>
              </w:rPr>
            </w:pPr>
          </w:p>
        </w:tc>
        <w:tc>
          <w:tcPr>
            <w:tcW w:w="663" w:type="dxa"/>
            <w:shd w:val="clear" w:color="auto" w:fill="auto"/>
            <w:noWrap/>
            <w:vAlign w:val="bottom"/>
            <w:hideMark/>
          </w:tcPr>
          <w:p w14:paraId="40092633" w14:textId="77777777" w:rsidR="0085507E" w:rsidRPr="00037C61" w:rsidRDefault="0085507E" w:rsidP="0085507E">
            <w:pPr>
              <w:spacing w:after="0" w:line="240" w:lineRule="auto"/>
              <w:jc w:val="left"/>
              <w:rPr>
                <w:sz w:val="20"/>
                <w:lang w:val="en-GB"/>
              </w:rPr>
            </w:pPr>
          </w:p>
        </w:tc>
        <w:tc>
          <w:tcPr>
            <w:tcW w:w="663" w:type="dxa"/>
            <w:shd w:val="clear" w:color="auto" w:fill="auto"/>
            <w:noWrap/>
            <w:vAlign w:val="bottom"/>
            <w:hideMark/>
          </w:tcPr>
          <w:p w14:paraId="3A0B52F6" w14:textId="77777777" w:rsidR="0085507E" w:rsidRPr="00037C61" w:rsidRDefault="0085507E" w:rsidP="0085507E">
            <w:pPr>
              <w:spacing w:after="0" w:line="240" w:lineRule="auto"/>
              <w:jc w:val="left"/>
              <w:rPr>
                <w:sz w:val="20"/>
                <w:lang w:val="en-GB"/>
              </w:rPr>
            </w:pPr>
          </w:p>
        </w:tc>
        <w:tc>
          <w:tcPr>
            <w:tcW w:w="709" w:type="dxa"/>
            <w:shd w:val="clear" w:color="auto" w:fill="auto"/>
            <w:noWrap/>
            <w:vAlign w:val="bottom"/>
            <w:hideMark/>
          </w:tcPr>
          <w:p w14:paraId="5F7A7870" w14:textId="77777777" w:rsidR="0085507E" w:rsidRPr="00037C61" w:rsidRDefault="0085507E" w:rsidP="0085507E">
            <w:pPr>
              <w:spacing w:after="0" w:line="240" w:lineRule="auto"/>
              <w:jc w:val="left"/>
              <w:rPr>
                <w:sz w:val="20"/>
                <w:lang w:val="en-GB"/>
              </w:rPr>
            </w:pPr>
          </w:p>
        </w:tc>
        <w:tc>
          <w:tcPr>
            <w:tcW w:w="663" w:type="dxa"/>
            <w:shd w:val="clear" w:color="auto" w:fill="auto"/>
            <w:noWrap/>
            <w:vAlign w:val="bottom"/>
            <w:hideMark/>
          </w:tcPr>
          <w:p w14:paraId="786B4F0E" w14:textId="77777777" w:rsidR="0085507E" w:rsidRPr="00037C61" w:rsidRDefault="0085507E" w:rsidP="0085507E">
            <w:pPr>
              <w:spacing w:after="0" w:line="240" w:lineRule="auto"/>
              <w:jc w:val="left"/>
              <w:rPr>
                <w:sz w:val="20"/>
                <w:lang w:val="en-GB"/>
              </w:rPr>
            </w:pPr>
          </w:p>
        </w:tc>
        <w:tc>
          <w:tcPr>
            <w:tcW w:w="663" w:type="dxa"/>
            <w:shd w:val="clear" w:color="auto" w:fill="auto"/>
            <w:noWrap/>
            <w:vAlign w:val="bottom"/>
            <w:hideMark/>
          </w:tcPr>
          <w:p w14:paraId="47C4BB48" w14:textId="77777777" w:rsidR="0085507E" w:rsidRPr="00037C61" w:rsidRDefault="0085507E" w:rsidP="0085507E">
            <w:pPr>
              <w:spacing w:after="0" w:line="240" w:lineRule="auto"/>
              <w:jc w:val="left"/>
              <w:rPr>
                <w:sz w:val="20"/>
                <w:lang w:val="en-GB"/>
              </w:rPr>
            </w:pPr>
          </w:p>
        </w:tc>
        <w:tc>
          <w:tcPr>
            <w:tcW w:w="709" w:type="dxa"/>
            <w:shd w:val="clear" w:color="auto" w:fill="auto"/>
            <w:noWrap/>
            <w:vAlign w:val="bottom"/>
            <w:hideMark/>
          </w:tcPr>
          <w:p w14:paraId="615181E9" w14:textId="77777777" w:rsidR="0085507E" w:rsidRPr="00037C61" w:rsidRDefault="0085507E" w:rsidP="0085507E">
            <w:pPr>
              <w:spacing w:after="0" w:line="240" w:lineRule="auto"/>
              <w:jc w:val="left"/>
              <w:rPr>
                <w:sz w:val="20"/>
                <w:lang w:val="en-GB"/>
              </w:rPr>
            </w:pPr>
          </w:p>
        </w:tc>
        <w:tc>
          <w:tcPr>
            <w:tcW w:w="663" w:type="dxa"/>
            <w:shd w:val="clear" w:color="auto" w:fill="auto"/>
            <w:noWrap/>
            <w:vAlign w:val="bottom"/>
            <w:hideMark/>
          </w:tcPr>
          <w:p w14:paraId="0EF1AFCC" w14:textId="77777777" w:rsidR="0085507E" w:rsidRPr="00037C61" w:rsidRDefault="0085507E" w:rsidP="0085507E">
            <w:pPr>
              <w:spacing w:after="0" w:line="240" w:lineRule="auto"/>
              <w:jc w:val="left"/>
              <w:rPr>
                <w:sz w:val="20"/>
                <w:lang w:val="en-GB"/>
              </w:rPr>
            </w:pPr>
          </w:p>
        </w:tc>
        <w:tc>
          <w:tcPr>
            <w:tcW w:w="663" w:type="dxa"/>
            <w:shd w:val="clear" w:color="auto" w:fill="auto"/>
            <w:noWrap/>
            <w:vAlign w:val="bottom"/>
            <w:hideMark/>
          </w:tcPr>
          <w:p w14:paraId="68F1EB04" w14:textId="77777777" w:rsidR="0085507E" w:rsidRPr="00037C61" w:rsidRDefault="0085507E" w:rsidP="0085507E">
            <w:pPr>
              <w:spacing w:after="0" w:line="240" w:lineRule="auto"/>
              <w:jc w:val="left"/>
              <w:rPr>
                <w:sz w:val="20"/>
                <w:lang w:val="en-GB"/>
              </w:rPr>
            </w:pPr>
          </w:p>
        </w:tc>
      </w:tr>
      <w:tr w:rsidR="0085507E" w:rsidRPr="00037C61" w14:paraId="45C4BC52" w14:textId="77777777" w:rsidTr="00662F53">
        <w:trPr>
          <w:trHeight w:val="300"/>
        </w:trPr>
        <w:tc>
          <w:tcPr>
            <w:tcW w:w="1460" w:type="dxa"/>
            <w:shd w:val="clear" w:color="auto" w:fill="FBD1D2" w:themeFill="accent3" w:themeFillTint="33"/>
            <w:hideMark/>
          </w:tcPr>
          <w:p w14:paraId="463219C0"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lastRenderedPageBreak/>
              <w:t>HU regions</w:t>
            </w:r>
          </w:p>
        </w:tc>
        <w:tc>
          <w:tcPr>
            <w:tcW w:w="960" w:type="dxa"/>
            <w:shd w:val="clear" w:color="auto" w:fill="FBD1D2" w:themeFill="accent3" w:themeFillTint="33"/>
            <w:hideMark/>
          </w:tcPr>
          <w:p w14:paraId="0B12B86A" w14:textId="77777777" w:rsidR="0085507E" w:rsidRPr="00037C61" w:rsidRDefault="0085507E" w:rsidP="0085507E">
            <w:pPr>
              <w:spacing w:after="0" w:line="240" w:lineRule="auto"/>
              <w:jc w:val="center"/>
              <w:rPr>
                <w:color w:val="000000"/>
                <w:sz w:val="20"/>
                <w:lang w:val="en-GB"/>
              </w:rPr>
            </w:pPr>
            <w:r w:rsidRPr="00037C61">
              <w:rPr>
                <w:color w:val="000000"/>
                <w:sz w:val="20"/>
                <w:lang w:val="en-GB"/>
              </w:rPr>
              <w:t>number</w:t>
            </w:r>
          </w:p>
        </w:tc>
        <w:tc>
          <w:tcPr>
            <w:tcW w:w="694" w:type="dxa"/>
            <w:shd w:val="clear" w:color="auto" w:fill="FBD1D2" w:themeFill="accent3" w:themeFillTint="33"/>
            <w:noWrap/>
            <w:vAlign w:val="bottom"/>
            <w:hideMark/>
          </w:tcPr>
          <w:p w14:paraId="68396FE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2.70</w:t>
            </w:r>
          </w:p>
        </w:tc>
        <w:tc>
          <w:tcPr>
            <w:tcW w:w="709" w:type="dxa"/>
            <w:shd w:val="clear" w:color="auto" w:fill="FBD1D2" w:themeFill="accent3" w:themeFillTint="33"/>
            <w:noWrap/>
            <w:vAlign w:val="bottom"/>
            <w:hideMark/>
          </w:tcPr>
          <w:p w14:paraId="7E87EADA"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2.77</w:t>
            </w:r>
          </w:p>
        </w:tc>
        <w:tc>
          <w:tcPr>
            <w:tcW w:w="663" w:type="dxa"/>
            <w:shd w:val="clear" w:color="auto" w:fill="FBD1D2" w:themeFill="accent3" w:themeFillTint="33"/>
            <w:noWrap/>
            <w:vAlign w:val="bottom"/>
            <w:hideMark/>
          </w:tcPr>
          <w:p w14:paraId="3F49B4E4"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2.66</w:t>
            </w:r>
          </w:p>
        </w:tc>
        <w:tc>
          <w:tcPr>
            <w:tcW w:w="663" w:type="dxa"/>
            <w:shd w:val="clear" w:color="auto" w:fill="FBD1D2" w:themeFill="accent3" w:themeFillTint="33"/>
            <w:noWrap/>
            <w:vAlign w:val="bottom"/>
            <w:hideMark/>
          </w:tcPr>
          <w:p w14:paraId="09AD66D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2.71</w:t>
            </w:r>
          </w:p>
        </w:tc>
        <w:tc>
          <w:tcPr>
            <w:tcW w:w="709" w:type="dxa"/>
            <w:shd w:val="clear" w:color="auto" w:fill="FBD1D2" w:themeFill="accent3" w:themeFillTint="33"/>
            <w:noWrap/>
            <w:vAlign w:val="bottom"/>
            <w:hideMark/>
          </w:tcPr>
          <w:p w14:paraId="5C503CE5"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2.69</w:t>
            </w:r>
          </w:p>
        </w:tc>
        <w:tc>
          <w:tcPr>
            <w:tcW w:w="663" w:type="dxa"/>
            <w:shd w:val="clear" w:color="auto" w:fill="FBD1D2" w:themeFill="accent3" w:themeFillTint="33"/>
            <w:noWrap/>
            <w:vAlign w:val="bottom"/>
            <w:hideMark/>
          </w:tcPr>
          <w:p w14:paraId="0D3D0CC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2.63</w:t>
            </w:r>
          </w:p>
        </w:tc>
        <w:tc>
          <w:tcPr>
            <w:tcW w:w="663" w:type="dxa"/>
            <w:shd w:val="clear" w:color="auto" w:fill="FBD1D2" w:themeFill="accent3" w:themeFillTint="33"/>
            <w:noWrap/>
            <w:vAlign w:val="bottom"/>
            <w:hideMark/>
          </w:tcPr>
          <w:p w14:paraId="7A1F5A1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2.56</w:t>
            </w:r>
          </w:p>
        </w:tc>
        <w:tc>
          <w:tcPr>
            <w:tcW w:w="709" w:type="dxa"/>
            <w:shd w:val="clear" w:color="auto" w:fill="FBD1D2" w:themeFill="accent3" w:themeFillTint="33"/>
            <w:noWrap/>
            <w:vAlign w:val="bottom"/>
            <w:hideMark/>
          </w:tcPr>
          <w:p w14:paraId="1FCF5E7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2.53</w:t>
            </w:r>
          </w:p>
        </w:tc>
        <w:tc>
          <w:tcPr>
            <w:tcW w:w="663" w:type="dxa"/>
            <w:shd w:val="clear" w:color="auto" w:fill="FBD1D2" w:themeFill="accent3" w:themeFillTint="33"/>
            <w:noWrap/>
            <w:vAlign w:val="bottom"/>
            <w:hideMark/>
          </w:tcPr>
          <w:p w14:paraId="716729A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2.46</w:t>
            </w:r>
          </w:p>
        </w:tc>
        <w:tc>
          <w:tcPr>
            <w:tcW w:w="663" w:type="dxa"/>
            <w:shd w:val="clear" w:color="auto" w:fill="FBD1D2" w:themeFill="accent3" w:themeFillTint="33"/>
            <w:noWrap/>
            <w:vAlign w:val="bottom"/>
            <w:hideMark/>
          </w:tcPr>
          <w:p w14:paraId="1DB50D1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2.47</w:t>
            </w:r>
          </w:p>
        </w:tc>
      </w:tr>
      <w:tr w:rsidR="0085507E" w:rsidRPr="00037C61" w14:paraId="490E2945" w14:textId="77777777" w:rsidTr="00662F53">
        <w:trPr>
          <w:trHeight w:val="300"/>
        </w:trPr>
        <w:tc>
          <w:tcPr>
            <w:tcW w:w="1460" w:type="dxa"/>
            <w:shd w:val="clear" w:color="auto" w:fill="EAEDF6" w:themeFill="accent2" w:themeFillTint="33"/>
            <w:hideMark/>
          </w:tcPr>
          <w:p w14:paraId="277964C4"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RO regions</w:t>
            </w:r>
          </w:p>
        </w:tc>
        <w:tc>
          <w:tcPr>
            <w:tcW w:w="960" w:type="dxa"/>
            <w:shd w:val="clear" w:color="auto" w:fill="EAEDF6" w:themeFill="accent2" w:themeFillTint="33"/>
            <w:hideMark/>
          </w:tcPr>
          <w:p w14:paraId="771B77E9" w14:textId="77777777" w:rsidR="0085507E" w:rsidRPr="00037C61" w:rsidRDefault="0085507E" w:rsidP="0085507E">
            <w:pPr>
              <w:spacing w:after="0" w:line="240" w:lineRule="auto"/>
              <w:jc w:val="center"/>
              <w:rPr>
                <w:color w:val="000000"/>
                <w:sz w:val="20"/>
                <w:lang w:val="en-GB"/>
              </w:rPr>
            </w:pPr>
            <w:r w:rsidRPr="00037C61">
              <w:rPr>
                <w:color w:val="000000"/>
                <w:sz w:val="20"/>
                <w:lang w:val="en-GB"/>
              </w:rPr>
              <w:t>number</w:t>
            </w:r>
          </w:p>
        </w:tc>
        <w:tc>
          <w:tcPr>
            <w:tcW w:w="694" w:type="dxa"/>
            <w:shd w:val="clear" w:color="auto" w:fill="EAEDF6" w:themeFill="accent2" w:themeFillTint="33"/>
            <w:noWrap/>
            <w:vAlign w:val="bottom"/>
            <w:hideMark/>
          </w:tcPr>
          <w:p w14:paraId="73D41523"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2.88</w:t>
            </w:r>
          </w:p>
        </w:tc>
        <w:tc>
          <w:tcPr>
            <w:tcW w:w="709" w:type="dxa"/>
            <w:shd w:val="clear" w:color="auto" w:fill="EAEDF6" w:themeFill="accent2" w:themeFillTint="33"/>
            <w:noWrap/>
            <w:vAlign w:val="bottom"/>
            <w:hideMark/>
          </w:tcPr>
          <w:p w14:paraId="2A3BC458"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2.78</w:t>
            </w:r>
          </w:p>
        </w:tc>
        <w:tc>
          <w:tcPr>
            <w:tcW w:w="663" w:type="dxa"/>
            <w:shd w:val="clear" w:color="auto" w:fill="EAEDF6" w:themeFill="accent2" w:themeFillTint="33"/>
            <w:noWrap/>
            <w:vAlign w:val="bottom"/>
            <w:hideMark/>
          </w:tcPr>
          <w:p w14:paraId="51E83BB6"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2.68</w:t>
            </w:r>
          </w:p>
        </w:tc>
        <w:tc>
          <w:tcPr>
            <w:tcW w:w="663" w:type="dxa"/>
            <w:shd w:val="clear" w:color="auto" w:fill="EAEDF6" w:themeFill="accent2" w:themeFillTint="33"/>
            <w:noWrap/>
            <w:vAlign w:val="bottom"/>
            <w:hideMark/>
          </w:tcPr>
          <w:p w14:paraId="5547837E"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2.55</w:t>
            </w:r>
          </w:p>
        </w:tc>
        <w:tc>
          <w:tcPr>
            <w:tcW w:w="709" w:type="dxa"/>
            <w:shd w:val="clear" w:color="auto" w:fill="EAEDF6" w:themeFill="accent2" w:themeFillTint="33"/>
            <w:noWrap/>
            <w:vAlign w:val="bottom"/>
            <w:hideMark/>
          </w:tcPr>
          <w:p w14:paraId="338C5277"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2.54</w:t>
            </w:r>
          </w:p>
        </w:tc>
        <w:tc>
          <w:tcPr>
            <w:tcW w:w="663" w:type="dxa"/>
            <w:shd w:val="clear" w:color="auto" w:fill="EAEDF6" w:themeFill="accent2" w:themeFillTint="33"/>
            <w:noWrap/>
            <w:vAlign w:val="bottom"/>
            <w:hideMark/>
          </w:tcPr>
          <w:p w14:paraId="294462F8"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2.54</w:t>
            </w:r>
          </w:p>
        </w:tc>
        <w:tc>
          <w:tcPr>
            <w:tcW w:w="663" w:type="dxa"/>
            <w:shd w:val="clear" w:color="auto" w:fill="EAEDF6" w:themeFill="accent2" w:themeFillTint="33"/>
            <w:noWrap/>
            <w:vAlign w:val="bottom"/>
            <w:hideMark/>
          </w:tcPr>
          <w:p w14:paraId="3F957F5D"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2.49</w:t>
            </w:r>
          </w:p>
        </w:tc>
        <w:tc>
          <w:tcPr>
            <w:tcW w:w="709" w:type="dxa"/>
            <w:shd w:val="clear" w:color="auto" w:fill="EAEDF6" w:themeFill="accent2" w:themeFillTint="33"/>
            <w:noWrap/>
            <w:vAlign w:val="bottom"/>
            <w:hideMark/>
          </w:tcPr>
          <w:p w14:paraId="6543E04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2.60</w:t>
            </w:r>
          </w:p>
        </w:tc>
        <w:tc>
          <w:tcPr>
            <w:tcW w:w="663" w:type="dxa"/>
            <w:shd w:val="clear" w:color="auto" w:fill="EAEDF6" w:themeFill="accent2" w:themeFillTint="33"/>
            <w:noWrap/>
            <w:vAlign w:val="bottom"/>
            <w:hideMark/>
          </w:tcPr>
          <w:p w14:paraId="77FF3D2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2.29</w:t>
            </w:r>
          </w:p>
        </w:tc>
        <w:tc>
          <w:tcPr>
            <w:tcW w:w="663" w:type="dxa"/>
            <w:shd w:val="clear" w:color="auto" w:fill="EAEDF6" w:themeFill="accent2" w:themeFillTint="33"/>
            <w:noWrap/>
            <w:vAlign w:val="bottom"/>
            <w:hideMark/>
          </w:tcPr>
          <w:p w14:paraId="15D9368B"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2.35</w:t>
            </w:r>
          </w:p>
        </w:tc>
      </w:tr>
      <w:tr w:rsidR="0085507E" w:rsidRPr="00037C61" w14:paraId="28225E87" w14:textId="77777777" w:rsidTr="00662F53">
        <w:trPr>
          <w:trHeight w:val="300"/>
        </w:trPr>
        <w:tc>
          <w:tcPr>
            <w:tcW w:w="1460" w:type="dxa"/>
            <w:shd w:val="clear" w:color="auto" w:fill="auto"/>
            <w:noWrap/>
            <w:hideMark/>
          </w:tcPr>
          <w:p w14:paraId="3F520D70" w14:textId="77777777" w:rsidR="0085507E" w:rsidRPr="00037C61" w:rsidRDefault="0085507E" w:rsidP="0085507E">
            <w:pPr>
              <w:spacing w:after="0" w:line="240" w:lineRule="auto"/>
              <w:jc w:val="left"/>
              <w:rPr>
                <w:color w:val="000000"/>
                <w:sz w:val="20"/>
                <w:lang w:val="en-GB"/>
              </w:rPr>
            </w:pPr>
            <w:r w:rsidRPr="00037C61">
              <w:rPr>
                <w:color w:val="000000"/>
                <w:sz w:val="20"/>
                <w:lang w:val="en-GB"/>
              </w:rPr>
              <w:t>RO HU area</w:t>
            </w:r>
          </w:p>
        </w:tc>
        <w:tc>
          <w:tcPr>
            <w:tcW w:w="960" w:type="dxa"/>
            <w:shd w:val="clear" w:color="auto" w:fill="auto"/>
            <w:hideMark/>
          </w:tcPr>
          <w:p w14:paraId="49DA6591" w14:textId="77777777" w:rsidR="0085507E" w:rsidRPr="00037C61" w:rsidRDefault="0085507E" w:rsidP="0085507E">
            <w:pPr>
              <w:spacing w:after="0" w:line="240" w:lineRule="auto"/>
              <w:jc w:val="center"/>
              <w:rPr>
                <w:color w:val="000000"/>
                <w:sz w:val="20"/>
                <w:lang w:val="en-GB"/>
              </w:rPr>
            </w:pPr>
            <w:r w:rsidRPr="00037C61">
              <w:rPr>
                <w:color w:val="000000"/>
                <w:sz w:val="20"/>
                <w:lang w:val="en-GB"/>
              </w:rPr>
              <w:t>number</w:t>
            </w:r>
          </w:p>
        </w:tc>
        <w:tc>
          <w:tcPr>
            <w:tcW w:w="694" w:type="dxa"/>
            <w:shd w:val="clear" w:color="auto" w:fill="auto"/>
            <w:noWrap/>
            <w:vAlign w:val="bottom"/>
            <w:hideMark/>
          </w:tcPr>
          <w:p w14:paraId="5A774A6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2.78</w:t>
            </w:r>
          </w:p>
        </w:tc>
        <w:tc>
          <w:tcPr>
            <w:tcW w:w="709" w:type="dxa"/>
            <w:shd w:val="clear" w:color="auto" w:fill="auto"/>
            <w:noWrap/>
            <w:vAlign w:val="bottom"/>
            <w:hideMark/>
          </w:tcPr>
          <w:p w14:paraId="2D6D8238"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2.78</w:t>
            </w:r>
          </w:p>
        </w:tc>
        <w:tc>
          <w:tcPr>
            <w:tcW w:w="663" w:type="dxa"/>
            <w:shd w:val="clear" w:color="auto" w:fill="auto"/>
            <w:noWrap/>
            <w:vAlign w:val="bottom"/>
            <w:hideMark/>
          </w:tcPr>
          <w:p w14:paraId="5D297868"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2.67</w:t>
            </w:r>
          </w:p>
        </w:tc>
        <w:tc>
          <w:tcPr>
            <w:tcW w:w="663" w:type="dxa"/>
            <w:shd w:val="clear" w:color="auto" w:fill="auto"/>
            <w:noWrap/>
            <w:vAlign w:val="bottom"/>
            <w:hideMark/>
          </w:tcPr>
          <w:p w14:paraId="1AFD145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2.63</w:t>
            </w:r>
          </w:p>
        </w:tc>
        <w:tc>
          <w:tcPr>
            <w:tcW w:w="709" w:type="dxa"/>
            <w:shd w:val="clear" w:color="auto" w:fill="auto"/>
            <w:noWrap/>
            <w:vAlign w:val="bottom"/>
            <w:hideMark/>
          </w:tcPr>
          <w:p w14:paraId="7A02DA72"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2.62</w:t>
            </w:r>
          </w:p>
        </w:tc>
        <w:tc>
          <w:tcPr>
            <w:tcW w:w="663" w:type="dxa"/>
            <w:shd w:val="clear" w:color="auto" w:fill="auto"/>
            <w:noWrap/>
            <w:vAlign w:val="bottom"/>
            <w:hideMark/>
          </w:tcPr>
          <w:p w14:paraId="5A833D20"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2.59</w:t>
            </w:r>
          </w:p>
        </w:tc>
        <w:tc>
          <w:tcPr>
            <w:tcW w:w="663" w:type="dxa"/>
            <w:shd w:val="clear" w:color="auto" w:fill="auto"/>
            <w:noWrap/>
            <w:vAlign w:val="bottom"/>
            <w:hideMark/>
          </w:tcPr>
          <w:p w14:paraId="77CCDC3F"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2.53</w:t>
            </w:r>
          </w:p>
        </w:tc>
        <w:tc>
          <w:tcPr>
            <w:tcW w:w="709" w:type="dxa"/>
            <w:shd w:val="clear" w:color="auto" w:fill="auto"/>
            <w:noWrap/>
            <w:vAlign w:val="bottom"/>
            <w:hideMark/>
          </w:tcPr>
          <w:p w14:paraId="092A651C"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2.57</w:t>
            </w:r>
          </w:p>
        </w:tc>
        <w:tc>
          <w:tcPr>
            <w:tcW w:w="663" w:type="dxa"/>
            <w:shd w:val="clear" w:color="auto" w:fill="auto"/>
            <w:noWrap/>
            <w:vAlign w:val="bottom"/>
            <w:hideMark/>
          </w:tcPr>
          <w:p w14:paraId="3A759F57"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2.38</w:t>
            </w:r>
          </w:p>
        </w:tc>
        <w:tc>
          <w:tcPr>
            <w:tcW w:w="663" w:type="dxa"/>
            <w:shd w:val="clear" w:color="auto" w:fill="auto"/>
            <w:noWrap/>
            <w:vAlign w:val="bottom"/>
            <w:hideMark/>
          </w:tcPr>
          <w:p w14:paraId="4D6EA0F9" w14:textId="77777777" w:rsidR="0085507E" w:rsidRPr="00037C61" w:rsidRDefault="0085507E" w:rsidP="0085507E">
            <w:pPr>
              <w:spacing w:after="0" w:line="240" w:lineRule="auto"/>
              <w:jc w:val="right"/>
              <w:rPr>
                <w:color w:val="000000"/>
                <w:sz w:val="20"/>
                <w:lang w:val="en-GB"/>
              </w:rPr>
            </w:pPr>
            <w:r w:rsidRPr="00037C61">
              <w:rPr>
                <w:color w:val="000000"/>
                <w:sz w:val="20"/>
                <w:lang w:val="en-GB"/>
              </w:rPr>
              <w:t>2.41</w:t>
            </w:r>
          </w:p>
        </w:tc>
      </w:tr>
    </w:tbl>
    <w:p w14:paraId="25525506" w14:textId="5A475BE2" w:rsidR="00543BEA" w:rsidRPr="00037C61" w:rsidRDefault="00543BEA" w:rsidP="0085507E">
      <w:pPr>
        <w:pStyle w:val="Caption"/>
        <w:spacing w:after="240"/>
        <w:jc w:val="left"/>
        <w:rPr>
          <w:b/>
          <w:lang w:val="en-GB"/>
        </w:rPr>
      </w:pPr>
      <w:r w:rsidRPr="00037C61">
        <w:rPr>
          <w:lang w:val="en-GB"/>
        </w:rPr>
        <w:t xml:space="preserve">Source: </w:t>
      </w:r>
      <w:r w:rsidR="00124940" w:rsidRPr="00037C61">
        <w:rPr>
          <w:lang w:val="en-GB"/>
        </w:rPr>
        <w:t>INS</w:t>
      </w:r>
      <w:r w:rsidRPr="00037C61">
        <w:rPr>
          <w:lang w:val="en-GB"/>
        </w:rPr>
        <w:t xml:space="preserve">, </w:t>
      </w:r>
      <w:r w:rsidR="00743CF6" w:rsidRPr="00037C61">
        <w:rPr>
          <w:lang w:val="en-GB"/>
        </w:rPr>
        <w:t>KSH</w:t>
      </w:r>
      <w:r w:rsidRPr="00037C61">
        <w:rPr>
          <w:lang w:val="en-GB"/>
        </w:rPr>
        <w:t>, calculated</w:t>
      </w:r>
    </w:p>
    <w:p w14:paraId="6204C0EE" w14:textId="055D4879" w:rsidR="00542215" w:rsidRPr="00037C61" w:rsidRDefault="00542215" w:rsidP="00543BEA">
      <w:pPr>
        <w:rPr>
          <w:lang w:val="en-GB"/>
        </w:rPr>
      </w:pPr>
      <w:r w:rsidRPr="00037C61">
        <w:rPr>
          <w:bCs/>
          <w:lang w:val="en-GB"/>
        </w:rPr>
        <w:t>Fro</w:t>
      </w:r>
      <w:r w:rsidRPr="00037C61">
        <w:rPr>
          <w:lang w:val="en-GB"/>
        </w:rPr>
        <w:t xml:space="preserve">m the point of view of the occupancy rate during the analysed period, due to the advance of the accommodation capacity, cumulated with the increase of the number of tourists, it can be said that we have a double digit increase of each county in the region (11-92%), except Satu Mare which records a decrease. The </w:t>
      </w:r>
      <w:r w:rsidRPr="00037C61">
        <w:rPr>
          <w:b/>
          <w:bCs/>
          <w:lang w:val="en-GB"/>
        </w:rPr>
        <w:t>highest annual occupancy rate</w:t>
      </w:r>
      <w:r w:rsidRPr="00037C61">
        <w:rPr>
          <w:lang w:val="en-GB"/>
        </w:rPr>
        <w:t xml:space="preserve"> is found in the compact area given by Hajdú-Bihar (43.57%) and Bihor (40.60%) due to spa tourism and leisure attractions built, and the level in </w:t>
      </w:r>
      <w:r w:rsidR="008B32DD" w:rsidRPr="00037C61">
        <w:rPr>
          <w:lang w:val="en-GB"/>
        </w:rPr>
        <w:t>Timiș</w:t>
      </w:r>
      <w:r w:rsidRPr="00037C61">
        <w:rPr>
          <w:lang w:val="en-GB"/>
        </w:rPr>
        <w:t xml:space="preserve"> with 42.43% is explain</w:t>
      </w:r>
      <w:r w:rsidR="00D47B7E" w:rsidRPr="00037C61">
        <w:rPr>
          <w:lang w:val="en-GB"/>
        </w:rPr>
        <w:t>ed</w:t>
      </w:r>
      <w:r w:rsidRPr="00037C61">
        <w:rPr>
          <w:lang w:val="en-GB"/>
        </w:rPr>
        <w:t xml:space="preserve"> by the fact that it is a business centre, development hub in western Romania and which also has performances in industry or ICT, to name just a few along with tourism.</w:t>
      </w:r>
      <w:r w:rsidRPr="00037C61">
        <w:rPr>
          <w:b/>
          <w:lang w:val="en-GB"/>
        </w:rPr>
        <w:tab/>
      </w:r>
    </w:p>
    <w:p w14:paraId="6A1269E1" w14:textId="3F0A6991" w:rsidR="00542215" w:rsidRPr="00037C61" w:rsidRDefault="00C01C72" w:rsidP="00543BEA">
      <w:pPr>
        <w:rPr>
          <w:lang w:val="en-GB"/>
        </w:rPr>
      </w:pPr>
      <w:r w:rsidRPr="00037C61">
        <w:rPr>
          <w:noProof/>
          <w:lang w:val="ro-RO" w:eastAsia="ro-RO"/>
        </w:rPr>
        <mc:AlternateContent>
          <mc:Choice Requires="wps">
            <w:drawing>
              <wp:anchor distT="0" distB="0" distL="114300" distR="114300" simplePos="0" relativeHeight="251619840" behindDoc="0" locked="0" layoutInCell="1" allowOverlap="1" wp14:anchorId="6E00890A" wp14:editId="0F112EDB">
                <wp:simplePos x="0" y="0"/>
                <wp:positionH relativeFrom="column">
                  <wp:posOffset>2087245</wp:posOffset>
                </wp:positionH>
                <wp:positionV relativeFrom="paragraph">
                  <wp:posOffset>2401993</wp:posOffset>
                </wp:positionV>
                <wp:extent cx="3971925" cy="635"/>
                <wp:effectExtent l="0" t="0" r="0" b="0"/>
                <wp:wrapThrough wrapText="bothSides">
                  <wp:wrapPolygon edited="0">
                    <wp:start x="0" y="0"/>
                    <wp:lineTo x="0" y="21600"/>
                    <wp:lineTo x="21600" y="21600"/>
                    <wp:lineTo x="21600" y="0"/>
                  </wp:wrapPolygon>
                </wp:wrapThrough>
                <wp:docPr id="112" name="Text Box 112"/>
                <wp:cNvGraphicFramePr/>
                <a:graphic xmlns:a="http://schemas.openxmlformats.org/drawingml/2006/main">
                  <a:graphicData uri="http://schemas.microsoft.com/office/word/2010/wordprocessingShape">
                    <wps:wsp>
                      <wps:cNvSpPr txBox="1"/>
                      <wps:spPr>
                        <a:xfrm>
                          <a:off x="0" y="0"/>
                          <a:ext cx="3971925" cy="635"/>
                        </a:xfrm>
                        <a:prstGeom prst="rect">
                          <a:avLst/>
                        </a:prstGeom>
                        <a:solidFill>
                          <a:prstClr val="white"/>
                        </a:solidFill>
                        <a:ln>
                          <a:noFill/>
                        </a:ln>
                      </wps:spPr>
                      <wps:txbx>
                        <w:txbxContent>
                          <w:p w14:paraId="516CF040" w14:textId="68C92048" w:rsidR="00944B4A" w:rsidRPr="00612AD6" w:rsidRDefault="00944B4A" w:rsidP="00543BEA">
                            <w:pPr>
                              <w:pStyle w:val="Caption"/>
                              <w:jc w:val="left"/>
                              <w:rPr>
                                <w:lang w:val="en-US"/>
                              </w:rPr>
                            </w:pPr>
                            <w:bookmarkStart w:id="374" w:name="_Toc64611012"/>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63</w:t>
                            </w:r>
                            <w:r>
                              <w:rPr>
                                <w:lang w:val="en-US"/>
                              </w:rPr>
                              <w:fldChar w:fldCharType="end"/>
                            </w:r>
                            <w:r w:rsidRPr="00612AD6">
                              <w:rPr>
                                <w:lang w:val="en-US"/>
                              </w:rPr>
                              <w:t xml:space="preserve"> - Occupancy rate, % 2018</w:t>
                            </w:r>
                            <w:bookmarkEnd w:id="374"/>
                            <w:r w:rsidRPr="00612AD6">
                              <w:rPr>
                                <w:lang w:val="en-US"/>
                              </w:rPr>
                              <w:t xml:space="preserve"> </w:t>
                            </w:r>
                          </w:p>
                          <w:p w14:paraId="12B4897C" w14:textId="14EEC3EF" w:rsidR="00944B4A" w:rsidRPr="00612AD6" w:rsidRDefault="00944B4A" w:rsidP="00543BEA">
                            <w:pPr>
                              <w:pStyle w:val="Caption"/>
                              <w:jc w:val="left"/>
                              <w:rPr>
                                <w:lang w:val="en-US"/>
                              </w:rPr>
                            </w:pPr>
                            <w:r w:rsidRPr="00612AD6">
                              <w:rPr>
                                <w:lang w:val="en-US"/>
                              </w:rPr>
                              <w:t xml:space="preserve">Source: </w:t>
                            </w:r>
                            <w:r>
                              <w:rPr>
                                <w:lang w:val="en-US"/>
                              </w:rPr>
                              <w:t>INS</w:t>
                            </w:r>
                            <w:r w:rsidRPr="00612AD6">
                              <w:rPr>
                                <w:lang w:val="en-US"/>
                              </w:rPr>
                              <w:t>, KSH, calculated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00890A" id="Text Box 112" o:spid="_x0000_s1034" type="#_x0000_t202" style="position:absolute;left:0;text-align:left;margin-left:164.35pt;margin-top:189.15pt;width:312.75pt;height:.0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" stroked="f">
                <v:textbox style="mso-fit-shape-to-text:t" inset="0,0,0,0">
                  <w:txbxContent>
                    <w:p w14:paraId="516CF040" w14:textId="68C92048" w:rsidR="00944B4A" w:rsidRPr="00612AD6" w:rsidRDefault="00944B4A" w:rsidP="00543BEA">
                      <w:pPr>
                        <w:pStyle w:val="Didascalia"/>
                        <w:jc w:val="left"/>
                        <w:rPr>
                          <w:lang w:val="en-US"/>
                        </w:rPr>
                      </w:pPr>
                      <w:bookmarkStart w:id="404" w:name="_Toc64611012"/>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63</w:t>
                      </w:r>
                      <w:r>
                        <w:rPr>
                          <w:lang w:val="en-US"/>
                        </w:rPr>
                        <w:fldChar w:fldCharType="end"/>
                      </w:r>
                      <w:r w:rsidRPr="00612AD6">
                        <w:rPr>
                          <w:lang w:val="en-US"/>
                        </w:rPr>
                        <w:t xml:space="preserve"> - Occupancy rate, % 2018</w:t>
                      </w:r>
                      <w:bookmarkEnd w:id="404"/>
                      <w:r w:rsidRPr="00612AD6">
                        <w:rPr>
                          <w:lang w:val="en-US"/>
                        </w:rPr>
                        <w:t xml:space="preserve"> </w:t>
                      </w:r>
                    </w:p>
                    <w:p w14:paraId="12B4897C" w14:textId="14EEC3EF" w:rsidR="00944B4A" w:rsidRPr="00612AD6" w:rsidRDefault="00944B4A" w:rsidP="00543BEA">
                      <w:pPr>
                        <w:pStyle w:val="Didascalia"/>
                        <w:jc w:val="left"/>
                        <w:rPr>
                          <w:lang w:val="en-US"/>
                        </w:rPr>
                      </w:pPr>
                      <w:r w:rsidRPr="00612AD6">
                        <w:rPr>
                          <w:lang w:val="en-US"/>
                        </w:rPr>
                        <w:t xml:space="preserve">Source: </w:t>
                      </w:r>
                      <w:r>
                        <w:rPr>
                          <w:lang w:val="en-US"/>
                        </w:rPr>
                        <w:t>INS</w:t>
                      </w:r>
                      <w:r w:rsidRPr="00612AD6">
                        <w:rPr>
                          <w:lang w:val="en-US"/>
                        </w:rPr>
                        <w:t>, KSH, calculated</w:t>
                      </w:r>
                    </w:p>
                  </w:txbxContent>
                </v:textbox>
                <w10:wrap type="through"/>
              </v:shape>
            </w:pict>
          </mc:Fallback>
        </mc:AlternateContent>
      </w:r>
      <w:r w:rsidRPr="00037C61">
        <w:rPr>
          <w:noProof/>
          <w:lang w:val="ro-RO" w:eastAsia="ro-RO"/>
        </w:rPr>
        <w:drawing>
          <wp:anchor distT="0" distB="0" distL="114300" distR="114300" simplePos="0" relativeHeight="251616768" behindDoc="0" locked="0" layoutInCell="1" allowOverlap="1" wp14:anchorId="540DCA82" wp14:editId="213F4839">
            <wp:simplePos x="0" y="0"/>
            <wp:positionH relativeFrom="column">
              <wp:posOffset>2087245</wp:posOffset>
            </wp:positionH>
            <wp:positionV relativeFrom="paragraph">
              <wp:posOffset>9101</wp:posOffset>
            </wp:positionV>
            <wp:extent cx="3971925" cy="2428875"/>
            <wp:effectExtent l="0" t="0" r="9525" b="9525"/>
            <wp:wrapThrough wrapText="bothSides">
              <wp:wrapPolygon edited="0">
                <wp:start x="0" y="0"/>
                <wp:lineTo x="0" y="21515"/>
                <wp:lineTo x="21548" y="21515"/>
                <wp:lineTo x="21548"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3971925" cy="2428875"/>
                    </a:xfrm>
                    <a:prstGeom prst="rect">
                      <a:avLst/>
                    </a:prstGeom>
                    <a:noFill/>
                  </pic:spPr>
                </pic:pic>
              </a:graphicData>
            </a:graphic>
            <wp14:sizeRelH relativeFrom="page">
              <wp14:pctWidth>0</wp14:pctWidth>
            </wp14:sizeRelH>
            <wp14:sizeRelV relativeFrom="page">
              <wp14:pctHeight>0</wp14:pctHeight>
            </wp14:sizeRelV>
          </wp:anchor>
        </w:drawing>
      </w:r>
      <w:r w:rsidR="00542215" w:rsidRPr="00037C61">
        <w:rPr>
          <w:lang w:val="en-GB"/>
        </w:rPr>
        <w:t xml:space="preserve">The occupancy rate is almost constant all year-around for the less well-performing counties, while for the counties endowed with accommodation spaces (as Hajdú-Bihar, Bihor, and Békés) there is a </w:t>
      </w:r>
      <w:r w:rsidRPr="00037C61">
        <w:rPr>
          <w:lang w:val="en-GB"/>
        </w:rPr>
        <w:t>summer peak</w:t>
      </w:r>
      <w:r w:rsidR="00542215" w:rsidRPr="00037C61">
        <w:rPr>
          <w:lang w:val="en-GB"/>
        </w:rPr>
        <w:t xml:space="preserve">. Another segment that needs to be improved refers to the autumn and spring period with an occupancy rate of approx. 30%, being end of the seasons, when short holidays can be organized around the legal and Christian holidays. </w:t>
      </w:r>
      <w:r w:rsidR="00542215" w:rsidRPr="00037C61">
        <w:rPr>
          <w:lang w:val="en-GB"/>
        </w:rPr>
        <w:tab/>
      </w:r>
      <w:r w:rsidR="00542215" w:rsidRPr="00037C61">
        <w:rPr>
          <w:lang w:val="en-GB"/>
        </w:rPr>
        <w:tab/>
      </w:r>
      <w:r w:rsidR="00542215" w:rsidRPr="00037C61">
        <w:rPr>
          <w:lang w:val="en-GB"/>
        </w:rPr>
        <w:tab/>
        <w:t xml:space="preserve">         </w:t>
      </w:r>
      <w:r w:rsidR="00542215" w:rsidRPr="00037C61">
        <w:rPr>
          <w:lang w:val="en-GB"/>
        </w:rPr>
        <w:tab/>
      </w:r>
      <w:r w:rsidR="00542215" w:rsidRPr="00037C61">
        <w:rPr>
          <w:lang w:val="en-GB"/>
        </w:rPr>
        <w:tab/>
      </w:r>
      <w:r w:rsidR="00542215" w:rsidRPr="00037C61">
        <w:rPr>
          <w:lang w:val="en-GB"/>
        </w:rPr>
        <w:tab/>
        <w:t xml:space="preserve">          </w:t>
      </w:r>
    </w:p>
    <w:p w14:paraId="77682DFE" w14:textId="0D80A3A4" w:rsidR="00542215" w:rsidRPr="00037C61" w:rsidRDefault="00542215" w:rsidP="27B0E377">
      <w:pPr>
        <w:pStyle w:val="InterregROHUBullet1"/>
        <w:ind w:left="426"/>
        <w:rPr>
          <w:b/>
        </w:rPr>
      </w:pPr>
      <w:r w:rsidRPr="00037C61">
        <w:t xml:space="preserve">The support activities for the tourism industry are found at the level of university centers that train specialists in the management and development of hospitality structures, and in addition we can mention the specialized providers that through projects with non-reimbursable funding provided continuous training services of Horeca staff. </w:t>
      </w:r>
      <w:r w:rsidR="00FF516A" w:rsidRPr="00037C61">
        <w:t xml:space="preserve">At PA level, </w:t>
      </w:r>
      <w:r w:rsidR="00FF516A" w:rsidRPr="00037C61">
        <w:rPr>
          <w:b/>
        </w:rPr>
        <w:t>Horeca and tourism jobs have the lowest salaries in the region, which may represent an obstacle to tourism growth</w:t>
      </w:r>
      <w:r w:rsidR="00FF516A" w:rsidRPr="00037C61">
        <w:t xml:space="preserve">. </w:t>
      </w:r>
      <w:r w:rsidRPr="00037C61">
        <w:t>Last but not least, the tourist information and promotion centers</w:t>
      </w:r>
      <w:r w:rsidRPr="00037C61">
        <w:rPr>
          <w:vertAlign w:val="superscript"/>
        </w:rPr>
        <w:footnoteReference w:id="27"/>
      </w:r>
      <w:r w:rsidRPr="00037C61">
        <w:t xml:space="preserve">, the associations with tourist activity or the agencies have the decisive role in guiding the tourists in order to “consume” the tourist experiences and services properly, in a sustainable way. However, there is still </w:t>
      </w:r>
      <w:r w:rsidR="00C01C72" w:rsidRPr="00037C61">
        <w:t xml:space="preserve">a low </w:t>
      </w:r>
      <w:r w:rsidRPr="00037C61">
        <w:t>level of digitalization in the region to allow the integration of offers on both borders</w:t>
      </w:r>
      <w:r w:rsidR="00C01C72" w:rsidRPr="00037C61">
        <w:t xml:space="preserve"> and no</w:t>
      </w:r>
      <w:r w:rsidRPr="00037C61">
        <w:t xml:space="preserve"> tourist destination management platform to manage resources efficiently and increase the connectivity of tourists with online tourist locations. </w:t>
      </w:r>
      <w:r w:rsidR="00C01C72" w:rsidRPr="00037C61">
        <w:t xml:space="preserve">These are priorities which could be addressed jointly through the programme: A common approach </w:t>
      </w:r>
      <w:r w:rsidR="6D9FD6B6" w:rsidRPr="00037C61">
        <w:t>could</w:t>
      </w:r>
      <w:r w:rsidR="00C01C72" w:rsidRPr="00037C61">
        <w:t xml:space="preserve"> be considered for the management of destinations as well as for the friendly orientation of tourists to the key objectives and for cross border routes.</w:t>
      </w:r>
    </w:p>
    <w:p w14:paraId="72B964D4" w14:textId="72786FCC" w:rsidR="00542215" w:rsidRPr="00037C61" w:rsidRDefault="1C774ED0" w:rsidP="00014AA0">
      <w:pPr>
        <w:pStyle w:val="Heading3"/>
        <w:numPr>
          <w:ilvl w:val="3"/>
          <w:numId w:val="3"/>
        </w:numPr>
      </w:pPr>
      <w:bookmarkStart w:id="375" w:name="_Toc64619540"/>
      <w:bookmarkStart w:id="376" w:name="_Toc47692450"/>
      <w:bookmarkStart w:id="377" w:name="_Toc53137197"/>
      <w:r w:rsidRPr="00037C61">
        <w:lastRenderedPageBreak/>
        <w:t>Research and innovation</w:t>
      </w:r>
      <w:bookmarkEnd w:id="375"/>
      <w:r w:rsidRPr="00037C61">
        <w:t xml:space="preserve"> </w:t>
      </w:r>
      <w:bookmarkEnd w:id="376"/>
      <w:bookmarkEnd w:id="377"/>
    </w:p>
    <w:p w14:paraId="2B42AA64" w14:textId="309688C3" w:rsidR="00542215" w:rsidRPr="00037C61" w:rsidRDefault="00542215" w:rsidP="00C90E44">
      <w:pPr>
        <w:rPr>
          <w:bCs/>
          <w:lang w:val="en-GB"/>
        </w:rPr>
      </w:pPr>
      <w:r w:rsidRPr="00037C61">
        <w:rPr>
          <w:bCs/>
          <w:lang w:val="en-GB"/>
        </w:rPr>
        <w:t>The border region provides specific contribution to meet the growth objectives, mainly regarding EU2020 Strategy, one of its three objectives being smart growth - by developing its economy based on knowledge and innovation. As previously presented, research structures that are strongly linked to scientific and industrial organizations are still in formation, so that research centres are at the level of universities</w:t>
      </w:r>
      <w:r w:rsidR="66EDC66D" w:rsidRPr="00037C61">
        <w:rPr>
          <w:lang w:val="en-GB"/>
        </w:rPr>
        <w:t xml:space="preserve"> or national research institutes</w:t>
      </w:r>
      <w:r w:rsidR="00866764" w:rsidRPr="00037C61">
        <w:rPr>
          <w:lang w:val="en-GB"/>
        </w:rPr>
        <w:t xml:space="preserve">, </w:t>
      </w:r>
      <w:r w:rsidRPr="00037C61">
        <w:rPr>
          <w:bCs/>
          <w:lang w:val="en-GB"/>
        </w:rPr>
        <w:t xml:space="preserve">innovation projects and research platforms constantly expanding and co-opting new members, sectoral institutes, regional development agencies, etc. </w:t>
      </w:r>
    </w:p>
    <w:p w14:paraId="16021285" w14:textId="509B8193" w:rsidR="00542215" w:rsidRPr="00037C61" w:rsidRDefault="00FC1625" w:rsidP="00C90E44">
      <w:pPr>
        <w:pStyle w:val="Heading4"/>
        <w:rPr>
          <w:lang w:val="en-GB"/>
        </w:rPr>
      </w:pPr>
      <w:r w:rsidRPr="00037C61">
        <w:rPr>
          <w:lang w:val="en-GB"/>
        </w:rPr>
        <w:t>Research and development employees</w:t>
      </w:r>
    </w:p>
    <w:p w14:paraId="0A0405DD" w14:textId="2E07E171" w:rsidR="00542215" w:rsidRPr="00037C61" w:rsidRDefault="6446A0E8" w:rsidP="48589249">
      <w:pPr>
        <w:rPr>
          <w:lang w:val="en-GB"/>
        </w:rPr>
      </w:pPr>
      <w:r w:rsidRPr="00037C61">
        <w:rPr>
          <w:lang w:val="en-GB"/>
        </w:rPr>
        <w:t>The level and degree of preparation of human capital for innovation are the most relevant indicators regarding the potential impact of the region's economy, in the current context of the labour movement and the sectoral profile of the two national components. Due to the fact that the data sources were not available for comparability until 2015, for the Hungarian side, extrapolations are made with the existing data. The border region is polarized by Hajdú-Bihar, Csongrád-Csanád and Timiş due to the presence of the largest universities which explains the largest number of R&amp;D employees, while Satu Mare suffered a dramatic decline after 2015. The total staff working in research and development in 2015 is 13,099 people (6.68% more than in 2009), out of which 71.26% are working full-time in Hungary and 60.54% are researchers on both sides of the border</w:t>
      </w:r>
      <w:r w:rsidR="00866764" w:rsidRPr="00037C61">
        <w:rPr>
          <w:lang w:val="en-GB"/>
        </w:rPr>
        <w:t xml:space="preserve">. </w:t>
      </w:r>
    </w:p>
    <w:p w14:paraId="56B3CFC3" w14:textId="3F6E7984" w:rsidR="00542215" w:rsidRPr="00037C61" w:rsidRDefault="6446A0E8" w:rsidP="6446A0E8">
      <w:pPr>
        <w:rPr>
          <w:lang w:val="en-GB"/>
        </w:rPr>
      </w:pPr>
      <w:r w:rsidRPr="00037C61">
        <w:rPr>
          <w:lang w:val="en-GB"/>
        </w:rPr>
        <w:t>On the Romanian border, most R&amp;D employees are in Timiș, followed by Arad, while Satu Mare and Bihor are well below the levels of the two le</w:t>
      </w:r>
      <w:r w:rsidR="4B0BD430" w:rsidRPr="00037C61">
        <w:rPr>
          <w:lang w:val="en-GB"/>
        </w:rPr>
        <w:t>ss</w:t>
      </w:r>
      <w:r w:rsidRPr="00037C61">
        <w:rPr>
          <w:lang w:val="en-GB"/>
        </w:rPr>
        <w:t xml:space="preserve"> developed counties in the Hungarian ranking, with an imbalance in the region. However, during the analysed period there is a smoother growth evolution in terms of the dynamics of research and development jobs in Hungary, the Romanian border having an accelerated growth and then oscillating up to 3,240 people and thus ending 2018 with an increase of about 6 % (2009: 3,046). Regarding the number of researchers, there are no significant variations over time, the trend given by the dynamics of the sector is maintained, on each side of the border, which shows limited but consistent contribution to the economies of the two countries (only Hajdú-Bihar </w:t>
      </w:r>
      <w:r w:rsidR="002739DC" w:rsidRPr="00037C61">
        <w:rPr>
          <w:lang w:val="en-GB"/>
        </w:rPr>
        <w:t xml:space="preserve">and </w:t>
      </w:r>
      <w:r w:rsidRPr="00037C61">
        <w:rPr>
          <w:lang w:val="en-GB"/>
        </w:rPr>
        <w:t>Csongrád-Csanád have more that 1% of active population as researches)</w:t>
      </w:r>
      <w:r w:rsidR="000914CC" w:rsidRPr="00037C61">
        <w:rPr>
          <w:lang w:val="en-GB"/>
        </w:rPr>
        <w:t>.</w:t>
      </w:r>
    </w:p>
    <w:p w14:paraId="7F101AAB" w14:textId="6864C87E" w:rsidR="00542215" w:rsidRPr="00037C61" w:rsidRDefault="6446A0E8" w:rsidP="6446A0E8">
      <w:pPr>
        <w:rPr>
          <w:lang w:val="en-GB"/>
        </w:rPr>
      </w:pPr>
      <w:r w:rsidRPr="00037C61">
        <w:rPr>
          <w:lang w:val="en-GB"/>
        </w:rPr>
        <w:t>At a more detailed look in the region, however, there are disparities in the share of researchers in the total population employed in the R&amp;D sector, on both sides of the border: if Arad has the most stable evolution around 80%, Timiș is easy oscillates approx. 60%, and the two less performing counties are strongly oscillating, in Hungary the share of research in total staff is higher in Hajdú-Bihar and Csongrád-Csanád where most employees are, and researchers in Békés do not represent more than 50% of the total employees in R&amp;D, as the evidence of the last years shows.</w:t>
      </w:r>
    </w:p>
    <w:p w14:paraId="00B04446" w14:textId="3EF5EC11" w:rsidR="00543BEA" w:rsidRPr="00037C61" w:rsidRDefault="00542215" w:rsidP="00543BEA">
      <w:pPr>
        <w:keepNext/>
        <w:jc w:val="left"/>
        <w:rPr>
          <w:lang w:val="en-GB"/>
        </w:rPr>
      </w:pPr>
      <w:r w:rsidRPr="00037C61">
        <w:rPr>
          <w:noProof/>
          <w:lang w:val="ro-RO" w:eastAsia="ro-RO"/>
        </w:rPr>
        <w:drawing>
          <wp:inline distT="0" distB="0" distL="0" distR="0" wp14:anchorId="27E5BBE1" wp14:editId="28A90822">
            <wp:extent cx="5781674" cy="1685021"/>
            <wp:effectExtent l="0" t="0" r="0" b="0"/>
            <wp:docPr id="1490160170" name="Picture 149016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160170"/>
                    <pic:cNvPicPr/>
                  </pic:nvPicPr>
                  <pic:blipFill>
                    <a:blip r:embed="rId142">
                      <a:extLst>
                        <a:ext uri="{28A0092B-C50C-407E-A947-70E740481C1C}">
                          <a14:useLocalDpi xmlns:a14="http://schemas.microsoft.com/office/drawing/2010/main"/>
                        </a:ext>
                      </a:extLst>
                    </a:blip>
                    <a:stretch>
                      <a:fillRect/>
                    </a:stretch>
                  </pic:blipFill>
                  <pic:spPr>
                    <a:xfrm>
                      <a:off x="0" y="0"/>
                      <a:ext cx="5781674" cy="1685021"/>
                    </a:xfrm>
                    <a:prstGeom prst="rect">
                      <a:avLst/>
                    </a:prstGeom>
                  </pic:spPr>
                </pic:pic>
              </a:graphicData>
            </a:graphic>
          </wp:inline>
        </w:drawing>
      </w:r>
    </w:p>
    <w:p w14:paraId="1B1D52C4" w14:textId="540C479B" w:rsidR="00543BEA" w:rsidRPr="00037C61" w:rsidRDefault="00543BEA" w:rsidP="00543BEA">
      <w:pPr>
        <w:pStyle w:val="Caption"/>
        <w:jc w:val="left"/>
        <w:rPr>
          <w:lang w:val="en-GB"/>
        </w:rPr>
      </w:pPr>
      <w:bookmarkStart w:id="378" w:name="_Toc50657570"/>
      <w:bookmarkStart w:id="379" w:name="_Toc6461101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64</w:t>
      </w:r>
      <w:r w:rsidR="00412697">
        <w:rPr>
          <w:lang w:val="en-GB"/>
        </w:rPr>
        <w:fldChar w:fldCharType="end"/>
      </w:r>
      <w:r w:rsidRPr="00037C61">
        <w:rPr>
          <w:lang w:val="en-GB"/>
        </w:rPr>
        <w:t xml:space="preserve"> - Figure X Change in </w:t>
      </w:r>
      <w:r w:rsidR="002A4322" w:rsidRPr="00037C61">
        <w:rPr>
          <w:lang w:val="en-GB"/>
        </w:rPr>
        <w:t>researcher’s</w:t>
      </w:r>
      <w:r w:rsidRPr="00037C61">
        <w:rPr>
          <w:lang w:val="en-GB"/>
        </w:rPr>
        <w:t xml:space="preserve"> share in total R&amp;D payroll (annual %), 2009-2018</w:t>
      </w:r>
      <w:bookmarkEnd w:id="378"/>
      <w:bookmarkEnd w:id="379"/>
      <w:r w:rsidRPr="00037C61">
        <w:rPr>
          <w:lang w:val="en-GB"/>
        </w:rPr>
        <w:t xml:space="preserve">  </w:t>
      </w:r>
    </w:p>
    <w:p w14:paraId="30BA3CBC" w14:textId="4051BF1B" w:rsidR="00542215" w:rsidRPr="00037C61" w:rsidRDefault="00543BEA" w:rsidP="00543BEA">
      <w:pPr>
        <w:pStyle w:val="Caption"/>
        <w:spacing w:after="240"/>
        <w:jc w:val="left"/>
        <w:rPr>
          <w:bCs/>
          <w:lang w:val="en-GB"/>
        </w:rPr>
      </w:pPr>
      <w:r w:rsidRPr="00037C61">
        <w:rPr>
          <w:lang w:val="en-GB"/>
        </w:rPr>
        <w:t>Source: INSE and KSH, R&amp;D personnel 2009-2018 for RO border; 2009-2015 for HU border and 2016-2018 estimated</w:t>
      </w:r>
    </w:p>
    <w:p w14:paraId="1E37B975" w14:textId="629E1E80" w:rsidR="00542215" w:rsidRPr="00037C61" w:rsidRDefault="00542215" w:rsidP="00543BEA">
      <w:pPr>
        <w:pStyle w:val="Heading4"/>
        <w:rPr>
          <w:lang w:val="en-GB"/>
        </w:rPr>
      </w:pPr>
      <w:r w:rsidRPr="00037C61">
        <w:rPr>
          <w:lang w:val="en-GB"/>
        </w:rPr>
        <w:lastRenderedPageBreak/>
        <w:t>Research and development expenditure</w:t>
      </w:r>
    </w:p>
    <w:p w14:paraId="3F8ECA20" w14:textId="20538EAD" w:rsidR="00542215" w:rsidRPr="00037C61" w:rsidRDefault="0085507E" w:rsidP="6446A0E8">
      <w:pPr>
        <w:rPr>
          <w:lang w:val="en-GB"/>
        </w:rPr>
      </w:pPr>
      <w:r w:rsidRPr="00037C61">
        <w:rPr>
          <w:noProof/>
          <w:lang w:val="ro-RO" w:eastAsia="ro-RO"/>
        </w:rPr>
        <mc:AlternateContent>
          <mc:Choice Requires="wps">
            <w:drawing>
              <wp:anchor distT="0" distB="0" distL="114300" distR="114300" simplePos="0" relativeHeight="251620864" behindDoc="0" locked="0" layoutInCell="1" allowOverlap="1" wp14:anchorId="595BD23C" wp14:editId="282F58B3">
                <wp:simplePos x="0" y="0"/>
                <wp:positionH relativeFrom="column">
                  <wp:posOffset>19050</wp:posOffset>
                </wp:positionH>
                <wp:positionV relativeFrom="paragraph">
                  <wp:posOffset>2286635</wp:posOffset>
                </wp:positionV>
                <wp:extent cx="3371850" cy="438150"/>
                <wp:effectExtent l="0" t="0" r="0" b="0"/>
                <wp:wrapThrough wrapText="bothSides">
                  <wp:wrapPolygon edited="0">
                    <wp:start x="0" y="0"/>
                    <wp:lineTo x="0" y="20661"/>
                    <wp:lineTo x="21478" y="20661"/>
                    <wp:lineTo x="21478" y="0"/>
                    <wp:lineTo x="0" y="0"/>
                  </wp:wrapPolygon>
                </wp:wrapThrough>
                <wp:docPr id="114" name="Text Box 114"/>
                <wp:cNvGraphicFramePr/>
                <a:graphic xmlns:a="http://schemas.openxmlformats.org/drawingml/2006/main">
                  <a:graphicData uri="http://schemas.microsoft.com/office/word/2010/wordprocessingShape">
                    <wps:wsp>
                      <wps:cNvSpPr txBox="1"/>
                      <wps:spPr>
                        <a:xfrm>
                          <a:off x="0" y="0"/>
                          <a:ext cx="3371850" cy="438150"/>
                        </a:xfrm>
                        <a:prstGeom prst="rect">
                          <a:avLst/>
                        </a:prstGeom>
                        <a:solidFill>
                          <a:prstClr val="white"/>
                        </a:solidFill>
                        <a:ln>
                          <a:noFill/>
                        </a:ln>
                      </wps:spPr>
                      <wps:txbx>
                        <w:txbxContent>
                          <w:p w14:paraId="29FE031F" w14:textId="3C952EA1" w:rsidR="00944B4A" w:rsidRPr="00612AD6" w:rsidRDefault="00944B4A" w:rsidP="00543BEA">
                            <w:pPr>
                              <w:pStyle w:val="Caption"/>
                              <w:jc w:val="left"/>
                              <w:rPr>
                                <w:lang w:val="en-US"/>
                              </w:rPr>
                            </w:pPr>
                            <w:bookmarkStart w:id="380" w:name="_Toc64611014"/>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65</w:t>
                            </w:r>
                            <w:r>
                              <w:rPr>
                                <w:lang w:val="en-US"/>
                              </w:rPr>
                              <w:fldChar w:fldCharType="end"/>
                            </w:r>
                            <w:r w:rsidRPr="00612AD6">
                              <w:rPr>
                                <w:lang w:val="en-US"/>
                              </w:rPr>
                              <w:t xml:space="preserve"> - Euro per R&amp;D personnel in Romania, Hungary and RO-HU area</w:t>
                            </w:r>
                            <w:bookmarkEnd w:id="380"/>
                            <w:r w:rsidRPr="00612AD6">
                              <w:rPr>
                                <w:lang w:val="en-US"/>
                              </w:rPr>
                              <w:t xml:space="preserve"> </w:t>
                            </w:r>
                          </w:p>
                          <w:p w14:paraId="0022DFE4" w14:textId="46194F72" w:rsidR="00944B4A" w:rsidRPr="00612AD6" w:rsidRDefault="00944B4A" w:rsidP="00543BEA">
                            <w:pPr>
                              <w:pStyle w:val="Caption"/>
                              <w:jc w:val="left"/>
                              <w:rPr>
                                <w:bCs/>
                                <w:noProof/>
                                <w:lang w:val="en-US"/>
                              </w:rPr>
                            </w:pPr>
                            <w:r w:rsidRPr="00612AD6">
                              <w:rPr>
                                <w:lang w:val="en-US"/>
                              </w:rPr>
                              <w:t>Source:</w:t>
                            </w:r>
                            <w:r>
                              <w:rPr>
                                <w:lang w:val="en-US"/>
                              </w:rPr>
                              <w:t xml:space="preserve"> INS</w:t>
                            </w:r>
                            <w:r w:rsidRPr="00612AD6">
                              <w:rPr>
                                <w:lang w:val="en-US"/>
                              </w:rPr>
                              <w:t>, KSH, calculated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5BD23C" id="Text Box 114" o:spid="_x0000_s1035" type="#_x0000_t202" style="position:absolute;left:0;text-align:left;margin-left:1.5pt;margin-top:180.05pt;width:265.5pt;height:34.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" stroked="f">
                <v:textbox inset="0,0,0,0">
                  <w:txbxContent>
                    <w:p w14:paraId="29FE031F" w14:textId="3C952EA1" w:rsidR="00944B4A" w:rsidRPr="00612AD6" w:rsidRDefault="00944B4A" w:rsidP="00543BEA">
                      <w:pPr>
                        <w:pStyle w:val="Didascalia"/>
                        <w:jc w:val="left"/>
                        <w:rPr>
                          <w:lang w:val="en-US"/>
                        </w:rPr>
                      </w:pPr>
                      <w:bookmarkStart w:id="411" w:name="_Toc64611014"/>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65</w:t>
                      </w:r>
                      <w:r>
                        <w:rPr>
                          <w:lang w:val="en-US"/>
                        </w:rPr>
                        <w:fldChar w:fldCharType="end"/>
                      </w:r>
                      <w:r w:rsidRPr="00612AD6">
                        <w:rPr>
                          <w:lang w:val="en-US"/>
                        </w:rPr>
                        <w:t xml:space="preserve"> - Euro per R&amp;D personnel in Romania, Hungary and RO-HU area</w:t>
                      </w:r>
                      <w:bookmarkEnd w:id="411"/>
                      <w:r w:rsidRPr="00612AD6">
                        <w:rPr>
                          <w:lang w:val="en-US"/>
                        </w:rPr>
                        <w:t xml:space="preserve"> </w:t>
                      </w:r>
                    </w:p>
                    <w:p w14:paraId="0022DFE4" w14:textId="46194F72" w:rsidR="00944B4A" w:rsidRPr="00612AD6" w:rsidRDefault="00944B4A" w:rsidP="00543BEA">
                      <w:pPr>
                        <w:pStyle w:val="Didascalia"/>
                        <w:jc w:val="left"/>
                        <w:rPr>
                          <w:bCs/>
                          <w:noProof/>
                          <w:lang w:val="en-US"/>
                        </w:rPr>
                      </w:pPr>
                      <w:r w:rsidRPr="00612AD6">
                        <w:rPr>
                          <w:lang w:val="en-US"/>
                        </w:rPr>
                        <w:t>Source:</w:t>
                      </w:r>
                      <w:r>
                        <w:rPr>
                          <w:lang w:val="en-US"/>
                        </w:rPr>
                        <w:t xml:space="preserve"> INS</w:t>
                      </w:r>
                      <w:r w:rsidRPr="00612AD6">
                        <w:rPr>
                          <w:lang w:val="en-US"/>
                        </w:rPr>
                        <w:t>, KSH, calculated</w:t>
                      </w:r>
                    </w:p>
                  </w:txbxContent>
                </v:textbox>
                <w10:wrap type="through"/>
              </v:shape>
            </w:pict>
          </mc:Fallback>
        </mc:AlternateContent>
      </w:r>
      <w:r w:rsidRPr="00037C61">
        <w:rPr>
          <w:i/>
          <w:noProof/>
          <w:lang w:val="ro-RO" w:eastAsia="ro-RO"/>
        </w:rPr>
        <w:drawing>
          <wp:anchor distT="0" distB="0" distL="114300" distR="114300" simplePos="0" relativeHeight="251615744" behindDoc="0" locked="0" layoutInCell="1" allowOverlap="1" wp14:anchorId="5795445A" wp14:editId="3B6A8E77">
            <wp:simplePos x="0" y="0"/>
            <wp:positionH relativeFrom="column">
              <wp:posOffset>19050</wp:posOffset>
            </wp:positionH>
            <wp:positionV relativeFrom="paragraph">
              <wp:posOffset>67310</wp:posOffset>
            </wp:positionV>
            <wp:extent cx="3371850" cy="2251075"/>
            <wp:effectExtent l="0" t="0" r="0" b="0"/>
            <wp:wrapThrough wrapText="bothSides">
              <wp:wrapPolygon edited="0">
                <wp:start x="0" y="0"/>
                <wp:lineTo x="0" y="21387"/>
                <wp:lineTo x="21478" y="21387"/>
                <wp:lineTo x="2147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3371850" cy="2251075"/>
                    </a:xfrm>
                    <a:prstGeom prst="rect">
                      <a:avLst/>
                    </a:prstGeom>
                    <a:noFill/>
                  </pic:spPr>
                </pic:pic>
              </a:graphicData>
            </a:graphic>
            <wp14:sizeRelH relativeFrom="page">
              <wp14:pctWidth>0</wp14:pctWidth>
            </wp14:sizeRelH>
            <wp14:sizeRelV relativeFrom="page">
              <wp14:pctHeight>0</wp14:pctHeight>
            </wp14:sizeRelV>
          </wp:anchor>
        </w:drawing>
      </w:r>
      <w:r w:rsidR="00542215" w:rsidRPr="00037C61">
        <w:rPr>
          <w:lang w:val="en-GB"/>
        </w:rPr>
        <w:t>In terms of R&amp;D expenditures as a whole, the region is responsible for 9.30% of total cost spent by both countries in 2018 (out of which 74% is generated by Hungarian side), which is quite substantial in relation to researcher’s share in civil economically active population (0.45% for both sides). In dynamics, it is observed that year by year the costs incurred by a research employee increased in the region, a trend that both national data series have, with a higher emphasis in the second part of the interval for the Hungarian side.</w:t>
      </w:r>
      <w:r w:rsidRPr="00037C61">
        <w:rPr>
          <w:lang w:val="en-GB"/>
        </w:rPr>
        <w:t xml:space="preserve"> </w:t>
      </w:r>
      <w:r w:rsidR="00542215" w:rsidRPr="00037C61">
        <w:rPr>
          <w:lang w:val="en-GB"/>
        </w:rPr>
        <w:t>However, a direct comparison of the data series from the ten years of analysis shows the following trends in the region:</w:t>
      </w:r>
    </w:p>
    <w:p w14:paraId="63ECFF85" w14:textId="7C6CB696" w:rsidR="00542215" w:rsidRPr="00037C61" w:rsidRDefault="00C43830" w:rsidP="0094417F">
      <w:pPr>
        <w:pStyle w:val="InterregROHUBullet1"/>
        <w:ind w:left="567"/>
      </w:pPr>
      <w:r w:rsidRPr="00037C61">
        <w:t>T</w:t>
      </w:r>
      <w:r w:rsidR="00542215" w:rsidRPr="00037C61">
        <w:t>he Romanian counties had a similar pace to the national one, in 2018 the share of R&amp;D expenditures in GDP (0.46%) is close to the national average of 0.50% of GDP, while the Hungarian counties are at 65% of their national level.</w:t>
      </w:r>
    </w:p>
    <w:p w14:paraId="16137F9D" w14:textId="7572FDED" w:rsidR="00542215" w:rsidRPr="00037C61" w:rsidRDefault="52230E0C" w:rsidP="0094417F">
      <w:pPr>
        <w:pStyle w:val="InterregROHUBullet1"/>
        <w:ind w:left="567"/>
      </w:pPr>
      <w:r w:rsidRPr="00037C61">
        <w:t>The combination of values in the border counties generates a level for the PA marked by national values and shows the opportunity to continue these investments and expenditures, especially on the Romanian border in order to maintain sustainability and balance with Hungarian contributions.</w:t>
      </w:r>
    </w:p>
    <w:p w14:paraId="05136BE7" w14:textId="578471CB" w:rsidR="00542215" w:rsidRPr="00037C61" w:rsidRDefault="6446A0E8" w:rsidP="0094417F">
      <w:pPr>
        <w:pStyle w:val="InterregROHUBullet1"/>
        <w:ind w:left="567"/>
      </w:pPr>
      <w:r w:rsidRPr="00037C61">
        <w:t>There are strong disparities in the cross-border region where the champions Csongrád-Csanád (the only one with a level above the European average) stand out, followed by Hajdú-Bihar (with a level above its national average), while Satu Mare and Bihor allocate only 0.01% of Annual GDP.</w:t>
      </w:r>
    </w:p>
    <w:p w14:paraId="7F14B8AB" w14:textId="59BF10EC" w:rsidR="00543BEA" w:rsidRPr="00037C61" w:rsidRDefault="00542215" w:rsidP="00543BEA">
      <w:pPr>
        <w:keepNext/>
        <w:spacing w:after="0"/>
        <w:rPr>
          <w:lang w:val="en-GB"/>
        </w:rPr>
      </w:pPr>
      <w:r w:rsidRPr="00037C61">
        <w:rPr>
          <w:noProof/>
          <w:lang w:val="ro-RO" w:eastAsia="ro-RO"/>
        </w:rPr>
        <w:drawing>
          <wp:inline distT="0" distB="0" distL="0" distR="0" wp14:anchorId="104476CA" wp14:editId="6A5B33F0">
            <wp:extent cx="4377267" cy="2289982"/>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44">
                      <a:extLst>
                        <a:ext uri="{28A0092B-C50C-407E-A947-70E740481C1C}">
                          <a14:useLocalDpi xmlns:a14="http://schemas.microsoft.com/office/drawing/2010/main"/>
                        </a:ext>
                      </a:extLst>
                    </a:blip>
                    <a:stretch>
                      <a:fillRect/>
                    </a:stretch>
                  </pic:blipFill>
                  <pic:spPr>
                    <a:xfrm>
                      <a:off x="0" y="0"/>
                      <a:ext cx="4377267" cy="2289982"/>
                    </a:xfrm>
                    <a:prstGeom prst="rect">
                      <a:avLst/>
                    </a:prstGeom>
                  </pic:spPr>
                </pic:pic>
              </a:graphicData>
            </a:graphic>
          </wp:inline>
        </w:drawing>
      </w:r>
    </w:p>
    <w:p w14:paraId="3D6C14ED" w14:textId="7623F34D" w:rsidR="00543BEA" w:rsidRPr="00037C61" w:rsidRDefault="00543BEA" w:rsidP="00543BEA">
      <w:pPr>
        <w:pStyle w:val="Caption"/>
        <w:jc w:val="both"/>
        <w:rPr>
          <w:bCs/>
          <w:lang w:val="en-GB"/>
        </w:rPr>
      </w:pPr>
      <w:bookmarkStart w:id="381" w:name="_Toc50657572"/>
      <w:bookmarkStart w:id="382" w:name="_Toc6461101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66</w:t>
      </w:r>
      <w:r w:rsidR="00412697">
        <w:rPr>
          <w:lang w:val="en-GB"/>
        </w:rPr>
        <w:fldChar w:fldCharType="end"/>
      </w:r>
      <w:r w:rsidRPr="00037C61">
        <w:rPr>
          <w:lang w:val="en-GB"/>
        </w:rPr>
        <w:t xml:space="preserve"> - R&amp;D as % of GDP of (NUTS 3 level) in comparison Source: </w:t>
      </w:r>
      <w:r w:rsidR="00124940" w:rsidRPr="00037C61">
        <w:rPr>
          <w:lang w:val="en-GB"/>
        </w:rPr>
        <w:t>INS</w:t>
      </w:r>
      <w:r w:rsidRPr="00037C61">
        <w:rPr>
          <w:lang w:val="en-GB"/>
        </w:rPr>
        <w:t xml:space="preserve">, </w:t>
      </w:r>
      <w:r w:rsidR="00743CF6" w:rsidRPr="00037C61">
        <w:rPr>
          <w:lang w:val="en-GB"/>
        </w:rPr>
        <w:t>KSH</w:t>
      </w:r>
      <w:r w:rsidRPr="00037C61">
        <w:rPr>
          <w:lang w:val="en-GB"/>
        </w:rPr>
        <w:t>, calculated</w:t>
      </w:r>
      <w:bookmarkEnd w:id="381"/>
      <w:bookmarkEnd w:id="382"/>
    </w:p>
    <w:p w14:paraId="149CD175" w14:textId="77777777" w:rsidR="00543BEA" w:rsidRPr="00037C61" w:rsidRDefault="00542215" w:rsidP="00543BEA">
      <w:pPr>
        <w:spacing w:before="240" w:after="0"/>
        <w:rPr>
          <w:bCs/>
          <w:lang w:val="en-GB"/>
        </w:rPr>
      </w:pPr>
      <w:r w:rsidRPr="00037C61">
        <w:rPr>
          <w:bCs/>
          <w:lang w:val="en-GB"/>
        </w:rPr>
        <w:lastRenderedPageBreak/>
        <w:t xml:space="preserve">Despite of latest favourable developments in terms of R&amp;D cost and its positive impact on regional economies, the </w:t>
      </w:r>
      <w:r w:rsidRPr="00037C61">
        <w:rPr>
          <w:b/>
          <w:lang w:val="en-GB"/>
        </w:rPr>
        <w:t>total cost as share of GDP is still low in comparison with actual level of EU (2,15%)</w:t>
      </w:r>
      <w:r w:rsidRPr="00037C61">
        <w:rPr>
          <w:bCs/>
          <w:lang w:val="en-GB"/>
        </w:rPr>
        <w:t xml:space="preserve"> or the well-known target of 3% of GDP, but with large perspective in terms of volume of investment.</w:t>
      </w:r>
      <w:r w:rsidR="00543BEA" w:rsidRPr="00037C61">
        <w:rPr>
          <w:bCs/>
          <w:lang w:val="en-GB"/>
        </w:rPr>
        <w:t xml:space="preserve"> </w:t>
      </w:r>
    </w:p>
    <w:p w14:paraId="1616EB5F" w14:textId="3F710562" w:rsidR="00542215" w:rsidRPr="00037C61" w:rsidRDefault="52230E0C" w:rsidP="6446A0E8">
      <w:pPr>
        <w:rPr>
          <w:lang w:val="en-GB"/>
        </w:rPr>
      </w:pPr>
      <w:r w:rsidRPr="00037C61">
        <w:rPr>
          <w:lang w:val="en-GB"/>
        </w:rPr>
        <w:t>If we place the figures on human capital and research and development costs in the context of research centres in universities and projects carried out in the recent period, we find a potential for development and specialization that follows the profile of these university environments. As such, the territorial development models are also based on the functional and sectorial specialization (cluster), along the PA being identified certain specializations that can be further the subject of cross-border cooperation:</w:t>
      </w:r>
    </w:p>
    <w:p w14:paraId="0E7CB45C" w14:textId="6D37C22A" w:rsidR="00542215" w:rsidRPr="00037C61" w:rsidRDefault="00542215" w:rsidP="0094417F">
      <w:pPr>
        <w:pStyle w:val="InterregROHUBullet1"/>
        <w:ind w:left="567"/>
      </w:pPr>
      <w:r w:rsidRPr="00037C61">
        <w:t xml:space="preserve">Romanian side: ICT / Services, Automotive, Manufacturing, </w:t>
      </w:r>
      <w:r w:rsidR="002A4322" w:rsidRPr="00037C61">
        <w:t>Agri-food</w:t>
      </w:r>
      <w:r w:rsidRPr="00037C61">
        <w:t xml:space="preserve">, Building &amp; Urban Regeneration, Energy Efficiency &amp; Renewable Energy, Health, </w:t>
      </w:r>
      <w:r w:rsidR="7B81CC21" w:rsidRPr="00037C61">
        <w:t>n</w:t>
      </w:r>
      <w:r w:rsidRPr="00037C61">
        <w:t xml:space="preserve">iche </w:t>
      </w:r>
      <w:r w:rsidR="2F99A8FA" w:rsidRPr="00037C61">
        <w:t>T</w:t>
      </w:r>
      <w:r w:rsidRPr="00037C61">
        <w:t xml:space="preserve">ourism like </w:t>
      </w:r>
      <w:r w:rsidR="57C1A5B5" w:rsidRPr="00037C61">
        <w:t>c</w:t>
      </w:r>
      <w:r w:rsidRPr="00037C61">
        <w:t xml:space="preserve">onferences, </w:t>
      </w:r>
      <w:r w:rsidR="30364829" w:rsidRPr="00037C61">
        <w:t>h</w:t>
      </w:r>
      <w:r w:rsidRPr="00037C61">
        <w:t>ealth, creative tourism</w:t>
      </w:r>
    </w:p>
    <w:p w14:paraId="611FD5CE" w14:textId="77777777" w:rsidR="00542215" w:rsidRPr="00037C61" w:rsidRDefault="00542215" w:rsidP="0094417F">
      <w:pPr>
        <w:pStyle w:val="InterregROHUBullet1"/>
        <w:ind w:left="567"/>
      </w:pPr>
      <w:r w:rsidRPr="00037C61">
        <w:t>Hungarian side: ICT, Construction, Metal Industry, Energy, Sport, Health</w:t>
      </w:r>
    </w:p>
    <w:p w14:paraId="29CAB7A5" w14:textId="01DA8A74" w:rsidR="00542215" w:rsidRPr="00037C61" w:rsidRDefault="00542215" w:rsidP="00C90E44">
      <w:pPr>
        <w:pStyle w:val="Heading4"/>
        <w:rPr>
          <w:lang w:val="en-GB"/>
        </w:rPr>
      </w:pPr>
      <w:r w:rsidRPr="00037C61">
        <w:rPr>
          <w:lang w:val="en-GB"/>
        </w:rPr>
        <w:t xml:space="preserve">Community Design (CD) applications </w:t>
      </w:r>
    </w:p>
    <w:p w14:paraId="60F3F215" w14:textId="0F20B32E" w:rsidR="00542215" w:rsidRPr="00037C61" w:rsidRDefault="6446A0E8" w:rsidP="6446A0E8">
      <w:pPr>
        <w:rPr>
          <w:lang w:val="en-GB"/>
        </w:rPr>
      </w:pPr>
      <w:r w:rsidRPr="00037C61">
        <w:rPr>
          <w:lang w:val="en-GB"/>
        </w:rPr>
        <w:t>Regarding the</w:t>
      </w:r>
      <w:r w:rsidR="002A4322" w:rsidRPr="00037C61">
        <w:rPr>
          <w:lang w:val="en-GB"/>
        </w:rPr>
        <w:t xml:space="preserve"> </w:t>
      </w:r>
      <w:r w:rsidRPr="00037C61">
        <w:rPr>
          <w:lang w:val="en-GB"/>
        </w:rPr>
        <w:t xml:space="preserve">patent registration requests at the level of the European statistical region, it is not consistent regarding the annual data, but for the period 2009-2016 it shows a total number of 108 applications, out of which 62 promoted by Romanian entrepreneurs and 46 Hungarian </w:t>
      </w:r>
      <w:r w:rsidR="3296EF0D" w:rsidRPr="00037C61">
        <w:rPr>
          <w:lang w:val="en-GB"/>
        </w:rPr>
        <w:t>ones</w:t>
      </w:r>
      <w:r w:rsidRPr="00037C61">
        <w:rPr>
          <w:lang w:val="en-GB"/>
        </w:rPr>
        <w:t>. What is interesting is that most come from the Romanian counties where the smallest funds are allocated and the fewest specialists are active (Satu Mare 14 and Bihor 36), while the counties with the most funds have proposed 41 applications (Csongrád-Csanád and Hajdú-Bihar). The temporal distribution of these applications places the most starting with 2013 (17 annual applications), except for 2014 with a lower level.</w:t>
      </w:r>
    </w:p>
    <w:p w14:paraId="3E116644" w14:textId="7AA00970" w:rsidR="00542215" w:rsidRPr="00037C61" w:rsidRDefault="1C774ED0" w:rsidP="00014AA0">
      <w:pPr>
        <w:pStyle w:val="Heading3"/>
        <w:numPr>
          <w:ilvl w:val="3"/>
          <w:numId w:val="3"/>
        </w:numPr>
      </w:pPr>
      <w:bookmarkStart w:id="383" w:name="_Toc53895115"/>
      <w:bookmarkStart w:id="384" w:name="_Toc53895116"/>
      <w:bookmarkStart w:id="385" w:name="_Toc53895117"/>
      <w:bookmarkStart w:id="386" w:name="_Toc53895118"/>
      <w:bookmarkStart w:id="387" w:name="_Toc53137198"/>
      <w:bookmarkStart w:id="388" w:name="_Toc64619541"/>
      <w:bookmarkStart w:id="389" w:name="_Toc47692451"/>
      <w:bookmarkEnd w:id="383"/>
      <w:bookmarkEnd w:id="384"/>
      <w:bookmarkEnd w:id="385"/>
      <w:bookmarkEnd w:id="386"/>
      <w:r w:rsidRPr="00037C61">
        <w:t>Business support systems</w:t>
      </w:r>
      <w:bookmarkEnd w:id="387"/>
      <w:bookmarkEnd w:id="388"/>
      <w:r w:rsidRPr="00037C61">
        <w:t xml:space="preserve"> </w:t>
      </w:r>
      <w:bookmarkEnd w:id="389"/>
    </w:p>
    <w:p w14:paraId="08D16241" w14:textId="6C973D6F" w:rsidR="00542215" w:rsidRPr="00037C61" w:rsidRDefault="00542215" w:rsidP="00C90E44">
      <w:pPr>
        <w:pStyle w:val="Heading4"/>
        <w:rPr>
          <w:lang w:val="en-GB"/>
        </w:rPr>
      </w:pPr>
      <w:r w:rsidRPr="00037C61">
        <w:rPr>
          <w:lang w:val="en-GB"/>
        </w:rPr>
        <w:t xml:space="preserve">Finance / investments </w:t>
      </w:r>
    </w:p>
    <w:p w14:paraId="6680E5BE" w14:textId="7486B12B" w:rsidR="00542215" w:rsidRPr="00037C61" w:rsidRDefault="00542215" w:rsidP="43A5E8BA">
      <w:pPr>
        <w:spacing w:after="0"/>
        <w:rPr>
          <w:lang w:val="en-GB"/>
        </w:rPr>
      </w:pPr>
      <w:r w:rsidRPr="00037C61">
        <w:rPr>
          <w:lang w:val="en-GB"/>
        </w:rPr>
        <w:t>Business support structures require considerable effort and institutional initiative by local and regional public authorities because a large enough capital is needed to develop a suite of buildings with utilities and functional communications infrastructure and be made available to entrepreneurs. Even so, the EU through its multi-annual non-refundable aid programs has come to the aid of the authorities since the 1990s for the counties of the region, especially for incubators, and then financed the industrial parks, first structures in the 2000s.</w:t>
      </w:r>
    </w:p>
    <w:p w14:paraId="35622746" w14:textId="77777777" w:rsidR="00FC1625" w:rsidRPr="00037C61" w:rsidRDefault="00FC1625" w:rsidP="00543BEA">
      <w:pPr>
        <w:spacing w:after="0"/>
        <w:rPr>
          <w:bCs/>
          <w:lang w:val="en-GB"/>
        </w:rPr>
      </w:pPr>
    </w:p>
    <w:p w14:paraId="79FA8D3A" w14:textId="113B80CD" w:rsidR="00542215" w:rsidRPr="00037C61" w:rsidRDefault="00542215" w:rsidP="43A5E8BA">
      <w:pPr>
        <w:spacing w:after="0"/>
        <w:rPr>
          <w:lang w:val="en-GB"/>
        </w:rPr>
      </w:pPr>
      <w:r w:rsidRPr="00037C61">
        <w:rPr>
          <w:lang w:val="en-GB"/>
        </w:rPr>
        <w:t xml:space="preserve">After the accession to the EU, both for Hungary and for Romania </w:t>
      </w:r>
      <w:r w:rsidR="00C43830" w:rsidRPr="00037C61">
        <w:rPr>
          <w:lang w:val="en-GB"/>
        </w:rPr>
        <w:t xml:space="preserve">it </w:t>
      </w:r>
      <w:r w:rsidRPr="00037C61">
        <w:rPr>
          <w:lang w:val="en-GB"/>
        </w:rPr>
        <w:t xml:space="preserve">meant </w:t>
      </w:r>
      <w:r w:rsidR="00C43830" w:rsidRPr="00037C61">
        <w:rPr>
          <w:lang w:val="en-GB"/>
        </w:rPr>
        <w:t>new</w:t>
      </w:r>
      <w:r w:rsidRPr="00037C61">
        <w:rPr>
          <w:lang w:val="en-GB"/>
        </w:rPr>
        <w:t xml:space="preserve"> opportunities for continuing investment and attracting non-reimbursable funds for other business support structures, but it seems that these structures attracted rather start-up, rather than entities that are able to develop technology and then be helped to achieve technology transfer</w:t>
      </w:r>
      <w:r w:rsidR="00C43830" w:rsidRPr="00037C61">
        <w:rPr>
          <w:lang w:val="en-GB"/>
        </w:rPr>
        <w:t>.</w:t>
      </w:r>
      <w:r w:rsidR="002A4322" w:rsidRPr="00037C61">
        <w:rPr>
          <w:lang w:val="en-GB"/>
        </w:rPr>
        <w:t xml:space="preserve"> </w:t>
      </w:r>
      <w:r w:rsidR="00C43830" w:rsidRPr="00037C61">
        <w:rPr>
          <w:lang w:val="en-GB"/>
        </w:rPr>
        <w:t>Thus</w:t>
      </w:r>
      <w:r w:rsidR="4C484795" w:rsidRPr="00037C61">
        <w:rPr>
          <w:lang w:val="en-GB"/>
        </w:rPr>
        <w:t>,</w:t>
      </w:r>
      <w:r w:rsidR="00C43830" w:rsidRPr="00037C61">
        <w:rPr>
          <w:lang w:val="en-GB"/>
        </w:rPr>
        <w:t xml:space="preserve"> </w:t>
      </w:r>
      <w:r w:rsidRPr="00037C61">
        <w:rPr>
          <w:lang w:val="en-GB"/>
        </w:rPr>
        <w:t>the effects were lower than expected. However, generically the funding was provided through projects with non-reimbursable funds, several partnership initiatives were implemented and as follows there is limited cooperation in the RO-HU border region in terms of supporting cross-border activities in time and space.</w:t>
      </w:r>
    </w:p>
    <w:p w14:paraId="60BA5B5D" w14:textId="77777777" w:rsidR="0085507E" w:rsidRPr="00037C61" w:rsidRDefault="0085507E" w:rsidP="0085507E">
      <w:pPr>
        <w:keepNext/>
        <w:spacing w:after="0"/>
        <w:rPr>
          <w:lang w:val="en-GB"/>
        </w:rPr>
      </w:pPr>
      <w:r w:rsidRPr="00037C61">
        <w:rPr>
          <w:noProof/>
          <w:lang w:val="ro-RO" w:eastAsia="ro-RO"/>
        </w:rPr>
        <w:lastRenderedPageBreak/>
        <w:drawing>
          <wp:inline distT="0" distB="0" distL="0" distR="0" wp14:anchorId="31778A57" wp14:editId="43AC37DF">
            <wp:extent cx="5695950" cy="1733550"/>
            <wp:effectExtent l="0" t="0" r="0" b="0"/>
            <wp:docPr id="173" name="Chart 17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F83775-17C3-4F5B-9F18-D3B2407B8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B2C47F0" w14:textId="5C39C3B0" w:rsidR="0003054D" w:rsidRPr="00037C61" w:rsidRDefault="52230E0C" w:rsidP="0085507E">
      <w:pPr>
        <w:pStyle w:val="Caption"/>
        <w:jc w:val="both"/>
        <w:rPr>
          <w:lang w:val="en-GB"/>
        </w:rPr>
      </w:pPr>
      <w:bookmarkStart w:id="390" w:name="_Toc50657573"/>
      <w:bookmarkStart w:id="391" w:name="_Toc6461101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67</w:t>
      </w:r>
      <w:r w:rsidR="00412697">
        <w:rPr>
          <w:lang w:val="en-GB"/>
        </w:rPr>
        <w:fldChar w:fldCharType="end"/>
      </w:r>
      <w:r w:rsidRPr="00037C61">
        <w:rPr>
          <w:lang w:val="en-GB"/>
        </w:rPr>
        <w:t xml:space="preserve"> - Business structure in RO-HU </w:t>
      </w:r>
      <w:bookmarkEnd w:id="390"/>
      <w:r w:rsidRPr="00037C61">
        <w:rPr>
          <w:lang w:val="en-GB"/>
        </w:rPr>
        <w:t>PA</w:t>
      </w:r>
      <w:bookmarkEnd w:id="391"/>
      <w:r w:rsidRPr="00037C61">
        <w:rPr>
          <w:lang w:val="en-GB"/>
        </w:rPr>
        <w:t xml:space="preserve"> </w:t>
      </w:r>
    </w:p>
    <w:p w14:paraId="2BACCB12" w14:textId="7438628F" w:rsidR="0003054D" w:rsidRPr="00037C61" w:rsidRDefault="0003054D" w:rsidP="0003054D">
      <w:pPr>
        <w:pStyle w:val="Caption"/>
        <w:jc w:val="left"/>
        <w:rPr>
          <w:lang w:val="en-GB"/>
        </w:rPr>
      </w:pPr>
      <w:r w:rsidRPr="00037C61">
        <w:rPr>
          <w:lang w:val="en-GB"/>
        </w:rPr>
        <w:t>Source: Romanian</w:t>
      </w:r>
      <w:r w:rsidR="1E0D32F2" w:rsidRPr="00037C61">
        <w:rPr>
          <w:lang w:val="en-GB"/>
        </w:rPr>
        <w:t>/</w:t>
      </w:r>
      <w:r w:rsidRPr="00037C61">
        <w:rPr>
          <w:lang w:val="en-GB"/>
        </w:rPr>
        <w:t xml:space="preserve"> Hungarian Government Official Website</w:t>
      </w:r>
      <w:r w:rsidR="4C049AD8" w:rsidRPr="00037C61">
        <w:rPr>
          <w:lang w:val="en-GB"/>
        </w:rPr>
        <w:t>s</w:t>
      </w:r>
      <w:r w:rsidRPr="00037C61">
        <w:rPr>
          <w:lang w:val="en-GB"/>
        </w:rPr>
        <w:t>, 2019</w:t>
      </w:r>
      <w:r w:rsidR="00C43830" w:rsidRPr="00037C61">
        <w:rPr>
          <w:lang w:val="en-GB"/>
        </w:rPr>
        <w:t xml:space="preserve"> </w:t>
      </w:r>
    </w:p>
    <w:p w14:paraId="646B5652" w14:textId="77777777" w:rsidR="00FC1625" w:rsidRPr="00037C61" w:rsidRDefault="00FC1625" w:rsidP="005E0849">
      <w:pPr>
        <w:rPr>
          <w:lang w:val="en-GB"/>
        </w:rPr>
      </w:pPr>
    </w:p>
    <w:p w14:paraId="16838023" w14:textId="78DF559A" w:rsidR="00542215" w:rsidRPr="00037C61" w:rsidRDefault="00542215" w:rsidP="00C90E44">
      <w:pPr>
        <w:pStyle w:val="Heading4"/>
        <w:rPr>
          <w:lang w:val="en-GB"/>
        </w:rPr>
      </w:pPr>
      <w:r w:rsidRPr="00037C61">
        <w:rPr>
          <w:lang w:val="en-GB"/>
        </w:rPr>
        <w:t xml:space="preserve">Infrastructure - industrial parks / incubators / logistic zones </w:t>
      </w:r>
    </w:p>
    <w:p w14:paraId="4DD77423" w14:textId="0C388B8E" w:rsidR="00542215" w:rsidRPr="00037C61" w:rsidRDefault="6446A0E8" w:rsidP="00C90E44">
      <w:pPr>
        <w:rPr>
          <w:strike/>
          <w:lang w:val="en-GB"/>
        </w:rPr>
      </w:pPr>
      <w:r w:rsidRPr="00037C61">
        <w:rPr>
          <w:lang w:val="en-GB"/>
        </w:rPr>
        <w:t xml:space="preserve">Regarding the climate conducive to business development, in the programme region were inventoried physical structures to support and stimulate economic activities, respectively industrial parks and business incubators, publicly, privately or in partnership. Regarding the industrial parks, they were developed unevenly on both sides of the border: thus, if in the Hungarian counties are built and in operation 44 industrial and mixed parks, in Romania being active only 13. </w:t>
      </w:r>
    </w:p>
    <w:p w14:paraId="5E012381" w14:textId="797B52FE" w:rsidR="00542215" w:rsidRPr="00037C61" w:rsidRDefault="00542215" w:rsidP="004D3494">
      <w:pPr>
        <w:jc w:val="left"/>
        <w:rPr>
          <w:bCs/>
          <w:i/>
          <w:iCs/>
          <w:lang w:val="en-GB"/>
        </w:rPr>
      </w:pPr>
      <w:r w:rsidRPr="00037C61">
        <w:rPr>
          <w:bCs/>
          <w:lang w:val="en-GB"/>
        </w:rPr>
        <w:t xml:space="preserve">This difference can be explained by the different legislative spectrum, by the fact that some of them are similar structures (industrial areas, such as the South Satu-Mare Industrial Park) </w:t>
      </w:r>
      <w:r w:rsidR="00F921CD" w:rsidRPr="00037C61">
        <w:rPr>
          <w:lang w:val="en-GB"/>
        </w:rPr>
        <w:t xml:space="preserve">with no specific authorization and </w:t>
      </w:r>
      <w:r w:rsidRPr="00037C61">
        <w:rPr>
          <w:bCs/>
          <w:lang w:val="en-GB"/>
        </w:rPr>
        <w:t>generally</w:t>
      </w:r>
      <w:r w:rsidR="00F921CD" w:rsidRPr="00037C61">
        <w:rPr>
          <w:bCs/>
          <w:lang w:val="en-GB"/>
        </w:rPr>
        <w:t>,</w:t>
      </w:r>
      <w:r w:rsidRPr="00037C61">
        <w:rPr>
          <w:bCs/>
          <w:lang w:val="en-GB"/>
        </w:rPr>
        <w:t xml:space="preserve"> have the same functions and characteristics, while in</w:t>
      </w:r>
      <w:r w:rsidR="004C30AF" w:rsidRPr="00037C61">
        <w:rPr>
          <w:bCs/>
          <w:lang w:val="en-GB"/>
        </w:rPr>
        <w:t xml:space="preserve"> </w:t>
      </w:r>
      <w:r w:rsidRPr="00037C61">
        <w:rPr>
          <w:bCs/>
          <w:lang w:val="en-GB"/>
        </w:rPr>
        <w:t xml:space="preserve">Hungary these support structures </w:t>
      </w:r>
      <w:r w:rsidR="00C43830" w:rsidRPr="00037C61">
        <w:rPr>
          <w:bCs/>
          <w:lang w:val="en-GB"/>
        </w:rPr>
        <w:t xml:space="preserve">are </w:t>
      </w:r>
      <w:r w:rsidRPr="00037C61">
        <w:rPr>
          <w:bCs/>
          <w:lang w:val="en-GB"/>
        </w:rPr>
        <w:t>authorized more easily.</w:t>
      </w:r>
    </w:p>
    <w:p w14:paraId="40391A89" w14:textId="3C3E3F07" w:rsidR="00542215" w:rsidRPr="00037C61" w:rsidRDefault="00542215" w:rsidP="43A5E8BA">
      <w:pPr>
        <w:rPr>
          <w:lang w:val="en-GB"/>
        </w:rPr>
      </w:pPr>
      <w:r w:rsidRPr="00037C61">
        <w:rPr>
          <w:lang w:val="en-GB"/>
        </w:rPr>
        <w:t xml:space="preserve">From the point of view of financing, most of the structures were set up through non-reimbursable funds from various national </w:t>
      </w:r>
      <w:r w:rsidR="007B6987" w:rsidRPr="00037C61">
        <w:rPr>
          <w:lang w:val="en-GB"/>
        </w:rPr>
        <w:t xml:space="preserve">(ROP) </w:t>
      </w:r>
      <w:r w:rsidRPr="00037C61">
        <w:rPr>
          <w:lang w:val="en-GB"/>
        </w:rPr>
        <w:t>and cross-border cooperation programs</w:t>
      </w:r>
      <w:r w:rsidR="33246353" w:rsidRPr="00037C61">
        <w:rPr>
          <w:lang w:val="en-GB"/>
        </w:rPr>
        <w:t xml:space="preserve"> </w:t>
      </w:r>
      <w:r w:rsidR="007B6987" w:rsidRPr="00037C61">
        <w:rPr>
          <w:lang w:val="en-GB"/>
        </w:rPr>
        <w:t>(PCT RO-HU)</w:t>
      </w:r>
      <w:r w:rsidRPr="00037C61">
        <w:rPr>
          <w:lang w:val="en-GB"/>
        </w:rPr>
        <w:t xml:space="preserve">, and from the perspective of the beneficial impact on the economic environment it is observed that some of these parks are expansion projects of existing infrastructure (e.g. Oradea Park or Sînandrei Industrial Park). </w:t>
      </w:r>
    </w:p>
    <w:p w14:paraId="6402ACBE" w14:textId="14D02C62" w:rsidR="00542215" w:rsidRPr="00037C61" w:rsidRDefault="6446A0E8" w:rsidP="6446A0E8">
      <w:pPr>
        <w:rPr>
          <w:lang w:val="en-GB"/>
        </w:rPr>
      </w:pPr>
      <w:r w:rsidRPr="00037C61">
        <w:rPr>
          <w:lang w:val="en-GB"/>
        </w:rPr>
        <w:t>Another type of structure is the science and technology park, where the situation is equally unbalanced, because there is only one built in Romania, Industrial and Technological Park (PITT) in Timiș, while across the border there are five technology parks (two in Hajdú-Bihar and three in Csongrád-Csanád). However, in the current programming period within the ROP, Operation 1.1.B - Science and Technology Parks is to be funded Bihor Science and Technology Park, an initiative of the Bihor County Council, Bihor Industrial Park and the University of Oradea.</w:t>
      </w:r>
    </w:p>
    <w:p w14:paraId="55A9D2C2" w14:textId="31222098" w:rsidR="00542215" w:rsidRDefault="00542215" w:rsidP="00C90E44">
      <w:pPr>
        <w:rPr>
          <w:lang w:val="en-GB"/>
        </w:rPr>
      </w:pPr>
      <w:r w:rsidRPr="00037C61">
        <w:rPr>
          <w:lang w:val="en-GB"/>
        </w:rPr>
        <w:t xml:space="preserve">Regarding logistics parks and business centres, </w:t>
      </w:r>
      <w:r w:rsidR="00E34A60">
        <w:rPr>
          <w:lang w:val="en-GB"/>
        </w:rPr>
        <w:t xml:space="preserve">on the Romanian side </w:t>
      </w:r>
      <w:r w:rsidRPr="00037C61">
        <w:rPr>
          <w:lang w:val="en-GB"/>
        </w:rPr>
        <w:t xml:space="preserve">there are not enough common data to allow an inventory because they are organized either in the form of logistics centres or are hosted in peripheral areas where there are industrial areas, or they exist physically and their destination between time has not passed the test of long-term sustainability (this is the case of the six such structures established </w:t>
      </w:r>
      <w:r w:rsidR="00C43830" w:rsidRPr="00037C61">
        <w:rPr>
          <w:lang w:val="en-GB"/>
        </w:rPr>
        <w:t xml:space="preserve">through </w:t>
      </w:r>
      <w:r w:rsidRPr="00037C61">
        <w:rPr>
          <w:lang w:val="en-GB"/>
        </w:rPr>
        <w:t>ROP 2007-2013 (five are in Bihor and one in Satu-Mare)</w:t>
      </w:r>
      <w:r w:rsidRPr="00037C61">
        <w:rPr>
          <w:vertAlign w:val="superscript"/>
          <w:lang w:val="en-GB"/>
        </w:rPr>
        <w:footnoteReference w:id="28"/>
      </w:r>
      <w:r w:rsidRPr="00037C61">
        <w:rPr>
          <w:lang w:val="en-GB"/>
        </w:rPr>
        <w:t>.</w:t>
      </w:r>
      <w:r w:rsidR="00E34A60">
        <w:rPr>
          <w:lang w:val="en-GB"/>
        </w:rPr>
        <w:t xml:space="preserve"> </w:t>
      </w:r>
    </w:p>
    <w:p w14:paraId="4F9808F5" w14:textId="3071F79A" w:rsidR="00DA0AC3" w:rsidRPr="00037C61" w:rsidRDefault="00DA0AC3" w:rsidP="00C90E44">
      <w:pPr>
        <w:rPr>
          <w:bCs/>
          <w:lang w:val="en-GB"/>
        </w:rPr>
      </w:pPr>
      <w:r>
        <w:rPr>
          <w:lang w:val="en-GB"/>
        </w:rPr>
        <w:t xml:space="preserve">On the Hungarian side, the 44 industrial parks highlight a policy to ensure, establish and develop basic business infrastructure in the previous programming periods. As an example, </w:t>
      </w:r>
      <w:r w:rsidR="00E34A60" w:rsidRPr="00E34A60">
        <w:rPr>
          <w:lang w:val="en-GB"/>
        </w:rPr>
        <w:t>Szabolcs-Szatmár-Bereg</w:t>
      </w:r>
      <w:r w:rsidR="00E34A60">
        <w:rPr>
          <w:lang w:val="en-GB"/>
        </w:rPr>
        <w:t xml:space="preserve"> has 12 industrial parks and 18% (1,202) of the country’s free business zones, while 83% of the county </w:t>
      </w:r>
      <w:r w:rsidR="00E34A60">
        <w:rPr>
          <w:lang w:val="en-GB"/>
        </w:rPr>
        <w:lastRenderedPageBreak/>
        <w:t xml:space="preserve">municipalities have a business tax liability, </w:t>
      </w:r>
      <w:r w:rsidR="00E34A60" w:rsidRPr="00E34A60">
        <w:rPr>
          <w:lang w:val="en-GB"/>
        </w:rPr>
        <w:t>the rate of which is at the maximum of 2% in only 71 municipalities.</w:t>
      </w:r>
      <w:r w:rsidR="00E34A60">
        <w:rPr>
          <w:lang w:val="en-GB"/>
        </w:rPr>
        <w:t xml:space="preserve"> The county has </w:t>
      </w:r>
      <w:r w:rsidR="00E34A60" w:rsidRPr="00E34A60">
        <w:rPr>
          <w:lang w:val="en-GB"/>
        </w:rPr>
        <w:t>3 large logistics centers (Záhony, Nyíregyháza, Fényeslitke)</w:t>
      </w:r>
      <w:r w:rsidR="00E34A60">
        <w:rPr>
          <w:lang w:val="en-GB"/>
        </w:rPr>
        <w:t xml:space="preserve"> and </w:t>
      </w:r>
      <w:r w:rsidR="00E34A60" w:rsidRPr="00E34A60">
        <w:rPr>
          <w:lang w:val="en-GB"/>
        </w:rPr>
        <w:t>an intermodal transhipmen</w:t>
      </w:r>
      <w:r w:rsidR="00E34A60">
        <w:rPr>
          <w:lang w:val="en-GB"/>
        </w:rPr>
        <w:t xml:space="preserve">t. </w:t>
      </w:r>
    </w:p>
    <w:p w14:paraId="415C8720" w14:textId="1ADA6A8F" w:rsidR="0003054D" w:rsidRPr="00037C61" w:rsidRDefault="00BB7D11" w:rsidP="0003054D">
      <w:pPr>
        <w:rPr>
          <w:bCs/>
          <w:lang w:val="en-GB"/>
        </w:rPr>
      </w:pPr>
      <w:r w:rsidRPr="00037C61">
        <w:rPr>
          <w:noProof/>
          <w:lang w:val="ro-RO" w:eastAsia="ro-RO"/>
        </w:rPr>
        <w:drawing>
          <wp:anchor distT="0" distB="0" distL="114300" distR="114300" simplePos="0" relativeHeight="251653632" behindDoc="0" locked="0" layoutInCell="1" allowOverlap="1" wp14:anchorId="2CC9EFF4" wp14:editId="40E83750">
            <wp:simplePos x="0" y="0"/>
            <wp:positionH relativeFrom="column">
              <wp:posOffset>2362200</wp:posOffset>
            </wp:positionH>
            <wp:positionV relativeFrom="paragraph">
              <wp:posOffset>7620</wp:posOffset>
            </wp:positionV>
            <wp:extent cx="3361267" cy="4349984"/>
            <wp:effectExtent l="0" t="0" r="0" b="0"/>
            <wp:wrapSquare wrapText="bothSides"/>
            <wp:docPr id="1986207186" name="Picture 198620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207186"/>
                    <pic:cNvPicPr/>
                  </pic:nvPicPr>
                  <pic:blipFill>
                    <a:blip r:embed="rId146" cstate="print">
                      <a:extLst>
                        <a:ext uri="{28A0092B-C50C-407E-A947-70E740481C1C}">
                          <a14:useLocalDpi xmlns:a14="http://schemas.microsoft.com/office/drawing/2010/main"/>
                        </a:ext>
                      </a:extLst>
                    </a:blip>
                    <a:stretch>
                      <a:fillRect/>
                    </a:stretch>
                  </pic:blipFill>
                  <pic:spPr>
                    <a:xfrm>
                      <a:off x="0" y="0"/>
                      <a:ext cx="3361267" cy="4349984"/>
                    </a:xfrm>
                    <a:prstGeom prst="rect">
                      <a:avLst/>
                    </a:prstGeom>
                  </pic:spPr>
                </pic:pic>
              </a:graphicData>
            </a:graphic>
          </wp:anchor>
        </w:drawing>
      </w:r>
      <w:r w:rsidR="0003054D" w:rsidRPr="00037C61">
        <w:rPr>
          <w:lang w:val="en-GB"/>
        </w:rPr>
        <w:t xml:space="preserve">In addition, it is worth mentioning the business incubators that had an oscillating course in the Romanian counties, now being built two in </w:t>
      </w:r>
      <w:r w:rsidR="008B32DD" w:rsidRPr="00037C61">
        <w:rPr>
          <w:lang w:val="en-GB"/>
        </w:rPr>
        <w:t>Timiș</w:t>
      </w:r>
      <w:r w:rsidR="0003054D" w:rsidRPr="00037C61">
        <w:rPr>
          <w:lang w:val="en-GB"/>
        </w:rPr>
        <w:t xml:space="preserve"> (</w:t>
      </w:r>
      <w:r w:rsidR="008B32DD" w:rsidRPr="00037C61">
        <w:rPr>
          <w:lang w:val="en-GB"/>
        </w:rPr>
        <w:t>Timiș</w:t>
      </w:r>
      <w:r w:rsidR="0003054D" w:rsidRPr="00037C61">
        <w:rPr>
          <w:lang w:val="en-GB"/>
        </w:rPr>
        <w:t>oara Regional Business Center and Incuboxx in the IT&amp;C sector) and one in Arad (Technological and Business Incubator); however, in the current programming period, projects are underway that will finance three new constructions in Bihor. A positive aspect is worth mentioning for these initiatives that are financed by funds, that in 2019 the Romanian legislation regarding incorporation of incubators has become more flexible in the sense of simplifying the authorization procedure, reducing the number of incubators types and their duration becomes indefinite.</w:t>
      </w:r>
    </w:p>
    <w:p w14:paraId="60A109AB" w14:textId="0B57BA2C" w:rsidR="004C30AF" w:rsidRPr="00037C61" w:rsidRDefault="004C30AF" w:rsidP="004C30AF">
      <w:pPr>
        <w:keepNext/>
        <w:spacing w:after="0"/>
        <w:jc w:val="left"/>
        <w:rPr>
          <w:lang w:val="en-GB"/>
        </w:rPr>
      </w:pPr>
    </w:p>
    <w:p w14:paraId="7F3BF3E6" w14:textId="2F151460" w:rsidR="004C30AF" w:rsidRPr="00037C61" w:rsidRDefault="004C30AF" w:rsidP="004C30AF">
      <w:pPr>
        <w:pStyle w:val="Caption"/>
        <w:jc w:val="left"/>
        <w:rPr>
          <w:lang w:val="en-GB"/>
        </w:rPr>
      </w:pPr>
      <w:bookmarkStart w:id="392" w:name="_Toc50657574"/>
      <w:bookmarkStart w:id="393" w:name="_Toc6461101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68</w:t>
      </w:r>
      <w:r w:rsidR="00412697">
        <w:rPr>
          <w:lang w:val="en-GB"/>
        </w:rPr>
        <w:fldChar w:fldCharType="end"/>
      </w:r>
      <w:r w:rsidRPr="00037C61">
        <w:rPr>
          <w:lang w:val="en-GB"/>
        </w:rPr>
        <w:t xml:space="preserve"> -Industrial parks in the cross-border area between Hungary and Romania</w:t>
      </w:r>
      <w:bookmarkEnd w:id="392"/>
      <w:bookmarkEnd w:id="393"/>
      <w:r w:rsidRPr="00037C61">
        <w:rPr>
          <w:lang w:val="en-GB"/>
        </w:rPr>
        <w:t xml:space="preserve"> </w:t>
      </w:r>
    </w:p>
    <w:p w14:paraId="503B0D94" w14:textId="12C499F5" w:rsidR="004C30AF" w:rsidRPr="00037C61" w:rsidRDefault="004C30AF" w:rsidP="0003054D">
      <w:pPr>
        <w:pStyle w:val="Caption"/>
        <w:spacing w:after="240"/>
        <w:jc w:val="left"/>
        <w:rPr>
          <w:lang w:val="en-GB"/>
        </w:rPr>
      </w:pPr>
      <w:r w:rsidRPr="00037C61">
        <w:rPr>
          <w:lang w:val="en-GB"/>
        </w:rPr>
        <w:t xml:space="preserve">Source: desk </w:t>
      </w:r>
      <w:r w:rsidR="002A4322" w:rsidRPr="00037C61">
        <w:rPr>
          <w:lang w:val="en-GB"/>
        </w:rPr>
        <w:t>research</w:t>
      </w:r>
      <w:r w:rsidRPr="00037C61">
        <w:rPr>
          <w:lang w:val="en-GB"/>
        </w:rPr>
        <w:t xml:space="preserve">, </w:t>
      </w:r>
      <w:r w:rsidR="00124940" w:rsidRPr="00037C61">
        <w:rPr>
          <w:lang w:val="en-GB"/>
        </w:rPr>
        <w:t>INS</w:t>
      </w:r>
      <w:r w:rsidRPr="00037C61">
        <w:rPr>
          <w:lang w:val="en-GB"/>
        </w:rPr>
        <w:t xml:space="preserve">, </w:t>
      </w:r>
      <w:r w:rsidR="00743CF6" w:rsidRPr="00037C61">
        <w:rPr>
          <w:lang w:val="en-GB"/>
        </w:rPr>
        <w:t>KSH</w:t>
      </w:r>
    </w:p>
    <w:p w14:paraId="6BF7A765" w14:textId="4AE179C6" w:rsidR="00542215" w:rsidRPr="00037C61" w:rsidRDefault="00542215" w:rsidP="00C90E44">
      <w:pPr>
        <w:pStyle w:val="Heading4"/>
        <w:rPr>
          <w:lang w:val="en-GB"/>
        </w:rPr>
      </w:pPr>
      <w:r w:rsidRPr="00037C61">
        <w:rPr>
          <w:lang w:val="en-GB"/>
        </w:rPr>
        <w:t xml:space="preserve">Events, Marketing </w:t>
      </w:r>
    </w:p>
    <w:p w14:paraId="16DDC235" w14:textId="77777777" w:rsidR="00542215" w:rsidRPr="00037C61" w:rsidRDefault="00542215" w:rsidP="00C90E44">
      <w:pPr>
        <w:rPr>
          <w:bCs/>
          <w:lang w:val="en-GB"/>
        </w:rPr>
      </w:pPr>
      <w:r w:rsidRPr="00037C61">
        <w:rPr>
          <w:bCs/>
          <w:lang w:val="en-GB"/>
        </w:rPr>
        <w:t xml:space="preserve">Regarding the promotion of business and the organization of cooperation events, for cross border trade, the main task belongs to the county chambers of commerce. Each of the eight chambers, through their functional organization, as well as through the eligibility to participate in European-funded projects, organized annual event suites and participated in projects for the development of the aforementioned structures. </w:t>
      </w:r>
    </w:p>
    <w:p w14:paraId="539DAC51" w14:textId="1727683F" w:rsidR="00FF516A" w:rsidRPr="00037C61" w:rsidRDefault="00FF516A" w:rsidP="004C30AF">
      <w:pPr>
        <w:spacing w:after="0"/>
        <w:rPr>
          <w:bCs/>
          <w:lang w:val="en-GB"/>
        </w:rPr>
      </w:pPr>
    </w:p>
    <w:p w14:paraId="29A99C5F" w14:textId="142F99BF" w:rsidR="00542215" w:rsidRPr="00037C61" w:rsidRDefault="6446A0E8" w:rsidP="6446A0E8">
      <w:pPr>
        <w:spacing w:after="0"/>
        <w:rPr>
          <w:lang w:val="en-GB"/>
        </w:rPr>
      </w:pPr>
      <w:r w:rsidRPr="00037C61">
        <w:rPr>
          <w:lang w:val="en-GB"/>
        </w:rPr>
        <w:t>If so far the current initiatives and structures have been presented or are in the implementation phase with mostly public funding, it is worth bringing to light the new generation structures that support entrepreneurs and belong generically to private financing - co-working spaces (HUB): Incub ART (Timiș), DEvPlant Cowork (Timiș), Coworking Oradea (Bihor), Oradea Tech Hub (Bihor) are just a few of them. In the counties of Hungary, the phenomenon is similar and such structures are in every county - Xponential Coworking Office (Hajdú-Bihar), Skylotec Hungary (Békés), Door Coworking Office (Csongrád-Csanád), Alpha Közösségi Iroda (Szabolcs-Szatmár-Bereg). These structures ensure not only the workspace, but also exchanges of information, meetings with possible mentors and co-founders through the events organized within them.</w:t>
      </w:r>
    </w:p>
    <w:p w14:paraId="2B137DF4" w14:textId="77777777" w:rsidR="00FF516A" w:rsidRPr="00037C61" w:rsidRDefault="00FF516A" w:rsidP="004C30AF">
      <w:pPr>
        <w:spacing w:after="0"/>
        <w:rPr>
          <w:bCs/>
          <w:lang w:val="en-GB"/>
        </w:rPr>
      </w:pPr>
    </w:p>
    <w:p w14:paraId="48C9A82E" w14:textId="5979E4BA" w:rsidR="00542215" w:rsidRPr="00037C61" w:rsidRDefault="00542215" w:rsidP="00C90E44">
      <w:pPr>
        <w:rPr>
          <w:bCs/>
          <w:lang w:val="en-GB"/>
        </w:rPr>
      </w:pPr>
      <w:r w:rsidRPr="00037C61">
        <w:rPr>
          <w:bCs/>
          <w:lang w:val="en-GB"/>
        </w:rPr>
        <w:lastRenderedPageBreak/>
        <w:t xml:space="preserve">Other structures will also appear and will continue to complete the entrepreneurial ecosystem such as (pre) business accelerators or equity sharing platforms that help specially to democratize financing (like branch of Innovation Labs in </w:t>
      </w:r>
      <w:r w:rsidR="008B32DD" w:rsidRPr="00037C61">
        <w:rPr>
          <w:bCs/>
          <w:lang w:val="en-GB"/>
        </w:rPr>
        <w:t>Timiș</w:t>
      </w:r>
      <w:r w:rsidRPr="00037C61">
        <w:rPr>
          <w:bCs/>
          <w:lang w:val="en-GB"/>
        </w:rPr>
        <w:t>oara).</w:t>
      </w:r>
    </w:p>
    <w:p w14:paraId="783F1833" w14:textId="77777777" w:rsidR="009027CD" w:rsidRPr="00037C61" w:rsidRDefault="009027CD" w:rsidP="00C60A27">
      <w:pPr>
        <w:pStyle w:val="InterregROHUBullet1"/>
        <w:numPr>
          <w:ilvl w:val="0"/>
          <w:numId w:val="0"/>
        </w:numPr>
        <w:rPr>
          <w:i/>
          <w:iCs/>
        </w:rPr>
      </w:pPr>
    </w:p>
    <w:p w14:paraId="7C122368" w14:textId="77777777" w:rsidR="00BB7D11" w:rsidRPr="00037C61" w:rsidRDefault="00BB7D11" w:rsidP="00BB7D11">
      <w:pPr>
        <w:pStyle w:val="Heading3"/>
      </w:pPr>
      <w:bookmarkStart w:id="394" w:name="_Toc64619542"/>
      <w:r w:rsidRPr="00037C61">
        <w:t>Conclusions</w:t>
      </w:r>
      <w:bookmarkEnd w:id="394"/>
      <w:r w:rsidRPr="00037C61">
        <w:t xml:space="preserve"> </w:t>
      </w:r>
    </w:p>
    <w:p w14:paraId="6C28C903" w14:textId="77777777" w:rsidR="00590D1A" w:rsidRPr="00037C61" w:rsidRDefault="00590D1A" w:rsidP="00590D1A">
      <w:pPr>
        <w:rPr>
          <w:lang w:val="en-GB"/>
        </w:rPr>
      </w:pPr>
      <w:r w:rsidRPr="00037C61">
        <w:rPr>
          <w:lang w:val="en-GB"/>
        </w:rPr>
        <w:t xml:space="preserve">All four NUTS 2 regions included in the PA are </w:t>
      </w:r>
      <w:r w:rsidRPr="00037C61">
        <w:rPr>
          <w:b/>
          <w:bCs/>
          <w:lang w:val="en-GB"/>
        </w:rPr>
        <w:t>still eligible under the Cohesion Policy 2021-2027</w:t>
      </w:r>
      <w:r w:rsidRPr="00037C61">
        <w:rPr>
          <w:lang w:val="en-GB"/>
        </w:rPr>
        <w:t xml:space="preserve">, which represents an opportunity to benefit from ESIF in important economic domains but is also an indicator of distance to be travelled compared to the European averages. The Regional Innovation Scoreboard (RCI) evaluation shows a positive convergence trend between the Romanian regions and the Hungarian ones, however with </w:t>
      </w:r>
      <w:r w:rsidRPr="00037C61">
        <w:rPr>
          <w:b/>
          <w:bCs/>
          <w:lang w:val="en-GB"/>
        </w:rPr>
        <w:t>clear underperformance</w:t>
      </w:r>
      <w:r w:rsidRPr="00037C61">
        <w:rPr>
          <w:lang w:val="en-GB"/>
        </w:rPr>
        <w:t xml:space="preserve"> especially in basic infrastructures, business sophistication, health, infrastructure, innovation, institutional quality, all of these being </w:t>
      </w:r>
      <w:r w:rsidRPr="00037C61">
        <w:rPr>
          <w:b/>
          <w:bCs/>
          <w:lang w:val="en-GB"/>
        </w:rPr>
        <w:t>aspects which can benefit strongly from cross-border cooperation</w:t>
      </w:r>
      <w:r w:rsidRPr="00037C61">
        <w:rPr>
          <w:lang w:val="en-GB"/>
        </w:rPr>
        <w:t xml:space="preserve">. </w:t>
      </w:r>
    </w:p>
    <w:p w14:paraId="73B47418" w14:textId="3623FA09" w:rsidR="00590D1A" w:rsidRPr="00067E4D" w:rsidRDefault="00590D1A" w:rsidP="00590D1A">
      <w:pPr>
        <w:rPr>
          <w:lang w:val="en-GB"/>
        </w:rPr>
      </w:pPr>
      <w:r w:rsidRPr="00037C61">
        <w:rPr>
          <w:lang w:val="en-GB"/>
        </w:rPr>
        <w:t xml:space="preserve">There is an </w:t>
      </w:r>
      <w:r w:rsidRPr="00037C61">
        <w:rPr>
          <w:b/>
          <w:bCs/>
          <w:lang w:val="en-GB"/>
        </w:rPr>
        <w:t>economic performance imbalance in the region</w:t>
      </w:r>
      <w:r w:rsidRPr="00037C61">
        <w:rPr>
          <w:lang w:val="en-GB"/>
        </w:rPr>
        <w:t xml:space="preserve">, which even though recovered fast from the crisis (with positive GDP growth rates after 2012/2013 and increasing nominally by 60.5% in Romanian counties and 41.63% in Hungarian counties), still did not manage to catch up to national levels. The region now records a lesser share of national GDP in 6 out of the 8 counties compared to 2009, pointing to a </w:t>
      </w:r>
      <w:r w:rsidRPr="00037C61">
        <w:rPr>
          <w:b/>
          <w:bCs/>
          <w:lang w:val="en-GB"/>
        </w:rPr>
        <w:t>stagnating attractiveness level</w:t>
      </w:r>
      <w:r w:rsidRPr="00037C61">
        <w:rPr>
          <w:lang w:val="en-GB"/>
        </w:rPr>
        <w:t xml:space="preserve">. Furthermore, while the Hungarian counties make up 10.51% of the population and 10.40% of the national Hungarian GDP, in Romania the population represents 18.70% of the total, yet the region only produces 10.33% of the national GDP (2018), although the gap may be partly due to the way turnover is reported in Romania (at headquarter level, often in Bucharest). In terms of GDP per capita, the northern part of the PA (Satu Mare and Szabolcs-Szatmár-Bereg) </w:t>
      </w:r>
      <w:r w:rsidRPr="00037C61">
        <w:rPr>
          <w:b/>
          <w:bCs/>
          <w:lang w:val="en-GB"/>
        </w:rPr>
        <w:t xml:space="preserve">record values still a little over a quarter of the EU-27 average, and </w:t>
      </w:r>
      <w:r w:rsidR="7887AD9E" w:rsidRPr="00037C61">
        <w:rPr>
          <w:b/>
          <w:bCs/>
          <w:lang w:val="en-GB"/>
        </w:rPr>
        <w:t xml:space="preserve">even </w:t>
      </w:r>
      <w:r w:rsidRPr="00037C61">
        <w:rPr>
          <w:b/>
          <w:bCs/>
          <w:lang w:val="en-GB"/>
        </w:rPr>
        <w:t xml:space="preserve">half that at national level. </w:t>
      </w:r>
      <w:r w:rsidRPr="00037C61">
        <w:rPr>
          <w:lang w:val="en-GB"/>
        </w:rPr>
        <w:t xml:space="preserve">This is a significant disparity, which </w:t>
      </w:r>
      <w:r w:rsidRPr="00067E4D">
        <w:rPr>
          <w:lang w:val="en-GB"/>
        </w:rPr>
        <w:t xml:space="preserve">corroborated with the human capital challenges exposed in the previous chapter, makes clear the </w:t>
      </w:r>
      <w:r w:rsidRPr="00067E4D">
        <w:rPr>
          <w:b/>
          <w:bCs/>
          <w:lang w:val="en-GB"/>
        </w:rPr>
        <w:t>need for administrative cooperation based on common spatial-economic realities</w:t>
      </w:r>
      <w:r w:rsidRPr="00067E4D">
        <w:rPr>
          <w:lang w:val="en-GB"/>
        </w:rPr>
        <w:t>, especially under PO</w:t>
      </w:r>
      <w:r w:rsidR="0BB6DD00" w:rsidRPr="00067E4D">
        <w:rPr>
          <w:lang w:val="en-GB"/>
        </w:rPr>
        <w:t>4</w:t>
      </w:r>
      <w:r w:rsidRPr="00067E4D">
        <w:rPr>
          <w:lang w:val="en-GB"/>
        </w:rPr>
        <w:t xml:space="preserve">: training, lifelong learning, and closing the gap on the digital divide. </w:t>
      </w:r>
    </w:p>
    <w:p w14:paraId="6CD6AE3C" w14:textId="16F578C7" w:rsidR="00590D1A" w:rsidRPr="00037C61" w:rsidRDefault="00590D1A" w:rsidP="74CEAA85">
      <w:pPr>
        <w:rPr>
          <w:highlight w:val="magenta"/>
          <w:lang w:val="en-GB"/>
        </w:rPr>
      </w:pPr>
      <w:r w:rsidRPr="00067E4D">
        <w:rPr>
          <w:b/>
          <w:bCs/>
          <w:lang w:val="en-GB"/>
        </w:rPr>
        <w:t>Timișoara is the economic powerhouse of the region,</w:t>
      </w:r>
      <w:r w:rsidRPr="00067E4D">
        <w:rPr>
          <w:lang w:val="en-GB"/>
        </w:rPr>
        <w:t xml:space="preserve"> with</w:t>
      </w:r>
      <w:r w:rsidRPr="00037C61">
        <w:rPr>
          <w:lang w:val="en-GB"/>
        </w:rPr>
        <w:t xml:space="preserve"> the Timiș county recording the highest GDP/capita value, </w:t>
      </w:r>
      <w:r w:rsidR="3BF97649" w:rsidRPr="00037C61">
        <w:rPr>
          <w:lang w:val="en-GB"/>
        </w:rPr>
        <w:t>at 144%</w:t>
      </w:r>
      <w:r w:rsidR="5A4A68E2" w:rsidRPr="00037C61">
        <w:rPr>
          <w:lang w:val="en-GB"/>
        </w:rPr>
        <w:t xml:space="preserve"> above</w:t>
      </w:r>
      <w:r w:rsidRPr="00037C61">
        <w:rPr>
          <w:lang w:val="en-GB"/>
        </w:rPr>
        <w:t xml:space="preserve"> the</w:t>
      </w:r>
      <w:r w:rsidR="106433F9" w:rsidRPr="00037C61">
        <w:rPr>
          <w:lang w:val="en-GB"/>
        </w:rPr>
        <w:t xml:space="preserve"> PA </w:t>
      </w:r>
      <w:r w:rsidR="311F68C6" w:rsidRPr="00037C61">
        <w:rPr>
          <w:lang w:val="en-GB"/>
        </w:rPr>
        <w:t>average</w:t>
      </w:r>
      <w:r w:rsidR="70A545A8" w:rsidRPr="00037C61">
        <w:rPr>
          <w:lang w:val="en-GB"/>
        </w:rPr>
        <w:t xml:space="preserve"> </w:t>
      </w:r>
      <w:r w:rsidR="106433F9" w:rsidRPr="00037C61">
        <w:rPr>
          <w:lang w:val="en-GB"/>
        </w:rPr>
        <w:t>(9,728 EUR/capita PPS 2018)</w:t>
      </w:r>
      <w:r w:rsidRPr="00037C61">
        <w:rPr>
          <w:lang w:val="en-GB"/>
        </w:rPr>
        <w:t xml:space="preserve"> yet still half the average one at EU-27 level (27,630 EUR/capita PPS). </w:t>
      </w:r>
      <w:r w:rsidRPr="00037C61">
        <w:rPr>
          <w:b/>
          <w:bCs/>
          <w:lang w:val="en-GB"/>
        </w:rPr>
        <w:t xml:space="preserve">Timiș Foreign Direct Investment (FDI) per capita is three times the average in the PA </w:t>
      </w:r>
      <w:r w:rsidRPr="00037C61">
        <w:rPr>
          <w:lang w:val="en-GB"/>
        </w:rPr>
        <w:t>(6,213 EUR versus 1,963 EUR),</w:t>
      </w:r>
      <w:r w:rsidRPr="00037C61">
        <w:rPr>
          <w:b/>
          <w:bCs/>
          <w:lang w:val="en-GB"/>
        </w:rPr>
        <w:t xml:space="preserve"> </w:t>
      </w:r>
      <w:r w:rsidRPr="00037C61">
        <w:rPr>
          <w:lang w:val="en-GB"/>
        </w:rPr>
        <w:t>and seven times tha</w:t>
      </w:r>
      <w:r w:rsidR="21C877CA" w:rsidRPr="00037C61">
        <w:rPr>
          <w:lang w:val="en-GB"/>
        </w:rPr>
        <w:t>n</w:t>
      </w:r>
      <w:r w:rsidR="0FF6DA68" w:rsidRPr="00037C61">
        <w:rPr>
          <w:lang w:val="en-GB"/>
        </w:rPr>
        <w:t xml:space="preserve"> </w:t>
      </w:r>
      <w:r w:rsidRPr="00037C61">
        <w:rPr>
          <w:lang w:val="en-GB"/>
        </w:rPr>
        <w:t>that in the best-performing Hungarian county (Csongrád-Csanád, 889 EUR), and has increased by 22.3% between 2016-2018.</w:t>
      </w:r>
      <w:r w:rsidRPr="00037C61">
        <w:rPr>
          <w:b/>
          <w:bCs/>
          <w:lang w:val="en-GB"/>
        </w:rPr>
        <w:t xml:space="preserve"> </w:t>
      </w:r>
      <w:r w:rsidRPr="00037C61">
        <w:rPr>
          <w:lang w:val="en-GB"/>
        </w:rPr>
        <w:t xml:space="preserve">The </w:t>
      </w:r>
      <w:r w:rsidRPr="00037C61">
        <w:rPr>
          <w:b/>
          <w:bCs/>
          <w:lang w:val="en-GB"/>
        </w:rPr>
        <w:t>pull effect of Timișoara</w:t>
      </w:r>
      <w:r w:rsidRPr="00037C61">
        <w:rPr>
          <w:lang w:val="en-GB"/>
        </w:rPr>
        <w:t>, which is also endowed with the largest international airport and four public universities is important and observable on both sides of the border. In practice, a more balanced territorial development should be pursued</w:t>
      </w:r>
      <w:r w:rsidR="64EE3915" w:rsidRPr="00037C61">
        <w:rPr>
          <w:lang w:val="en-GB"/>
        </w:rPr>
        <w:t xml:space="preserve"> and this</w:t>
      </w:r>
      <w:r w:rsidRPr="00037C61">
        <w:rPr>
          <w:lang w:val="en-GB"/>
        </w:rPr>
        <w:t xml:space="preserve"> can be achieved with complementarity and cooperation. </w:t>
      </w:r>
    </w:p>
    <w:p w14:paraId="02E714D5" w14:textId="77777777" w:rsidR="00590D1A" w:rsidRPr="00067E4D" w:rsidRDefault="00590D1A" w:rsidP="00590D1A">
      <w:pPr>
        <w:rPr>
          <w:lang w:val="en-GB"/>
        </w:rPr>
      </w:pPr>
      <w:r w:rsidRPr="00037C61">
        <w:rPr>
          <w:lang w:val="en-GB"/>
        </w:rPr>
        <w:t xml:space="preserve">The </w:t>
      </w:r>
      <w:r w:rsidRPr="00037C61">
        <w:rPr>
          <w:b/>
          <w:bCs/>
          <w:lang w:val="en-GB"/>
        </w:rPr>
        <w:t xml:space="preserve">economic profiles </w:t>
      </w:r>
      <w:r w:rsidRPr="00037C61">
        <w:rPr>
          <w:lang w:val="en-GB"/>
        </w:rPr>
        <w:t xml:space="preserve">of the Romanian and Hungarian counties record some notable differences, with a higher </w:t>
      </w:r>
      <w:r w:rsidRPr="00037C61">
        <w:rPr>
          <w:b/>
          <w:bCs/>
          <w:lang w:val="en-GB"/>
        </w:rPr>
        <w:t>specialisation in manufacturing</w:t>
      </w:r>
      <w:r w:rsidRPr="00037C61">
        <w:rPr>
          <w:lang w:val="en-GB"/>
        </w:rPr>
        <w:t xml:space="preserve"> on the Romanian side (32-40% employment in the sector, of total employment). This is followed by </w:t>
      </w:r>
      <w:r w:rsidRPr="00037C61">
        <w:rPr>
          <w:b/>
          <w:bCs/>
          <w:lang w:val="en-GB"/>
        </w:rPr>
        <w:t>wholesale and retail</w:t>
      </w:r>
      <w:r w:rsidRPr="00037C61">
        <w:rPr>
          <w:lang w:val="en-GB"/>
        </w:rPr>
        <w:t xml:space="preserve"> (13.5% in Arad -16.7% in Bihor). </w:t>
      </w:r>
      <w:r w:rsidRPr="00037C61">
        <w:rPr>
          <w:b/>
          <w:bCs/>
          <w:lang w:val="en-GB"/>
        </w:rPr>
        <w:t xml:space="preserve">Logistics </w:t>
      </w:r>
      <w:r w:rsidRPr="00037C61">
        <w:rPr>
          <w:lang w:val="en-GB"/>
        </w:rPr>
        <w:t xml:space="preserve">(4.8% in Satu Mare – 7.6% in Bihor) are a more relevant sector in Romanian economies, whereas </w:t>
      </w:r>
      <w:r w:rsidRPr="00037C61">
        <w:rPr>
          <w:b/>
          <w:bCs/>
          <w:lang w:val="en-GB"/>
        </w:rPr>
        <w:t>health and social work activities</w:t>
      </w:r>
      <w:r w:rsidRPr="00037C61">
        <w:rPr>
          <w:lang w:val="en-GB"/>
        </w:rPr>
        <w:t xml:space="preserve"> are much more relevant in the Hungarian counties (up to 25.6% of employees in Szabolcs-Szatmár-Bereg). A fifth (19.2% in Hajdu-Bihar) to almost a quarter (23.6% in Szabolcs-Szatmár-Bereg) of employed persons in the </w:t>
      </w:r>
      <w:r w:rsidRPr="00067E4D">
        <w:rPr>
          <w:lang w:val="en-GB"/>
        </w:rPr>
        <w:t xml:space="preserve">Hungarian counties work in </w:t>
      </w:r>
      <w:r w:rsidRPr="00067E4D">
        <w:rPr>
          <w:b/>
          <w:bCs/>
          <w:lang w:val="en-GB"/>
        </w:rPr>
        <w:t>manufacturing</w:t>
      </w:r>
      <w:r w:rsidRPr="00067E4D">
        <w:rPr>
          <w:lang w:val="en-GB"/>
        </w:rPr>
        <w:t xml:space="preserve">. </w:t>
      </w:r>
    </w:p>
    <w:p w14:paraId="7616EB8B" w14:textId="704E8ED0" w:rsidR="00590D1A" w:rsidRPr="00037C61" w:rsidRDefault="00590D1A" w:rsidP="27B0E377">
      <w:pPr>
        <w:rPr>
          <w:lang w:val="en-GB"/>
        </w:rPr>
      </w:pPr>
      <w:r w:rsidRPr="00067E4D">
        <w:rPr>
          <w:lang w:val="en-GB"/>
        </w:rPr>
        <w:lastRenderedPageBreak/>
        <w:t xml:space="preserve">There is complementarity between sectors, which can be pursued by lifelong learning, dual education programmes and common / joint platforms dedicated economic promotion of the region. </w:t>
      </w:r>
      <w:r w:rsidRPr="00067E4D">
        <w:rPr>
          <w:b/>
          <w:bCs/>
          <w:lang w:val="en-GB"/>
        </w:rPr>
        <w:t>Business support infrastructure</w:t>
      </w:r>
      <w:r w:rsidRPr="00067E4D">
        <w:rPr>
          <w:lang w:val="en-GB"/>
        </w:rPr>
        <w:t xml:space="preserve"> in the region can play a role in cross-border cooperation, although it is currently developed more in the Hungarian side (Hajdu-Bihar –</w:t>
      </w:r>
      <w:r w:rsidRPr="00037C61">
        <w:rPr>
          <w:lang w:val="en-GB"/>
        </w:rPr>
        <w:t xml:space="preserve"> 14, Csongrád-Csanád – 13 structures), in part due to the </w:t>
      </w:r>
      <w:r w:rsidR="6FED0E83" w:rsidRPr="00037C61">
        <w:rPr>
          <w:rFonts w:eastAsia="Calibri" w:cs="Calibri"/>
          <w:color w:val="000000" w:themeColor="text1"/>
          <w:lang w:val="en-GB"/>
        </w:rPr>
        <w:t>different legislative spectrum</w:t>
      </w:r>
      <w:r w:rsidR="6FED0E83" w:rsidRPr="00037C61">
        <w:rPr>
          <w:lang w:val="en-GB"/>
        </w:rPr>
        <w:t xml:space="preserve"> </w:t>
      </w:r>
      <w:r w:rsidRPr="00037C61">
        <w:rPr>
          <w:lang w:val="en-GB"/>
        </w:rPr>
        <w:t xml:space="preserve">authorising the constitution of such entities in Romania: from 57 industrial parks in the PA, only 13 are in Romania. </w:t>
      </w:r>
    </w:p>
    <w:p w14:paraId="68572E3B" w14:textId="4F9CB625" w:rsidR="00590D1A" w:rsidRPr="00037C61" w:rsidRDefault="00590D1A" w:rsidP="00590D1A">
      <w:pPr>
        <w:rPr>
          <w:lang w:val="en-GB"/>
        </w:rPr>
      </w:pPr>
      <w:r w:rsidRPr="00037C61">
        <w:rPr>
          <w:lang w:val="en-GB"/>
        </w:rPr>
        <w:t xml:space="preserve">The crisis recovery period has brought important changes in the share of GDP across sectors (2009-2017): In Hungary, this meant a </w:t>
      </w:r>
      <w:r w:rsidRPr="00037C61">
        <w:rPr>
          <w:b/>
          <w:bCs/>
          <w:lang w:val="en-GB"/>
        </w:rPr>
        <w:t>higher productivity in agriculture</w:t>
      </w:r>
      <w:r w:rsidRPr="00037C61">
        <w:rPr>
          <w:lang w:val="en-GB"/>
        </w:rPr>
        <w:t xml:space="preserve"> (in all counties, up to +4% share in Békés) and in </w:t>
      </w:r>
      <w:r w:rsidRPr="00037C61">
        <w:rPr>
          <w:b/>
          <w:bCs/>
          <w:lang w:val="en-GB"/>
        </w:rPr>
        <w:t>industry</w:t>
      </w:r>
      <w:r w:rsidRPr="00037C61">
        <w:rPr>
          <w:lang w:val="en-GB"/>
        </w:rPr>
        <w:t>, especially in Szabolcs-Szatm</w:t>
      </w:r>
      <w:r w:rsidR="4BDC1DA3" w:rsidRPr="00037C61">
        <w:rPr>
          <w:lang w:val="en-GB"/>
        </w:rPr>
        <w:t>á</w:t>
      </w:r>
      <w:r w:rsidRPr="00037C61">
        <w:rPr>
          <w:lang w:val="en-GB"/>
        </w:rPr>
        <w:t xml:space="preserve">r-Bereg (3.10%) and Békés (2.90%), however with a decline in Csongrád-Csanád (-3.6%). In Romania, higher productivity in </w:t>
      </w:r>
      <w:r w:rsidRPr="00037C61">
        <w:rPr>
          <w:b/>
          <w:bCs/>
          <w:lang w:val="en-GB"/>
        </w:rPr>
        <w:t xml:space="preserve">public services </w:t>
      </w:r>
      <w:r w:rsidRPr="00037C61">
        <w:rPr>
          <w:lang w:val="en-GB"/>
        </w:rPr>
        <w:t xml:space="preserve">(+2.40% in Arad, 5.10% in Bihor) is explained by the increased wages, while an increase in </w:t>
      </w:r>
      <w:r w:rsidRPr="00037C61">
        <w:rPr>
          <w:b/>
          <w:bCs/>
          <w:lang w:val="en-GB"/>
        </w:rPr>
        <w:t>other services</w:t>
      </w:r>
      <w:r w:rsidRPr="00037C61">
        <w:rPr>
          <w:lang w:val="en-GB"/>
        </w:rPr>
        <w:t xml:space="preserve"> (3.80% in Timiș) detriment of industry may suggest a </w:t>
      </w:r>
      <w:r w:rsidRPr="00037C61">
        <w:rPr>
          <w:b/>
          <w:bCs/>
          <w:lang w:val="en-GB"/>
        </w:rPr>
        <w:t>shift towards tertiary activities, where work productivity is high,</w:t>
      </w:r>
      <w:r w:rsidRPr="00037C61">
        <w:rPr>
          <w:lang w:val="en-GB"/>
        </w:rPr>
        <w:t xml:space="preserve"> and the start of a stronger industrial transition. </w:t>
      </w:r>
    </w:p>
    <w:p w14:paraId="73956C37" w14:textId="77777777" w:rsidR="00590D1A" w:rsidRPr="00037C61" w:rsidRDefault="00590D1A" w:rsidP="00590D1A">
      <w:pPr>
        <w:rPr>
          <w:lang w:val="en-GB"/>
        </w:rPr>
      </w:pPr>
      <w:r w:rsidRPr="00037C61">
        <w:rPr>
          <w:lang w:val="en-GB"/>
        </w:rPr>
        <w:t xml:space="preserve">The construction sector has not recovered after the crisis, registering an oscillating work productivity as well as a GDP share contraction between 2009 and 2017 in all 8 counties, up to -6.2% (Bihor). This is relevant in the context of the European flagship Green Deal and Renovation Wave ambitions. </w:t>
      </w:r>
    </w:p>
    <w:p w14:paraId="46657191" w14:textId="10C9C5AA" w:rsidR="00590D1A" w:rsidRPr="00037C61" w:rsidRDefault="00590D1A" w:rsidP="00590D1A">
      <w:pPr>
        <w:rPr>
          <w:lang w:val="en-GB"/>
        </w:rPr>
      </w:pPr>
      <w:r w:rsidRPr="00037C61">
        <w:rPr>
          <w:lang w:val="en-GB"/>
        </w:rPr>
        <w:t xml:space="preserve">While national averages for enterprise number per thousand inhabitants continue to decline in both Romania (43 in 2017) and Hungary (49 in 2017), the PA actually records a positive trend. </w:t>
      </w:r>
      <w:r w:rsidRPr="00037C61">
        <w:rPr>
          <w:b/>
          <w:bCs/>
          <w:lang w:val="en-GB"/>
        </w:rPr>
        <w:t>Entrepreneurship continued to grow</w:t>
      </w:r>
      <w:r w:rsidRPr="00037C61">
        <w:rPr>
          <w:lang w:val="en-GB"/>
        </w:rPr>
        <w:t xml:space="preserve"> between 2011 and 2017, except in Szabolcs-Szatmár-Bereg, and recorded the highest growth in Bihor and Arad (26.8% and 26.3% increase). However, </w:t>
      </w:r>
      <w:r w:rsidRPr="00037C61">
        <w:rPr>
          <w:b/>
          <w:bCs/>
          <w:lang w:val="en-GB"/>
        </w:rPr>
        <w:t>while entrepreneurship grows, new jobs actually decline</w:t>
      </w:r>
      <w:r w:rsidRPr="00037C61">
        <w:rPr>
          <w:lang w:val="en-GB"/>
        </w:rPr>
        <w:t xml:space="preserve">: the founders may start businesses without employed human resources, only based on their own knowledge and experience. The records of the analysed period showed that </w:t>
      </w:r>
      <w:r w:rsidRPr="00037C61">
        <w:rPr>
          <w:b/>
          <w:bCs/>
          <w:lang w:val="en-GB"/>
        </w:rPr>
        <w:t xml:space="preserve">a newly established company created, on average, a single job, </w:t>
      </w:r>
      <w:r w:rsidRPr="00037C61">
        <w:rPr>
          <w:lang w:val="en-GB"/>
        </w:rPr>
        <w:t>a level considered very low, even against the background of the maturity of the entrepreneurial ecosystem mentioned above. Cross-border cooperation investments through</w:t>
      </w:r>
      <w:r w:rsidR="6047D003" w:rsidRPr="00037C61">
        <w:rPr>
          <w:lang w:val="en-GB"/>
        </w:rPr>
        <w:t>, ideally,</w:t>
      </w:r>
      <w:r w:rsidRPr="00037C61">
        <w:rPr>
          <w:lang w:val="en-GB"/>
        </w:rPr>
        <w:t xml:space="preserve"> PO4 can address this significant common barrier to endogenous economic growth. </w:t>
      </w:r>
    </w:p>
    <w:p w14:paraId="3CC29D9E" w14:textId="77777777" w:rsidR="00590D1A" w:rsidRPr="00037C61" w:rsidRDefault="00590D1A" w:rsidP="00590D1A">
      <w:pPr>
        <w:rPr>
          <w:lang w:val="en-GB"/>
        </w:rPr>
      </w:pPr>
      <w:r w:rsidRPr="00037C61">
        <w:rPr>
          <w:lang w:val="en-GB"/>
        </w:rPr>
        <w:t xml:space="preserve">Szeged, Debrecen and Timișoara are the regional innovation powerhouses, with </w:t>
      </w:r>
      <w:r w:rsidRPr="00037C61">
        <w:rPr>
          <w:b/>
          <w:bCs/>
          <w:lang w:val="en-GB"/>
        </w:rPr>
        <w:t>Csongrád-Csanád recording an R&amp;D GDP expenditure of 2.34%, above the European level</w:t>
      </w:r>
      <w:r w:rsidRPr="00037C61">
        <w:rPr>
          <w:lang w:val="en-GB"/>
        </w:rPr>
        <w:t xml:space="preserve"> (2018), followed by Hajdu-Bihar (1.86%) and Timiș (0.65%) at a distance, however, over the Romanian national level (0.50%). The region however is </w:t>
      </w:r>
      <w:r w:rsidRPr="00037C61">
        <w:rPr>
          <w:b/>
          <w:bCs/>
          <w:lang w:val="en-GB"/>
        </w:rPr>
        <w:t>only responsible for 9.30% of the total R&amp;D cost</w:t>
      </w:r>
      <w:r w:rsidRPr="00037C61">
        <w:rPr>
          <w:lang w:val="en-GB"/>
        </w:rPr>
        <w:t xml:space="preserve"> spent by the countries in 2018, in spite of housing 13.2% of inhabitants. Three quarters of the R&amp;D expenditure has been on the Hungarian side, albeit the </w:t>
      </w:r>
      <w:r w:rsidRPr="00037C61">
        <w:rPr>
          <w:b/>
          <w:bCs/>
          <w:lang w:val="en-GB"/>
        </w:rPr>
        <w:t xml:space="preserve">per capita (R&amp;D employee) values have converged to near-equal EUR sums </w:t>
      </w:r>
      <w:r w:rsidRPr="00037C61">
        <w:rPr>
          <w:lang w:val="en-GB"/>
        </w:rPr>
        <w:t xml:space="preserve">(21,939 EUR/capita in Hungarian PA and 23,234 in Romanian PA), a </w:t>
      </w:r>
      <w:r w:rsidRPr="00037C61">
        <w:rPr>
          <w:b/>
          <w:bCs/>
          <w:lang w:val="en-GB"/>
        </w:rPr>
        <w:t>very significant convergence</w:t>
      </w:r>
      <w:r w:rsidRPr="00037C61">
        <w:rPr>
          <w:lang w:val="en-GB"/>
        </w:rPr>
        <w:t xml:space="preserve"> in the last decade since Romanian counties started off at under half the value in 2009 (6,486 EUR/capita, as opposed to 16,933 EUR/capita in the Hungarian area). </w:t>
      </w:r>
    </w:p>
    <w:p w14:paraId="040A8848" w14:textId="27B0C73A" w:rsidR="00590D1A" w:rsidRPr="00037C61" w:rsidRDefault="00590D1A" w:rsidP="00590D1A">
      <w:pPr>
        <w:rPr>
          <w:lang w:val="en-GB"/>
        </w:rPr>
      </w:pPr>
      <w:r w:rsidRPr="00037C61">
        <w:rPr>
          <w:lang w:val="en-GB"/>
        </w:rPr>
        <w:t>Innovation performance assessment at NUTS 3 level cannot be achieved due to lack of data. However, a critical summary overview is reflected in the European Commission Regional Innovation Scoreboard (2019), which shows that there is still significant distance to be travelled, especially on the Romanian side</w:t>
      </w:r>
      <w:r w:rsidR="09CDEBA7" w:rsidRPr="00037C61">
        <w:rPr>
          <w:lang w:val="en-GB"/>
        </w:rPr>
        <w:t>.</w:t>
      </w:r>
    </w:p>
    <w:p w14:paraId="231AD513" w14:textId="43D7C5F3" w:rsidR="00590D1A" w:rsidRPr="00037C61" w:rsidRDefault="00590D1A" w:rsidP="00590D1A">
      <w:pPr>
        <w:rPr>
          <w:lang w:val="en-GB"/>
        </w:rPr>
      </w:pPr>
      <w:r w:rsidRPr="00037C61">
        <w:rPr>
          <w:b/>
          <w:bCs/>
          <w:lang w:val="en-GB"/>
        </w:rPr>
        <w:t>The growth of the tourism sector</w:t>
      </w:r>
      <w:r w:rsidRPr="00037C61">
        <w:rPr>
          <w:lang w:val="en-GB"/>
        </w:rPr>
        <w:t xml:space="preserve"> in the PA has been documented through an increase of accommodation capacities in the component counties over time (13.45% increase in 10 years). There is a national disparity between Romania and Hungary, where the latter has double the number of beds in tourist accommodations per capita (36/1,000 inhabitants, as opposed to only 18/1,000 inhabitants </w:t>
      </w:r>
      <w:r w:rsidRPr="00037C61">
        <w:rPr>
          <w:lang w:val="en-GB"/>
        </w:rPr>
        <w:lastRenderedPageBreak/>
        <w:t xml:space="preserve">in Romania). Compared to this national level, </w:t>
      </w:r>
      <w:r w:rsidRPr="00037C61">
        <w:rPr>
          <w:b/>
          <w:bCs/>
          <w:lang w:val="en-GB"/>
        </w:rPr>
        <w:t>both sides of the PA are underperforming,</w:t>
      </w:r>
      <w:r w:rsidRPr="00037C61">
        <w:rPr>
          <w:lang w:val="en-GB"/>
        </w:rPr>
        <w:t xml:space="preserve"> at 26 beds /1,000 inh. (Hungarian PA) and 15 beds /1,000 inh. (Romanian PA) respectively. The region has seen a more modest increase of capacity on the Hungarian side (10% over the course of 10 years). There are </w:t>
      </w:r>
      <w:r w:rsidRPr="00037C61">
        <w:rPr>
          <w:b/>
          <w:bCs/>
          <w:lang w:val="en-GB"/>
        </w:rPr>
        <w:t>significant disparities in tourism capacity</w:t>
      </w:r>
      <w:r w:rsidRPr="00037C61">
        <w:rPr>
          <w:lang w:val="en-GB"/>
        </w:rPr>
        <w:t xml:space="preserve"> and infrastructure, especially between Hajdu-Bihar and Bihor which are the frontrunners – and where cooperation on spa, natural and cultural tourism could be possible – and Satu Mare, which with 2,379 tourism capacities records a value seven times lower than Hajdu-Bihar. </w:t>
      </w:r>
    </w:p>
    <w:p w14:paraId="576D061A" w14:textId="5DEE18A2" w:rsidR="00590D1A" w:rsidRPr="00037C61" w:rsidRDefault="00590D1A" w:rsidP="00457478">
      <w:pPr>
        <w:pStyle w:val="InterregROHUBullet1"/>
      </w:pPr>
      <w:r w:rsidRPr="00037C61">
        <w:rPr>
          <w:b/>
        </w:rPr>
        <w:t>As far as trends are concerned</w:t>
      </w:r>
      <w:r w:rsidRPr="00037C61">
        <w:t xml:space="preserve"> (2009-2018), there is a notable increase in hotel numbers in Hungarian counties (Csongrád-Csanád: +121%, Hajdu-Bihar: +71.65%) in detriment of other structures such as campings, which were also significantly declining in Romanian counties of Bihor (-48%, where other forms of tourism accommodation such as pensions have taken foothold), and Satu Mare (-69.5%), albeit with a 120% increase in Arad. </w:t>
      </w:r>
      <w:r w:rsidRPr="00037C61">
        <w:rPr>
          <w:b/>
        </w:rPr>
        <w:t>Occupancy rate is low and very low</w:t>
      </w:r>
      <w:r w:rsidRPr="00037C61">
        <w:t>, with an average of 35-38% in the best performers (Hajdu-Bihar, Bihor) and in Satu Mare (which has a very low number of structures to begin with) and going down to 18% in Csongrád</w:t>
      </w:r>
      <w:r w:rsidR="00DE7D07">
        <w:t>-Csan</w:t>
      </w:r>
      <w:r w:rsidR="00DE7D07" w:rsidRPr="005F773B">
        <w:rPr>
          <w:rFonts w:ascii="Arial" w:hAnsi="Arial" w:cs="Arial"/>
          <w:sz w:val="20"/>
          <w:szCs w:val="20"/>
          <w:shd w:val="clear" w:color="auto" w:fill="FFFFFF"/>
        </w:rPr>
        <w:t>ád</w:t>
      </w:r>
      <w:r w:rsidRPr="00037C61">
        <w:t xml:space="preserve"> and 19.08% in Szabolcs-Szatmár-Bereg. This is an inefficiency which points to the fact that there is still </w:t>
      </w:r>
      <w:r w:rsidRPr="00037C61">
        <w:rPr>
          <w:b/>
        </w:rPr>
        <w:t>significant room for growth on the current infrastructure</w:t>
      </w:r>
      <w:r w:rsidRPr="00037C61">
        <w:t xml:space="preserve">. Since 2010, </w:t>
      </w:r>
      <w:r w:rsidRPr="00037C61">
        <w:rPr>
          <w:b/>
        </w:rPr>
        <w:t>tourist overnight stays have grown throughout the area</w:t>
      </w:r>
      <w:r w:rsidRPr="00037C61">
        <w:t xml:space="preserve">, except in Satu Mare (-19% between 2010-2018), with a significant 35% increase in Csongrád-Csanád and remarkable increases in Békés (83%), Timiș (77%) and Bihor (72%). However, </w:t>
      </w:r>
      <w:r w:rsidRPr="00037C61">
        <w:rPr>
          <w:b/>
        </w:rPr>
        <w:t>overnight stays have decreased</w:t>
      </w:r>
      <w:r w:rsidRPr="00037C61">
        <w:t xml:space="preserve">, on average from 2.78 nights per stay to 2.41 (2010-2018). Disparities in overnight stays have been higher in Romania, with an actual increase in Timiș (+4%), and a 44% decrease in Bihor, which was welcoming tourists for an average of 5 days in 2009, much more than the rest of the counties. </w:t>
      </w:r>
      <w:r w:rsidRPr="00037C61">
        <w:rPr>
          <w:b/>
        </w:rPr>
        <w:t>Shorter stays point to a change in tourist behaviour</w:t>
      </w:r>
      <w:r w:rsidRPr="00037C61">
        <w:t xml:space="preserve">, with a higher mobility and willingness to experience itinerary tourism in the area: this can be turned into an asset and regional strongpoint, but only through cooperation. </w:t>
      </w:r>
    </w:p>
    <w:p w14:paraId="0C90093C" w14:textId="4A048D05" w:rsidR="00590D1A" w:rsidRPr="00037C61" w:rsidRDefault="00590D1A" w:rsidP="00590D1A">
      <w:pPr>
        <w:rPr>
          <w:lang w:val="en-GB"/>
        </w:rPr>
      </w:pPr>
      <w:r w:rsidRPr="00037C61">
        <w:rPr>
          <w:lang w:val="en-GB"/>
        </w:rPr>
        <w:t xml:space="preserve">Nevertheless, the </w:t>
      </w:r>
      <w:r w:rsidRPr="00037C61">
        <w:rPr>
          <w:b/>
          <w:bCs/>
          <w:lang w:val="en-GB"/>
        </w:rPr>
        <w:t>tourism cross-border growth potential</w:t>
      </w:r>
      <w:r w:rsidRPr="00037C61">
        <w:rPr>
          <w:lang w:val="en-GB"/>
        </w:rPr>
        <w:t xml:space="preserve"> remains high and ensures the increase in the value of the region only through an intelligent and unitary approach, by developing a regional touristic brand that will trigger synergies in the less visited counties. </w:t>
      </w:r>
      <w:r w:rsidRPr="00037C61">
        <w:rPr>
          <w:b/>
          <w:bCs/>
          <w:lang w:val="en-GB"/>
        </w:rPr>
        <w:t>A common agenda</w:t>
      </w:r>
      <w:r w:rsidRPr="00037C61">
        <w:rPr>
          <w:lang w:val="en-GB"/>
        </w:rPr>
        <w:t xml:space="preserve"> </w:t>
      </w:r>
      <w:r w:rsidR="0F23746F" w:rsidRPr="00037C61">
        <w:rPr>
          <w:lang w:val="en-GB"/>
        </w:rPr>
        <w:t>could be considered</w:t>
      </w:r>
      <w:r w:rsidRPr="00037C61">
        <w:rPr>
          <w:lang w:val="en-GB"/>
        </w:rPr>
        <w:t xml:space="preserve"> for the management of destinations as well as for the friendly orientation of tourists to the key objectives and for cross border routes.</w:t>
      </w:r>
    </w:p>
    <w:p w14:paraId="1A8596CD" w14:textId="77777777" w:rsidR="00BB7D11" w:rsidRPr="00037C61" w:rsidRDefault="00BB7D11" w:rsidP="00BB7D11">
      <w:pPr>
        <w:rPr>
          <w:lang w:val="en-GB"/>
        </w:rPr>
      </w:pPr>
    </w:p>
    <w:p w14:paraId="4A542B9C" w14:textId="77777777" w:rsidR="00BB7D11" w:rsidRPr="00037C61" w:rsidRDefault="00BB7D11" w:rsidP="00BB7D11">
      <w:pPr>
        <w:rPr>
          <w:lang w:val="en-GB"/>
        </w:rPr>
      </w:pPr>
    </w:p>
    <w:p w14:paraId="6E3E56CD" w14:textId="77777777" w:rsidR="00BB7D11" w:rsidRPr="00037C61" w:rsidRDefault="00BB7D11" w:rsidP="00BB7D11">
      <w:pPr>
        <w:rPr>
          <w:lang w:val="en-GB"/>
        </w:rPr>
      </w:pPr>
    </w:p>
    <w:p w14:paraId="32107C6A" w14:textId="1A19E3A1" w:rsidR="00981D6C" w:rsidRPr="00037C61" w:rsidRDefault="00981D6C" w:rsidP="005E0849">
      <w:pPr>
        <w:rPr>
          <w:lang w:val="en-GB"/>
        </w:rPr>
        <w:sectPr w:rsidR="00981D6C" w:rsidRPr="00037C61" w:rsidSect="009E4103">
          <w:headerReference w:type="default" r:id="rId147"/>
          <w:footerReference w:type="first" r:id="rId148"/>
          <w:pgSz w:w="11906" w:h="16838"/>
          <w:pgMar w:top="1713" w:right="1440" w:bottom="1440" w:left="1440" w:header="708" w:footer="828" w:gutter="0"/>
          <w:cols w:space="708"/>
          <w:docGrid w:linePitch="360"/>
        </w:sectPr>
      </w:pPr>
    </w:p>
    <w:p w14:paraId="1F0E895B" w14:textId="703120A3" w:rsidR="009027CD" w:rsidRPr="00037C61" w:rsidRDefault="009027CD" w:rsidP="009027CD">
      <w:pPr>
        <w:pStyle w:val="Heading3"/>
      </w:pPr>
      <w:bookmarkStart w:id="395" w:name="_Toc53137199"/>
      <w:bookmarkStart w:id="396" w:name="_Toc64619543"/>
      <w:r w:rsidRPr="00037C61">
        <w:lastRenderedPageBreak/>
        <w:t>SWOT Analysis: Economic potential</w:t>
      </w:r>
      <w:bookmarkEnd w:id="395"/>
      <w:bookmarkEnd w:id="396"/>
    </w:p>
    <w:tbl>
      <w:tblPr>
        <w:tblStyle w:val="ListTable3-Accent11"/>
        <w:tblW w:w="14048" w:type="dxa"/>
        <w:tblLook w:val="04A0" w:firstRow="1" w:lastRow="0" w:firstColumn="1" w:lastColumn="0" w:noHBand="0" w:noVBand="1"/>
      </w:tblPr>
      <w:tblGrid>
        <w:gridCol w:w="3681"/>
        <w:gridCol w:w="3827"/>
        <w:gridCol w:w="3544"/>
        <w:gridCol w:w="2996"/>
      </w:tblGrid>
      <w:tr w:rsidR="009027CD" w:rsidRPr="00037C61" w14:paraId="7AF8D25E" w14:textId="77777777" w:rsidTr="003F0FBB">
        <w:trPr>
          <w:cnfStyle w:val="100000000000" w:firstRow="1" w:lastRow="0" w:firstColumn="0" w:lastColumn="0" w:oddVBand="0" w:evenVBand="0" w:oddHBand="0" w:evenHBand="0" w:firstRowFirstColumn="0" w:firstRowLastColumn="0" w:lastRowFirstColumn="0" w:lastRowLastColumn="0"/>
          <w:trHeight w:val="472"/>
          <w:tblHeader/>
        </w:trPr>
        <w:tc>
          <w:tcPr>
            <w:cnfStyle w:val="001000000100" w:firstRow="0" w:lastRow="0" w:firstColumn="1" w:lastColumn="0" w:oddVBand="0" w:evenVBand="0" w:oddHBand="0" w:evenHBand="0" w:firstRowFirstColumn="1" w:firstRowLastColumn="0" w:lastRowFirstColumn="0" w:lastRowLastColumn="0"/>
            <w:tcW w:w="3681" w:type="dxa"/>
            <w:hideMark/>
          </w:tcPr>
          <w:p w14:paraId="4ACDF8C0" w14:textId="77777777" w:rsidR="009027CD" w:rsidRPr="00037C61" w:rsidRDefault="009027CD" w:rsidP="009027CD">
            <w:pPr>
              <w:pStyle w:val="NormalWeb"/>
              <w:spacing w:before="0" w:beforeAutospacing="0" w:after="0" w:afterAutospacing="0"/>
              <w:jc w:val="center"/>
              <w:rPr>
                <w:rFonts w:ascii="Calibri" w:hAnsi="Calibri"/>
                <w:sz w:val="20"/>
                <w:lang w:val="en-GB"/>
              </w:rPr>
            </w:pPr>
            <w:bookmarkStart w:id="397" w:name="_Hlk53435875"/>
            <w:r w:rsidRPr="00037C61">
              <w:rPr>
                <w:rFonts w:ascii="Calibri" w:hAnsi="Calibri"/>
                <w:sz w:val="20"/>
                <w:lang w:val="en-GB"/>
              </w:rPr>
              <w:t>Strengths</w:t>
            </w:r>
          </w:p>
        </w:tc>
        <w:tc>
          <w:tcPr>
            <w:tcW w:w="3827" w:type="dxa"/>
            <w:hideMark/>
          </w:tcPr>
          <w:p w14:paraId="5ACCBA5C" w14:textId="77777777" w:rsidR="009027CD" w:rsidRPr="00037C61" w:rsidRDefault="009027CD" w:rsidP="009027CD">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Calibri" w:hAnsi="Calibri"/>
                <w:sz w:val="20"/>
                <w:lang w:val="en-GB"/>
              </w:rPr>
            </w:pPr>
            <w:r w:rsidRPr="00037C61">
              <w:rPr>
                <w:rFonts w:ascii="Calibri" w:hAnsi="Calibri"/>
                <w:sz w:val="20"/>
                <w:lang w:val="en-GB"/>
              </w:rPr>
              <w:t>Weaknesses</w:t>
            </w:r>
          </w:p>
          <w:p w14:paraId="7B1648BD" w14:textId="77777777" w:rsidR="009027CD" w:rsidRPr="00037C61" w:rsidRDefault="009027CD" w:rsidP="009027CD">
            <w:pPr>
              <w:jc w:val="center"/>
              <w:cnfStyle w:val="100000000000" w:firstRow="1" w:lastRow="0" w:firstColumn="0" w:lastColumn="0" w:oddVBand="0" w:evenVBand="0" w:oddHBand="0" w:evenHBand="0" w:firstRowFirstColumn="0" w:firstRowLastColumn="0" w:lastRowFirstColumn="0" w:lastRowLastColumn="0"/>
              <w:rPr>
                <w:sz w:val="20"/>
                <w:lang w:val="en-GB"/>
              </w:rPr>
            </w:pPr>
          </w:p>
        </w:tc>
        <w:tc>
          <w:tcPr>
            <w:tcW w:w="3544" w:type="dxa"/>
            <w:hideMark/>
          </w:tcPr>
          <w:p w14:paraId="20F17B64" w14:textId="77777777" w:rsidR="009027CD" w:rsidRPr="00037C61" w:rsidRDefault="009027CD" w:rsidP="009027CD">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Calibri" w:hAnsi="Calibri"/>
                <w:sz w:val="20"/>
                <w:lang w:val="en-GB"/>
              </w:rPr>
            </w:pPr>
            <w:r w:rsidRPr="00037C61">
              <w:rPr>
                <w:rFonts w:ascii="Calibri" w:hAnsi="Calibri"/>
                <w:sz w:val="20"/>
                <w:lang w:val="en-GB"/>
              </w:rPr>
              <w:t>Opportunities</w:t>
            </w:r>
          </w:p>
        </w:tc>
        <w:tc>
          <w:tcPr>
            <w:tcW w:w="2996" w:type="dxa"/>
            <w:hideMark/>
          </w:tcPr>
          <w:p w14:paraId="6B176133" w14:textId="77777777" w:rsidR="009027CD" w:rsidRPr="00037C61" w:rsidRDefault="009027CD" w:rsidP="009027CD">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Calibri" w:hAnsi="Calibri"/>
                <w:sz w:val="20"/>
                <w:lang w:val="en-GB"/>
              </w:rPr>
            </w:pPr>
            <w:r w:rsidRPr="00037C61">
              <w:rPr>
                <w:rFonts w:ascii="Calibri" w:hAnsi="Calibri"/>
                <w:sz w:val="20"/>
                <w:lang w:val="en-GB"/>
              </w:rPr>
              <w:t>Threats</w:t>
            </w:r>
          </w:p>
        </w:tc>
      </w:tr>
      <w:tr w:rsidR="009027CD" w:rsidRPr="004A5488" w14:paraId="23DA6990" w14:textId="77777777" w:rsidTr="74CEAA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hideMark/>
          </w:tcPr>
          <w:p w14:paraId="13A9F382" w14:textId="48FD9CC4" w:rsidR="23E55065" w:rsidRPr="00037C61" w:rsidRDefault="52230E0C">
            <w:pPr>
              <w:pStyle w:val="InterregROHUBullet1"/>
              <w:ind w:left="306"/>
              <w:rPr>
                <w:rFonts w:asciiTheme="minorHAnsi" w:eastAsiaTheme="minorEastAsia" w:hAnsiTheme="minorHAnsi" w:cstheme="minorBidi"/>
                <w:b w:val="0"/>
                <w:color w:val="000000" w:themeColor="text1"/>
                <w:sz w:val="20"/>
                <w:szCs w:val="20"/>
              </w:rPr>
            </w:pPr>
            <w:r w:rsidRPr="00037C61">
              <w:rPr>
                <w:b w:val="0"/>
                <w:sz w:val="20"/>
                <w:szCs w:val="20"/>
              </w:rPr>
              <w:t>For the 2015-2017 period, the number of enterprises per thousand inhabitants for the PA exceeded the national averages for each cross-border region. This means that the PA has the potential for future growth and developm</w:t>
            </w:r>
            <w:r w:rsidRPr="00037C61">
              <w:rPr>
                <w:b w:val="0"/>
                <w:sz w:val="20"/>
              </w:rPr>
              <w:t>ent. </w:t>
            </w:r>
          </w:p>
          <w:p w14:paraId="36F83657" w14:textId="2F467FE9" w:rsidR="009027CD" w:rsidRPr="00037C61" w:rsidRDefault="52230E0C" w:rsidP="009027CD">
            <w:pPr>
              <w:pStyle w:val="InterregROHUBullet1"/>
              <w:ind w:left="306"/>
              <w:rPr>
                <w:rFonts w:eastAsia="Calibri" w:cs="Calibri"/>
                <w:b w:val="0"/>
                <w:color w:val="000000" w:themeColor="text1"/>
                <w:sz w:val="20"/>
                <w:szCs w:val="20"/>
              </w:rPr>
            </w:pPr>
            <w:r w:rsidRPr="00037C61">
              <w:rPr>
                <w:b w:val="0"/>
                <w:sz w:val="20"/>
              </w:rPr>
              <w:t>The PA two most economically developed regions: Timiș with a major share of the Romanian PA</w:t>
            </w:r>
            <w:r w:rsidRPr="00037C61">
              <w:rPr>
                <w:b w:val="0"/>
                <w:sz w:val="20"/>
                <w:szCs w:val="20"/>
              </w:rPr>
              <w:t xml:space="preserve"> </w:t>
            </w:r>
            <w:r w:rsidRPr="00037C61">
              <w:rPr>
                <w:b w:val="0"/>
                <w:color w:val="000000" w:themeColor="text1"/>
                <w:sz w:val="20"/>
              </w:rPr>
              <w:t>GDP - 46.4%; Hajdú-Bihar with a major share of Hungarian PA GDP - 31.95%</w:t>
            </w:r>
            <w:r w:rsidR="77E01B5A" w:rsidRPr="00037C61">
              <w:rPr>
                <w:b w:val="0"/>
                <w:color w:val="000000" w:themeColor="text1"/>
                <w:sz w:val="20"/>
              </w:rPr>
              <w:t>.</w:t>
            </w:r>
          </w:p>
          <w:p w14:paraId="6B496904" w14:textId="47D1D8DD" w:rsidR="009027CD" w:rsidRPr="00037C61" w:rsidRDefault="52230E0C" w:rsidP="52230E0C">
            <w:pPr>
              <w:pStyle w:val="InterregROHUBullet1"/>
              <w:ind w:left="306"/>
              <w:rPr>
                <w:rFonts w:eastAsia="Calibri" w:cs="Calibri"/>
                <w:b w:val="0"/>
                <w:color w:val="000000" w:themeColor="text1"/>
                <w:sz w:val="20"/>
                <w:szCs w:val="20"/>
              </w:rPr>
            </w:pPr>
            <w:r w:rsidRPr="00037C61">
              <w:rPr>
                <w:b w:val="0"/>
                <w:color w:val="000000" w:themeColor="text1"/>
                <w:sz w:val="20"/>
              </w:rPr>
              <w:t>The PA has a diverse economic specialization</w:t>
            </w:r>
            <w:r w:rsidR="4A767D1D" w:rsidRPr="00037C61">
              <w:rPr>
                <w:b w:val="0"/>
                <w:color w:val="000000" w:themeColor="text1"/>
                <w:sz w:val="20"/>
              </w:rPr>
              <w:t>.</w:t>
            </w:r>
            <w:r w:rsidRPr="00037C61">
              <w:rPr>
                <w:b w:val="0"/>
                <w:color w:val="000000" w:themeColor="text1"/>
                <w:sz w:val="20"/>
              </w:rPr>
              <w:t xml:space="preserve"> </w:t>
            </w:r>
          </w:p>
          <w:p w14:paraId="5B322C2D" w14:textId="60DB5EEF" w:rsidR="009027CD" w:rsidRPr="00037C61" w:rsidRDefault="52230E0C" w:rsidP="52230E0C">
            <w:pPr>
              <w:pStyle w:val="InterregROHUBullet1"/>
              <w:ind w:left="306"/>
              <w:rPr>
                <w:b w:val="0"/>
                <w:sz w:val="20"/>
                <w:szCs w:val="20"/>
              </w:rPr>
            </w:pPr>
            <w:r w:rsidRPr="00037C61">
              <w:rPr>
                <w:b w:val="0"/>
                <w:sz w:val="20"/>
              </w:rPr>
              <w:t>Regarding GDP along with NACE2 sectors, each region (except Csongrád</w:t>
            </w:r>
            <w:r w:rsidR="60D2610B" w:rsidRPr="00037C61">
              <w:rPr>
                <w:b w:val="0"/>
                <w:sz w:val="20"/>
              </w:rPr>
              <w:t>-Csanád</w:t>
            </w:r>
            <w:r w:rsidR="1878BC16" w:rsidRPr="00037C61">
              <w:rPr>
                <w:b w:val="0"/>
                <w:sz w:val="20"/>
              </w:rPr>
              <w:t xml:space="preserve"> </w:t>
            </w:r>
            <w:r w:rsidRPr="00037C61">
              <w:rPr>
                <w:b w:val="0"/>
                <w:sz w:val="20"/>
              </w:rPr>
              <w:t xml:space="preserve">and Satu Mare) are leaders in one domain: Hajdú-Bihar - L-N Other services; Szabolcs-Szatmár-Bereg - O-Q Public service; Békés - A - Agriculture; Bihor - F - Construction and G-I - Trade; Arad - B-E - Industry; Timiș - J-K - ICT, Finance. Timiș region has a high polarization effect in terms of FDI (due to major city Timișoara). Regarding FDI, and FDI per capita, all Romanian regions have almost double the value of the Hungarian counterparts, with the </w:t>
            </w:r>
            <w:r w:rsidR="192B28FB" w:rsidRPr="00037C61">
              <w:rPr>
                <w:b w:val="0"/>
                <w:sz w:val="20"/>
              </w:rPr>
              <w:t>Timiș</w:t>
            </w:r>
            <w:r w:rsidRPr="00037C61">
              <w:rPr>
                <w:b w:val="0"/>
                <w:sz w:val="20"/>
              </w:rPr>
              <w:t xml:space="preserve"> region concentrating more </w:t>
            </w:r>
            <w:r w:rsidRPr="00037C61">
              <w:rPr>
                <w:b w:val="0"/>
                <w:sz w:val="20"/>
              </w:rPr>
              <w:lastRenderedPageBreak/>
              <w:t xml:space="preserve">than double the number of funds that the rest of the eligible area together. Timiș region concentrates a total of 57.71% of the total FDI of the entire PA.  The ROHU area can benefit from this as it can attract even more qualified and more investors in the area, with spill overs in other </w:t>
            </w:r>
            <w:r w:rsidR="3087E4E4" w:rsidRPr="00037C61">
              <w:rPr>
                <w:b w:val="0"/>
                <w:sz w:val="20"/>
              </w:rPr>
              <w:t>programme area c</w:t>
            </w:r>
            <w:r w:rsidRPr="00037C61">
              <w:rPr>
                <w:b w:val="0"/>
                <w:sz w:val="20"/>
              </w:rPr>
              <w:t>ounties</w:t>
            </w:r>
            <w:r w:rsidR="4005FFCE" w:rsidRPr="00037C61">
              <w:rPr>
                <w:b w:val="0"/>
                <w:sz w:val="20"/>
              </w:rPr>
              <w:t>.</w:t>
            </w:r>
          </w:p>
          <w:p w14:paraId="3A0EFDB4" w14:textId="77777777" w:rsidR="009027CD" w:rsidRPr="00037C61" w:rsidRDefault="23E55065" w:rsidP="23E55065">
            <w:pPr>
              <w:pStyle w:val="InterregROHUBullet1"/>
              <w:ind w:left="306"/>
              <w:rPr>
                <w:rFonts w:eastAsia="Calibri" w:cs="Calibri"/>
                <w:b w:val="0"/>
                <w:color w:val="000000" w:themeColor="text1"/>
                <w:sz w:val="20"/>
                <w:szCs w:val="20"/>
              </w:rPr>
            </w:pPr>
            <w:r w:rsidRPr="00037C61">
              <w:rPr>
                <w:b w:val="0"/>
                <w:sz w:val="20"/>
              </w:rPr>
              <w:t>The region's economy is based mainly on the tertiary sector, which contributes with 57.07% to the regional GVA in 2017 (up from 54.70% in 2009) and industry and construction, with a contribution of 34.4 % (decreasing from 37.28% in 2009).</w:t>
            </w:r>
          </w:p>
          <w:p w14:paraId="2280463A" w14:textId="0FECC65F" w:rsidR="000C1187" w:rsidRPr="00037C61" w:rsidRDefault="00A01C0D" w:rsidP="000C1187">
            <w:pPr>
              <w:pStyle w:val="InterregROHUBullet1"/>
              <w:ind w:left="306"/>
              <w:rPr>
                <w:rFonts w:eastAsia="Calibri" w:cs="Calibri"/>
                <w:b w:val="0"/>
                <w:color w:val="000000" w:themeColor="text1"/>
                <w:sz w:val="20"/>
                <w:szCs w:val="20"/>
              </w:rPr>
            </w:pPr>
            <w:r w:rsidRPr="00037C61">
              <w:rPr>
                <w:b w:val="0"/>
                <w:color w:val="000000" w:themeColor="text1"/>
                <w:sz w:val="20"/>
              </w:rPr>
              <w:t>The changes in</w:t>
            </w:r>
            <w:r w:rsidRPr="00037C61">
              <w:rPr>
                <w:rFonts w:eastAsia="Calibri"/>
                <w:b w:val="0"/>
                <w:color w:val="000000" w:themeColor="text1"/>
                <w:sz w:val="20"/>
                <w:szCs w:val="20"/>
              </w:rPr>
              <w:t xml:space="preserve"> active enterprises indicate a relatively sustained growth in the Romanian counties, with minor oscillations, and an increasingly positive trend in the Hungarian ones (2012-2017) which can point to an increased attractiveness of the area especially for SMEs; furthermore, the PA records recent positive trend - a higher than national average (RO, HU) for enterprises / 1000 inhabitants</w:t>
            </w:r>
            <w:r w:rsidR="312D762D" w:rsidRPr="00037C61">
              <w:rPr>
                <w:rFonts w:eastAsia="Calibri"/>
                <w:b w:val="0"/>
                <w:color w:val="000000" w:themeColor="text1"/>
                <w:sz w:val="20"/>
                <w:szCs w:val="20"/>
              </w:rPr>
              <w:t>.</w:t>
            </w:r>
          </w:p>
          <w:p w14:paraId="0A8A6836" w14:textId="77777777" w:rsidR="000C1187" w:rsidRPr="00037C61" w:rsidRDefault="11ABFC4F" w:rsidP="000C1187">
            <w:pPr>
              <w:pStyle w:val="InterregROHUBullet1"/>
              <w:ind w:left="306"/>
              <w:rPr>
                <w:rFonts w:eastAsia="Calibri" w:cs="Calibri"/>
                <w:b w:val="0"/>
                <w:color w:val="000000" w:themeColor="text1"/>
                <w:sz w:val="20"/>
                <w:szCs w:val="20"/>
              </w:rPr>
            </w:pPr>
            <w:r w:rsidRPr="00037C61">
              <w:rPr>
                <w:rFonts w:eastAsia="Calibri" w:cs="Calibri"/>
                <w:b w:val="0"/>
                <w:color w:val="000000" w:themeColor="text1"/>
                <w:sz w:val="20"/>
                <w:szCs w:val="20"/>
              </w:rPr>
              <w:t xml:space="preserve">The PA has a diverse variety of tourist attractions, each region having a distinctive set of objectives and places, including cultural heritage, natural </w:t>
            </w:r>
            <w:r w:rsidRPr="00037C61">
              <w:rPr>
                <w:rFonts w:eastAsia="Calibri" w:cs="Calibri"/>
                <w:b w:val="0"/>
                <w:color w:val="000000" w:themeColor="text1"/>
                <w:sz w:val="20"/>
                <w:szCs w:val="20"/>
              </w:rPr>
              <w:lastRenderedPageBreak/>
              <w:t xml:space="preserve">environment, natural/ rural landscape, and balneary facilities. </w:t>
            </w:r>
          </w:p>
          <w:p w14:paraId="3DE2E28A" w14:textId="58EF6476" w:rsidR="000C1187" w:rsidRPr="00037C61" w:rsidRDefault="11ABFC4F" w:rsidP="000C1187">
            <w:pPr>
              <w:pStyle w:val="InterregROHUBullet1"/>
              <w:ind w:left="306"/>
              <w:rPr>
                <w:rFonts w:eastAsia="Calibri" w:cs="Calibri"/>
                <w:b w:val="0"/>
                <w:color w:val="000000" w:themeColor="text1"/>
                <w:sz w:val="20"/>
                <w:szCs w:val="20"/>
              </w:rPr>
            </w:pPr>
            <w:r w:rsidRPr="00037C61">
              <w:rPr>
                <w:rFonts w:eastAsia="Calibri" w:cs="Calibri"/>
                <w:b w:val="0"/>
                <w:color w:val="000000" w:themeColor="text1"/>
                <w:sz w:val="20"/>
                <w:szCs w:val="20"/>
              </w:rPr>
              <w:t>Well-developed infrastructure and tourism capacities in Hajdu-Bihar and Bihor</w:t>
            </w:r>
            <w:r w:rsidR="4BB0806C" w:rsidRPr="00037C61">
              <w:rPr>
                <w:rFonts w:eastAsia="Calibri" w:cs="Calibri"/>
                <w:b w:val="0"/>
                <w:color w:val="000000" w:themeColor="text1"/>
                <w:sz w:val="20"/>
                <w:szCs w:val="20"/>
              </w:rPr>
              <w:t xml:space="preserve"> and high annual occupancy (40-43%) for the two counties</w:t>
            </w:r>
            <w:r w:rsidRPr="00037C61">
              <w:rPr>
                <w:rFonts w:eastAsia="Calibri" w:cs="Calibri"/>
                <w:b w:val="0"/>
                <w:color w:val="000000" w:themeColor="text1"/>
                <w:sz w:val="20"/>
                <w:szCs w:val="20"/>
              </w:rPr>
              <w:t xml:space="preserve"> profiled on balneary / thermal and cultural / city break tourism, which represent good assets for four-season cross-border tourism</w:t>
            </w:r>
            <w:r w:rsidR="4938BC1D" w:rsidRPr="00037C61">
              <w:rPr>
                <w:rFonts w:eastAsia="Calibri" w:cs="Calibri"/>
                <w:b w:val="0"/>
                <w:color w:val="000000" w:themeColor="text1"/>
                <w:sz w:val="20"/>
                <w:szCs w:val="20"/>
              </w:rPr>
              <w:t>.</w:t>
            </w:r>
            <w:r w:rsidRPr="00037C61">
              <w:rPr>
                <w:rFonts w:eastAsia="Calibri" w:cs="Calibri"/>
                <w:b w:val="0"/>
                <w:color w:val="000000" w:themeColor="text1"/>
                <w:sz w:val="20"/>
                <w:szCs w:val="20"/>
              </w:rPr>
              <w:t xml:space="preserve"> </w:t>
            </w:r>
          </w:p>
          <w:p w14:paraId="2DE96252" w14:textId="0982D274" w:rsidR="006F06B5" w:rsidRPr="00037C61" w:rsidRDefault="4BB0806C" w:rsidP="000C1187">
            <w:pPr>
              <w:pStyle w:val="InterregROHUBullet1"/>
              <w:ind w:left="306"/>
              <w:rPr>
                <w:rFonts w:eastAsia="Calibri" w:cs="Calibri"/>
                <w:b w:val="0"/>
                <w:color w:val="000000" w:themeColor="text1"/>
                <w:sz w:val="20"/>
                <w:szCs w:val="20"/>
              </w:rPr>
            </w:pPr>
            <w:r w:rsidRPr="00037C61">
              <w:rPr>
                <w:rFonts w:eastAsia="Calibri" w:cs="Calibri"/>
                <w:b w:val="0"/>
                <w:color w:val="000000" w:themeColor="text1"/>
                <w:sz w:val="20"/>
                <w:szCs w:val="20"/>
              </w:rPr>
              <w:t>Sustained growth since 2010 (the economic crisis bottom year) in tourist overnight stays in the area, relatively equally distributed between the Hungarian and Romanian sides, although there is still room for improvement and growth due to the very high natural and cultural potential of the area and the low occupancy in off-peak seasons</w:t>
            </w:r>
            <w:r w:rsidR="30333027" w:rsidRPr="00037C61">
              <w:rPr>
                <w:rFonts w:eastAsia="Calibri" w:cs="Calibri"/>
                <w:b w:val="0"/>
                <w:color w:val="000000" w:themeColor="text1"/>
                <w:sz w:val="20"/>
                <w:szCs w:val="20"/>
              </w:rPr>
              <w:t>.</w:t>
            </w:r>
            <w:r w:rsidRPr="00037C61">
              <w:rPr>
                <w:rFonts w:eastAsia="Calibri" w:cs="Calibri"/>
                <w:b w:val="0"/>
                <w:color w:val="000000" w:themeColor="text1"/>
                <w:sz w:val="20"/>
                <w:szCs w:val="20"/>
              </w:rPr>
              <w:t xml:space="preserve"> </w:t>
            </w:r>
          </w:p>
          <w:p w14:paraId="3688702A" w14:textId="4F10CDDF" w:rsidR="006D488B" w:rsidRPr="00037C61" w:rsidRDefault="006D488B" w:rsidP="005E0849">
            <w:pPr>
              <w:pStyle w:val="InterregROHUBullet1"/>
              <w:ind w:left="306"/>
              <w:rPr>
                <w:rFonts w:eastAsia="Calibri" w:cs="Calibri"/>
                <w:b w:val="0"/>
                <w:color w:val="000000" w:themeColor="text1"/>
                <w:sz w:val="20"/>
                <w:szCs w:val="20"/>
              </w:rPr>
            </w:pPr>
            <w:r w:rsidRPr="00037C61">
              <w:rPr>
                <w:rFonts w:eastAsia="Calibri" w:cs="Calibri"/>
                <w:b w:val="0"/>
                <w:color w:val="000000" w:themeColor="text1"/>
                <w:sz w:val="20"/>
                <w:szCs w:val="20"/>
              </w:rPr>
              <w:t>Timișoara</w:t>
            </w:r>
            <w:r w:rsidR="009D57A8" w:rsidRPr="00037C61">
              <w:rPr>
                <w:rFonts w:eastAsia="Calibri" w:cs="Calibri"/>
                <w:b w:val="0"/>
                <w:color w:val="000000" w:themeColor="text1"/>
                <w:sz w:val="20"/>
                <w:szCs w:val="20"/>
              </w:rPr>
              <w:t>,</w:t>
            </w:r>
            <w:r w:rsidRPr="00037C61">
              <w:rPr>
                <w:rFonts w:eastAsia="Calibri" w:cs="Calibri"/>
                <w:b w:val="0"/>
                <w:color w:val="000000" w:themeColor="text1"/>
                <w:sz w:val="20"/>
                <w:szCs w:val="20"/>
              </w:rPr>
              <w:t>Debrecen</w:t>
            </w:r>
            <w:r w:rsidR="009D57A8" w:rsidRPr="00037C61">
              <w:rPr>
                <w:rFonts w:eastAsia="Calibri" w:cs="Calibri"/>
                <w:b w:val="0"/>
                <w:color w:val="000000" w:themeColor="text1"/>
                <w:sz w:val="20"/>
                <w:szCs w:val="20"/>
              </w:rPr>
              <w:t>, Szeged and Oradea</w:t>
            </w:r>
            <w:r w:rsidRPr="00037C61">
              <w:rPr>
                <w:rFonts w:eastAsia="Calibri" w:cs="Calibri"/>
                <w:b w:val="0"/>
                <w:color w:val="000000" w:themeColor="text1"/>
                <w:sz w:val="20"/>
                <w:szCs w:val="20"/>
              </w:rPr>
              <w:t xml:space="preserve"> are strong major urban centers for each side of the PA with complex functions and a large variety of public functions. This translates into a high potential of strong economic poles (one north, one south, one Romanian, one Hungarian) with cross-border influence and collaborations (with </w:t>
            </w:r>
            <w:r w:rsidRPr="00037C61">
              <w:rPr>
                <w:rFonts w:eastAsia="Calibri" w:cs="Calibri"/>
                <w:b w:val="0"/>
                <w:color w:val="000000" w:themeColor="text1"/>
                <w:sz w:val="20"/>
                <w:szCs w:val="20"/>
              </w:rPr>
              <w:lastRenderedPageBreak/>
              <w:t>other major city centers and subcentres).</w:t>
            </w:r>
          </w:p>
          <w:p w14:paraId="7A4EAE3E" w14:textId="2B43C98F" w:rsidR="006D488B" w:rsidRPr="00037C61" w:rsidRDefault="495DB916" w:rsidP="005E0849">
            <w:pPr>
              <w:pStyle w:val="InterregROHUBullet1"/>
              <w:ind w:left="306"/>
              <w:rPr>
                <w:rFonts w:eastAsia="Calibri" w:cs="Calibri"/>
                <w:b w:val="0"/>
                <w:color w:val="000000" w:themeColor="text1"/>
                <w:sz w:val="20"/>
                <w:szCs w:val="20"/>
              </w:rPr>
            </w:pPr>
            <w:r w:rsidRPr="00037C61">
              <w:rPr>
                <w:rFonts w:eastAsia="Calibri" w:cs="Calibri"/>
                <w:b w:val="0"/>
                <w:color w:val="000000" w:themeColor="text1"/>
                <w:sz w:val="20"/>
                <w:szCs w:val="20"/>
              </w:rPr>
              <w:t>Hajdú-Bihar region and especially Debrecen city and its area of influence is a well-developed urbanized territory in close proximity with the city Oradea. Given the larger share of rural settlements and rural population, there is a need to include rural environment-specific functions and resources to new cross-border value chains - creating a complex network of production, consumption, reuse mechanism, agro-tourism, and</w:t>
            </w:r>
            <w:r w:rsidRPr="00037C61">
              <w:rPr>
                <w:rFonts w:eastAsia="Calibri" w:cs="Calibri"/>
                <w:b w:val="0"/>
                <w:color w:val="000000" w:themeColor="text1"/>
                <w:sz w:val="20"/>
                <w:szCs w:val="20"/>
                <w:highlight w:val="yellow"/>
              </w:rPr>
              <w:t xml:space="preserve"> </w:t>
            </w:r>
            <w:r w:rsidRPr="00037C61">
              <w:rPr>
                <w:rFonts w:eastAsia="Calibri" w:cs="Calibri"/>
                <w:b w:val="0"/>
                <w:color w:val="000000" w:themeColor="text1"/>
                <w:sz w:val="20"/>
                <w:szCs w:val="20"/>
              </w:rPr>
              <w:t>manufacturing based on collaboration.</w:t>
            </w:r>
          </w:p>
        </w:tc>
        <w:tc>
          <w:tcPr>
            <w:tcW w:w="3827" w:type="dxa"/>
            <w:hideMark/>
          </w:tcPr>
          <w:p w14:paraId="377F8107" w14:textId="0053131F" w:rsidR="009027CD" w:rsidRPr="00037C61" w:rsidRDefault="52230E0C"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lastRenderedPageBreak/>
              <w:t xml:space="preserve">The PA regions have a GDP per capita below the national average (except Timiș exceeding the Romanian national average by 33.5%, but below the Hungarian national average by 10.05%). All regions are </w:t>
            </w:r>
            <w:r w:rsidR="065CE2D8" w:rsidRPr="00037C61">
              <w:rPr>
                <w:sz w:val="20"/>
                <w:szCs w:val="20"/>
              </w:rPr>
              <w:t xml:space="preserve">considerably </w:t>
            </w:r>
            <w:r w:rsidRPr="00037C61">
              <w:rPr>
                <w:sz w:val="20"/>
                <w:szCs w:val="20"/>
              </w:rPr>
              <w:t xml:space="preserve">below the EU27 average (27,630 </w:t>
            </w:r>
            <w:r w:rsidR="065CE2D8" w:rsidRPr="00037C61">
              <w:rPr>
                <w:sz w:val="20"/>
                <w:szCs w:val="20"/>
              </w:rPr>
              <w:t>E</w:t>
            </w:r>
            <w:r w:rsidRPr="00037C61">
              <w:rPr>
                <w:sz w:val="20"/>
                <w:szCs w:val="20"/>
              </w:rPr>
              <w:t>uro</w:t>
            </w:r>
            <w:r w:rsidR="065CE2D8" w:rsidRPr="00037C61">
              <w:rPr>
                <w:sz w:val="20"/>
                <w:szCs w:val="20"/>
              </w:rPr>
              <w:t xml:space="preserve"> per capita PPS, compared with</w:t>
            </w:r>
            <w:r w:rsidRPr="00037C61">
              <w:rPr>
                <w:sz w:val="20"/>
                <w:szCs w:val="20"/>
              </w:rPr>
              <w:t xml:space="preserve"> the PA leader Timiș - 13,990</w:t>
            </w:r>
            <w:r w:rsidR="065CE2D8" w:rsidRPr="00037C61">
              <w:rPr>
                <w:sz w:val="20"/>
                <w:szCs w:val="20"/>
              </w:rPr>
              <w:t xml:space="preserve"> Euro per capita PPS</w:t>
            </w:r>
            <w:r w:rsidRPr="00037C61">
              <w:rPr>
                <w:sz w:val="20"/>
                <w:szCs w:val="20"/>
              </w:rPr>
              <w:t xml:space="preserve">). </w:t>
            </w:r>
          </w:p>
          <w:p w14:paraId="70DC7858" w14:textId="450EB5F6" w:rsidR="009027CD" w:rsidRPr="00037C61" w:rsidRDefault="1A88235E" w:rsidP="00EA5E72">
            <w:pPr>
              <w:pStyle w:val="InterregROHUBullet1"/>
              <w:numPr>
                <w:ilvl w:val="0"/>
                <w:numId w:val="0"/>
              </w:numPr>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Although the GDP of the programme area increased, between 2009 and 2018, the programme area actually witnessed a decline in its attractiveness at national levels: Bihor, Satu Mare and Arad on the Romanian side, as well as Hajdu-Bihar, Békés and Csongrád-Csanád all contribute in 2018 slightly lower to the national GDP. The outliers are Timiș (intense economic concentration) and Szabolcs-Szatmár-Bereg, due to its lagging starting position. There is still a significant distance</w:t>
            </w:r>
            <w:r w:rsidR="4C018B70" w:rsidRPr="00037C61">
              <w:rPr>
                <w:sz w:val="20"/>
                <w:szCs w:val="20"/>
              </w:rPr>
              <w:t xml:space="preserve"> to </w:t>
            </w:r>
            <w:r w:rsidR="1A606488" w:rsidRPr="00037C61">
              <w:rPr>
                <w:sz w:val="20"/>
                <w:szCs w:val="20"/>
              </w:rPr>
              <w:t>be travelled</w:t>
            </w:r>
            <w:r w:rsidR="68F31CE8" w:rsidRPr="00037C61">
              <w:rPr>
                <w:sz w:val="20"/>
                <w:szCs w:val="20"/>
              </w:rPr>
              <w:t>.</w:t>
            </w:r>
            <w:r w:rsidRPr="00037C61">
              <w:rPr>
                <w:sz w:val="20"/>
                <w:szCs w:val="20"/>
              </w:rPr>
              <w:t xml:space="preserve"> </w:t>
            </w:r>
            <w:r w:rsidR="50FA030F" w:rsidRPr="00037C61">
              <w:rPr>
                <w:sz w:val="20"/>
                <w:szCs w:val="20"/>
              </w:rPr>
              <w:t xml:space="preserve">A dominant micro-SME profile across the programme area, with declining numbers of newly created jobs (2011-2017) especially in the Romanian counties of Bihor, Satu Mare and Arad, points to underperformance of entrepreneurship initiatives and a low impact of business support investments in the recent years. New models of </w:t>
            </w:r>
            <w:r w:rsidR="50FA030F" w:rsidRPr="00037C61">
              <w:rPr>
                <w:sz w:val="20"/>
                <w:szCs w:val="20"/>
              </w:rPr>
              <w:lastRenderedPageBreak/>
              <w:t>business growth support should be identified</w:t>
            </w:r>
            <w:r w:rsidR="080CA148" w:rsidRPr="00037C61">
              <w:rPr>
                <w:sz w:val="20"/>
                <w:szCs w:val="20"/>
              </w:rPr>
              <w:t>.</w:t>
            </w:r>
          </w:p>
          <w:p w14:paraId="1D016196" w14:textId="13FF31A8" w:rsidR="009027CD" w:rsidRPr="00037C61" w:rsidRDefault="23E55065"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Despite its new manufacturing and ICT clusters, the region is dominated by low-level technologies at the lower end of production chains, scoring low in business sophistication.  </w:t>
            </w:r>
          </w:p>
          <w:p w14:paraId="7A3F72E0" w14:textId="3F22C78F" w:rsidR="009027CD" w:rsidRPr="00037C61" w:rsidRDefault="23E55065" w:rsidP="23E55065">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Loss of human capital to other EU countries is affecting the economic development – even if there is a decrease in the migration values, the number of emigrants is higher than the number of immigrants, especially in the Romanian region, except</w:t>
            </w:r>
            <w:r w:rsidR="75308D7E" w:rsidRPr="00037C61">
              <w:rPr>
                <w:sz w:val="20"/>
                <w:szCs w:val="20"/>
              </w:rPr>
              <w:t xml:space="preserve"> </w:t>
            </w:r>
            <w:r w:rsidRPr="00037C61">
              <w:rPr>
                <w:sz w:val="20"/>
                <w:szCs w:val="20"/>
              </w:rPr>
              <w:t>Timiș region (5.1‰) and Csongrád-Csanád (2.1‰).</w:t>
            </w:r>
          </w:p>
          <w:p w14:paraId="58273164" w14:textId="094D7163" w:rsidR="009027CD" w:rsidRPr="00037C61" w:rsidRDefault="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The PA has a very low productivity change (period 2009-2018) in the following sectors: Construction (-15.61%), Financial (3.75%) and insurance activities and Real estate activities (17.60%).</w:t>
            </w:r>
          </w:p>
          <w:p w14:paraId="590E793D" w14:textId="03A43803" w:rsidR="009027CD" w:rsidRPr="00037C61" w:rsidRDefault="23E55065" w:rsidP="23E55065">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High unemployment rate in Szabolcs-Szatmár-Bereg region (6.54%) and Békés region (5.62%) and low GPD/ per capita (almost 4 times less that the EU average and 2 times less that the national average). Satu Mare region has a lower unemployment rate, of 1.7%, but still has </w:t>
            </w:r>
            <w:r w:rsidRPr="00037C61">
              <w:rPr>
                <w:sz w:val="20"/>
                <w:szCs w:val="20"/>
              </w:rPr>
              <w:lastRenderedPageBreak/>
              <w:t xml:space="preserve">the lowest values of GPD pe capita of the cross-border region. </w:t>
            </w:r>
          </w:p>
          <w:p w14:paraId="6A9157F6" w14:textId="7D8C6EA3" w:rsidR="009027CD" w:rsidRPr="00037C61" w:rsidRDefault="52230E0C" w:rsidP="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 economic sectors </w:t>
            </w:r>
            <w:r w:rsidR="4874713F" w:rsidRPr="00037C61">
              <w:rPr>
                <w:sz w:val="20"/>
                <w:szCs w:val="20"/>
              </w:rPr>
              <w:t>are</w:t>
            </w:r>
            <w:r w:rsidRPr="00037C61">
              <w:rPr>
                <w:sz w:val="20"/>
                <w:szCs w:val="20"/>
              </w:rPr>
              <w:t xml:space="preserve"> lacking competitiveness including due to low degree of innovation: regarding R&amp;D expenditure, the PA concentrates 9.30% of the total cost of both countries</w:t>
            </w:r>
            <w:r w:rsidR="5E4B918C" w:rsidRPr="00037C61">
              <w:rPr>
                <w:sz w:val="20"/>
                <w:szCs w:val="20"/>
              </w:rPr>
              <w:t>.</w:t>
            </w:r>
            <w:r w:rsidRPr="00037C61">
              <w:rPr>
                <w:sz w:val="20"/>
                <w:szCs w:val="20"/>
              </w:rPr>
              <w:t xml:space="preserve"> </w:t>
            </w:r>
          </w:p>
          <w:p w14:paraId="0ECBE26B" w14:textId="1AC7FA65" w:rsidR="000C1187" w:rsidRPr="00037C61" w:rsidRDefault="4BB0806C" w:rsidP="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Relevant disparity</w:t>
            </w:r>
            <w:r w:rsidR="11ABFC4F" w:rsidRPr="00037C61">
              <w:rPr>
                <w:sz w:val="20"/>
                <w:szCs w:val="20"/>
              </w:rPr>
              <w:t xml:space="preserve"> in terms of in-use tourism capacities between Hungary and Romania, with the latter recording lower numbers in Satu Mare (2,379 capacities, 7 times lower than Hajdu-Bihar), Arad and Timiș</w:t>
            </w:r>
            <w:r w:rsidRPr="00037C61">
              <w:rPr>
                <w:sz w:val="20"/>
                <w:szCs w:val="20"/>
              </w:rPr>
              <w:t>;</w:t>
            </w:r>
            <w:r w:rsidR="11ABFC4F" w:rsidRPr="00037C61">
              <w:rPr>
                <w:sz w:val="20"/>
                <w:szCs w:val="20"/>
              </w:rPr>
              <w:t xml:space="preserve"> </w:t>
            </w:r>
            <w:r w:rsidRPr="00037C61">
              <w:rPr>
                <w:sz w:val="20"/>
                <w:szCs w:val="20"/>
              </w:rPr>
              <w:t>there is still significant room for growth, especially in the agri-tourism sector in Romania, while in Hungary, the trend is for a growth in the hotels sector</w:t>
            </w:r>
            <w:r w:rsidR="2DC201FC" w:rsidRPr="00037C61">
              <w:rPr>
                <w:sz w:val="20"/>
                <w:szCs w:val="20"/>
              </w:rPr>
              <w:t>.</w:t>
            </w:r>
            <w:r w:rsidRPr="00037C61">
              <w:rPr>
                <w:sz w:val="20"/>
                <w:szCs w:val="20"/>
              </w:rPr>
              <w:t xml:space="preserve"> </w:t>
            </w:r>
          </w:p>
          <w:p w14:paraId="1A30092C" w14:textId="7C1FB01C" w:rsidR="006F06B5" w:rsidRPr="00037C61" w:rsidRDefault="61116CD7" w:rsidP="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bCs w:val="0"/>
                <w:sz w:val="20"/>
                <w:szCs w:val="20"/>
              </w:rPr>
              <w:t>Horeca and tourism jobs have the lowest salaries in the region, which represents a barrier to tourism growth</w:t>
            </w:r>
            <w:r w:rsidR="609A895C" w:rsidRPr="00037C61">
              <w:rPr>
                <w:bCs w:val="0"/>
                <w:sz w:val="20"/>
                <w:szCs w:val="20"/>
              </w:rPr>
              <w:t>.</w:t>
            </w:r>
          </w:p>
          <w:p w14:paraId="5FE07A67" w14:textId="66E0475E" w:rsidR="006F06B5" w:rsidRPr="00037C61" w:rsidRDefault="4BB0806C" w:rsidP="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Very high disparities between the Hungarian counties of Hajdu-Bihar (1.</w:t>
            </w:r>
            <w:r w:rsidR="0487D89B" w:rsidRPr="00037C61">
              <w:rPr>
                <w:sz w:val="20"/>
                <w:szCs w:val="20"/>
              </w:rPr>
              <w:t>86% R&amp;D expenditure out of GDP)</w:t>
            </w:r>
            <w:r w:rsidRPr="00037C61">
              <w:rPr>
                <w:sz w:val="20"/>
                <w:szCs w:val="20"/>
              </w:rPr>
              <w:t xml:space="preserve"> and Csongrád-Csanád </w:t>
            </w:r>
            <w:r w:rsidR="0487D89B" w:rsidRPr="00037C61">
              <w:rPr>
                <w:sz w:val="20"/>
                <w:szCs w:val="20"/>
              </w:rPr>
              <w:t>(2.34%), which rank higher than the national average and around the European one (2.15%) for the research and development expenditure, compared to the Romanian counties</w:t>
            </w:r>
            <w:r w:rsidR="2E17565B" w:rsidRPr="00037C61">
              <w:rPr>
                <w:sz w:val="20"/>
                <w:szCs w:val="20"/>
              </w:rPr>
              <w:t xml:space="preserve">: </w:t>
            </w:r>
            <w:r w:rsidR="0487D89B" w:rsidRPr="00037C61">
              <w:rPr>
                <w:sz w:val="20"/>
                <w:szCs w:val="20"/>
              </w:rPr>
              <w:t xml:space="preserve"> 0.01% in Satu Mare and Bihor, 0.65% in Timiș. This is a significant weakness of the Romanian side especially in the </w:t>
            </w:r>
            <w:r w:rsidR="0487D89B" w:rsidRPr="00037C61">
              <w:rPr>
                <w:sz w:val="20"/>
                <w:szCs w:val="20"/>
              </w:rPr>
              <w:lastRenderedPageBreak/>
              <w:t>context of the well-performing university center of Timișoara and manufacturing specialisation. There is lost potential in R&amp;D which can be stimulated through cross-border cooperation in sectors of mutual interest</w:t>
            </w:r>
            <w:r w:rsidR="4A2E3423" w:rsidRPr="00037C61">
              <w:rPr>
                <w:sz w:val="20"/>
                <w:szCs w:val="20"/>
              </w:rPr>
              <w:t>.</w:t>
            </w:r>
            <w:r w:rsidR="0487D89B" w:rsidRPr="00037C61">
              <w:rPr>
                <w:sz w:val="20"/>
                <w:szCs w:val="20"/>
              </w:rPr>
              <w:t xml:space="preserve"> </w:t>
            </w:r>
          </w:p>
          <w:p w14:paraId="5501B9EF" w14:textId="79C4C6A2" w:rsidR="009027CD" w:rsidRPr="00037C61" w:rsidRDefault="009027CD" w:rsidP="00204288">
            <w:pPr>
              <w:pStyle w:val="InterregROHUBullet1"/>
              <w:numPr>
                <w:ilvl w:val="0"/>
                <w:numId w:val="0"/>
              </w:numPr>
              <w:ind w:left="-54"/>
              <w:cnfStyle w:val="000000100000" w:firstRow="0" w:lastRow="0" w:firstColumn="0" w:lastColumn="0" w:oddVBand="0" w:evenVBand="0" w:oddHBand="1" w:evenHBand="0" w:firstRowFirstColumn="0" w:firstRowLastColumn="0" w:lastRowFirstColumn="0" w:lastRowLastColumn="0"/>
              <w:rPr>
                <w:sz w:val="20"/>
                <w:szCs w:val="20"/>
              </w:rPr>
            </w:pPr>
          </w:p>
        </w:tc>
        <w:tc>
          <w:tcPr>
            <w:tcW w:w="3544" w:type="dxa"/>
            <w:hideMark/>
          </w:tcPr>
          <w:p w14:paraId="5E6BAFD6" w14:textId="5009B114" w:rsidR="009027CD" w:rsidRPr="00037C61" w:rsidRDefault="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lastRenderedPageBreak/>
              <w:t>The PA had an accelerated recovery after the previous financial crisis, meaning that the border regions have developed production and service delivery capacities, which have led to better integration in the EU production chains. The area has the potential to further develop these relations and capacities to grow and prosper</w:t>
            </w:r>
            <w:r w:rsidR="143767EB" w:rsidRPr="00037C61">
              <w:rPr>
                <w:sz w:val="20"/>
                <w:szCs w:val="20"/>
              </w:rPr>
              <w:t>.</w:t>
            </w:r>
          </w:p>
          <w:p w14:paraId="1227CE6C" w14:textId="74D2554F" w:rsidR="009027CD" w:rsidRPr="00037C61" w:rsidRDefault="52230E0C" w:rsidP="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The increasing number of new companies in the PA is encouraging for the future of the analysed region as there is availability for new initiatives, but an institutional component must be considered, to consolidate and develop the entrepreneurial ecosystem, both by applying best practice models and by educational programmes and entrepreneurial projects. In the period 2011-2017, Bihor and Timiș regions registered the highest increase in the total number of enterprises of the PA (Bihor 22.49% and Timis 20.77</w:t>
            </w:r>
            <w:r w:rsidR="43E3DF1F" w:rsidRPr="00037C61">
              <w:rPr>
                <w:sz w:val="20"/>
                <w:szCs w:val="20"/>
              </w:rPr>
              <w:t>%</w:t>
            </w:r>
            <w:r w:rsidRPr="00037C61">
              <w:rPr>
                <w:sz w:val="20"/>
                <w:szCs w:val="20"/>
              </w:rPr>
              <w:t>)</w:t>
            </w:r>
            <w:r w:rsidR="4FB7DE8E" w:rsidRPr="00037C61">
              <w:rPr>
                <w:sz w:val="20"/>
                <w:szCs w:val="20"/>
              </w:rPr>
              <w:t>.</w:t>
            </w:r>
          </w:p>
          <w:p w14:paraId="41977C11" w14:textId="47E8F220" w:rsidR="009027CD" w:rsidRPr="00037C61" w:rsidRDefault="6326E3A4"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 density of new businesses increased in all regions (for the period 2009-2017), with regions Bihor and Arad registering the </w:t>
            </w:r>
            <w:r w:rsidRPr="00037C61">
              <w:rPr>
                <w:sz w:val="20"/>
                <w:szCs w:val="20"/>
              </w:rPr>
              <w:lastRenderedPageBreak/>
              <w:t>highest increase of 130% and 106%. Although, Romanian cross-border region registers lower values per each year of new businesses than the Hungarian counterparts – with some exceptions</w:t>
            </w:r>
            <w:r w:rsidR="4201A41C" w:rsidRPr="00037C61">
              <w:rPr>
                <w:sz w:val="20"/>
                <w:szCs w:val="20"/>
              </w:rPr>
              <w:t>: in</w:t>
            </w:r>
            <w:r w:rsidRPr="00037C61">
              <w:rPr>
                <w:sz w:val="20"/>
                <w:szCs w:val="20"/>
              </w:rPr>
              <w:t xml:space="preserve"> 2013 Romanian cross-border region had a total number of births of new businesses double than the Hungarian counterparts.</w:t>
            </w:r>
            <w:r w:rsidR="60031EF5" w:rsidRPr="00037C61">
              <w:rPr>
                <w:sz w:val="20"/>
                <w:szCs w:val="20"/>
              </w:rPr>
              <w:t xml:space="preserve"> </w:t>
            </w:r>
            <w:r w:rsidRPr="00037C61">
              <w:rPr>
                <w:sz w:val="20"/>
                <w:szCs w:val="20"/>
              </w:rPr>
              <w:t>The important growth in economic activities and overall attractiveness of Timișoara city is resulting in a high polarization in terms of FDI for the Timiș region. The region has the opportunity to future improve its economic relevance at the territorial cross-border level, with the help of FDI and also transport infrastructure.</w:t>
            </w:r>
          </w:p>
          <w:p w14:paraId="4A7ACFB7" w14:textId="451EDE94" w:rsidR="009027CD" w:rsidRPr="00037C61" w:rsidRDefault="23E55065"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There are new economic clusters (ICT) emerging on both sides of the border (especially in Nyíregyháza, Debrecen and Oradea) and their potential cooperation and attractiveness beyond the border can strengthen cross-border economic dynamics in the region. </w:t>
            </w:r>
          </w:p>
          <w:p w14:paraId="687B7901" w14:textId="39F6349A" w:rsidR="009027CD" w:rsidRPr="00037C61" w:rsidRDefault="52230E0C" w:rsidP="52230E0C">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 natural resources and experience/traditions of existing agricultural assets translates into a big potential of agricultural production, that can be exploited at a regional level (the cross-border area </w:t>
            </w:r>
            <w:r w:rsidRPr="00037C61">
              <w:rPr>
                <w:sz w:val="20"/>
                <w:szCs w:val="20"/>
              </w:rPr>
              <w:lastRenderedPageBreak/>
              <w:t xml:space="preserve">and beyond) - Iter Vitis Route - wine and viticultural landscapes is a </w:t>
            </w:r>
            <w:r w:rsidR="11ABFC4F" w:rsidRPr="00037C61">
              <w:rPr>
                <w:sz w:val="20"/>
                <w:szCs w:val="20"/>
              </w:rPr>
              <w:t>significant</w:t>
            </w:r>
            <w:r w:rsidRPr="00037C61">
              <w:rPr>
                <w:sz w:val="20"/>
                <w:szCs w:val="20"/>
              </w:rPr>
              <w:t xml:space="preserve"> cultural touristic route than stretches along Europe. The PA can be connected to it with compatible touristic and cultural attractions and routes.</w:t>
            </w:r>
          </w:p>
          <w:p w14:paraId="15F65E96" w14:textId="4132D65E" w:rsidR="009027CD" w:rsidRPr="00037C61" w:rsidRDefault="23E55065" w:rsidP="23E55065">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With the growing interest in slow food (traditional recipes, made with natural ingredients or mentioning the area they come from) and sustainable agriculture, gastronomic tourism could be assimilated as a form of creative tourism.</w:t>
            </w:r>
          </w:p>
          <w:p w14:paraId="600C3129" w14:textId="4C4DB027" w:rsidR="00FA35ED" w:rsidRPr="00037C61" w:rsidRDefault="52230E0C" w:rsidP="00F52704">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There are some emerging economic clusters in sectors such as Agriculture, the PA having a productivity increase (euro/person) of 39.55% in Hungary and 48.06% in Romania. Industry sector also had a major increase of 30.87% in Hungary and 40.24% in Romania along with Wholesale and retail trade, transport, accommodation and food service activities sector with a 27.48% increase in Hungary and 32.14% increase in Romania. </w:t>
            </w:r>
          </w:p>
          <w:p w14:paraId="44B77B8A" w14:textId="162DBCB7" w:rsidR="00FA35ED" w:rsidRPr="00037C61" w:rsidRDefault="0487D89B" w:rsidP="00D945F1">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There are several areas (e.g. ICT, Health) of interest on both borders </w:t>
            </w:r>
            <w:r w:rsidRPr="00037C61">
              <w:rPr>
                <w:sz w:val="20"/>
                <w:szCs w:val="20"/>
              </w:rPr>
              <w:lastRenderedPageBreak/>
              <w:t>that deserve to be continued in the context of cross-border cooperation</w:t>
            </w:r>
            <w:r w:rsidR="40EED2FA" w:rsidRPr="00037C61">
              <w:rPr>
                <w:sz w:val="20"/>
                <w:szCs w:val="20"/>
              </w:rPr>
              <w:t>.</w:t>
            </w:r>
          </w:p>
          <w:p w14:paraId="6B7F67D2" w14:textId="4F31DEB7" w:rsidR="00FA35ED" w:rsidRPr="00037C61" w:rsidRDefault="0487D89B" w:rsidP="006F06B5">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There is also increased potential for cross-border trade support, especially from business support structures, the eight chambers of commerce, existing industrial parks and other opportunities, such as Innovation Labs, equity sharing platforms, etc. </w:t>
            </w:r>
          </w:p>
        </w:tc>
        <w:tc>
          <w:tcPr>
            <w:tcW w:w="2996" w:type="dxa"/>
            <w:hideMark/>
          </w:tcPr>
          <w:p w14:paraId="609F69CD" w14:textId="0D8D1AD1" w:rsidR="00D20662" w:rsidRPr="00037C61" w:rsidRDefault="065CE2D8"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lastRenderedPageBreak/>
              <w:t xml:space="preserve">There is a significant distance from the EU average in terms of GDP per capita, and a relatively low resilience in the area which caused it to spring back to 2008-levels of GDP per capita no sooner than 2013/2014. This tapered recovery is a potential indication of increased vulnerability to global phenomena such as the recent Covid-19 pandemic, which should be perceived as a threat to the local economy in the programme area. </w:t>
            </w:r>
          </w:p>
          <w:p w14:paraId="11BEE6B7" w14:textId="5A5A98A9" w:rsidR="009027CD" w:rsidRPr="00037C61" w:rsidRDefault="23E55065"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The growth of newly established companies is inversely related to the evolution of new jobs established in the region and thus explains the fact that the founders start with the business without human resources, only based on their knowledge and experience. </w:t>
            </w:r>
          </w:p>
          <w:p w14:paraId="63A5C508" w14:textId="4E365E85" w:rsidR="009027CD" w:rsidRPr="00037C61" w:rsidRDefault="52230E0C" w:rsidP="009027CD">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Timiș region has a high polarization effect in terms of FDI (due to major city Timișoara). </w:t>
            </w:r>
            <w:r w:rsidR="005D64A2" w:rsidRPr="00037C61">
              <w:rPr>
                <w:sz w:val="20"/>
                <w:szCs w:val="20"/>
              </w:rPr>
              <w:t xml:space="preserve">The </w:t>
            </w:r>
            <w:r w:rsidRPr="00037C61">
              <w:rPr>
                <w:sz w:val="20"/>
                <w:szCs w:val="20"/>
              </w:rPr>
              <w:t xml:space="preserve">future </w:t>
            </w:r>
            <w:r w:rsidRPr="00037C61">
              <w:rPr>
                <w:sz w:val="20"/>
                <w:szCs w:val="20"/>
              </w:rPr>
              <w:lastRenderedPageBreak/>
              <w:t>economic development and investment absorption ratio can continue in this trend, with Timișoara growing into a strong urban regional pole. As a side effect observed of this polarization is a major peri-urbanization development in the surrounding areas – developments in the rural environment (worsening the urban-sprawl phenomenon), creating discrepancies at the territorial level (creating a monocentric network).</w:t>
            </w:r>
          </w:p>
          <w:p w14:paraId="055E3A75" w14:textId="46F7D92F" w:rsidR="009027CD" w:rsidRPr="00037C61" w:rsidRDefault="4910A3C8" w:rsidP="00457478">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Jobs in the region are dominated by manufacturing (on the Romanian side) and health and social services (on the Hungarian side). </w:t>
            </w:r>
            <w:r w:rsidR="4A3B1160" w:rsidRPr="00037C61">
              <w:rPr>
                <w:sz w:val="20"/>
                <w:szCs w:val="20"/>
              </w:rPr>
              <w:t>Reduced level of sophistication of the prevailing economic sectors, with the PA relying on public administration, industry and agriculture, which exposes it to economic risks and crises</w:t>
            </w:r>
            <w:r w:rsidR="5B3267DD" w:rsidRPr="00037C61">
              <w:rPr>
                <w:sz w:val="20"/>
                <w:szCs w:val="20"/>
              </w:rPr>
              <w:t>.</w:t>
            </w:r>
            <w:r w:rsidR="4A3B1160" w:rsidRPr="00037C61">
              <w:rPr>
                <w:sz w:val="20"/>
                <w:szCs w:val="20"/>
              </w:rPr>
              <w:t xml:space="preserve"> </w:t>
            </w:r>
          </w:p>
          <w:p w14:paraId="7037CF2A" w14:textId="67203E55" w:rsidR="009027CD" w:rsidRPr="00037C61" w:rsidRDefault="23E55065" w:rsidP="23E55065">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 xml:space="preserve">Low innovation and qualification in the entrepreneurial experience, the number of enterprises per thousand of inhabitants being below the national averages </w:t>
            </w:r>
            <w:r w:rsidRPr="00037C61">
              <w:rPr>
                <w:sz w:val="20"/>
                <w:szCs w:val="20"/>
              </w:rPr>
              <w:lastRenderedPageBreak/>
              <w:t>throughout the 2011-2016 period, except year 2017 when the cross-border area exceeded the national averages.</w:t>
            </w:r>
          </w:p>
          <w:p w14:paraId="43E1C6A5" w14:textId="165F2C13" w:rsidR="009027CD" w:rsidRPr="00037C61" w:rsidRDefault="2C682764" w:rsidP="23E55065">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Difficult to attract foreign investments as there are other EU countries that can provide a more stable</w:t>
            </w:r>
            <w:r w:rsidR="3C6FB12D" w:rsidRPr="00037C61">
              <w:rPr>
                <w:sz w:val="20"/>
                <w:szCs w:val="20"/>
              </w:rPr>
              <w:t xml:space="preserve"> </w:t>
            </w:r>
            <w:r w:rsidRPr="00037C61">
              <w:rPr>
                <w:sz w:val="20"/>
                <w:szCs w:val="20"/>
              </w:rPr>
              <w:t>/predictable</w:t>
            </w:r>
            <w:r w:rsidR="159F8DDA" w:rsidRPr="00037C61">
              <w:rPr>
                <w:sz w:val="20"/>
                <w:szCs w:val="20"/>
              </w:rPr>
              <w:t xml:space="preserve"> legal</w:t>
            </w:r>
            <w:r w:rsidRPr="00037C61">
              <w:rPr>
                <w:sz w:val="20"/>
                <w:szCs w:val="20"/>
              </w:rPr>
              <w:t xml:space="preserve"> environment for economic development of business</w:t>
            </w:r>
            <w:r w:rsidR="4CACB3BD" w:rsidRPr="00037C61">
              <w:rPr>
                <w:sz w:val="20"/>
                <w:szCs w:val="20"/>
              </w:rPr>
              <w:t>.</w:t>
            </w:r>
          </w:p>
          <w:p w14:paraId="30A49E0F" w14:textId="68C7B54A" w:rsidR="006F06B5" w:rsidRPr="00037C61" w:rsidRDefault="019AC408" w:rsidP="74CEAA85">
            <w:pPr>
              <w:pStyle w:val="InterregROHUBullet1"/>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sz w:val="20"/>
                <w:szCs w:val="20"/>
              </w:rPr>
            </w:pPr>
            <w:r w:rsidRPr="00037C61">
              <w:rPr>
                <w:sz w:val="20"/>
                <w:szCs w:val="20"/>
              </w:rPr>
              <w:t>A diverging touristic agenda presents the risk of diminishing attractiveness, in the context of lowering average stay length throughout the programme area</w:t>
            </w:r>
            <w:r w:rsidR="1F7A3019" w:rsidRPr="00037C61">
              <w:rPr>
                <w:sz w:val="20"/>
                <w:szCs w:val="20"/>
              </w:rPr>
              <w:t>;</w:t>
            </w:r>
            <w:r w:rsidR="1F7A3019" w:rsidRPr="00037C61">
              <w:rPr>
                <w:rFonts w:eastAsia="Calibri" w:cs="Calibri"/>
                <w:sz w:val="20"/>
                <w:szCs w:val="20"/>
              </w:rPr>
              <w:t xml:space="preserve"> </w:t>
            </w:r>
            <w:r w:rsidR="2A7C3CCA" w:rsidRPr="00037C61">
              <w:rPr>
                <w:rFonts w:eastAsia="Calibri" w:cs="Calibri"/>
                <w:sz w:val="20"/>
                <w:szCs w:val="20"/>
              </w:rPr>
              <w:t>moreover,</w:t>
            </w:r>
            <w:r w:rsidR="1F7A3019" w:rsidRPr="00037C61">
              <w:rPr>
                <w:rFonts w:eastAsia="Calibri" w:cs="Calibri"/>
                <w:sz w:val="20"/>
                <w:szCs w:val="20"/>
              </w:rPr>
              <w:t xml:space="preserve"> the possible effects of COVID-19 pandemic might affect especially the sustainability of operations in the field of tourism.</w:t>
            </w:r>
          </w:p>
          <w:p w14:paraId="6984B9D7" w14:textId="462E89D9" w:rsidR="009027CD" w:rsidRPr="00037C61" w:rsidRDefault="009027CD" w:rsidP="00204288">
            <w:pPr>
              <w:pStyle w:val="InterregROHUBullet1"/>
              <w:numPr>
                <w:ilvl w:val="0"/>
                <w:numId w:val="0"/>
              </w:numPr>
              <w:ind w:left="-54"/>
              <w:cnfStyle w:val="000000100000" w:firstRow="0" w:lastRow="0" w:firstColumn="0" w:lastColumn="0" w:oddVBand="0" w:evenVBand="0" w:oddHBand="1" w:evenHBand="0" w:firstRowFirstColumn="0" w:firstRowLastColumn="0" w:lastRowFirstColumn="0" w:lastRowLastColumn="0"/>
              <w:rPr>
                <w:sz w:val="20"/>
                <w:szCs w:val="20"/>
              </w:rPr>
            </w:pPr>
          </w:p>
        </w:tc>
      </w:tr>
      <w:bookmarkEnd w:id="397"/>
    </w:tbl>
    <w:p w14:paraId="48CA1C4F" w14:textId="23D8F4A0" w:rsidR="43A5E8BA" w:rsidRPr="00037C61" w:rsidRDefault="43A5E8BA">
      <w:pPr>
        <w:rPr>
          <w:lang w:val="en-GB"/>
        </w:rPr>
      </w:pPr>
    </w:p>
    <w:p w14:paraId="1ABB887F" w14:textId="77777777" w:rsidR="009027CD" w:rsidRPr="00037C61" w:rsidRDefault="009027CD" w:rsidP="00F05C1F">
      <w:pPr>
        <w:rPr>
          <w:lang w:val="en-GB"/>
        </w:rPr>
        <w:sectPr w:rsidR="009027CD" w:rsidRPr="00037C61" w:rsidSect="009027CD">
          <w:headerReference w:type="default" r:id="rId149"/>
          <w:footerReference w:type="first" r:id="rId150"/>
          <w:pgSz w:w="16838" w:h="11906" w:orient="landscape"/>
          <w:pgMar w:top="1440" w:right="1713" w:bottom="1440" w:left="1440" w:header="708" w:footer="828" w:gutter="0"/>
          <w:cols w:space="708"/>
          <w:docGrid w:linePitch="360"/>
        </w:sectPr>
      </w:pPr>
    </w:p>
    <w:p w14:paraId="12A99723" w14:textId="56ADA6CC" w:rsidR="00A86A35" w:rsidRPr="00037C61" w:rsidRDefault="1C774ED0" w:rsidP="00BB1B56">
      <w:pPr>
        <w:pStyle w:val="Heading2"/>
      </w:pPr>
      <w:bookmarkStart w:id="398" w:name="_Toc53858433"/>
      <w:bookmarkStart w:id="399" w:name="_Toc53867961"/>
      <w:bookmarkStart w:id="400" w:name="_Toc53869366"/>
      <w:bookmarkStart w:id="401" w:name="_Toc53895122"/>
      <w:bookmarkStart w:id="402" w:name="_Toc53858434"/>
      <w:bookmarkStart w:id="403" w:name="_Toc53867962"/>
      <w:bookmarkStart w:id="404" w:name="_Toc53869367"/>
      <w:bookmarkStart w:id="405" w:name="_Toc53895123"/>
      <w:bookmarkStart w:id="406" w:name="_Toc53858435"/>
      <w:bookmarkStart w:id="407" w:name="_Toc53867963"/>
      <w:bookmarkStart w:id="408" w:name="_Toc53869368"/>
      <w:bookmarkStart w:id="409" w:name="_Toc53895124"/>
      <w:bookmarkStart w:id="410" w:name="_Toc53858436"/>
      <w:bookmarkStart w:id="411" w:name="_Toc53867964"/>
      <w:bookmarkStart w:id="412" w:name="_Toc53869369"/>
      <w:bookmarkStart w:id="413" w:name="_Toc53895125"/>
      <w:bookmarkStart w:id="414" w:name="_Toc53858437"/>
      <w:bookmarkStart w:id="415" w:name="_Toc53867965"/>
      <w:bookmarkStart w:id="416" w:name="_Toc53869370"/>
      <w:bookmarkStart w:id="417" w:name="_Toc53895126"/>
      <w:bookmarkStart w:id="418" w:name="_Toc53858438"/>
      <w:bookmarkStart w:id="419" w:name="_Toc53867966"/>
      <w:bookmarkStart w:id="420" w:name="_Toc53869371"/>
      <w:bookmarkStart w:id="421" w:name="_Toc53895127"/>
      <w:bookmarkStart w:id="422" w:name="_Toc53858439"/>
      <w:bookmarkStart w:id="423" w:name="_Toc53867967"/>
      <w:bookmarkStart w:id="424" w:name="_Toc53869372"/>
      <w:bookmarkStart w:id="425" w:name="_Toc53895128"/>
      <w:bookmarkStart w:id="426" w:name="_Toc53858440"/>
      <w:bookmarkStart w:id="427" w:name="_Toc53867968"/>
      <w:bookmarkStart w:id="428" w:name="_Toc53869373"/>
      <w:bookmarkStart w:id="429" w:name="_Toc53895129"/>
      <w:bookmarkStart w:id="430" w:name="_Toc53858441"/>
      <w:bookmarkStart w:id="431" w:name="_Toc53867969"/>
      <w:bookmarkStart w:id="432" w:name="_Toc53869374"/>
      <w:bookmarkStart w:id="433" w:name="_Toc53895130"/>
      <w:bookmarkStart w:id="434" w:name="_Toc53858442"/>
      <w:bookmarkStart w:id="435" w:name="_Toc53867970"/>
      <w:bookmarkStart w:id="436" w:name="_Toc53869375"/>
      <w:bookmarkStart w:id="437" w:name="_Toc53895131"/>
      <w:bookmarkStart w:id="438" w:name="_Toc53858443"/>
      <w:bookmarkStart w:id="439" w:name="_Toc53867971"/>
      <w:bookmarkStart w:id="440" w:name="_Toc53869376"/>
      <w:bookmarkStart w:id="441" w:name="_Toc53895132"/>
      <w:bookmarkStart w:id="442" w:name="_Toc53858444"/>
      <w:bookmarkStart w:id="443" w:name="_Toc53867972"/>
      <w:bookmarkStart w:id="444" w:name="_Toc53869377"/>
      <w:bookmarkStart w:id="445" w:name="_Toc53895133"/>
      <w:bookmarkStart w:id="446" w:name="_Toc53858445"/>
      <w:bookmarkStart w:id="447" w:name="_Toc53867973"/>
      <w:bookmarkStart w:id="448" w:name="_Toc53869378"/>
      <w:bookmarkStart w:id="449" w:name="_Toc53895134"/>
      <w:bookmarkStart w:id="450" w:name="_Toc53858446"/>
      <w:bookmarkStart w:id="451" w:name="_Toc53867974"/>
      <w:bookmarkStart w:id="452" w:name="_Toc53869379"/>
      <w:bookmarkStart w:id="453" w:name="_Toc53895135"/>
      <w:bookmarkStart w:id="454" w:name="_Toc53858447"/>
      <w:bookmarkStart w:id="455" w:name="_Toc53867975"/>
      <w:bookmarkStart w:id="456" w:name="_Toc53869380"/>
      <w:bookmarkStart w:id="457" w:name="_Toc53895136"/>
      <w:bookmarkStart w:id="458" w:name="_Toc53858448"/>
      <w:bookmarkStart w:id="459" w:name="_Toc53867976"/>
      <w:bookmarkStart w:id="460" w:name="_Toc53869381"/>
      <w:bookmarkStart w:id="461" w:name="_Toc53895137"/>
      <w:bookmarkStart w:id="462" w:name="_Toc53858449"/>
      <w:bookmarkStart w:id="463" w:name="_Toc53867977"/>
      <w:bookmarkStart w:id="464" w:name="_Toc53869382"/>
      <w:bookmarkStart w:id="465" w:name="_Toc53895138"/>
      <w:bookmarkStart w:id="466" w:name="_Toc53858450"/>
      <w:bookmarkStart w:id="467" w:name="_Toc53867978"/>
      <w:bookmarkStart w:id="468" w:name="_Toc53869383"/>
      <w:bookmarkStart w:id="469" w:name="_Toc53895139"/>
      <w:bookmarkStart w:id="470" w:name="_Toc53858451"/>
      <w:bookmarkStart w:id="471" w:name="_Toc53867979"/>
      <w:bookmarkStart w:id="472" w:name="_Toc53869384"/>
      <w:bookmarkStart w:id="473" w:name="_Toc53895140"/>
      <w:bookmarkStart w:id="474" w:name="_Toc53858452"/>
      <w:bookmarkStart w:id="475" w:name="_Toc53867980"/>
      <w:bookmarkStart w:id="476" w:name="_Toc53869385"/>
      <w:bookmarkStart w:id="477" w:name="_Toc53895141"/>
      <w:bookmarkStart w:id="478" w:name="_Toc53858453"/>
      <w:bookmarkStart w:id="479" w:name="_Toc53867981"/>
      <w:bookmarkStart w:id="480" w:name="_Toc53869386"/>
      <w:bookmarkStart w:id="481" w:name="_Toc53895142"/>
      <w:bookmarkStart w:id="482" w:name="_Toc53858454"/>
      <w:bookmarkStart w:id="483" w:name="_Toc53867982"/>
      <w:bookmarkStart w:id="484" w:name="_Toc53869387"/>
      <w:bookmarkStart w:id="485" w:name="_Toc53895143"/>
      <w:bookmarkStart w:id="486" w:name="_Toc53858455"/>
      <w:bookmarkStart w:id="487" w:name="_Toc53867983"/>
      <w:bookmarkStart w:id="488" w:name="_Toc53869388"/>
      <w:bookmarkStart w:id="489" w:name="_Toc53895144"/>
      <w:bookmarkStart w:id="490" w:name="_Toc50359102"/>
      <w:bookmarkStart w:id="491" w:name="_Toc53858456"/>
      <w:bookmarkStart w:id="492" w:name="_Toc53867984"/>
      <w:bookmarkStart w:id="493" w:name="_Toc53869389"/>
      <w:bookmarkStart w:id="494" w:name="_Toc53895145"/>
      <w:bookmarkStart w:id="495" w:name="_Toc53858457"/>
      <w:bookmarkStart w:id="496" w:name="_Toc53867985"/>
      <w:bookmarkStart w:id="497" w:name="_Toc53869390"/>
      <w:bookmarkStart w:id="498" w:name="_Toc53895146"/>
      <w:bookmarkStart w:id="499" w:name="_Toc53858458"/>
      <w:bookmarkStart w:id="500" w:name="_Toc53867986"/>
      <w:bookmarkStart w:id="501" w:name="_Toc53869391"/>
      <w:bookmarkStart w:id="502" w:name="_Toc53895147"/>
      <w:bookmarkStart w:id="503" w:name="_Toc53858459"/>
      <w:bookmarkStart w:id="504" w:name="_Toc53867987"/>
      <w:bookmarkStart w:id="505" w:name="_Toc53869392"/>
      <w:bookmarkStart w:id="506" w:name="_Toc53895148"/>
      <w:bookmarkStart w:id="507" w:name="_Toc53858460"/>
      <w:bookmarkStart w:id="508" w:name="_Toc53867988"/>
      <w:bookmarkStart w:id="509" w:name="_Toc53869393"/>
      <w:bookmarkStart w:id="510" w:name="_Toc53895149"/>
      <w:bookmarkStart w:id="511" w:name="_Toc53858461"/>
      <w:bookmarkStart w:id="512" w:name="_Toc53867989"/>
      <w:bookmarkStart w:id="513" w:name="_Toc53869394"/>
      <w:bookmarkStart w:id="514" w:name="_Toc53895150"/>
      <w:bookmarkStart w:id="515" w:name="_Toc53858462"/>
      <w:bookmarkStart w:id="516" w:name="_Toc53867990"/>
      <w:bookmarkStart w:id="517" w:name="_Toc53869395"/>
      <w:bookmarkStart w:id="518" w:name="_Toc53895151"/>
      <w:bookmarkStart w:id="519" w:name="_Toc53858463"/>
      <w:bookmarkStart w:id="520" w:name="_Toc53867991"/>
      <w:bookmarkStart w:id="521" w:name="_Toc53869396"/>
      <w:bookmarkStart w:id="522" w:name="_Toc53895152"/>
      <w:bookmarkStart w:id="523" w:name="_Toc53858464"/>
      <w:bookmarkStart w:id="524" w:name="_Toc53867992"/>
      <w:bookmarkStart w:id="525" w:name="_Toc53869397"/>
      <w:bookmarkStart w:id="526" w:name="_Toc53895153"/>
      <w:bookmarkStart w:id="527" w:name="_Toc53858465"/>
      <w:bookmarkStart w:id="528" w:name="_Toc53867993"/>
      <w:bookmarkStart w:id="529" w:name="_Toc53869398"/>
      <w:bookmarkStart w:id="530" w:name="_Toc53895154"/>
      <w:bookmarkStart w:id="531" w:name="_Toc53858466"/>
      <w:bookmarkStart w:id="532" w:name="_Toc53867994"/>
      <w:bookmarkStart w:id="533" w:name="_Toc53869399"/>
      <w:bookmarkStart w:id="534" w:name="_Toc53895155"/>
      <w:bookmarkStart w:id="535" w:name="_Toc53858467"/>
      <w:bookmarkStart w:id="536" w:name="_Toc53867995"/>
      <w:bookmarkStart w:id="537" w:name="_Toc53869400"/>
      <w:bookmarkStart w:id="538" w:name="_Toc53895156"/>
      <w:bookmarkStart w:id="539" w:name="_Toc53858468"/>
      <w:bookmarkStart w:id="540" w:name="_Toc53867996"/>
      <w:bookmarkStart w:id="541" w:name="_Toc53869401"/>
      <w:bookmarkStart w:id="542" w:name="_Toc53895157"/>
      <w:bookmarkStart w:id="543" w:name="_Toc53858469"/>
      <w:bookmarkStart w:id="544" w:name="_Toc53867997"/>
      <w:bookmarkStart w:id="545" w:name="_Toc53869402"/>
      <w:bookmarkStart w:id="546" w:name="_Toc53895158"/>
      <w:bookmarkStart w:id="547" w:name="_Toc53858470"/>
      <w:bookmarkStart w:id="548" w:name="_Toc53867998"/>
      <w:bookmarkStart w:id="549" w:name="_Toc53869403"/>
      <w:bookmarkStart w:id="550" w:name="_Toc53895159"/>
      <w:bookmarkStart w:id="551" w:name="_Toc53858471"/>
      <w:bookmarkStart w:id="552" w:name="_Toc53867999"/>
      <w:bookmarkStart w:id="553" w:name="_Toc53869404"/>
      <w:bookmarkStart w:id="554" w:name="_Toc53895160"/>
      <w:bookmarkStart w:id="555" w:name="_Toc53858472"/>
      <w:bookmarkStart w:id="556" w:name="_Toc53868000"/>
      <w:bookmarkStart w:id="557" w:name="_Toc53869405"/>
      <w:bookmarkStart w:id="558" w:name="_Toc53895161"/>
      <w:bookmarkStart w:id="559" w:name="_Toc53858473"/>
      <w:bookmarkStart w:id="560" w:name="_Toc53868001"/>
      <w:bookmarkStart w:id="561" w:name="_Toc53869406"/>
      <w:bookmarkStart w:id="562" w:name="_Toc53895162"/>
      <w:bookmarkStart w:id="563" w:name="_Toc53858474"/>
      <w:bookmarkStart w:id="564" w:name="_Toc53868002"/>
      <w:bookmarkStart w:id="565" w:name="_Toc53869407"/>
      <w:bookmarkStart w:id="566" w:name="_Toc53895163"/>
      <w:bookmarkStart w:id="567" w:name="_Toc53858475"/>
      <w:bookmarkStart w:id="568" w:name="_Toc53868003"/>
      <w:bookmarkStart w:id="569" w:name="_Toc53869408"/>
      <w:bookmarkStart w:id="570" w:name="_Toc53895164"/>
      <w:bookmarkStart w:id="571" w:name="_Toc53858476"/>
      <w:bookmarkStart w:id="572" w:name="_Toc53868004"/>
      <w:bookmarkStart w:id="573" w:name="_Toc53869409"/>
      <w:bookmarkStart w:id="574" w:name="_Toc53895165"/>
      <w:bookmarkStart w:id="575" w:name="_Toc53858477"/>
      <w:bookmarkStart w:id="576" w:name="_Toc53868005"/>
      <w:bookmarkStart w:id="577" w:name="_Toc53869410"/>
      <w:bookmarkStart w:id="578" w:name="_Toc53895166"/>
      <w:bookmarkStart w:id="579" w:name="_Toc53858478"/>
      <w:bookmarkStart w:id="580" w:name="_Toc53868006"/>
      <w:bookmarkStart w:id="581" w:name="_Toc53869411"/>
      <w:bookmarkStart w:id="582" w:name="_Toc53895167"/>
      <w:bookmarkStart w:id="583" w:name="_Toc53858479"/>
      <w:bookmarkStart w:id="584" w:name="_Toc53868007"/>
      <w:bookmarkStart w:id="585" w:name="_Toc53869412"/>
      <w:bookmarkStart w:id="586" w:name="_Toc53895168"/>
      <w:bookmarkStart w:id="587" w:name="_Toc53858480"/>
      <w:bookmarkStart w:id="588" w:name="_Toc53868008"/>
      <w:bookmarkStart w:id="589" w:name="_Toc53869413"/>
      <w:bookmarkStart w:id="590" w:name="_Toc53895169"/>
      <w:bookmarkStart w:id="591" w:name="_Toc53858481"/>
      <w:bookmarkStart w:id="592" w:name="_Toc53868009"/>
      <w:bookmarkStart w:id="593" w:name="_Toc53869414"/>
      <w:bookmarkStart w:id="594" w:name="_Toc53895170"/>
      <w:bookmarkStart w:id="595" w:name="_Toc53858482"/>
      <w:bookmarkStart w:id="596" w:name="_Toc53868010"/>
      <w:bookmarkStart w:id="597" w:name="_Toc53869415"/>
      <w:bookmarkStart w:id="598" w:name="_Toc53895171"/>
      <w:bookmarkStart w:id="599" w:name="_Toc53858483"/>
      <w:bookmarkStart w:id="600" w:name="_Toc53868011"/>
      <w:bookmarkStart w:id="601" w:name="_Toc53869416"/>
      <w:bookmarkStart w:id="602" w:name="_Toc53895172"/>
      <w:bookmarkStart w:id="603" w:name="_Toc53858484"/>
      <w:bookmarkStart w:id="604" w:name="_Toc53868012"/>
      <w:bookmarkStart w:id="605" w:name="_Toc53869417"/>
      <w:bookmarkStart w:id="606" w:name="_Toc53895173"/>
      <w:bookmarkStart w:id="607" w:name="_Toc53858485"/>
      <w:bookmarkStart w:id="608" w:name="_Toc53868013"/>
      <w:bookmarkStart w:id="609" w:name="_Toc53869418"/>
      <w:bookmarkStart w:id="610" w:name="_Toc53895174"/>
      <w:bookmarkStart w:id="611" w:name="_Toc53858486"/>
      <w:bookmarkStart w:id="612" w:name="_Toc53868014"/>
      <w:bookmarkStart w:id="613" w:name="_Toc53869419"/>
      <w:bookmarkStart w:id="614" w:name="_Toc53895175"/>
      <w:bookmarkStart w:id="615" w:name="_Toc53858487"/>
      <w:bookmarkStart w:id="616" w:name="_Toc53868015"/>
      <w:bookmarkStart w:id="617" w:name="_Toc53869420"/>
      <w:bookmarkStart w:id="618" w:name="_Toc53895176"/>
      <w:bookmarkStart w:id="619" w:name="_Toc53858488"/>
      <w:bookmarkStart w:id="620" w:name="_Toc53868016"/>
      <w:bookmarkStart w:id="621" w:name="_Toc53869421"/>
      <w:bookmarkStart w:id="622" w:name="_Toc53895177"/>
      <w:bookmarkStart w:id="623" w:name="_Toc53858489"/>
      <w:bookmarkStart w:id="624" w:name="_Toc53868017"/>
      <w:bookmarkStart w:id="625" w:name="_Toc53869422"/>
      <w:bookmarkStart w:id="626" w:name="_Toc53895178"/>
      <w:bookmarkStart w:id="627" w:name="_Toc53858490"/>
      <w:bookmarkStart w:id="628" w:name="_Toc53868018"/>
      <w:bookmarkStart w:id="629" w:name="_Toc53869423"/>
      <w:bookmarkStart w:id="630" w:name="_Toc53895179"/>
      <w:bookmarkStart w:id="631" w:name="_Toc53858491"/>
      <w:bookmarkStart w:id="632" w:name="_Toc53868019"/>
      <w:bookmarkStart w:id="633" w:name="_Toc53869424"/>
      <w:bookmarkStart w:id="634" w:name="_Toc53895180"/>
      <w:bookmarkStart w:id="635" w:name="_Toc53858492"/>
      <w:bookmarkStart w:id="636" w:name="_Toc53868020"/>
      <w:bookmarkStart w:id="637" w:name="_Toc53869425"/>
      <w:bookmarkStart w:id="638" w:name="_Toc53895181"/>
      <w:bookmarkStart w:id="639" w:name="_Toc53858493"/>
      <w:bookmarkStart w:id="640" w:name="_Toc53868021"/>
      <w:bookmarkStart w:id="641" w:name="_Toc53869426"/>
      <w:bookmarkStart w:id="642" w:name="_Toc53895182"/>
      <w:bookmarkStart w:id="643" w:name="_Toc53858494"/>
      <w:bookmarkStart w:id="644" w:name="_Toc53868022"/>
      <w:bookmarkStart w:id="645" w:name="_Toc53869427"/>
      <w:bookmarkStart w:id="646" w:name="_Toc53895183"/>
      <w:bookmarkStart w:id="647" w:name="_Toc53858495"/>
      <w:bookmarkStart w:id="648" w:name="_Toc53868023"/>
      <w:bookmarkStart w:id="649" w:name="_Toc53869428"/>
      <w:bookmarkStart w:id="650" w:name="_Toc53895184"/>
      <w:bookmarkStart w:id="651" w:name="_Toc53858496"/>
      <w:bookmarkStart w:id="652" w:name="_Toc53868024"/>
      <w:bookmarkStart w:id="653" w:name="_Toc53869429"/>
      <w:bookmarkStart w:id="654" w:name="_Toc53895185"/>
      <w:bookmarkStart w:id="655" w:name="_Toc53858497"/>
      <w:bookmarkStart w:id="656" w:name="_Toc53868025"/>
      <w:bookmarkStart w:id="657" w:name="_Toc53869430"/>
      <w:bookmarkStart w:id="658" w:name="_Toc53895186"/>
      <w:bookmarkStart w:id="659" w:name="_Toc53858498"/>
      <w:bookmarkStart w:id="660" w:name="_Toc53868026"/>
      <w:bookmarkStart w:id="661" w:name="_Toc53869431"/>
      <w:bookmarkStart w:id="662" w:name="_Toc53895187"/>
      <w:bookmarkStart w:id="663" w:name="_Toc53137208"/>
      <w:bookmarkStart w:id="664" w:name="_Toc50723336"/>
      <w:bookmarkStart w:id="665" w:name="_Toc64619544"/>
      <w:bookmarkStart w:id="666" w:name="_Toc50359114"/>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037C61">
        <w:lastRenderedPageBreak/>
        <w:t>Environmental capital</w:t>
      </w:r>
      <w:bookmarkEnd w:id="663"/>
      <w:bookmarkEnd w:id="664"/>
      <w:bookmarkEnd w:id="665"/>
      <w:r w:rsidRPr="00037C61">
        <w:t xml:space="preserve"> </w:t>
      </w:r>
      <w:bookmarkEnd w:id="666"/>
    </w:p>
    <w:p w14:paraId="1DA11B63" w14:textId="0018BC1F" w:rsidR="005B6568" w:rsidRPr="00037C61" w:rsidRDefault="005B6568" w:rsidP="00451A16">
      <w:pPr>
        <w:spacing w:line="240" w:lineRule="auto"/>
        <w:rPr>
          <w:b/>
          <w:bCs/>
          <w:lang w:val="en-GB"/>
        </w:rPr>
      </w:pPr>
      <w:r w:rsidRPr="00037C61">
        <w:rPr>
          <w:lang w:val="en-GB"/>
        </w:rPr>
        <w:t xml:space="preserve">This chapter </w:t>
      </w:r>
      <w:r w:rsidR="00154638" w:rsidRPr="00037C61">
        <w:rPr>
          <w:lang w:val="en-GB"/>
        </w:rPr>
        <w:t>provides a characterisation of the programme area from the point of view of the environmental characteristics, patterns of territorial fragmentation, hydrography, quality of environmental factors</w:t>
      </w:r>
      <w:r w:rsidR="00061735" w:rsidRPr="00037C61">
        <w:rPr>
          <w:lang w:val="en-GB"/>
        </w:rPr>
        <w:t xml:space="preserve"> and natural risks (floods, earthquakes, landslides)</w:t>
      </w:r>
      <w:r w:rsidR="00154638" w:rsidRPr="00037C61">
        <w:rPr>
          <w:lang w:val="en-GB"/>
        </w:rPr>
        <w:t xml:space="preserve">. It also provides an assessment of natural resources, both natural heritage elements which can be sustainably managed and valorised in cooperation, as well as endowments and resources potentially able to support the energy transition in the region. </w:t>
      </w:r>
    </w:p>
    <w:p w14:paraId="0F17CDA5" w14:textId="104E850C" w:rsidR="00A86A35" w:rsidRPr="00037C61" w:rsidRDefault="1C774ED0" w:rsidP="0007064A">
      <w:pPr>
        <w:pStyle w:val="Heading3"/>
      </w:pPr>
      <w:bookmarkStart w:id="667" w:name="_Toc50359115"/>
      <w:bookmarkStart w:id="668" w:name="_Toc53137209"/>
      <w:bookmarkStart w:id="669" w:name="_Toc50723337"/>
      <w:bookmarkStart w:id="670" w:name="_Toc64619545"/>
      <w:r w:rsidRPr="00037C61">
        <w:t xml:space="preserve">Environmental </w:t>
      </w:r>
      <w:r w:rsidR="00BB7D11" w:rsidRPr="00037C61">
        <w:t xml:space="preserve">characteristics and </w:t>
      </w:r>
      <w:r w:rsidRPr="00037C61">
        <w:t>factors</w:t>
      </w:r>
      <w:bookmarkEnd w:id="667"/>
      <w:bookmarkEnd w:id="668"/>
      <w:bookmarkEnd w:id="669"/>
      <w:bookmarkEnd w:id="670"/>
    </w:p>
    <w:p w14:paraId="23AD183B" w14:textId="22813672" w:rsidR="00BB7D11" w:rsidRPr="00037C61" w:rsidRDefault="00BB7D11" w:rsidP="005E0849">
      <w:pPr>
        <w:pStyle w:val="Heading4"/>
        <w:rPr>
          <w:rFonts w:cs="Calibri"/>
          <w:lang w:val="en-GB"/>
        </w:rPr>
      </w:pPr>
    </w:p>
    <w:p w14:paraId="6A8494F9" w14:textId="773EAE9B" w:rsidR="00FB0745" w:rsidRPr="00037C61" w:rsidRDefault="00BB7D11" w:rsidP="005E0849">
      <w:pPr>
        <w:pStyle w:val="InterregROHUBullet1"/>
        <w:numPr>
          <w:ilvl w:val="0"/>
          <w:numId w:val="0"/>
        </w:numPr>
        <w:rPr>
          <w:rFonts w:cs="Calibri"/>
        </w:rPr>
      </w:pPr>
      <w:r w:rsidRPr="00037C61">
        <w:rPr>
          <w:rFonts w:cs="Calibri"/>
          <w:bCs w:val="0"/>
          <w:noProof/>
          <w:lang w:val="ro-RO" w:eastAsia="ro-RO"/>
        </w:rPr>
        <w:drawing>
          <wp:anchor distT="0" distB="0" distL="114300" distR="114300" simplePos="0" relativeHeight="251660800" behindDoc="0" locked="0" layoutInCell="1" allowOverlap="1" wp14:anchorId="00994762" wp14:editId="279EC59D">
            <wp:simplePos x="0" y="0"/>
            <wp:positionH relativeFrom="column">
              <wp:posOffset>2419350</wp:posOffset>
            </wp:positionH>
            <wp:positionV relativeFrom="paragraph">
              <wp:posOffset>33655</wp:posOffset>
            </wp:positionV>
            <wp:extent cx="3266440" cy="3640455"/>
            <wp:effectExtent l="0" t="0" r="0" b="0"/>
            <wp:wrapSquare wrapText="bothSides"/>
            <wp:docPr id="76" name="Picture 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0-09-11 at 10.46.05.png"/>
                    <pic:cNvPicPr/>
                  </pic:nvPicPr>
                  <pic:blipFill rotWithShape="1">
                    <a:blip r:embed="rId151" cstate="print">
                      <a:extLst>
                        <a:ext uri="{28A0092B-C50C-407E-A947-70E740481C1C}">
                          <a14:useLocalDpi xmlns:a14="http://schemas.microsoft.com/office/drawing/2010/main"/>
                        </a:ext>
                      </a:extLst>
                    </a:blip>
                    <a:srcRect/>
                    <a:stretch/>
                  </pic:blipFill>
                  <pic:spPr bwMode="auto">
                    <a:xfrm>
                      <a:off x="0" y="0"/>
                      <a:ext cx="3266440" cy="3640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0745" w:rsidRPr="00037C61">
        <w:rPr>
          <w:rFonts w:cs="Calibri"/>
        </w:rPr>
        <w:t>At macro and mesoregions on the cross</w:t>
      </w:r>
      <w:r w:rsidR="5DFE53AA" w:rsidRPr="00037C61">
        <w:rPr>
          <w:rFonts w:cs="Calibri"/>
        </w:rPr>
        <w:t>-</w:t>
      </w:r>
      <w:r w:rsidR="00FB0745" w:rsidRPr="00037C61">
        <w:rPr>
          <w:rFonts w:cs="Calibri"/>
        </w:rPr>
        <w:t xml:space="preserve"> border area, in relation with environmental factors, in the process of preparing the current period of programming, 2014 – 2020, both Hungary and Romania proposed policies and took measures (PaM – policies and measures), in accordance with EU objectives</w:t>
      </w:r>
      <w:r w:rsidRPr="00037C61">
        <w:rPr>
          <w:rFonts w:cs="Calibri"/>
        </w:rPr>
        <w:t>.</w:t>
      </w:r>
    </w:p>
    <w:p w14:paraId="4ECD3B03" w14:textId="0C25BA3D" w:rsidR="00FB0745" w:rsidRPr="00037C61" w:rsidRDefault="00BB7D11" w:rsidP="00FB0745">
      <w:pPr>
        <w:pStyle w:val="InterregROHUBullet1"/>
        <w:numPr>
          <w:ilvl w:val="0"/>
          <w:numId w:val="0"/>
        </w:numPr>
        <w:rPr>
          <w:rFonts w:cs="Calibri"/>
        </w:rPr>
      </w:pPr>
      <w:r w:rsidRPr="00037C61">
        <w:rPr>
          <w:i/>
          <w:iCs/>
          <w:noProof/>
          <w:lang w:val="ro-RO" w:eastAsia="ro-RO"/>
        </w:rPr>
        <mc:AlternateContent>
          <mc:Choice Requires="wps">
            <w:drawing>
              <wp:anchor distT="0" distB="0" distL="114300" distR="114300" simplePos="0" relativeHeight="251661824" behindDoc="0" locked="0" layoutInCell="1" allowOverlap="1" wp14:anchorId="6B9C3D34" wp14:editId="110FF1CD">
                <wp:simplePos x="0" y="0"/>
                <wp:positionH relativeFrom="column">
                  <wp:posOffset>2395220</wp:posOffset>
                </wp:positionH>
                <wp:positionV relativeFrom="paragraph">
                  <wp:posOffset>1996652</wp:posOffset>
                </wp:positionV>
                <wp:extent cx="3277235" cy="635"/>
                <wp:effectExtent l="0" t="0" r="0" b="0"/>
                <wp:wrapSquare wrapText="bothSides"/>
                <wp:docPr id="799357019" name="Text Box 799357019"/>
                <wp:cNvGraphicFramePr/>
                <a:graphic xmlns:a="http://schemas.openxmlformats.org/drawingml/2006/main">
                  <a:graphicData uri="http://schemas.microsoft.com/office/word/2010/wordprocessingShape">
                    <wps:wsp>
                      <wps:cNvSpPr txBox="1"/>
                      <wps:spPr>
                        <a:xfrm>
                          <a:off x="0" y="0"/>
                          <a:ext cx="3277235" cy="635"/>
                        </a:xfrm>
                        <a:prstGeom prst="rect">
                          <a:avLst/>
                        </a:prstGeom>
                        <a:solidFill>
                          <a:prstClr val="white"/>
                        </a:solidFill>
                        <a:ln>
                          <a:noFill/>
                        </a:ln>
                      </wps:spPr>
                      <wps:txbx>
                        <w:txbxContent>
                          <w:p w14:paraId="3D9860F1" w14:textId="3CA9EA00" w:rsidR="00944B4A" w:rsidRPr="005E0849" w:rsidRDefault="00944B4A" w:rsidP="00BB7D11">
                            <w:pPr>
                              <w:pStyle w:val="Caption"/>
                              <w:rPr>
                                <w:lang w:val="en-GB"/>
                              </w:rPr>
                            </w:pPr>
                            <w:bookmarkStart w:id="671" w:name="_Toc64611018"/>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69</w:t>
                            </w:r>
                            <w:r>
                              <w:rPr>
                                <w:lang w:val="en-GB"/>
                              </w:rPr>
                              <w:fldChar w:fldCharType="end"/>
                            </w:r>
                            <w:r w:rsidRPr="005E0849">
                              <w:rPr>
                                <w:lang w:val="en-GB"/>
                              </w:rPr>
                              <w:t xml:space="preserve"> - Number of PaM Instrument type by country</w:t>
                            </w:r>
                            <w:bookmarkEnd w:id="671"/>
                          </w:p>
                          <w:p w14:paraId="570CE40D" w14:textId="72137543" w:rsidR="00944B4A" w:rsidRPr="0061187F" w:rsidRDefault="00944B4A" w:rsidP="005E0849">
                            <w:pPr>
                              <w:pStyle w:val="Caption"/>
                              <w:rPr>
                                <w:lang w:val="en-GB"/>
                              </w:rPr>
                            </w:pPr>
                            <w:r w:rsidRPr="0061187F">
                              <w:rPr>
                                <w:lang w:val="en-GB"/>
                              </w:rPr>
                              <w:t>Source: ESPON Locate final scientific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9C3D34" id="Text Box 799357019" o:spid="_x0000_s1036" type="#_x0000_t202" style="position:absolute;left:0;text-align:left;margin-left:188.6pt;margin-top:157.2pt;width:258.05pt;height:.0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" stroked="f">
                <v:textbox style="mso-fit-shape-to-text:t" inset="0,0,0,0">
                  <w:txbxContent>
                    <w:p w14:paraId="3D9860F1" w14:textId="3CA9EA00" w:rsidR="00944B4A" w:rsidRPr="005E0849" w:rsidRDefault="00944B4A" w:rsidP="00BB7D11">
                      <w:pPr>
                        <w:pStyle w:val="Didascalia"/>
                        <w:rPr>
                          <w:lang w:val="en-GB"/>
                        </w:rPr>
                      </w:pPr>
                      <w:bookmarkStart w:id="703" w:name="_Toc64611018"/>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69</w:t>
                      </w:r>
                      <w:r>
                        <w:rPr>
                          <w:lang w:val="en-GB"/>
                        </w:rPr>
                        <w:fldChar w:fldCharType="end"/>
                      </w:r>
                      <w:r w:rsidRPr="005E0849">
                        <w:rPr>
                          <w:lang w:val="en-GB"/>
                        </w:rPr>
                        <w:t xml:space="preserve"> - Number of </w:t>
                      </w:r>
                      <w:proofErr w:type="spellStart"/>
                      <w:r w:rsidRPr="005E0849">
                        <w:rPr>
                          <w:lang w:val="en-GB"/>
                        </w:rPr>
                        <w:t>PaM</w:t>
                      </w:r>
                      <w:proofErr w:type="spellEnd"/>
                      <w:r w:rsidRPr="005E0849">
                        <w:rPr>
                          <w:lang w:val="en-GB"/>
                        </w:rPr>
                        <w:t xml:space="preserve"> Instrument type by country</w:t>
                      </w:r>
                      <w:bookmarkEnd w:id="703"/>
                    </w:p>
                    <w:p w14:paraId="570CE40D" w14:textId="72137543" w:rsidR="00944B4A" w:rsidRPr="0061187F" w:rsidRDefault="00944B4A" w:rsidP="005E0849">
                      <w:pPr>
                        <w:pStyle w:val="Didascalia"/>
                        <w:rPr>
                          <w:lang w:val="en-GB"/>
                        </w:rPr>
                      </w:pPr>
                      <w:r w:rsidRPr="0061187F">
                        <w:rPr>
                          <w:lang w:val="en-GB"/>
                        </w:rPr>
                        <w:t>Source: ESPON Locate final scientific report</w:t>
                      </w:r>
                    </w:p>
                  </w:txbxContent>
                </v:textbox>
                <w10:wrap type="square"/>
              </v:shape>
            </w:pict>
          </mc:Fallback>
        </mc:AlternateContent>
      </w:r>
      <w:r w:rsidR="00FB0745" w:rsidRPr="00037C61">
        <w:rPr>
          <w:rFonts w:cs="Calibri"/>
        </w:rPr>
        <w:t xml:space="preserve">We can observe that Hungary has a more </w:t>
      </w:r>
      <w:r w:rsidR="64EE60B7" w:rsidRPr="00037C61">
        <w:rPr>
          <w:rFonts w:cs="Calibri"/>
        </w:rPr>
        <w:t>balanced</w:t>
      </w:r>
      <w:r w:rsidR="00FB0745" w:rsidRPr="00037C61">
        <w:rPr>
          <w:rFonts w:cs="Calibri"/>
        </w:rPr>
        <w:t xml:space="preserve"> point of view regarding low carbon economy through its policies and measures in economic and fiscal domains on one hand and on the other hand, from horizontal point of view, in planning and information fields, and </w:t>
      </w:r>
      <w:r w:rsidR="2D34440C" w:rsidRPr="00037C61">
        <w:rPr>
          <w:rFonts w:cs="Calibri"/>
        </w:rPr>
        <w:t>one</w:t>
      </w:r>
      <w:r w:rsidR="00FB0745" w:rsidRPr="00037C61">
        <w:rPr>
          <w:rFonts w:cs="Calibri"/>
        </w:rPr>
        <w:t xml:space="preserve"> may suppose these aspects are an effect of the fact that its entrance in EU was before Romania’s</w:t>
      </w:r>
      <w:r w:rsidR="0A346025" w:rsidRPr="00037C61">
        <w:rPr>
          <w:rFonts w:cs="Calibri"/>
        </w:rPr>
        <w:t>.</w:t>
      </w:r>
    </w:p>
    <w:p w14:paraId="62434F0B" w14:textId="662D0106" w:rsidR="00BB7D11" w:rsidRPr="00037C61" w:rsidRDefault="00BB7D11" w:rsidP="00FB0745">
      <w:pPr>
        <w:pStyle w:val="InterregROHUBullet1"/>
        <w:numPr>
          <w:ilvl w:val="0"/>
          <w:numId w:val="0"/>
        </w:numPr>
        <w:rPr>
          <w:rFonts w:cs="Calibri"/>
        </w:rPr>
      </w:pPr>
    </w:p>
    <w:p w14:paraId="325DB44A" w14:textId="58B5B389" w:rsidR="00FB0745" w:rsidRPr="00037C61" w:rsidRDefault="0AC55E10" w:rsidP="00FB0745">
      <w:pPr>
        <w:pStyle w:val="InterregROHUBullet1"/>
        <w:numPr>
          <w:ilvl w:val="0"/>
          <w:numId w:val="0"/>
        </w:numPr>
        <w:rPr>
          <w:rFonts w:cs="Calibri"/>
        </w:rPr>
      </w:pPr>
      <w:r w:rsidRPr="00037C61">
        <w:rPr>
          <w:rFonts w:cs="Calibri"/>
        </w:rPr>
        <w:t>It is</w:t>
      </w:r>
      <w:r w:rsidR="00FB0745" w:rsidRPr="00037C61">
        <w:rPr>
          <w:rFonts w:cs="Calibri"/>
        </w:rPr>
        <w:t xml:space="preserve"> observe</w:t>
      </w:r>
      <w:r w:rsidR="1DF45A48" w:rsidRPr="00037C61">
        <w:rPr>
          <w:rFonts w:cs="Calibri"/>
        </w:rPr>
        <w:t>d</w:t>
      </w:r>
      <w:r w:rsidR="00FB0745" w:rsidRPr="00037C61">
        <w:rPr>
          <w:rFonts w:cs="Calibri"/>
        </w:rPr>
        <w:t xml:space="preserve"> also, that policies and measures in regulatory fields in Hungary are only a few in comparison with Romania, showing that Romania work</w:t>
      </w:r>
      <w:r w:rsidR="2C9B61C8" w:rsidRPr="00037C61">
        <w:rPr>
          <w:rFonts w:cs="Calibri"/>
        </w:rPr>
        <w:t>s</w:t>
      </w:r>
      <w:r w:rsidR="00FB0745" w:rsidRPr="00037C61">
        <w:rPr>
          <w:rFonts w:cs="Calibri"/>
        </w:rPr>
        <w:t xml:space="preserve"> in this field in order to advance EU’ requirements (we can observe that on regulatory </w:t>
      </w:r>
      <w:r w:rsidR="4C077DC1" w:rsidRPr="00037C61">
        <w:rPr>
          <w:rFonts w:cs="Calibri"/>
        </w:rPr>
        <w:t>instrument</w:t>
      </w:r>
      <w:r w:rsidR="00FB0745" w:rsidRPr="00037C61">
        <w:rPr>
          <w:rFonts w:cs="Calibri"/>
        </w:rPr>
        <w:t xml:space="preserve"> Romania has the highest indicator at EU level).</w:t>
      </w:r>
    </w:p>
    <w:p w14:paraId="00D06B36" w14:textId="070C99E6" w:rsidR="005B6568" w:rsidRPr="00037C61" w:rsidRDefault="005B6568" w:rsidP="43A5E8BA">
      <w:pPr>
        <w:rPr>
          <w:b/>
          <w:bCs/>
          <w:lang w:val="en-GB"/>
        </w:rPr>
      </w:pPr>
      <w:r w:rsidRPr="00037C61">
        <w:rPr>
          <w:rFonts w:cs="Calibri"/>
          <w:noProof/>
          <w:lang w:val="ro-RO" w:eastAsia="ro-RO"/>
        </w:rPr>
        <w:lastRenderedPageBreak/>
        <w:drawing>
          <wp:anchor distT="0" distB="0" distL="114300" distR="114300" simplePos="0" relativeHeight="251662848" behindDoc="0" locked="0" layoutInCell="1" allowOverlap="1" wp14:anchorId="21139472" wp14:editId="2BBC102D">
            <wp:simplePos x="0" y="0"/>
            <wp:positionH relativeFrom="margin">
              <wp:posOffset>2565400</wp:posOffset>
            </wp:positionH>
            <wp:positionV relativeFrom="paragraph">
              <wp:posOffset>5715</wp:posOffset>
            </wp:positionV>
            <wp:extent cx="3436016" cy="3547110"/>
            <wp:effectExtent l="0" t="0" r="0" b="0"/>
            <wp:wrapSquare wrapText="bothSides"/>
            <wp:docPr id="77" name="Picture 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0-09-11 at 11.03.51.png"/>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3436016" cy="354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7C61">
        <w:rPr>
          <w:rFonts w:cs="Calibri"/>
          <w:lang w:val="en-GB"/>
        </w:rPr>
        <w:t xml:space="preserve">If we analyse the sectors targeted by policies and measures proposed by both Hungary and Romania for the current period of programming, we can observe that both countries have the same priorities, of course with its specific intensity in dependence with the development </w:t>
      </w:r>
      <w:r w:rsidR="67544ABD" w:rsidRPr="00037C61">
        <w:rPr>
          <w:rFonts w:cs="Calibri"/>
          <w:lang w:val="en-GB"/>
        </w:rPr>
        <w:t>goals</w:t>
      </w:r>
      <w:r w:rsidRPr="00037C61">
        <w:rPr>
          <w:rFonts w:cs="Calibri"/>
          <w:lang w:val="en-GB"/>
        </w:rPr>
        <w:t xml:space="preserve">, but the same priorities: energy consumption, transport and energy supply, </w:t>
      </w:r>
      <w:r w:rsidRPr="00037C61">
        <w:rPr>
          <w:b/>
          <w:bCs/>
          <w:lang w:val="en-GB"/>
        </w:rPr>
        <w:t>so common projects</w:t>
      </w:r>
      <w:r w:rsidRPr="00037C61">
        <w:rPr>
          <w:rFonts w:cs="Calibri"/>
          <w:lang w:val="en-GB"/>
        </w:rPr>
        <w:t xml:space="preserve"> </w:t>
      </w:r>
      <w:r w:rsidRPr="00037C61">
        <w:rPr>
          <w:b/>
          <w:bCs/>
          <w:lang w:val="en-GB"/>
        </w:rPr>
        <w:t xml:space="preserve">can be developed in this </w:t>
      </w:r>
      <w:r w:rsidRPr="00037C61">
        <w:rPr>
          <w:rFonts w:cs="Calibri"/>
          <w:b/>
          <w:bCs/>
          <w:lang w:val="en-GB"/>
        </w:rPr>
        <w:t>sense</w:t>
      </w:r>
      <w:r w:rsidRPr="00037C61">
        <w:rPr>
          <w:b/>
          <w:bCs/>
          <w:lang w:val="en-GB"/>
        </w:rPr>
        <w:t>.</w:t>
      </w:r>
    </w:p>
    <w:p w14:paraId="4FDA3853" w14:textId="58DCA67E" w:rsidR="00FB0745" w:rsidRPr="00037C61" w:rsidRDefault="00FB0745" w:rsidP="00715B98">
      <w:pPr>
        <w:pStyle w:val="InterregROHUBullet1"/>
        <w:keepNext/>
        <w:numPr>
          <w:ilvl w:val="0"/>
          <w:numId w:val="0"/>
        </w:numPr>
        <w:spacing w:after="0"/>
        <w:jc w:val="left"/>
        <w:rPr>
          <w:rFonts w:cs="Calibri"/>
        </w:rPr>
      </w:pPr>
    </w:p>
    <w:p w14:paraId="23EC080A" w14:textId="30FD406D" w:rsidR="00BB7D11" w:rsidRPr="00037C61" w:rsidRDefault="00BB7D11" w:rsidP="00715B98">
      <w:pPr>
        <w:pStyle w:val="InterregROHUBullet1"/>
        <w:keepNext/>
        <w:numPr>
          <w:ilvl w:val="0"/>
          <w:numId w:val="0"/>
        </w:numPr>
        <w:spacing w:after="0"/>
        <w:jc w:val="left"/>
        <w:rPr>
          <w:rFonts w:cs="Calibri"/>
        </w:rPr>
      </w:pPr>
    </w:p>
    <w:p w14:paraId="7E9D5270" w14:textId="65D60F18" w:rsidR="00BB7D11" w:rsidRPr="00037C61" w:rsidRDefault="00BB7D11" w:rsidP="00715B98">
      <w:pPr>
        <w:pStyle w:val="InterregROHUBullet1"/>
        <w:keepNext/>
        <w:numPr>
          <w:ilvl w:val="0"/>
          <w:numId w:val="0"/>
        </w:numPr>
        <w:spacing w:after="0"/>
        <w:jc w:val="left"/>
        <w:rPr>
          <w:rFonts w:cs="Calibri"/>
        </w:rPr>
      </w:pPr>
    </w:p>
    <w:p w14:paraId="600DF524" w14:textId="28A89992" w:rsidR="00BB7D11" w:rsidRPr="00037C61" w:rsidRDefault="00BB7D11" w:rsidP="00715B98">
      <w:pPr>
        <w:pStyle w:val="InterregROHUBullet1"/>
        <w:keepNext/>
        <w:numPr>
          <w:ilvl w:val="0"/>
          <w:numId w:val="0"/>
        </w:numPr>
        <w:spacing w:after="0"/>
        <w:jc w:val="left"/>
        <w:rPr>
          <w:rFonts w:cs="Calibri"/>
        </w:rPr>
      </w:pPr>
    </w:p>
    <w:p w14:paraId="67183E31" w14:textId="3027A325" w:rsidR="00BB7D11" w:rsidRPr="00037C61" w:rsidRDefault="00BB7D11" w:rsidP="00715B98">
      <w:pPr>
        <w:pStyle w:val="InterregROHUBullet1"/>
        <w:keepNext/>
        <w:numPr>
          <w:ilvl w:val="0"/>
          <w:numId w:val="0"/>
        </w:numPr>
        <w:spacing w:after="0"/>
        <w:jc w:val="left"/>
        <w:rPr>
          <w:rFonts w:cs="Calibri"/>
        </w:rPr>
      </w:pPr>
    </w:p>
    <w:p w14:paraId="7BAA814E" w14:textId="77777777" w:rsidR="00BB7D11" w:rsidRPr="00037C61" w:rsidRDefault="00BB7D11" w:rsidP="00715B98">
      <w:pPr>
        <w:pStyle w:val="InterregROHUBullet1"/>
        <w:keepNext/>
        <w:numPr>
          <w:ilvl w:val="0"/>
          <w:numId w:val="0"/>
        </w:numPr>
        <w:spacing w:after="0"/>
        <w:jc w:val="left"/>
        <w:rPr>
          <w:rFonts w:cs="Calibri"/>
        </w:rPr>
      </w:pPr>
    </w:p>
    <w:p w14:paraId="01AF9FE6" w14:textId="56BB6DC2" w:rsidR="00FB0745" w:rsidRPr="00037C61" w:rsidRDefault="00FB0745" w:rsidP="43A5E8BA">
      <w:pPr>
        <w:pStyle w:val="Caption"/>
        <w:jc w:val="left"/>
        <w:rPr>
          <w:rFonts w:cs="Calibri"/>
          <w:i w:val="0"/>
          <w:iCs w:val="0"/>
          <w:lang w:val="en-GB"/>
        </w:rPr>
      </w:pPr>
      <w:bookmarkStart w:id="672" w:name="_Toc64611019"/>
      <w:r w:rsidRPr="00037C61">
        <w:rPr>
          <w:rFonts w:cs="Calibri"/>
          <w:lang w:val="en-GB"/>
        </w:rPr>
        <w:t xml:space="preserve">Figure </w:t>
      </w:r>
      <w:r w:rsidR="00412697">
        <w:rPr>
          <w:rFonts w:cs="Calibri"/>
          <w:lang w:val="en-GB"/>
        </w:rPr>
        <w:fldChar w:fldCharType="begin"/>
      </w:r>
      <w:r w:rsidR="00412697">
        <w:rPr>
          <w:rFonts w:cs="Calibri"/>
          <w:lang w:val="en-GB"/>
        </w:rPr>
        <w:instrText xml:space="preserve"> SEQ Figure \* ARABIC </w:instrText>
      </w:r>
      <w:r w:rsidR="00412697">
        <w:rPr>
          <w:rFonts w:cs="Calibri"/>
          <w:lang w:val="en-GB"/>
        </w:rPr>
        <w:fldChar w:fldCharType="separate"/>
      </w:r>
      <w:r w:rsidR="00412697">
        <w:rPr>
          <w:rFonts w:cs="Calibri"/>
          <w:noProof/>
          <w:lang w:val="en-GB"/>
        </w:rPr>
        <w:t>70</w:t>
      </w:r>
      <w:r w:rsidR="00412697">
        <w:rPr>
          <w:rFonts w:cs="Calibri"/>
          <w:lang w:val="en-GB"/>
        </w:rPr>
        <w:fldChar w:fldCharType="end"/>
      </w:r>
      <w:r w:rsidRPr="00037C61">
        <w:rPr>
          <w:rFonts w:cs="Calibri"/>
          <w:lang w:val="en-GB"/>
        </w:rPr>
        <w:t xml:space="preserve"> - Sectors targeted by PaMs by Country</w:t>
      </w:r>
      <w:bookmarkEnd w:id="672"/>
    </w:p>
    <w:p w14:paraId="77F90E04" w14:textId="77777777" w:rsidR="00BB7D11" w:rsidRPr="00037C61" w:rsidRDefault="00BB7D11" w:rsidP="3C1461C6">
      <w:pPr>
        <w:pStyle w:val="Caption"/>
        <w:rPr>
          <w:i w:val="0"/>
          <w:iCs w:val="0"/>
          <w:lang w:val="en-GB"/>
        </w:rPr>
      </w:pPr>
      <w:r w:rsidRPr="00037C61">
        <w:rPr>
          <w:i w:val="0"/>
          <w:iCs w:val="0"/>
          <w:lang w:val="en-GB"/>
        </w:rPr>
        <w:t>Source: ESPON Locate final scientific report</w:t>
      </w:r>
    </w:p>
    <w:p w14:paraId="6D9E964E" w14:textId="77777777" w:rsidR="00BB7D11" w:rsidRPr="00037C61" w:rsidRDefault="00BB7D11" w:rsidP="43A5E8BA">
      <w:pPr>
        <w:rPr>
          <w:lang w:val="en-GB"/>
        </w:rPr>
      </w:pPr>
    </w:p>
    <w:p w14:paraId="7FEF5394" w14:textId="77777777" w:rsidR="005B6568" w:rsidRPr="00037C61" w:rsidRDefault="005B6568" w:rsidP="43A5E8BA">
      <w:pPr>
        <w:rPr>
          <w:lang w:val="en-GB"/>
        </w:rPr>
      </w:pPr>
    </w:p>
    <w:p w14:paraId="79514FCE" w14:textId="0E574AD3" w:rsidR="00FB0745" w:rsidRPr="00037C61" w:rsidRDefault="00FB0745" w:rsidP="00FB0745">
      <w:pPr>
        <w:pStyle w:val="Heading4"/>
        <w:rPr>
          <w:rFonts w:cs="Calibri"/>
          <w:lang w:val="en-GB"/>
        </w:rPr>
      </w:pPr>
      <w:r w:rsidRPr="00037C61">
        <w:rPr>
          <w:rFonts w:cs="Calibri"/>
          <w:lang w:val="en-GB"/>
        </w:rPr>
        <w:t>Natural setting, geomorphology and land use</w:t>
      </w:r>
    </w:p>
    <w:p w14:paraId="3F6F793D" w14:textId="1F38C505" w:rsidR="00FB0745" w:rsidRPr="00037C61" w:rsidRDefault="00FB0745" w:rsidP="00FB0745">
      <w:pPr>
        <w:rPr>
          <w:rFonts w:cs="Calibri"/>
          <w:lang w:val="en-GB"/>
        </w:rPr>
      </w:pPr>
      <w:r w:rsidRPr="00037C61">
        <w:rPr>
          <w:rFonts w:cs="Calibri"/>
          <w:lang w:val="en-GB"/>
        </w:rPr>
        <w:t xml:space="preserve">Taking into consideration the (bio)physical cover on the earth's surface in the </w:t>
      </w:r>
      <w:r w:rsidR="005171E7" w:rsidRPr="00037C61">
        <w:rPr>
          <w:rFonts w:cs="Calibri"/>
          <w:lang w:val="en-GB"/>
        </w:rPr>
        <w:t>programme area</w:t>
      </w:r>
      <w:r w:rsidRPr="00037C61">
        <w:rPr>
          <w:rFonts w:cs="Calibri"/>
          <w:lang w:val="en-GB"/>
        </w:rPr>
        <w:t xml:space="preserve">, </w:t>
      </w:r>
      <w:r w:rsidRPr="00037C61">
        <w:rPr>
          <w:rFonts w:cs="Calibri"/>
          <w:b/>
          <w:bCs/>
          <w:lang w:val="en-GB"/>
        </w:rPr>
        <w:t>the programming territory has the following characteristics</w:t>
      </w:r>
      <w:r w:rsidRPr="00037C61">
        <w:rPr>
          <w:rFonts w:cs="Calibri"/>
          <w:lang w:val="en-GB"/>
        </w:rPr>
        <w:t xml:space="preserve">: </w:t>
      </w:r>
    </w:p>
    <w:p w14:paraId="328AE61D" w14:textId="10AD35CE" w:rsidR="00FB0745" w:rsidRPr="00037C61" w:rsidRDefault="00FB0745" w:rsidP="00014AA0">
      <w:pPr>
        <w:pStyle w:val="ListParagraph"/>
        <w:numPr>
          <w:ilvl w:val="0"/>
          <w:numId w:val="11"/>
        </w:numPr>
        <w:jc w:val="left"/>
        <w:rPr>
          <w:rFonts w:cs="Calibri"/>
          <w:lang w:val="en-GB"/>
        </w:rPr>
      </w:pPr>
      <w:r w:rsidRPr="00037C61">
        <w:rPr>
          <w:rFonts w:cs="Calibri"/>
          <w:lang w:val="en-GB"/>
        </w:rPr>
        <w:t>On macroregion</w:t>
      </w:r>
      <w:r w:rsidR="002A4322" w:rsidRPr="00037C61">
        <w:rPr>
          <w:rFonts w:cs="Calibri"/>
          <w:lang w:val="en-GB"/>
        </w:rPr>
        <w:t>al</w:t>
      </w:r>
      <w:r w:rsidRPr="00037C61">
        <w:rPr>
          <w:rFonts w:cs="Calibri"/>
          <w:lang w:val="en-GB"/>
        </w:rPr>
        <w:t xml:space="preserve"> level, on both sides of the border, the largest landform is represented by Danube river plain, a geomorphology favourable to settlement development and agriculture;</w:t>
      </w:r>
    </w:p>
    <w:p w14:paraId="15AAAEEB" w14:textId="692AC055" w:rsidR="00FB0745" w:rsidRPr="00037C61" w:rsidRDefault="00FB0745" w:rsidP="00014AA0">
      <w:pPr>
        <w:pStyle w:val="ListParagraph"/>
        <w:numPr>
          <w:ilvl w:val="0"/>
          <w:numId w:val="11"/>
        </w:numPr>
        <w:jc w:val="left"/>
        <w:rPr>
          <w:rFonts w:cs="Calibri"/>
          <w:lang w:val="en-GB"/>
        </w:rPr>
      </w:pPr>
      <w:r w:rsidRPr="00037C61">
        <w:rPr>
          <w:rFonts w:cs="Calibri"/>
          <w:lang w:val="en-GB"/>
        </w:rPr>
        <w:t>On mesoregions level, in Hungarian the largest landform is</w:t>
      </w:r>
      <w:r w:rsidR="002A4322" w:rsidRPr="00037C61">
        <w:rPr>
          <w:rFonts w:cs="Calibri"/>
          <w:lang w:val="en-GB"/>
        </w:rPr>
        <w:t xml:space="preserve"> represented</w:t>
      </w:r>
      <w:r w:rsidRPr="00037C61">
        <w:rPr>
          <w:rFonts w:cs="Calibri"/>
          <w:lang w:val="en-GB"/>
        </w:rPr>
        <w:t xml:space="preserve"> by the plain of rivers landform and in Romania also, but followed by hills.</w:t>
      </w:r>
    </w:p>
    <w:p w14:paraId="38DB7340" w14:textId="6F6E7EDF" w:rsidR="000F6FBD" w:rsidRPr="00037C61" w:rsidRDefault="52230E0C" w:rsidP="00715B98">
      <w:pPr>
        <w:pStyle w:val="Caption"/>
        <w:keepNext/>
        <w:jc w:val="left"/>
        <w:rPr>
          <w:lang w:val="en-GB"/>
        </w:rPr>
      </w:pPr>
      <w:bookmarkStart w:id="673" w:name="_Toc58237647"/>
      <w:r w:rsidRPr="00037C61">
        <w:rPr>
          <w:lang w:val="en-GB"/>
        </w:rPr>
        <w:t xml:space="preserve">Table </w:t>
      </w:r>
      <w:r w:rsidR="000F6FBD" w:rsidRPr="00037C61">
        <w:rPr>
          <w:lang w:val="en-GB"/>
        </w:rPr>
        <w:fldChar w:fldCharType="begin"/>
      </w:r>
      <w:r w:rsidR="000F6FBD" w:rsidRPr="00037C61">
        <w:rPr>
          <w:lang w:val="en-GB"/>
        </w:rPr>
        <w:instrText xml:space="preserve"> SEQ Table \* ARABIC </w:instrText>
      </w:r>
      <w:r w:rsidR="000F6FBD" w:rsidRPr="00037C61">
        <w:rPr>
          <w:lang w:val="en-GB"/>
        </w:rPr>
        <w:fldChar w:fldCharType="separate"/>
      </w:r>
      <w:r w:rsidR="005A7BD8">
        <w:rPr>
          <w:noProof/>
          <w:lang w:val="en-GB"/>
        </w:rPr>
        <w:t>25</w:t>
      </w:r>
      <w:r w:rsidR="000F6FBD" w:rsidRPr="00037C61">
        <w:rPr>
          <w:lang w:val="en-GB"/>
        </w:rPr>
        <w:fldChar w:fldCharType="end"/>
      </w:r>
      <w:r w:rsidRPr="00037C61">
        <w:rPr>
          <w:lang w:val="en-GB"/>
        </w:rPr>
        <w:t xml:space="preserve"> - Main geomorphological features of the PA</w:t>
      </w:r>
      <w:bookmarkEnd w:id="673"/>
    </w:p>
    <w:tbl>
      <w:tblPr>
        <w:tblStyle w:val="ListTable3-Accent11"/>
        <w:tblW w:w="8975" w:type="dxa"/>
        <w:tblLook w:val="04A0" w:firstRow="1" w:lastRow="0" w:firstColumn="1" w:lastColumn="0" w:noHBand="0" w:noVBand="1"/>
      </w:tblPr>
      <w:tblGrid>
        <w:gridCol w:w="5780"/>
        <w:gridCol w:w="1596"/>
        <w:gridCol w:w="1599"/>
      </w:tblGrid>
      <w:tr w:rsidR="00FB0745" w:rsidRPr="00037C61" w14:paraId="727617B9" w14:textId="77777777" w:rsidTr="00FB0745">
        <w:trPr>
          <w:cnfStyle w:val="100000000000" w:firstRow="1" w:lastRow="0" w:firstColumn="0" w:lastColumn="0" w:oddVBand="0" w:evenVBand="0" w:oddHBand="0" w:evenHBand="0" w:firstRowFirstColumn="0" w:firstRowLastColumn="0" w:lastRowFirstColumn="0" w:lastRowLastColumn="0"/>
          <w:trHeight w:val="202"/>
        </w:trPr>
        <w:tc>
          <w:tcPr>
            <w:cnfStyle w:val="001000000100" w:firstRow="0" w:lastRow="0" w:firstColumn="1" w:lastColumn="0" w:oddVBand="0" w:evenVBand="0" w:oddHBand="0" w:evenHBand="0" w:firstRowFirstColumn="1" w:firstRowLastColumn="0" w:lastRowFirstColumn="0" w:lastRowLastColumn="0"/>
            <w:tcW w:w="8975" w:type="dxa"/>
            <w:gridSpan w:val="3"/>
            <w:hideMark/>
          </w:tcPr>
          <w:p w14:paraId="500532AE" w14:textId="77777777" w:rsidR="00FB0745" w:rsidRPr="00037C61" w:rsidRDefault="00FB0745" w:rsidP="00FB0745">
            <w:pPr>
              <w:jc w:val="center"/>
              <w:rPr>
                <w:rFonts w:cs="Calibri"/>
                <w:b w:val="0"/>
                <w:color w:val="000000"/>
                <w:sz w:val="20"/>
                <w:szCs w:val="20"/>
                <w:lang w:val="en-GB"/>
              </w:rPr>
            </w:pPr>
            <w:r w:rsidRPr="00037C61">
              <w:rPr>
                <w:rFonts w:cs="Calibri"/>
                <w:sz w:val="20"/>
                <w:szCs w:val="20"/>
                <w:lang w:val="en-GB"/>
              </w:rPr>
              <w:t>AREA (in sq km)</w:t>
            </w:r>
          </w:p>
        </w:tc>
      </w:tr>
      <w:tr w:rsidR="00FB0745" w:rsidRPr="00037C61" w14:paraId="270BD724" w14:textId="77777777" w:rsidTr="00FB0745">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5780" w:type="dxa"/>
          </w:tcPr>
          <w:p w14:paraId="6995EAF7" w14:textId="26274E7F" w:rsidR="00FB0745" w:rsidRPr="00037C61" w:rsidRDefault="00FB0745" w:rsidP="00FB0745">
            <w:pPr>
              <w:rPr>
                <w:rFonts w:cs="Calibri"/>
                <w:color w:val="000000" w:themeColor="text1"/>
                <w:sz w:val="20"/>
                <w:szCs w:val="20"/>
                <w:lang w:val="en-GB"/>
              </w:rPr>
            </w:pPr>
            <w:r w:rsidRPr="00037C61">
              <w:rPr>
                <w:rFonts w:cs="Calibri"/>
                <w:color w:val="000000" w:themeColor="text1"/>
                <w:sz w:val="20"/>
                <w:szCs w:val="20"/>
                <w:lang w:val="en-GB"/>
              </w:rPr>
              <w:t>Macroregions</w:t>
            </w:r>
          </w:p>
        </w:tc>
        <w:tc>
          <w:tcPr>
            <w:tcW w:w="1596" w:type="dxa"/>
            <w:noWrap/>
          </w:tcPr>
          <w:p w14:paraId="3763F0F4" w14:textId="4CFB337B" w:rsidR="00FB0745" w:rsidRPr="00037C61" w:rsidRDefault="00FB0745" w:rsidP="00FB0745">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HU</w:t>
            </w:r>
          </w:p>
        </w:tc>
        <w:tc>
          <w:tcPr>
            <w:tcW w:w="1599" w:type="dxa"/>
            <w:noWrap/>
          </w:tcPr>
          <w:p w14:paraId="101F97B6" w14:textId="5BF2CB40" w:rsidR="00FB0745" w:rsidRPr="00037C61" w:rsidRDefault="00FB0745" w:rsidP="00FB0745">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RO</w:t>
            </w:r>
          </w:p>
        </w:tc>
      </w:tr>
      <w:tr w:rsidR="00FB0745" w:rsidRPr="00037C61" w14:paraId="7A1B1F8A" w14:textId="77777777" w:rsidTr="00FB0745">
        <w:trPr>
          <w:trHeight w:val="179"/>
        </w:trPr>
        <w:tc>
          <w:tcPr>
            <w:cnfStyle w:val="001000000000" w:firstRow="0" w:lastRow="0" w:firstColumn="1" w:lastColumn="0" w:oddVBand="0" w:evenVBand="0" w:oddHBand="0" w:evenHBand="0" w:firstRowFirstColumn="0" w:firstRowLastColumn="0" w:lastRowFirstColumn="0" w:lastRowLastColumn="0"/>
            <w:tcW w:w="5780" w:type="dxa"/>
          </w:tcPr>
          <w:p w14:paraId="50981871" w14:textId="127F060B" w:rsidR="00FB0745" w:rsidRPr="00DB74BF" w:rsidRDefault="00FB0745" w:rsidP="00FB0745">
            <w:pPr>
              <w:rPr>
                <w:rFonts w:cs="Calibri"/>
                <w:b w:val="0"/>
                <w:bCs w:val="0"/>
                <w:color w:val="000000" w:themeColor="text1"/>
                <w:sz w:val="20"/>
                <w:szCs w:val="20"/>
              </w:rPr>
            </w:pPr>
            <w:r w:rsidRPr="00DB74BF">
              <w:rPr>
                <w:rFonts w:cs="Calibri"/>
                <w:color w:val="000000" w:themeColor="text1"/>
                <w:sz w:val="20"/>
                <w:szCs w:val="20"/>
              </w:rPr>
              <w:t>1 - Nagyalföld / Câmpia Dunării de Mijloc</w:t>
            </w:r>
          </w:p>
        </w:tc>
        <w:tc>
          <w:tcPr>
            <w:tcW w:w="1596" w:type="dxa"/>
            <w:noWrap/>
          </w:tcPr>
          <w:p w14:paraId="75EE7BA4" w14:textId="2E177E2F" w:rsidR="00FB0745" w:rsidRPr="00037C61" w:rsidRDefault="00FB0745" w:rsidP="00FB0745">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22.043,30</w:t>
            </w:r>
          </w:p>
        </w:tc>
        <w:tc>
          <w:tcPr>
            <w:tcW w:w="1599" w:type="dxa"/>
            <w:noWrap/>
          </w:tcPr>
          <w:p w14:paraId="590A458D" w14:textId="56508EAA" w:rsidR="00FB0745" w:rsidRPr="00037C61" w:rsidRDefault="00FB0745" w:rsidP="00FB0745">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16.588,30</w:t>
            </w:r>
          </w:p>
        </w:tc>
      </w:tr>
      <w:tr w:rsidR="00FB0745" w:rsidRPr="00037C61" w14:paraId="43E2A17D" w14:textId="77777777" w:rsidTr="00FB0745">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780" w:type="dxa"/>
            <w:hideMark/>
          </w:tcPr>
          <w:p w14:paraId="0C49587F" w14:textId="77777777" w:rsidR="00FB0745" w:rsidRPr="00DB74BF" w:rsidRDefault="00FB0745" w:rsidP="00FB0745">
            <w:pPr>
              <w:rPr>
                <w:rFonts w:cs="Calibri"/>
                <w:b w:val="0"/>
                <w:bCs w:val="0"/>
                <w:color w:val="000000"/>
                <w:sz w:val="20"/>
                <w:szCs w:val="20"/>
              </w:rPr>
            </w:pPr>
            <w:r w:rsidRPr="00DB74BF">
              <w:rPr>
                <w:rFonts w:cs="Calibri"/>
                <w:color w:val="000000"/>
                <w:sz w:val="20"/>
                <w:szCs w:val="20"/>
              </w:rPr>
              <w:t>9 - Északkeleti-Kárpátok / Carpaţii Orientali-grupa nordică</w:t>
            </w:r>
          </w:p>
        </w:tc>
        <w:tc>
          <w:tcPr>
            <w:tcW w:w="1596" w:type="dxa"/>
            <w:noWrap/>
            <w:hideMark/>
          </w:tcPr>
          <w:p w14:paraId="74D4C07F" w14:textId="77777777" w:rsidR="00FB0745" w:rsidRPr="00037C61" w:rsidRDefault="00FB0745" w:rsidP="00FB0745">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599" w:type="dxa"/>
            <w:noWrap/>
            <w:hideMark/>
          </w:tcPr>
          <w:p w14:paraId="20E9C977" w14:textId="77777777" w:rsidR="00FB0745" w:rsidRPr="00037C61" w:rsidRDefault="00FB0745" w:rsidP="00FB0745">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8.372,00</w:t>
            </w:r>
          </w:p>
        </w:tc>
      </w:tr>
      <w:tr w:rsidR="00FB0745" w:rsidRPr="00037C61" w14:paraId="124BEBE3" w14:textId="77777777" w:rsidTr="00FB0745">
        <w:trPr>
          <w:trHeight w:val="202"/>
        </w:trPr>
        <w:tc>
          <w:tcPr>
            <w:cnfStyle w:val="001000000000" w:firstRow="0" w:lastRow="0" w:firstColumn="1" w:lastColumn="0" w:oddVBand="0" w:evenVBand="0" w:oddHBand="0" w:evenHBand="0" w:firstRowFirstColumn="0" w:firstRowLastColumn="0" w:lastRowFirstColumn="0" w:lastRowLastColumn="0"/>
            <w:tcW w:w="5780" w:type="dxa"/>
            <w:hideMark/>
          </w:tcPr>
          <w:p w14:paraId="685A0848" w14:textId="77777777" w:rsidR="00FB0745" w:rsidRPr="00037C61" w:rsidRDefault="00FB0745" w:rsidP="00FB0745">
            <w:pPr>
              <w:rPr>
                <w:rFonts w:cs="Calibri"/>
                <w:b w:val="0"/>
                <w:bCs w:val="0"/>
                <w:color w:val="000000"/>
                <w:sz w:val="20"/>
                <w:szCs w:val="20"/>
                <w:lang w:val="en-GB"/>
              </w:rPr>
            </w:pPr>
            <w:r w:rsidRPr="00037C61">
              <w:rPr>
                <w:rFonts w:cs="Calibri"/>
                <w:color w:val="000000"/>
                <w:sz w:val="20"/>
                <w:szCs w:val="20"/>
                <w:lang w:val="en-GB"/>
              </w:rPr>
              <w:t>10 - Biharerdő / Munţii Apuseni</w:t>
            </w:r>
          </w:p>
        </w:tc>
        <w:tc>
          <w:tcPr>
            <w:tcW w:w="1596" w:type="dxa"/>
            <w:noWrap/>
            <w:hideMark/>
          </w:tcPr>
          <w:p w14:paraId="60FCA41F" w14:textId="77777777" w:rsidR="00FB0745" w:rsidRPr="00037C61" w:rsidRDefault="00FB0745" w:rsidP="00FB0745">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599" w:type="dxa"/>
            <w:noWrap/>
            <w:hideMark/>
          </w:tcPr>
          <w:p w14:paraId="57311DAA" w14:textId="77777777" w:rsidR="00FB0745" w:rsidRPr="00037C61" w:rsidRDefault="00FB0745" w:rsidP="00FB0745">
            <w:pP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2.637,30</w:t>
            </w:r>
          </w:p>
        </w:tc>
      </w:tr>
      <w:tr w:rsidR="00FB0745" w:rsidRPr="00037C61" w14:paraId="15D095E3" w14:textId="77777777" w:rsidTr="00FB0745">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5780" w:type="dxa"/>
            <w:hideMark/>
          </w:tcPr>
          <w:p w14:paraId="05A510E0" w14:textId="77777777" w:rsidR="00FB0745" w:rsidRPr="00037C61" w:rsidRDefault="00FB0745" w:rsidP="00FB0745">
            <w:pPr>
              <w:rPr>
                <w:rFonts w:cs="Calibri"/>
                <w:b w:val="0"/>
                <w:bCs w:val="0"/>
                <w:color w:val="000000"/>
                <w:sz w:val="20"/>
                <w:szCs w:val="20"/>
                <w:lang w:val="en-GB"/>
              </w:rPr>
            </w:pPr>
            <w:r w:rsidRPr="00037C61">
              <w:rPr>
                <w:rFonts w:cs="Calibri"/>
                <w:color w:val="000000"/>
                <w:sz w:val="20"/>
                <w:szCs w:val="20"/>
                <w:lang w:val="en-GB"/>
              </w:rPr>
              <w:t>14 - Bánsági-hegyvidék / Carpaţii Banatului</w:t>
            </w:r>
          </w:p>
        </w:tc>
        <w:tc>
          <w:tcPr>
            <w:tcW w:w="1596" w:type="dxa"/>
            <w:noWrap/>
            <w:hideMark/>
          </w:tcPr>
          <w:p w14:paraId="288517B3" w14:textId="77777777" w:rsidR="00FB0745" w:rsidRPr="00037C61" w:rsidRDefault="00FB0745" w:rsidP="00FB0745">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599" w:type="dxa"/>
            <w:noWrap/>
            <w:hideMark/>
          </w:tcPr>
          <w:p w14:paraId="14EAFBF5" w14:textId="77777777" w:rsidR="00FB0745" w:rsidRPr="00037C61" w:rsidRDefault="00FB0745" w:rsidP="00FB0745">
            <w:pP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797,00</w:t>
            </w:r>
          </w:p>
        </w:tc>
      </w:tr>
    </w:tbl>
    <w:p w14:paraId="7E12DB8F" w14:textId="77777777" w:rsidR="00FB0745" w:rsidRPr="00DB74BF" w:rsidRDefault="00FB0745" w:rsidP="00715B98">
      <w:pPr>
        <w:pStyle w:val="Caption"/>
        <w:keepNext/>
        <w:jc w:val="left"/>
        <w:rPr>
          <w:lang w:val="fr-FR"/>
        </w:rPr>
      </w:pPr>
      <w:r w:rsidRPr="00DB74BF">
        <w:rPr>
          <w:lang w:val="fr-FR"/>
        </w:rPr>
        <w:t>Source: http://ebedszu.net/zsolt/szakdoli/tajbeosztas.html</w:t>
      </w:r>
    </w:p>
    <w:tbl>
      <w:tblPr>
        <w:tblStyle w:val="ListTable3-Accent11"/>
        <w:tblW w:w="8999" w:type="dxa"/>
        <w:tblLook w:val="04A0" w:firstRow="1" w:lastRow="0" w:firstColumn="1" w:lastColumn="0" w:noHBand="0" w:noVBand="1"/>
      </w:tblPr>
      <w:tblGrid>
        <w:gridCol w:w="6117"/>
        <w:gridCol w:w="1441"/>
        <w:gridCol w:w="1441"/>
      </w:tblGrid>
      <w:tr w:rsidR="00FB0745" w:rsidRPr="00037C61" w14:paraId="613A4958" w14:textId="77777777" w:rsidTr="27B0E377">
        <w:trPr>
          <w:cnfStyle w:val="100000000000" w:firstRow="1" w:lastRow="0" w:firstColumn="0" w:lastColumn="0" w:oddVBand="0" w:evenVBand="0" w:oddHBand="0" w:evenHBand="0" w:firstRowFirstColumn="0" w:firstRowLastColumn="0" w:lastRowFirstColumn="0" w:lastRowLastColumn="0"/>
          <w:trHeight w:val="244"/>
        </w:trPr>
        <w:tc>
          <w:tcPr>
            <w:cnfStyle w:val="001000000100" w:firstRow="0" w:lastRow="0" w:firstColumn="1" w:lastColumn="0" w:oddVBand="0" w:evenVBand="0" w:oddHBand="0" w:evenHBand="0" w:firstRowFirstColumn="1" w:firstRowLastColumn="0" w:lastRowFirstColumn="0" w:lastRowLastColumn="0"/>
            <w:tcW w:w="8999" w:type="dxa"/>
            <w:gridSpan w:val="3"/>
            <w:hideMark/>
          </w:tcPr>
          <w:p w14:paraId="347E02B2" w14:textId="77777777" w:rsidR="00FB0745" w:rsidRPr="00037C61" w:rsidRDefault="00FB0745" w:rsidP="00FB0745">
            <w:pPr>
              <w:jc w:val="center"/>
              <w:rPr>
                <w:rFonts w:cs="Calibri"/>
                <w:b w:val="0"/>
                <w:color w:val="000000"/>
                <w:sz w:val="20"/>
                <w:szCs w:val="20"/>
                <w:lang w:val="en-GB"/>
              </w:rPr>
            </w:pPr>
            <w:r w:rsidRPr="00037C61">
              <w:rPr>
                <w:rFonts w:cs="Calibri"/>
                <w:sz w:val="20"/>
                <w:szCs w:val="20"/>
                <w:lang w:val="en-GB"/>
              </w:rPr>
              <w:t>AREA (in sq km)</w:t>
            </w:r>
          </w:p>
        </w:tc>
      </w:tr>
      <w:tr w:rsidR="00FB0745" w:rsidRPr="00037C61" w14:paraId="679A248E"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141C9747" w14:textId="77777777" w:rsidR="00FB0745" w:rsidRPr="00037C61" w:rsidRDefault="00FB0745" w:rsidP="00FB0745">
            <w:pPr>
              <w:jc w:val="center"/>
              <w:rPr>
                <w:rFonts w:cs="Calibri"/>
                <w:b w:val="0"/>
                <w:color w:val="000000"/>
                <w:sz w:val="20"/>
                <w:szCs w:val="20"/>
                <w:lang w:val="en-GB"/>
              </w:rPr>
            </w:pPr>
            <w:r w:rsidRPr="00037C61">
              <w:rPr>
                <w:rFonts w:cs="Calibri"/>
                <w:color w:val="000000"/>
                <w:sz w:val="20"/>
                <w:szCs w:val="20"/>
                <w:lang w:val="en-GB"/>
              </w:rPr>
              <w:t>Mesoregions</w:t>
            </w:r>
          </w:p>
        </w:tc>
        <w:tc>
          <w:tcPr>
            <w:tcW w:w="1441" w:type="dxa"/>
            <w:noWrap/>
            <w:hideMark/>
          </w:tcPr>
          <w:p w14:paraId="27E43E42"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b/>
                <w:color w:val="000000"/>
                <w:sz w:val="20"/>
                <w:szCs w:val="20"/>
                <w:lang w:val="en-GB"/>
              </w:rPr>
            </w:pPr>
            <w:r w:rsidRPr="00037C61">
              <w:rPr>
                <w:rFonts w:cs="Calibri"/>
                <w:b/>
                <w:color w:val="000000"/>
                <w:sz w:val="20"/>
                <w:szCs w:val="20"/>
                <w:lang w:val="en-GB"/>
              </w:rPr>
              <w:t>HU</w:t>
            </w:r>
          </w:p>
        </w:tc>
        <w:tc>
          <w:tcPr>
            <w:tcW w:w="1441" w:type="dxa"/>
            <w:noWrap/>
            <w:hideMark/>
          </w:tcPr>
          <w:p w14:paraId="7A353E0B" w14:textId="77777777" w:rsidR="00FB0745" w:rsidRPr="00037C61" w:rsidRDefault="00FB0745" w:rsidP="43A5E8BA">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0"/>
                <w:szCs w:val="20"/>
                <w:lang w:val="en-GB"/>
              </w:rPr>
            </w:pPr>
            <w:r w:rsidRPr="00037C61">
              <w:rPr>
                <w:rFonts w:cs="Calibri"/>
                <w:b/>
                <w:bCs/>
                <w:color w:val="000000" w:themeColor="text1"/>
                <w:sz w:val="20"/>
                <w:szCs w:val="20"/>
                <w:lang w:val="en-GB"/>
              </w:rPr>
              <w:t>RO</w:t>
            </w:r>
          </w:p>
        </w:tc>
      </w:tr>
      <w:tr w:rsidR="00FB0745" w:rsidRPr="00037C61" w14:paraId="041169E7"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1F793F78" w14:textId="087F2BB8"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 xml:space="preserve">1.2 </w:t>
            </w:r>
            <w:r w:rsidR="00CC11A6" w:rsidRPr="00037C61">
              <w:rPr>
                <w:rFonts w:cs="Calibri"/>
                <w:color w:val="000000"/>
                <w:sz w:val="20"/>
                <w:szCs w:val="20"/>
                <w:lang w:val="en-GB"/>
              </w:rPr>
              <w:t>–</w:t>
            </w:r>
            <w:r w:rsidRPr="00037C61">
              <w:rPr>
                <w:rFonts w:cs="Calibri"/>
                <w:color w:val="000000"/>
                <w:sz w:val="20"/>
                <w:szCs w:val="20"/>
                <w:lang w:val="en-GB"/>
              </w:rPr>
              <w:t xml:space="preserve"> Homokhátság</w:t>
            </w:r>
          </w:p>
        </w:tc>
        <w:tc>
          <w:tcPr>
            <w:tcW w:w="1441" w:type="dxa"/>
            <w:noWrap/>
            <w:hideMark/>
          </w:tcPr>
          <w:p w14:paraId="098496F2"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1.243,60</w:t>
            </w:r>
          </w:p>
        </w:tc>
        <w:tc>
          <w:tcPr>
            <w:tcW w:w="1441" w:type="dxa"/>
            <w:noWrap/>
            <w:hideMark/>
          </w:tcPr>
          <w:p w14:paraId="3E9F65CE"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r>
      <w:tr w:rsidR="00FB0745" w:rsidRPr="00037C61" w14:paraId="4C12B60B"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2B188322" w14:textId="791D3E0C" w:rsidR="00FB0745" w:rsidRPr="00DB74BF" w:rsidRDefault="00FB0745" w:rsidP="00457478">
            <w:pPr>
              <w:jc w:val="left"/>
              <w:rPr>
                <w:rFonts w:cs="Calibri"/>
                <w:b w:val="0"/>
                <w:bCs w:val="0"/>
                <w:color w:val="000000"/>
                <w:sz w:val="20"/>
                <w:szCs w:val="20"/>
              </w:rPr>
            </w:pPr>
            <w:r w:rsidRPr="00DB74BF">
              <w:rPr>
                <w:rFonts w:cs="Calibri"/>
                <w:color w:val="000000"/>
                <w:sz w:val="20"/>
                <w:szCs w:val="20"/>
              </w:rPr>
              <w:t>1.3 - Bácskai-síkvidék</w:t>
            </w:r>
            <w:r w:rsidR="007A006D" w:rsidRPr="00DB74BF">
              <w:rPr>
                <w:rFonts w:cs="Calibri"/>
                <w:color w:val="000000"/>
                <w:sz w:val="20"/>
                <w:szCs w:val="20"/>
              </w:rPr>
              <w:t xml:space="preserve"> / Câ</w:t>
            </w:r>
            <w:r w:rsidR="00B82F5F" w:rsidRPr="00DB74BF">
              <w:rPr>
                <w:rFonts w:cs="Calibri"/>
                <w:color w:val="000000"/>
                <w:sz w:val="20"/>
                <w:szCs w:val="20"/>
              </w:rPr>
              <w:t xml:space="preserve"> </w:t>
            </w:r>
            <w:r w:rsidR="007A006D" w:rsidRPr="00DB74BF">
              <w:rPr>
                <w:rFonts w:cs="Calibri"/>
                <w:color w:val="000000"/>
                <w:sz w:val="20"/>
                <w:szCs w:val="20"/>
              </w:rPr>
              <w:t>mpia Bácskai</w:t>
            </w:r>
          </w:p>
        </w:tc>
        <w:tc>
          <w:tcPr>
            <w:tcW w:w="1441" w:type="dxa"/>
            <w:noWrap/>
            <w:hideMark/>
          </w:tcPr>
          <w:p w14:paraId="666B7C60"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2,20</w:t>
            </w:r>
          </w:p>
        </w:tc>
        <w:tc>
          <w:tcPr>
            <w:tcW w:w="1441" w:type="dxa"/>
            <w:noWrap/>
            <w:hideMark/>
          </w:tcPr>
          <w:p w14:paraId="448F6496"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r>
      <w:tr w:rsidR="00FB0745" w:rsidRPr="00037C61" w14:paraId="2763E3B2"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04DE9EE3" w14:textId="6D0AF041" w:rsidR="00FB0745" w:rsidRPr="00DB74BF" w:rsidRDefault="00FB0745" w:rsidP="00457478">
            <w:pPr>
              <w:jc w:val="left"/>
              <w:rPr>
                <w:rFonts w:cs="Calibri"/>
                <w:b w:val="0"/>
                <w:bCs w:val="0"/>
                <w:color w:val="000000"/>
                <w:sz w:val="20"/>
                <w:szCs w:val="20"/>
              </w:rPr>
            </w:pPr>
            <w:r w:rsidRPr="00DB74BF">
              <w:rPr>
                <w:rFonts w:cs="Calibri"/>
                <w:color w:val="000000" w:themeColor="text1"/>
                <w:sz w:val="20"/>
                <w:szCs w:val="20"/>
              </w:rPr>
              <w:t>1.8 - Felső-Tisza-síkság</w:t>
            </w:r>
            <w:r w:rsidR="007A006D" w:rsidRPr="00DB74BF">
              <w:rPr>
                <w:rFonts w:cs="Calibri"/>
                <w:color w:val="000000" w:themeColor="text1"/>
                <w:sz w:val="20"/>
                <w:szCs w:val="20"/>
              </w:rPr>
              <w:t xml:space="preserve"> / Câmpia Tisei Superioare</w:t>
            </w:r>
          </w:p>
        </w:tc>
        <w:tc>
          <w:tcPr>
            <w:tcW w:w="1441" w:type="dxa"/>
            <w:noWrap/>
            <w:hideMark/>
          </w:tcPr>
          <w:p w14:paraId="6B822A9A"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2.092,90</w:t>
            </w:r>
          </w:p>
        </w:tc>
        <w:tc>
          <w:tcPr>
            <w:tcW w:w="1441" w:type="dxa"/>
            <w:noWrap/>
            <w:hideMark/>
          </w:tcPr>
          <w:p w14:paraId="7BA9425D"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themeColor="text1"/>
                <w:sz w:val="20"/>
                <w:szCs w:val="20"/>
                <w:lang w:val="en-GB"/>
              </w:rPr>
              <w:t>1.714,10</w:t>
            </w:r>
          </w:p>
        </w:tc>
      </w:tr>
      <w:tr w:rsidR="00FB0745" w:rsidRPr="00037C61" w14:paraId="48B0C675"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3E22EB85" w14:textId="67FBF101" w:rsidR="00FB0745" w:rsidRPr="00DB74BF" w:rsidRDefault="00FB0745" w:rsidP="00457478">
            <w:pPr>
              <w:jc w:val="left"/>
              <w:rPr>
                <w:rFonts w:cs="Calibri"/>
                <w:b w:val="0"/>
                <w:bCs w:val="0"/>
                <w:color w:val="000000"/>
                <w:sz w:val="20"/>
                <w:szCs w:val="20"/>
              </w:rPr>
            </w:pPr>
            <w:r w:rsidRPr="00DB74BF">
              <w:rPr>
                <w:rFonts w:cs="Calibri"/>
                <w:color w:val="000000"/>
                <w:sz w:val="20"/>
                <w:szCs w:val="20"/>
              </w:rPr>
              <w:t>1.9 - Közép-Tisza-síkság</w:t>
            </w:r>
            <w:r w:rsidR="007A006D" w:rsidRPr="00DB74BF">
              <w:rPr>
                <w:rFonts w:cs="Calibri"/>
                <w:color w:val="000000"/>
                <w:sz w:val="20"/>
                <w:szCs w:val="20"/>
              </w:rPr>
              <w:t xml:space="preserve"> / Câmpia Tisei de Mijloc</w:t>
            </w:r>
          </w:p>
        </w:tc>
        <w:tc>
          <w:tcPr>
            <w:tcW w:w="1441" w:type="dxa"/>
            <w:noWrap/>
            <w:hideMark/>
          </w:tcPr>
          <w:p w14:paraId="5CB22E92"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2.056,00</w:t>
            </w:r>
          </w:p>
        </w:tc>
        <w:tc>
          <w:tcPr>
            <w:tcW w:w="1441" w:type="dxa"/>
            <w:noWrap/>
            <w:hideMark/>
          </w:tcPr>
          <w:p w14:paraId="3AB18E67"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r>
      <w:tr w:rsidR="00FB0745" w:rsidRPr="00037C61" w14:paraId="49D7AA71"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40BA4375" w14:textId="36F86C09" w:rsidR="00FB0745" w:rsidRPr="00DB74BF" w:rsidRDefault="00FB0745" w:rsidP="00457478">
            <w:pPr>
              <w:jc w:val="left"/>
              <w:rPr>
                <w:rFonts w:cs="Calibri"/>
                <w:b w:val="0"/>
                <w:bCs w:val="0"/>
                <w:color w:val="000000"/>
                <w:sz w:val="20"/>
                <w:szCs w:val="20"/>
              </w:rPr>
            </w:pPr>
            <w:r w:rsidRPr="00DB74BF">
              <w:rPr>
                <w:rFonts w:cs="Calibri"/>
                <w:color w:val="000000"/>
                <w:sz w:val="20"/>
                <w:szCs w:val="20"/>
              </w:rPr>
              <w:t>1.10 - Alsó-Tisza-síkság</w:t>
            </w:r>
            <w:r w:rsidR="007A006D" w:rsidRPr="00DB74BF">
              <w:rPr>
                <w:rFonts w:cs="Calibri"/>
                <w:color w:val="000000"/>
                <w:sz w:val="20"/>
                <w:szCs w:val="20"/>
              </w:rPr>
              <w:t xml:space="preserve"> / Câmpia Tisei de Jos</w:t>
            </w:r>
          </w:p>
        </w:tc>
        <w:tc>
          <w:tcPr>
            <w:tcW w:w="1441" w:type="dxa"/>
            <w:noWrap/>
            <w:hideMark/>
          </w:tcPr>
          <w:p w14:paraId="44BAA7E2"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813,60</w:t>
            </w:r>
          </w:p>
        </w:tc>
        <w:tc>
          <w:tcPr>
            <w:tcW w:w="1441" w:type="dxa"/>
            <w:noWrap/>
            <w:hideMark/>
          </w:tcPr>
          <w:p w14:paraId="47C774C6"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r>
      <w:tr w:rsidR="00FB0745" w:rsidRPr="00037C61" w14:paraId="7D817DAA"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71B29B12"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1.12 - Nyírség / Câmpia Nirului</w:t>
            </w:r>
          </w:p>
        </w:tc>
        <w:tc>
          <w:tcPr>
            <w:tcW w:w="1441" w:type="dxa"/>
            <w:noWrap/>
            <w:hideMark/>
          </w:tcPr>
          <w:p w14:paraId="6BF40290"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4.639,10</w:t>
            </w:r>
          </w:p>
        </w:tc>
        <w:tc>
          <w:tcPr>
            <w:tcW w:w="1441" w:type="dxa"/>
            <w:noWrap/>
            <w:hideMark/>
          </w:tcPr>
          <w:p w14:paraId="0B13466D"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608,50</w:t>
            </w:r>
          </w:p>
        </w:tc>
      </w:tr>
      <w:tr w:rsidR="00FB0745" w:rsidRPr="00037C61" w14:paraId="05A8E656"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6BBEDA31" w14:textId="11BCEC84"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 xml:space="preserve">1.13 </w:t>
            </w:r>
            <w:r w:rsidR="00CC11A6" w:rsidRPr="00037C61">
              <w:rPr>
                <w:rFonts w:cs="Calibri"/>
                <w:color w:val="000000"/>
                <w:sz w:val="20"/>
                <w:szCs w:val="20"/>
                <w:lang w:val="en-GB"/>
              </w:rPr>
              <w:t>–</w:t>
            </w:r>
            <w:r w:rsidRPr="00037C61">
              <w:rPr>
                <w:rFonts w:cs="Calibri"/>
                <w:color w:val="000000"/>
                <w:sz w:val="20"/>
                <w:szCs w:val="20"/>
                <w:lang w:val="en-GB"/>
              </w:rPr>
              <w:t xml:space="preserve"> Hajdúság</w:t>
            </w:r>
          </w:p>
        </w:tc>
        <w:tc>
          <w:tcPr>
            <w:tcW w:w="1441" w:type="dxa"/>
            <w:noWrap/>
            <w:hideMark/>
          </w:tcPr>
          <w:p w14:paraId="13C57853"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1.693,90</w:t>
            </w:r>
          </w:p>
        </w:tc>
        <w:tc>
          <w:tcPr>
            <w:tcW w:w="1441" w:type="dxa"/>
            <w:noWrap/>
            <w:hideMark/>
          </w:tcPr>
          <w:p w14:paraId="19A5B8A2"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r>
      <w:tr w:rsidR="00FB0745" w:rsidRPr="00037C61" w14:paraId="6A0870DF"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3B992FA8"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lastRenderedPageBreak/>
              <w:t>1.14 - Érmellék / Câmpia Ierului</w:t>
            </w:r>
          </w:p>
        </w:tc>
        <w:tc>
          <w:tcPr>
            <w:tcW w:w="1441" w:type="dxa"/>
            <w:noWrap/>
            <w:hideMark/>
          </w:tcPr>
          <w:p w14:paraId="7EC625A1"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87,20</w:t>
            </w:r>
          </w:p>
        </w:tc>
        <w:tc>
          <w:tcPr>
            <w:tcW w:w="1441" w:type="dxa"/>
            <w:noWrap/>
            <w:hideMark/>
          </w:tcPr>
          <w:p w14:paraId="129E9D62"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1.352,70</w:t>
            </w:r>
          </w:p>
        </w:tc>
      </w:tr>
      <w:tr w:rsidR="00FB0745" w:rsidRPr="00037C61" w14:paraId="29666EA5"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60DF04A9"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1.15 - Körösök síksága / Câmpia Crişurilor</w:t>
            </w:r>
          </w:p>
        </w:tc>
        <w:tc>
          <w:tcPr>
            <w:tcW w:w="1441" w:type="dxa"/>
            <w:noWrap/>
            <w:hideMark/>
          </w:tcPr>
          <w:p w14:paraId="66C2A594"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3.894,50</w:t>
            </w:r>
          </w:p>
        </w:tc>
        <w:tc>
          <w:tcPr>
            <w:tcW w:w="1441" w:type="dxa"/>
            <w:noWrap/>
            <w:hideMark/>
          </w:tcPr>
          <w:p w14:paraId="545704F8"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3.719,90</w:t>
            </w:r>
          </w:p>
        </w:tc>
      </w:tr>
      <w:tr w:rsidR="00FB0745" w:rsidRPr="00037C61" w14:paraId="4EB51010" w14:textId="77777777" w:rsidTr="27B0E377">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6117" w:type="dxa"/>
            <w:hideMark/>
          </w:tcPr>
          <w:p w14:paraId="59AF6D88"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1.16 - Maros-hordalékkúp / Câmpia Mureşului</w:t>
            </w:r>
          </w:p>
        </w:tc>
        <w:tc>
          <w:tcPr>
            <w:tcW w:w="1441" w:type="dxa"/>
            <w:noWrap/>
            <w:hideMark/>
          </w:tcPr>
          <w:p w14:paraId="3A09E016"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5.520,30</w:t>
            </w:r>
          </w:p>
        </w:tc>
        <w:tc>
          <w:tcPr>
            <w:tcW w:w="1441" w:type="dxa"/>
            <w:noWrap/>
            <w:hideMark/>
          </w:tcPr>
          <w:p w14:paraId="27E67220"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4.455,30</w:t>
            </w:r>
          </w:p>
        </w:tc>
      </w:tr>
      <w:tr w:rsidR="00FB0745" w:rsidRPr="00037C61" w14:paraId="42C58ACD"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133618DF" w14:textId="171702E1" w:rsidR="00FB0745" w:rsidRPr="00037C61" w:rsidRDefault="00FB0745" w:rsidP="00457478">
            <w:pPr>
              <w:jc w:val="left"/>
              <w:rPr>
                <w:rFonts w:cs="Calibri"/>
                <w:b w:val="0"/>
                <w:bCs w:val="0"/>
                <w:color w:val="000000"/>
                <w:sz w:val="20"/>
                <w:szCs w:val="20"/>
                <w:lang w:val="en-GB"/>
              </w:rPr>
            </w:pPr>
            <w:r w:rsidRPr="00037C61">
              <w:rPr>
                <w:rFonts w:cs="Calibri"/>
                <w:color w:val="000000" w:themeColor="text1"/>
                <w:sz w:val="20"/>
                <w:szCs w:val="20"/>
                <w:lang w:val="en-GB"/>
              </w:rPr>
              <w:t xml:space="preserve">1.17 - Temes síksága / </w:t>
            </w:r>
            <w:r w:rsidR="007A006D" w:rsidRPr="00037C61">
              <w:rPr>
                <w:rFonts w:cs="Calibri"/>
                <w:color w:val="000000" w:themeColor="text1"/>
                <w:sz w:val="20"/>
                <w:szCs w:val="20"/>
                <w:lang w:val="en-GB"/>
              </w:rPr>
              <w:t>Câmpia Timișoarei</w:t>
            </w:r>
          </w:p>
        </w:tc>
        <w:tc>
          <w:tcPr>
            <w:tcW w:w="1441" w:type="dxa"/>
            <w:noWrap/>
            <w:hideMark/>
          </w:tcPr>
          <w:p w14:paraId="1D64DB6F"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4143028C"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4.737,70</w:t>
            </w:r>
          </w:p>
        </w:tc>
      </w:tr>
      <w:tr w:rsidR="00FB0745" w:rsidRPr="00037C61" w14:paraId="3F3C14A6"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2F6AC16D" w14:textId="77777777" w:rsidR="00FB0745" w:rsidRPr="00DB74BF" w:rsidRDefault="00FB0745" w:rsidP="00457478">
            <w:pPr>
              <w:jc w:val="left"/>
              <w:rPr>
                <w:rFonts w:cs="Calibri"/>
                <w:b w:val="0"/>
                <w:bCs w:val="0"/>
                <w:color w:val="000000"/>
                <w:sz w:val="20"/>
                <w:szCs w:val="20"/>
              </w:rPr>
            </w:pPr>
            <w:r w:rsidRPr="00DB74BF">
              <w:rPr>
                <w:rFonts w:cs="Calibri"/>
                <w:color w:val="000000"/>
                <w:sz w:val="20"/>
                <w:szCs w:val="20"/>
              </w:rPr>
              <w:t>9.1 - Vihorlát-Gutin-hegyvidék / Munţii vulcanici Vihorlat--Gutâi</w:t>
            </w:r>
          </w:p>
        </w:tc>
        <w:tc>
          <w:tcPr>
            <w:tcW w:w="1441" w:type="dxa"/>
            <w:noWrap/>
            <w:hideMark/>
          </w:tcPr>
          <w:p w14:paraId="2D8B3C1B"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518D928D"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797,00</w:t>
            </w:r>
          </w:p>
        </w:tc>
      </w:tr>
      <w:tr w:rsidR="00FB0745" w:rsidRPr="00037C61" w14:paraId="730FBD74"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7EF0ED95"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10.1 - Marosmenti-hegyvidék / Munţii Mureşului</w:t>
            </w:r>
          </w:p>
        </w:tc>
        <w:tc>
          <w:tcPr>
            <w:tcW w:w="1441" w:type="dxa"/>
            <w:noWrap/>
            <w:hideMark/>
          </w:tcPr>
          <w:p w14:paraId="7BD75FB1"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107EFF2B"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1.449,40</w:t>
            </w:r>
          </w:p>
        </w:tc>
      </w:tr>
      <w:tr w:rsidR="00FB0745" w:rsidRPr="00037C61" w14:paraId="242143DD"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3DE40B1E" w14:textId="77777777" w:rsidR="00FB0745" w:rsidRPr="00DB74BF" w:rsidRDefault="00FB0745" w:rsidP="00457478">
            <w:pPr>
              <w:jc w:val="left"/>
              <w:rPr>
                <w:rFonts w:cs="Calibri"/>
                <w:b w:val="0"/>
                <w:bCs w:val="0"/>
                <w:color w:val="000000"/>
                <w:sz w:val="20"/>
                <w:szCs w:val="20"/>
              </w:rPr>
            </w:pPr>
            <w:r w:rsidRPr="00DB74BF">
              <w:rPr>
                <w:rFonts w:cs="Calibri"/>
                <w:color w:val="000000"/>
                <w:sz w:val="20"/>
                <w:szCs w:val="20"/>
              </w:rPr>
              <w:t>10.2 - Bihar-Gyalui-hegyvidék / Munţii Bihor--Muntele Mare</w:t>
            </w:r>
          </w:p>
        </w:tc>
        <w:tc>
          <w:tcPr>
            <w:tcW w:w="1441" w:type="dxa"/>
            <w:noWrap/>
            <w:hideMark/>
          </w:tcPr>
          <w:p w14:paraId="708B6107"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2E162F4C"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796,10</w:t>
            </w:r>
          </w:p>
        </w:tc>
      </w:tr>
      <w:tr w:rsidR="00FB0745" w:rsidRPr="00037C61" w14:paraId="3D37EB98"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2B35332D"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10.3 - Körösvidéki-hegységek / Masivele Crişene</w:t>
            </w:r>
          </w:p>
        </w:tc>
        <w:tc>
          <w:tcPr>
            <w:tcW w:w="1441" w:type="dxa"/>
            <w:noWrap/>
            <w:hideMark/>
          </w:tcPr>
          <w:p w14:paraId="32F92089"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1A6203C9"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1.504,40</w:t>
            </w:r>
          </w:p>
        </w:tc>
      </w:tr>
      <w:tr w:rsidR="00FB0745" w:rsidRPr="00037C61" w14:paraId="2AE396B7"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2555FB30"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10.4 - Körösvidéki-dombság / Dealurile Crişene</w:t>
            </w:r>
          </w:p>
        </w:tc>
        <w:tc>
          <w:tcPr>
            <w:tcW w:w="1441" w:type="dxa"/>
            <w:noWrap/>
            <w:hideMark/>
          </w:tcPr>
          <w:p w14:paraId="6E923986"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7AB5C8C1"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3.474,35</w:t>
            </w:r>
          </w:p>
        </w:tc>
      </w:tr>
      <w:tr w:rsidR="00FB0745" w:rsidRPr="00037C61" w14:paraId="56D9F794"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7819B508"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10.5 - Szilágysági-dombvidék / Dealurile Silvaniei</w:t>
            </w:r>
          </w:p>
        </w:tc>
        <w:tc>
          <w:tcPr>
            <w:tcW w:w="1441" w:type="dxa"/>
            <w:noWrap/>
            <w:hideMark/>
          </w:tcPr>
          <w:p w14:paraId="0D42E9D9"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5B11D9B6"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1.216,45</w:t>
            </w:r>
          </w:p>
        </w:tc>
      </w:tr>
      <w:tr w:rsidR="00FB0745" w:rsidRPr="00037C61" w14:paraId="32F166A3"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02FBC827" w14:textId="77777777" w:rsidR="00FB0745" w:rsidRPr="00037C61" w:rsidRDefault="00FB0745" w:rsidP="00457478">
            <w:pPr>
              <w:jc w:val="left"/>
              <w:rPr>
                <w:rFonts w:cs="Calibri"/>
                <w:b w:val="0"/>
                <w:bCs w:val="0"/>
                <w:color w:val="000000"/>
                <w:sz w:val="20"/>
                <w:szCs w:val="20"/>
                <w:lang w:val="en-GB"/>
              </w:rPr>
            </w:pPr>
            <w:r w:rsidRPr="00037C61">
              <w:rPr>
                <w:rFonts w:cs="Calibri"/>
                <w:color w:val="000000"/>
                <w:sz w:val="20"/>
                <w:szCs w:val="20"/>
                <w:lang w:val="en-GB"/>
              </w:rPr>
              <w:t>14.1 - Lippai-dombvidék / Dealurile Lipovei</w:t>
            </w:r>
          </w:p>
        </w:tc>
        <w:tc>
          <w:tcPr>
            <w:tcW w:w="1441" w:type="dxa"/>
            <w:noWrap/>
            <w:hideMark/>
          </w:tcPr>
          <w:p w14:paraId="103A3C6A"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252C637D"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1.637,33</w:t>
            </w:r>
          </w:p>
        </w:tc>
      </w:tr>
      <w:tr w:rsidR="00FB0745" w:rsidRPr="00037C61" w14:paraId="0F921B96" w14:textId="77777777" w:rsidTr="27B0E377">
        <w:trPr>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71FB45D7" w14:textId="77777777" w:rsidR="00FB0745" w:rsidRPr="00DB74BF" w:rsidRDefault="00FB0745" w:rsidP="00457478">
            <w:pPr>
              <w:jc w:val="left"/>
              <w:rPr>
                <w:rFonts w:cs="Calibri"/>
                <w:b w:val="0"/>
                <w:bCs w:val="0"/>
                <w:color w:val="000000"/>
                <w:sz w:val="20"/>
                <w:szCs w:val="20"/>
              </w:rPr>
            </w:pPr>
            <w:r w:rsidRPr="00DB74BF">
              <w:rPr>
                <w:rFonts w:cs="Calibri"/>
                <w:color w:val="000000"/>
                <w:sz w:val="20"/>
                <w:szCs w:val="20"/>
              </w:rPr>
              <w:t>14.2 - Ruszka-havas vidéke / Munţii Poiana Ruscăi + Dealurile Lugojului</w:t>
            </w:r>
          </w:p>
        </w:tc>
        <w:tc>
          <w:tcPr>
            <w:tcW w:w="1441" w:type="dxa"/>
            <w:noWrap/>
            <w:hideMark/>
          </w:tcPr>
          <w:p w14:paraId="4FB34603"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2B91B323" w14:textId="77777777" w:rsidR="00FB0745" w:rsidRPr="00037C61" w:rsidRDefault="00FB0745" w:rsidP="00FB0745">
            <w:pPr>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755,01</w:t>
            </w:r>
          </w:p>
        </w:tc>
      </w:tr>
      <w:tr w:rsidR="00FB0745" w:rsidRPr="00037C61" w14:paraId="4AC59D25" w14:textId="77777777" w:rsidTr="27B0E377">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117" w:type="dxa"/>
            <w:hideMark/>
          </w:tcPr>
          <w:p w14:paraId="7339031C" w14:textId="77777777" w:rsidR="00FB0745" w:rsidRPr="00DB74BF" w:rsidRDefault="00FB0745" w:rsidP="00457478">
            <w:pPr>
              <w:jc w:val="left"/>
              <w:rPr>
                <w:rFonts w:cs="Calibri"/>
                <w:b w:val="0"/>
                <w:bCs w:val="0"/>
                <w:color w:val="000000"/>
                <w:sz w:val="20"/>
                <w:szCs w:val="20"/>
                <w:lang w:val="fr-FR"/>
              </w:rPr>
            </w:pPr>
            <w:r w:rsidRPr="00DB74BF">
              <w:rPr>
                <w:rFonts w:cs="Calibri"/>
                <w:color w:val="000000"/>
                <w:sz w:val="20"/>
                <w:szCs w:val="20"/>
                <w:lang w:val="fr-FR"/>
              </w:rPr>
              <w:t>14.4 - Krassó Szörényi-érchegység / Munţii Semenic + Dealurile Banatului de Sud</w:t>
            </w:r>
          </w:p>
        </w:tc>
        <w:tc>
          <w:tcPr>
            <w:tcW w:w="1441" w:type="dxa"/>
            <w:noWrap/>
            <w:hideMark/>
          </w:tcPr>
          <w:p w14:paraId="6D393D29"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0,00</w:t>
            </w:r>
          </w:p>
        </w:tc>
        <w:tc>
          <w:tcPr>
            <w:tcW w:w="1441" w:type="dxa"/>
            <w:noWrap/>
            <w:hideMark/>
          </w:tcPr>
          <w:p w14:paraId="47EC2EA0" w14:textId="77777777" w:rsidR="00FB0745" w:rsidRPr="00037C61" w:rsidRDefault="00FB0745" w:rsidP="00FB0745">
            <w:pPr>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254,80</w:t>
            </w:r>
          </w:p>
        </w:tc>
      </w:tr>
    </w:tbl>
    <w:p w14:paraId="1A2A794C" w14:textId="1F0A7A32" w:rsidR="00FB0745" w:rsidRPr="00DB74BF" w:rsidRDefault="00FB0745" w:rsidP="000F6FBD">
      <w:pPr>
        <w:pStyle w:val="Caption"/>
        <w:keepNext/>
        <w:jc w:val="left"/>
        <w:rPr>
          <w:lang w:val="fr-FR"/>
        </w:rPr>
      </w:pPr>
      <w:r w:rsidRPr="00DB74BF">
        <w:rPr>
          <w:lang w:val="fr-FR"/>
        </w:rPr>
        <w:t xml:space="preserve">Source: </w:t>
      </w:r>
      <w:hyperlink r:id="rId153" w:history="1">
        <w:r w:rsidRPr="00DB74BF">
          <w:rPr>
            <w:lang w:val="fr-FR"/>
          </w:rPr>
          <w:t>http://ebedszu.net/zsolt/szakdoli/tajbeosztas.html</w:t>
        </w:r>
      </w:hyperlink>
    </w:p>
    <w:p w14:paraId="64F6BA74" w14:textId="77777777" w:rsidR="00F05815" w:rsidRPr="00DB74BF" w:rsidRDefault="00F05815" w:rsidP="00FB0745">
      <w:pPr>
        <w:rPr>
          <w:rFonts w:cs="Calibri"/>
          <w:lang w:val="fr-FR"/>
        </w:rPr>
      </w:pPr>
    </w:p>
    <w:p w14:paraId="36B71955" w14:textId="6876CD67" w:rsidR="00FB0745" w:rsidRPr="00037C61" w:rsidRDefault="00FB0745" w:rsidP="00F05815">
      <w:pPr>
        <w:spacing w:after="0"/>
        <w:jc w:val="left"/>
        <w:rPr>
          <w:rFonts w:cs="Calibri"/>
          <w:lang w:val="en-GB"/>
        </w:rPr>
      </w:pPr>
      <w:r w:rsidRPr="00037C61">
        <w:rPr>
          <w:noProof/>
          <w:lang w:val="ro-RO" w:eastAsia="ro-RO"/>
        </w:rPr>
        <w:drawing>
          <wp:inline distT="0" distB="0" distL="0" distR="0" wp14:anchorId="251AC43B" wp14:editId="7C3E80FB">
            <wp:extent cx="5764698" cy="4452092"/>
            <wp:effectExtent l="0" t="0" r="7620" b="5715"/>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154">
                      <a:extLst>
                        <a:ext uri="{28A0092B-C50C-407E-A947-70E740481C1C}">
                          <a14:useLocalDpi xmlns:a14="http://schemas.microsoft.com/office/drawing/2010/main"/>
                        </a:ext>
                      </a:extLst>
                    </a:blip>
                    <a:stretch>
                      <a:fillRect/>
                    </a:stretch>
                  </pic:blipFill>
                  <pic:spPr>
                    <a:xfrm>
                      <a:off x="0" y="0"/>
                      <a:ext cx="5764698" cy="4452092"/>
                    </a:xfrm>
                    <a:prstGeom prst="rect">
                      <a:avLst/>
                    </a:prstGeom>
                  </pic:spPr>
                </pic:pic>
              </a:graphicData>
            </a:graphic>
          </wp:inline>
        </w:drawing>
      </w:r>
    </w:p>
    <w:p w14:paraId="2953B0D1" w14:textId="7D061137" w:rsidR="00FB0745" w:rsidRPr="00037C61" w:rsidRDefault="52230E0C" w:rsidP="000F6FBD">
      <w:pPr>
        <w:pStyle w:val="Caption"/>
        <w:jc w:val="left"/>
        <w:rPr>
          <w:rFonts w:cs="Calibri"/>
          <w:lang w:val="en-GB"/>
        </w:rPr>
      </w:pPr>
      <w:bookmarkStart w:id="674" w:name="_Toc64611020"/>
      <w:r w:rsidRPr="00037C61">
        <w:rPr>
          <w:rFonts w:cs="Calibri"/>
          <w:lang w:val="en-GB"/>
        </w:rPr>
        <w:t xml:space="preserve">Figure </w:t>
      </w:r>
      <w:r w:rsidR="00412697">
        <w:rPr>
          <w:rFonts w:cs="Calibri"/>
          <w:lang w:val="en-GB"/>
        </w:rPr>
        <w:fldChar w:fldCharType="begin"/>
      </w:r>
      <w:r w:rsidR="00412697">
        <w:rPr>
          <w:rFonts w:cs="Calibri"/>
          <w:lang w:val="en-GB"/>
        </w:rPr>
        <w:instrText xml:space="preserve"> SEQ Figure \* ARABIC </w:instrText>
      </w:r>
      <w:r w:rsidR="00412697">
        <w:rPr>
          <w:rFonts w:cs="Calibri"/>
          <w:lang w:val="en-GB"/>
        </w:rPr>
        <w:fldChar w:fldCharType="separate"/>
      </w:r>
      <w:r w:rsidR="00412697">
        <w:rPr>
          <w:rFonts w:cs="Calibri"/>
          <w:noProof/>
          <w:lang w:val="en-GB"/>
        </w:rPr>
        <w:t>71</w:t>
      </w:r>
      <w:r w:rsidR="00412697">
        <w:rPr>
          <w:rFonts w:cs="Calibri"/>
          <w:lang w:val="en-GB"/>
        </w:rPr>
        <w:fldChar w:fldCharType="end"/>
      </w:r>
      <w:r w:rsidRPr="00037C61">
        <w:rPr>
          <w:rFonts w:cs="Calibri"/>
          <w:lang w:val="en-GB"/>
        </w:rPr>
        <w:t xml:space="preserve"> - Land use within the PA</w:t>
      </w:r>
      <w:bookmarkEnd w:id="674"/>
    </w:p>
    <w:p w14:paraId="0AB2FABA" w14:textId="77777777" w:rsidR="00FB0745" w:rsidRPr="00037C61" w:rsidRDefault="00FB0745" w:rsidP="00F05815">
      <w:pPr>
        <w:pStyle w:val="Caption"/>
        <w:spacing w:after="240"/>
        <w:jc w:val="left"/>
        <w:rPr>
          <w:rFonts w:cs="Calibri"/>
          <w:lang w:val="en-GB"/>
        </w:rPr>
      </w:pPr>
      <w:r w:rsidRPr="00037C61">
        <w:rPr>
          <w:rFonts w:cs="Calibri"/>
          <w:lang w:val="en-GB"/>
        </w:rPr>
        <w:t>Source: EEA, Corine Land Cover 2018</w:t>
      </w:r>
    </w:p>
    <w:p w14:paraId="285B20EE" w14:textId="592E7D78" w:rsidR="00F05815" w:rsidRPr="00037C61" w:rsidRDefault="52230E0C" w:rsidP="00F05815">
      <w:pPr>
        <w:rPr>
          <w:rFonts w:cs="Calibri"/>
          <w:lang w:val="en-GB"/>
        </w:rPr>
      </w:pPr>
      <w:r w:rsidRPr="00037C61">
        <w:rPr>
          <w:rFonts w:cs="Calibri"/>
          <w:lang w:val="en-GB"/>
        </w:rPr>
        <w:t xml:space="preserve">Taking into consideration </w:t>
      </w:r>
      <w:r w:rsidRPr="00037C61">
        <w:rPr>
          <w:rFonts w:cs="Calibri"/>
          <w:b/>
          <w:bCs/>
          <w:lang w:val="en-GB"/>
        </w:rPr>
        <w:t>the natural landscape and distribution of land forms in the PA, part of the Carpathian-Pannonian region,</w:t>
      </w:r>
      <w:r w:rsidRPr="00037C61">
        <w:rPr>
          <w:rFonts w:cs="Calibri"/>
          <w:lang w:val="en-GB"/>
        </w:rPr>
        <w:t xml:space="preserve"> we can observe that anthropic interventions are present mainly in county residences and predominantly in the urban areas, covering from mainly plains and to a lesser degree hills; however, even on the Romanian side of the </w:t>
      </w:r>
      <w:r w:rsidR="005171E7" w:rsidRPr="00037C61">
        <w:rPr>
          <w:rFonts w:cs="Calibri"/>
          <w:lang w:val="en-GB"/>
        </w:rPr>
        <w:t>programme area</w:t>
      </w:r>
      <w:r w:rsidRPr="00037C61">
        <w:rPr>
          <w:rFonts w:cs="Calibri"/>
          <w:lang w:val="en-GB"/>
        </w:rPr>
        <w:t xml:space="preserve"> the part covered with hills is larger (as mentioned above), the main anthropic intervention level on hills landform is situated on </w:t>
      </w:r>
      <w:r w:rsidRPr="00037C61">
        <w:rPr>
          <w:rFonts w:cs="Calibri"/>
          <w:lang w:val="en-GB"/>
        </w:rPr>
        <w:lastRenderedPageBreak/>
        <w:t>the Hungarian side of the program</w:t>
      </w:r>
      <w:r w:rsidR="31C5711B" w:rsidRPr="00037C61">
        <w:rPr>
          <w:rFonts w:cs="Calibri"/>
          <w:lang w:val="en-GB"/>
        </w:rPr>
        <w:t>me</w:t>
      </w:r>
      <w:r w:rsidRPr="00037C61">
        <w:rPr>
          <w:rFonts w:cs="Calibri"/>
          <w:lang w:val="en-GB"/>
        </w:rPr>
        <w:t xml:space="preserve">, proving better accessibility and connectivity and better local resources exploitation. From the land cover point of view, the majority share of the PA territory represents arable land and land principally occupied by agriculture. </w:t>
      </w:r>
    </w:p>
    <w:p w14:paraId="2122A951" w14:textId="77777777" w:rsidR="00BB7D11" w:rsidRPr="00037C61" w:rsidRDefault="00BB7D11" w:rsidP="00BB7D11">
      <w:pPr>
        <w:pStyle w:val="Heading4"/>
        <w:rPr>
          <w:lang w:val="en-GB"/>
        </w:rPr>
      </w:pPr>
      <w:r w:rsidRPr="00037C61">
        <w:rPr>
          <w:lang w:val="en-GB"/>
        </w:rPr>
        <w:t>Fragmentation status of the landscape</w:t>
      </w:r>
    </w:p>
    <w:p w14:paraId="49C64A4A" w14:textId="77777777" w:rsidR="00BB7D11" w:rsidRPr="00037C61" w:rsidRDefault="00BB7D11" w:rsidP="00BB7D11">
      <w:pPr>
        <w:rPr>
          <w:lang w:val="en-GB"/>
        </w:rPr>
      </w:pPr>
      <w:r w:rsidRPr="00037C61">
        <w:rPr>
          <w:lang w:val="en-GB"/>
        </w:rPr>
        <w:t>„The Effective Mesh Density (</w:t>
      </w:r>
      <w:r w:rsidRPr="00037C61">
        <w:rPr>
          <w:i/>
          <w:iCs/>
          <w:lang w:val="en-GB"/>
        </w:rPr>
        <w:t>seff</w:t>
      </w:r>
      <w:r w:rsidRPr="00037C61">
        <w:rPr>
          <w:lang w:val="en-GB"/>
        </w:rPr>
        <w:t>) is a measure of the degree to which movement between different parts of the landscape is interrupted by a Fragmentation Geometry (FG). FGs are defined as the presence of impervious surfaces and traffic infrastructure, including medium sized roads. The more FGs fragment the landscape, the higher the effective mesh density hence the higher the fragmentation.” (European Environment Agency 2020).</w:t>
      </w:r>
    </w:p>
    <w:p w14:paraId="571CC5C2" w14:textId="67904A45" w:rsidR="00BB7D11" w:rsidRPr="00037C61" w:rsidRDefault="00BB7D11" w:rsidP="00BB7D11">
      <w:pPr>
        <w:pStyle w:val="NormalWeb"/>
        <w:keepNext/>
        <w:spacing w:before="200" w:beforeAutospacing="0" w:after="0" w:afterAutospacing="0"/>
        <w:rPr>
          <w:lang w:val="en-GB"/>
        </w:rPr>
      </w:pPr>
      <w:r w:rsidRPr="00037C61">
        <w:rPr>
          <w:noProof/>
          <w:lang w:val="ro-RO" w:eastAsia="ro-RO"/>
        </w:rPr>
        <w:drawing>
          <wp:inline distT="0" distB="0" distL="0" distR="0" wp14:anchorId="51F11197" wp14:editId="475F9AE2">
            <wp:extent cx="5745480" cy="5719412"/>
            <wp:effectExtent l="0" t="0" r="7620" b="0"/>
            <wp:docPr id="799357010" name="Picture 799357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57010" name="Picture 799357010"/>
                    <pic:cNvPicPr/>
                  </pic:nvPicPr>
                  <pic:blipFill>
                    <a:blip r:embed="rId155">
                      <a:extLst>
                        <a:ext uri="{28A0092B-C50C-407E-A947-70E740481C1C}">
                          <a14:useLocalDpi xmlns:a14="http://schemas.microsoft.com/office/drawing/2010/main" val="0"/>
                        </a:ext>
                      </a:extLst>
                    </a:blip>
                    <a:stretch>
                      <a:fillRect/>
                    </a:stretch>
                  </pic:blipFill>
                  <pic:spPr>
                    <a:xfrm>
                      <a:off x="0" y="0"/>
                      <a:ext cx="5749809" cy="5723721"/>
                    </a:xfrm>
                    <a:prstGeom prst="rect">
                      <a:avLst/>
                    </a:prstGeom>
                  </pic:spPr>
                </pic:pic>
              </a:graphicData>
            </a:graphic>
          </wp:inline>
        </w:drawing>
      </w:r>
    </w:p>
    <w:p w14:paraId="05DB8B42" w14:textId="6CCF73DF" w:rsidR="00BB7D11" w:rsidRPr="00DB74BF" w:rsidRDefault="00BB7D11" w:rsidP="00BB7D11">
      <w:pPr>
        <w:pStyle w:val="Caption"/>
        <w:jc w:val="both"/>
        <w:rPr>
          <w:lang w:val="fr-FR"/>
        </w:rPr>
      </w:pPr>
      <w:bookmarkStart w:id="675" w:name="_Toc64611021"/>
      <w:r w:rsidRPr="00DB74BF">
        <w:rPr>
          <w:lang w:val="fr-FR"/>
        </w:rPr>
        <w:t xml:space="preserve">Figure </w:t>
      </w:r>
      <w:r w:rsidR="00412697">
        <w:rPr>
          <w:lang w:val="en-GB"/>
        </w:rPr>
        <w:fldChar w:fldCharType="begin"/>
      </w:r>
      <w:r w:rsidR="00412697" w:rsidRPr="00DB74BF">
        <w:rPr>
          <w:lang w:val="fr-FR"/>
        </w:rPr>
        <w:instrText xml:space="preserve"> SEQ Figure \* ARABIC </w:instrText>
      </w:r>
      <w:r w:rsidR="00412697">
        <w:rPr>
          <w:lang w:val="en-GB"/>
        </w:rPr>
        <w:fldChar w:fldCharType="separate"/>
      </w:r>
      <w:r w:rsidR="00412697" w:rsidRPr="00DB74BF">
        <w:rPr>
          <w:noProof/>
          <w:lang w:val="fr-FR"/>
        </w:rPr>
        <w:t>72</w:t>
      </w:r>
      <w:r w:rsidR="00412697">
        <w:rPr>
          <w:lang w:val="en-GB"/>
        </w:rPr>
        <w:fldChar w:fldCharType="end"/>
      </w:r>
      <w:r w:rsidRPr="00DB74BF">
        <w:rPr>
          <w:lang w:val="fr-FR"/>
        </w:rPr>
        <w:t xml:space="preserve"> - Fragmentation status 2015</w:t>
      </w:r>
      <w:bookmarkEnd w:id="675"/>
      <w:r w:rsidRPr="00DB74BF">
        <w:rPr>
          <w:lang w:val="fr-FR"/>
        </w:rPr>
        <w:t xml:space="preserve"> </w:t>
      </w:r>
    </w:p>
    <w:p w14:paraId="527A060B" w14:textId="77777777" w:rsidR="00BB7D11" w:rsidRPr="00DB74BF" w:rsidRDefault="00BB7D11" w:rsidP="00BB7D11">
      <w:pPr>
        <w:pStyle w:val="Caption"/>
        <w:spacing w:after="240"/>
        <w:jc w:val="both"/>
        <w:rPr>
          <w:lang w:val="fr-FR"/>
        </w:rPr>
      </w:pPr>
      <w:r w:rsidRPr="00DB74BF">
        <w:rPr>
          <w:lang w:val="fr-FR"/>
        </w:rPr>
        <w:t>Source – European Environment Agency</w:t>
      </w:r>
    </w:p>
    <w:p w14:paraId="2E46AE23" w14:textId="77777777" w:rsidR="00BB7D11" w:rsidRPr="00037C61" w:rsidRDefault="00BB7D11" w:rsidP="00BB7D11">
      <w:pPr>
        <w:rPr>
          <w:lang w:val="en-GB"/>
        </w:rPr>
      </w:pPr>
      <w:r w:rsidRPr="00037C61">
        <w:rPr>
          <w:lang w:val="en-GB"/>
        </w:rPr>
        <w:t xml:space="preserve">The Hungarian cross-border regions, due to their plainer terrain, represent a generally more urbanised territory, with a </w:t>
      </w:r>
      <w:r w:rsidRPr="00037C61">
        <w:rPr>
          <w:b/>
          <w:bCs/>
          <w:lang w:val="en-GB"/>
        </w:rPr>
        <w:t>more fragmented development</w:t>
      </w:r>
      <w:r w:rsidRPr="00037C61">
        <w:rPr>
          <w:lang w:val="en-GB"/>
        </w:rPr>
        <w:t xml:space="preserve">. Romania, having a more diverse terrain, including hills and mountains, has a less fragmented landscape and territorial development. </w:t>
      </w:r>
    </w:p>
    <w:p w14:paraId="736DAF75" w14:textId="3C886A02" w:rsidR="00BB7D11" w:rsidRPr="00037C61" w:rsidRDefault="00BB7D11" w:rsidP="00BB7D11">
      <w:pPr>
        <w:rPr>
          <w:lang w:val="en-GB"/>
        </w:rPr>
      </w:pPr>
      <w:r w:rsidRPr="00037C61">
        <w:rPr>
          <w:lang w:val="en-GB"/>
        </w:rPr>
        <w:lastRenderedPageBreak/>
        <w:t xml:space="preserve">For Romanian regions, the main urbanized areas are concentrated around the main urban centers of Timișoara, Arad, Oradea, Satu Mare, which have a higher density (built density and population density) than their Hungarian counterparts </w:t>
      </w:r>
      <w:r w:rsidR="6CC2A65C" w:rsidRPr="00037C61">
        <w:rPr>
          <w:lang w:val="en-GB"/>
        </w:rPr>
        <w:t xml:space="preserve">- </w:t>
      </w:r>
      <w:r w:rsidRPr="00037C61">
        <w:rPr>
          <w:lang w:val="en-GB"/>
        </w:rPr>
        <w:t>Oradea and Timișoara having 4 and 5 times higher population density per km</w:t>
      </w:r>
      <w:r w:rsidRPr="00037C61">
        <w:rPr>
          <w:vertAlign w:val="superscript"/>
          <w:lang w:val="en-GB"/>
        </w:rPr>
        <w:t>2</w:t>
      </w:r>
      <w:r w:rsidRPr="00037C61">
        <w:rPr>
          <w:lang w:val="en-GB"/>
        </w:rPr>
        <w:t>. At a territorial level, a transition in the fragmentation status can be observed starting from Apuseni Mountains to the west.</w:t>
      </w:r>
    </w:p>
    <w:p w14:paraId="49B42749" w14:textId="6DCB8A81" w:rsidR="00FB0745" w:rsidRPr="00037C61" w:rsidRDefault="00FB0745" w:rsidP="00FB0745">
      <w:pPr>
        <w:pStyle w:val="Heading4"/>
        <w:rPr>
          <w:rFonts w:cs="Calibri"/>
          <w:lang w:val="en-GB"/>
        </w:rPr>
      </w:pPr>
      <w:r w:rsidRPr="00037C61">
        <w:rPr>
          <w:rFonts w:cs="Calibri"/>
          <w:lang w:val="en-GB"/>
        </w:rPr>
        <w:t>Hydrography of the region</w:t>
      </w:r>
    </w:p>
    <w:p w14:paraId="431979B6" w14:textId="1C3A9DD2" w:rsidR="005B6568" w:rsidRPr="00037C61" w:rsidRDefault="005B6568" w:rsidP="005B6568">
      <w:pPr>
        <w:rPr>
          <w:rFonts w:cs="Calibri"/>
          <w:lang w:val="en-GB"/>
        </w:rPr>
      </w:pPr>
      <w:r w:rsidRPr="00037C61">
        <w:rPr>
          <w:rFonts w:cs="Calibri"/>
          <w:i/>
          <w:noProof/>
          <w:sz w:val="18"/>
          <w:lang w:val="ro-RO" w:eastAsia="ro-RO"/>
        </w:rPr>
        <w:drawing>
          <wp:anchor distT="0" distB="0" distL="114300" distR="114300" simplePos="0" relativeHeight="251693568" behindDoc="0" locked="0" layoutInCell="1" allowOverlap="1" wp14:anchorId="5DCDB06F" wp14:editId="7099A5FC">
            <wp:simplePos x="0" y="0"/>
            <wp:positionH relativeFrom="margin">
              <wp:posOffset>0</wp:posOffset>
            </wp:positionH>
            <wp:positionV relativeFrom="paragraph">
              <wp:posOffset>1836420</wp:posOffset>
            </wp:positionV>
            <wp:extent cx="4362450" cy="5644515"/>
            <wp:effectExtent l="0" t="0" r="0" b="0"/>
            <wp:wrapSquare wrapText="bothSides"/>
            <wp:docPr id="243" name="Picture 2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4362450" cy="564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131C" w:rsidRPr="00037C61">
        <w:rPr>
          <w:rFonts w:cs="Calibri"/>
          <w:lang w:val="en-GB"/>
        </w:rPr>
        <w:t xml:space="preserve">The </w:t>
      </w:r>
      <w:r w:rsidRPr="00037C61">
        <w:rPr>
          <w:rFonts w:cs="Calibri"/>
          <w:lang w:val="en-GB"/>
        </w:rPr>
        <w:t xml:space="preserve">programme area is crossed by a significant number of rivers, with a higher concentration along the southern border and crossing into Serbia, along the northern border (crossing from Ukraine) and in the center area of the PA, in Arad-Bihor, where Körös / </w:t>
      </w:r>
      <w:r w:rsidR="005D64A2" w:rsidRPr="00037C61">
        <w:rPr>
          <w:rFonts w:cs="Calibri"/>
          <w:lang w:val="en-GB"/>
        </w:rPr>
        <w:t>Criș</w:t>
      </w:r>
      <w:r w:rsidR="6F3D6830" w:rsidRPr="00037C61">
        <w:rPr>
          <w:rFonts w:cs="Calibri"/>
          <w:lang w:val="en-GB"/>
        </w:rPr>
        <w:t xml:space="preserve"> </w:t>
      </w:r>
      <w:r w:rsidRPr="00037C61">
        <w:rPr>
          <w:rFonts w:cs="Calibri"/>
          <w:lang w:val="en-GB"/>
        </w:rPr>
        <w:t>is collecting a large number of tributaries from the Apuseni mountains, making for a very diverse and naturally-rich environment. Due to the topography, the hydrography highlights the „green border” status of the international border between Romania and Hungary, with river orientation predominantly perpendicular to the border. There are no coherent floodplain / riparian area management plans between the two countries,</w:t>
      </w:r>
      <w:r w:rsidR="009D57A8" w:rsidRPr="00037C61">
        <w:rPr>
          <w:rFonts w:cs="Calibri"/>
          <w:lang w:val="en-GB"/>
        </w:rPr>
        <w:t xml:space="preserve"> which can translate into an opportunity for development of such instruments in the future</w:t>
      </w:r>
      <w:r w:rsidR="00954343">
        <w:rPr>
          <w:rFonts w:cs="Calibri"/>
          <w:lang w:val="en-GB"/>
        </w:rPr>
        <w:t>, building on lessons learnt and capitalising the results obtained under relevant interventions funded from other Interreg Programmes especially addressing the priorities of the Danube River basin (i.e. Interreg DTP)</w:t>
      </w:r>
      <w:r w:rsidR="009D57A8" w:rsidRPr="00037C61">
        <w:rPr>
          <w:rFonts w:cs="Calibri"/>
          <w:lang w:val="en-GB"/>
        </w:rPr>
        <w:t>.</w:t>
      </w:r>
      <w:r w:rsidRPr="00037C61">
        <w:rPr>
          <w:rFonts w:cs="Calibri"/>
          <w:lang w:val="en-GB"/>
        </w:rPr>
        <w:t xml:space="preserve"> </w:t>
      </w:r>
    </w:p>
    <w:p w14:paraId="301BB60B" w14:textId="6FF20525" w:rsidR="005B6568" w:rsidRPr="00037C61" w:rsidRDefault="005B6568" w:rsidP="005B6568">
      <w:pPr>
        <w:rPr>
          <w:rFonts w:cs="Calibri"/>
          <w:lang w:val="en-GB"/>
        </w:rPr>
      </w:pPr>
      <w:r w:rsidRPr="00037C61">
        <w:rPr>
          <w:noProof/>
          <w:lang w:val="ro-RO" w:eastAsia="ro-RO"/>
        </w:rPr>
        <mc:AlternateContent>
          <mc:Choice Requires="wps">
            <w:drawing>
              <wp:anchor distT="0" distB="0" distL="114300" distR="114300" simplePos="0" relativeHeight="251629056" behindDoc="0" locked="0" layoutInCell="1" allowOverlap="1" wp14:anchorId="64CB34DE" wp14:editId="5C991E9F">
                <wp:simplePos x="0" y="0"/>
                <wp:positionH relativeFrom="column">
                  <wp:posOffset>69850</wp:posOffset>
                </wp:positionH>
                <wp:positionV relativeFrom="paragraph">
                  <wp:posOffset>4778375</wp:posOffset>
                </wp:positionV>
                <wp:extent cx="3992880" cy="635"/>
                <wp:effectExtent l="0" t="0" r="0" b="0"/>
                <wp:wrapSquare wrapText="bothSides"/>
                <wp:docPr id="1791879769" name="Text Box 1791879769"/>
                <wp:cNvGraphicFramePr/>
                <a:graphic xmlns:a="http://schemas.openxmlformats.org/drawingml/2006/main">
                  <a:graphicData uri="http://schemas.microsoft.com/office/word/2010/wordprocessingShape">
                    <wps:wsp>
                      <wps:cNvSpPr txBox="1"/>
                      <wps:spPr>
                        <a:xfrm>
                          <a:off x="0" y="0"/>
                          <a:ext cx="3992880" cy="635"/>
                        </a:xfrm>
                        <a:prstGeom prst="rect">
                          <a:avLst/>
                        </a:prstGeom>
                        <a:solidFill>
                          <a:prstClr val="white"/>
                        </a:solidFill>
                        <a:ln>
                          <a:noFill/>
                        </a:ln>
                      </wps:spPr>
                      <wps:txbx>
                        <w:txbxContent>
                          <w:p w14:paraId="61F41111" w14:textId="303E9B46" w:rsidR="00944B4A" w:rsidRPr="005E0849" w:rsidRDefault="00944B4A" w:rsidP="00715B98">
                            <w:pPr>
                              <w:pStyle w:val="Caption"/>
                              <w:jc w:val="left"/>
                              <w:rPr>
                                <w:lang w:val="en-GB"/>
                              </w:rPr>
                            </w:pPr>
                            <w:bookmarkStart w:id="676" w:name="_Toc64611022"/>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73</w:t>
                            </w:r>
                            <w:r>
                              <w:rPr>
                                <w:lang w:val="en-GB"/>
                              </w:rPr>
                              <w:fldChar w:fldCharType="end"/>
                            </w:r>
                            <w:r w:rsidRPr="005E0849">
                              <w:rPr>
                                <w:lang w:val="en-GB"/>
                              </w:rPr>
                              <w:t xml:space="preserve"> - Hydrography in the region.</w:t>
                            </w:r>
                            <w:bookmarkEnd w:id="676"/>
                            <w:r w:rsidRPr="005E0849">
                              <w:rPr>
                                <w:lang w:val="en-GB"/>
                              </w:rPr>
                              <w:t xml:space="preserve"> </w:t>
                            </w:r>
                          </w:p>
                          <w:p w14:paraId="05699057" w14:textId="462C4D95" w:rsidR="00944B4A" w:rsidRPr="005E0849" w:rsidRDefault="00944B4A">
                            <w:pPr>
                              <w:pStyle w:val="Caption"/>
                              <w:jc w:val="left"/>
                              <w:rPr>
                                <w:i w:val="0"/>
                                <w:lang w:val="en-GB"/>
                              </w:rPr>
                            </w:pPr>
                            <w:r w:rsidRPr="005E0849">
                              <w:rPr>
                                <w:lang w:val="en-GB"/>
                              </w:rPr>
                              <w:t>Source: INS, data for Land cover in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CB34DE" id="Text Box 1791879769" o:spid="_x0000_s1037" type="#_x0000_t202" style="position:absolute;left:0;text-align:left;margin-left:5.5pt;margin-top:376.25pt;width:314.4pt;height:.0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" stroked="f">
                <v:textbox style="mso-fit-shape-to-text:t" inset="0,0,0,0">
                  <w:txbxContent>
                    <w:p w14:paraId="61F41111" w14:textId="303E9B46" w:rsidR="00944B4A" w:rsidRPr="005E0849" w:rsidRDefault="00944B4A" w:rsidP="00715B98">
                      <w:pPr>
                        <w:pStyle w:val="Didascalia"/>
                        <w:jc w:val="left"/>
                        <w:rPr>
                          <w:lang w:val="en-GB"/>
                        </w:rPr>
                      </w:pPr>
                      <w:bookmarkStart w:id="717" w:name="_Toc64611022"/>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73</w:t>
                      </w:r>
                      <w:r>
                        <w:rPr>
                          <w:lang w:val="en-GB"/>
                        </w:rPr>
                        <w:fldChar w:fldCharType="end"/>
                      </w:r>
                      <w:r w:rsidRPr="005E0849">
                        <w:rPr>
                          <w:lang w:val="en-GB"/>
                        </w:rPr>
                        <w:t xml:space="preserve"> - Hydrography in the region.</w:t>
                      </w:r>
                      <w:bookmarkEnd w:id="717"/>
                      <w:r w:rsidRPr="005E0849">
                        <w:rPr>
                          <w:lang w:val="en-GB"/>
                        </w:rPr>
                        <w:t xml:space="preserve"> </w:t>
                      </w:r>
                    </w:p>
                    <w:p w14:paraId="05699057" w14:textId="462C4D95" w:rsidR="00944B4A" w:rsidRPr="005E0849" w:rsidRDefault="00944B4A">
                      <w:pPr>
                        <w:pStyle w:val="Didascalia"/>
                        <w:jc w:val="left"/>
                        <w:rPr>
                          <w:i w:val="0"/>
                          <w:lang w:val="en-GB"/>
                        </w:rPr>
                      </w:pPr>
                      <w:r w:rsidRPr="005E0849">
                        <w:rPr>
                          <w:lang w:val="en-GB"/>
                        </w:rPr>
                        <w:t>Source: INS, data for Land cover in 2018</w:t>
                      </w:r>
                    </w:p>
                  </w:txbxContent>
                </v:textbox>
                <w10:wrap type="square"/>
              </v:shape>
            </w:pict>
          </mc:Fallback>
        </mc:AlternateContent>
      </w:r>
    </w:p>
    <w:p w14:paraId="4A230510" w14:textId="3C8607F6" w:rsidR="00BC4292" w:rsidRPr="00037C61" w:rsidRDefault="00BC4292" w:rsidP="00BC4292">
      <w:pPr>
        <w:rPr>
          <w:lang w:val="en-GB"/>
        </w:rPr>
      </w:pPr>
    </w:p>
    <w:p w14:paraId="6FED1731" w14:textId="77777777" w:rsidR="003F0FBB" w:rsidRPr="00037C61" w:rsidRDefault="003F0FBB" w:rsidP="005E0849">
      <w:pPr>
        <w:pStyle w:val="Heading3"/>
        <w:sectPr w:rsidR="003F0FBB" w:rsidRPr="00037C61" w:rsidSect="009E4103">
          <w:headerReference w:type="default" r:id="rId157"/>
          <w:footerReference w:type="first" r:id="rId158"/>
          <w:pgSz w:w="11906" w:h="16838"/>
          <w:pgMar w:top="1713" w:right="1440" w:bottom="1440" w:left="1440" w:header="708" w:footer="828" w:gutter="0"/>
          <w:cols w:space="708"/>
          <w:docGrid w:linePitch="360"/>
        </w:sectPr>
      </w:pPr>
    </w:p>
    <w:p w14:paraId="7CEC3757" w14:textId="0F2DED16" w:rsidR="00BC4292" w:rsidRPr="00037C61" w:rsidRDefault="00BC4292" w:rsidP="005E0849">
      <w:pPr>
        <w:pStyle w:val="Heading3"/>
      </w:pPr>
      <w:bookmarkStart w:id="677" w:name="_Toc64619546"/>
      <w:r w:rsidRPr="00037C61">
        <w:lastRenderedPageBreak/>
        <w:t>Environmental risks</w:t>
      </w:r>
      <w:bookmarkEnd w:id="677"/>
      <w:r w:rsidRPr="00037C61">
        <w:t xml:space="preserve"> </w:t>
      </w:r>
    </w:p>
    <w:p w14:paraId="79D1999D" w14:textId="0A62F2F9" w:rsidR="005B6568" w:rsidRPr="00037C61" w:rsidRDefault="00633AA9" w:rsidP="005B6568">
      <w:pPr>
        <w:pStyle w:val="Heading4"/>
        <w:rPr>
          <w:rFonts w:cs="Calibri"/>
          <w:lang w:val="en-GB"/>
        </w:rPr>
      </w:pPr>
      <w:r w:rsidRPr="00037C61">
        <w:rPr>
          <w:rFonts w:cs="Calibri"/>
          <w:lang w:val="en-GB"/>
        </w:rPr>
        <w:t>F</w:t>
      </w:r>
      <w:r w:rsidR="005B6568" w:rsidRPr="00037C61">
        <w:rPr>
          <w:rFonts w:cs="Calibri"/>
          <w:lang w:val="en-GB"/>
        </w:rPr>
        <w:t>lood risk</w:t>
      </w:r>
      <w:r w:rsidRPr="00037C61">
        <w:rPr>
          <w:rFonts w:cs="Calibri"/>
          <w:lang w:val="en-GB"/>
        </w:rPr>
        <w:t>s</w:t>
      </w:r>
      <w:r w:rsidR="005B6568" w:rsidRPr="00037C61">
        <w:rPr>
          <w:rFonts w:cs="Calibri"/>
          <w:lang w:val="en-GB"/>
        </w:rPr>
        <w:t xml:space="preserve"> </w:t>
      </w:r>
    </w:p>
    <w:p w14:paraId="23F09E5E" w14:textId="6E2A6CD6" w:rsidR="00852ADB" w:rsidRPr="00037C61" w:rsidRDefault="00852ADB" w:rsidP="00852ADB">
      <w:pPr>
        <w:rPr>
          <w:lang w:val="en-GB"/>
        </w:rPr>
      </w:pPr>
      <w:r w:rsidRPr="00037C61">
        <w:rPr>
          <w:lang w:val="en-GB"/>
        </w:rPr>
        <w:t xml:space="preserve">The programme area is prone to increased flood risk, especially in the northern part, with Szabolcs-Szatmár-Bereg and Satu Mare listed under very high flood recurrence (ESPON). </w:t>
      </w:r>
    </w:p>
    <w:p w14:paraId="309F2BD1" w14:textId="77777777" w:rsidR="00852ADB" w:rsidRPr="00037C61" w:rsidRDefault="00852ADB" w:rsidP="00852ADB">
      <w:pPr>
        <w:spacing w:after="0"/>
        <w:jc w:val="center"/>
        <w:rPr>
          <w:rFonts w:cs="Calibri"/>
          <w:lang w:val="en-GB"/>
        </w:rPr>
      </w:pPr>
      <w:r w:rsidRPr="00037C61">
        <w:rPr>
          <w:rFonts w:cs="Calibri"/>
          <w:noProof/>
          <w:lang w:val="ro-RO" w:eastAsia="ro-RO"/>
        </w:rPr>
        <w:drawing>
          <wp:inline distT="0" distB="0" distL="0" distR="0" wp14:anchorId="67E9C2D3" wp14:editId="7938A6B4">
            <wp:extent cx="5737329" cy="4106334"/>
            <wp:effectExtent l="0" t="0" r="0" b="8890"/>
            <wp:docPr id="799357029" name="Picture 79935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rotWithShape="1">
                    <a:blip r:embed="rId159" cstate="print">
                      <a:extLst>
                        <a:ext uri="{28A0092B-C50C-407E-A947-70E740481C1C}">
                          <a14:useLocalDpi xmlns:a14="http://schemas.microsoft.com/office/drawing/2010/main"/>
                        </a:ext>
                      </a:extLst>
                    </a:blip>
                    <a:srcRect/>
                    <a:stretch/>
                  </pic:blipFill>
                  <pic:spPr bwMode="auto">
                    <a:xfrm>
                      <a:off x="0" y="0"/>
                      <a:ext cx="5757423" cy="4120715"/>
                    </a:xfrm>
                    <a:prstGeom prst="rect">
                      <a:avLst/>
                    </a:prstGeom>
                    <a:noFill/>
                    <a:ln>
                      <a:noFill/>
                    </a:ln>
                    <a:extLst>
                      <a:ext uri="{53640926-AAD7-44D8-BBD7-CCE9431645EC}">
                        <a14:shadowObscured xmlns:a14="http://schemas.microsoft.com/office/drawing/2010/main"/>
                      </a:ext>
                    </a:extLst>
                  </pic:spPr>
                </pic:pic>
              </a:graphicData>
            </a:graphic>
          </wp:inline>
        </w:drawing>
      </w:r>
    </w:p>
    <w:p w14:paraId="6560AC91" w14:textId="6D9D2CD1" w:rsidR="00852ADB" w:rsidRPr="00037C61" w:rsidRDefault="00852ADB" w:rsidP="00852ADB">
      <w:pPr>
        <w:pStyle w:val="Caption"/>
        <w:jc w:val="both"/>
        <w:rPr>
          <w:rFonts w:cs="Calibri"/>
          <w:lang w:val="en-GB"/>
        </w:rPr>
      </w:pPr>
      <w:bookmarkStart w:id="678" w:name="_Toc64611023"/>
      <w:r w:rsidRPr="00037C61">
        <w:rPr>
          <w:rFonts w:cs="Calibri"/>
          <w:lang w:val="en-GB"/>
        </w:rPr>
        <w:t xml:space="preserve">Figure </w:t>
      </w:r>
      <w:r w:rsidR="00412697">
        <w:rPr>
          <w:rFonts w:cs="Calibri"/>
          <w:lang w:val="en-GB"/>
        </w:rPr>
        <w:fldChar w:fldCharType="begin"/>
      </w:r>
      <w:r w:rsidR="00412697">
        <w:rPr>
          <w:rFonts w:cs="Calibri"/>
          <w:lang w:val="en-GB"/>
        </w:rPr>
        <w:instrText xml:space="preserve"> SEQ Figure \* ARABIC </w:instrText>
      </w:r>
      <w:r w:rsidR="00412697">
        <w:rPr>
          <w:rFonts w:cs="Calibri"/>
          <w:lang w:val="en-GB"/>
        </w:rPr>
        <w:fldChar w:fldCharType="separate"/>
      </w:r>
      <w:r w:rsidR="00412697">
        <w:rPr>
          <w:rFonts w:cs="Calibri"/>
          <w:noProof/>
          <w:lang w:val="en-GB"/>
        </w:rPr>
        <w:t>74</w:t>
      </w:r>
      <w:r w:rsidR="00412697">
        <w:rPr>
          <w:rFonts w:cs="Calibri"/>
          <w:lang w:val="en-GB"/>
        </w:rPr>
        <w:fldChar w:fldCharType="end"/>
      </w:r>
      <w:r w:rsidRPr="00037C61">
        <w:rPr>
          <w:rFonts w:cs="Calibri"/>
          <w:lang w:val="en-GB"/>
        </w:rPr>
        <w:t xml:space="preserve"> – Flood recurrence based on historical data at EU level and high / very high prevalence in the programme area.</w:t>
      </w:r>
      <w:bookmarkEnd w:id="678"/>
    </w:p>
    <w:p w14:paraId="48C926FE" w14:textId="77777777" w:rsidR="00852ADB" w:rsidRPr="00037C61" w:rsidRDefault="00852ADB" w:rsidP="00852ADB">
      <w:pPr>
        <w:pStyle w:val="Caption"/>
        <w:jc w:val="both"/>
        <w:rPr>
          <w:rFonts w:cs="Calibri"/>
          <w:lang w:val="en-GB"/>
        </w:rPr>
      </w:pPr>
      <w:r w:rsidRPr="00037C61">
        <w:rPr>
          <w:rFonts w:cs="Calibri"/>
          <w:lang w:val="en-GB"/>
        </w:rPr>
        <w:t xml:space="preserve">Source: ESPON </w:t>
      </w:r>
    </w:p>
    <w:p w14:paraId="2E5C93CF" w14:textId="0DC6CACD" w:rsidR="00852ADB" w:rsidRPr="00037C61" w:rsidRDefault="00852ADB" w:rsidP="005E0849">
      <w:pPr>
        <w:rPr>
          <w:lang w:val="en-GB"/>
        </w:rPr>
      </w:pPr>
    </w:p>
    <w:p w14:paraId="5D4EC195" w14:textId="4DF9FB84" w:rsidR="00FB0745" w:rsidRPr="00037C61" w:rsidRDefault="6446A0E8" w:rsidP="005E0849">
      <w:pPr>
        <w:pStyle w:val="InterregROHUBullet1"/>
        <w:numPr>
          <w:ilvl w:val="0"/>
          <w:numId w:val="0"/>
        </w:numPr>
        <w:rPr>
          <w:rFonts w:cs="Calibri"/>
        </w:rPr>
      </w:pPr>
      <w:r w:rsidRPr="00037C61">
        <w:rPr>
          <w:rFonts w:cs="Calibri"/>
        </w:rPr>
        <w:t>Most affected areas (with significant damage to structures or agriculture) on the Hungarian side and the Romanian side differ, based on the type of event</w:t>
      </w:r>
      <w:r w:rsidR="66642158" w:rsidRPr="00037C61">
        <w:rPr>
          <w:rFonts w:cs="Calibri"/>
        </w:rPr>
        <w:t>.</w:t>
      </w:r>
      <w:r w:rsidR="087BBFFC" w:rsidRPr="00037C61">
        <w:rPr>
          <w:rFonts w:cs="Calibri"/>
        </w:rPr>
        <w:t xml:space="preserve"> </w:t>
      </w:r>
      <w:r w:rsidR="3AA14110" w:rsidRPr="00037C61">
        <w:rPr>
          <w:rFonts w:cs="Calibri"/>
        </w:rPr>
        <w:t>B</w:t>
      </w:r>
      <w:r w:rsidRPr="00037C61">
        <w:rPr>
          <w:rFonts w:cs="Calibri"/>
          <w:b/>
        </w:rPr>
        <w:t>rief torrential rain</w:t>
      </w:r>
      <w:r w:rsidRPr="00037C61">
        <w:rPr>
          <w:rFonts w:cs="Calibri"/>
        </w:rPr>
        <w:t xml:space="preserve"> is exceptional in the regions on both sides of the border, occurring only in Csongrád-Csanád and Békés on the Hungarian side and </w:t>
      </w:r>
      <w:r w:rsidR="00124940" w:rsidRPr="00037C61">
        <w:rPr>
          <w:rFonts w:cs="Calibri"/>
        </w:rPr>
        <w:t>Timiș</w:t>
      </w:r>
      <w:r w:rsidRPr="00037C61">
        <w:rPr>
          <w:rFonts w:cs="Calibri"/>
        </w:rPr>
        <w:t xml:space="preserve"> and Arad on the Romanian side of the border. In other target areas, such as the Hungarian areas of Hajdú-Bihar and Szabolcs-Szatmár-Bereg and Romanian counties of Bihor and Satu Mare this phenomenon is largely unobserved. </w:t>
      </w:r>
      <w:r w:rsidRPr="00037C61">
        <w:rPr>
          <w:rFonts w:cs="Calibri"/>
          <w:b/>
        </w:rPr>
        <w:t xml:space="preserve">Most affected areas </w:t>
      </w:r>
      <w:r w:rsidR="00852ADB" w:rsidRPr="00037C61">
        <w:rPr>
          <w:rFonts w:cs="Calibri"/>
          <w:b/>
        </w:rPr>
        <w:t>by heavy rain</w:t>
      </w:r>
      <w:r w:rsidR="00852ADB" w:rsidRPr="00037C61">
        <w:rPr>
          <w:rFonts w:cs="Calibri"/>
        </w:rPr>
        <w:t xml:space="preserve"> </w:t>
      </w:r>
      <w:r w:rsidRPr="00037C61">
        <w:rPr>
          <w:rFonts w:cs="Calibri"/>
        </w:rPr>
        <w:t xml:space="preserve">in Hungary are Hajdú-Bihar, Szabolcs-Szatmár-Bereg and </w:t>
      </w:r>
      <w:r w:rsidRPr="00037C61">
        <w:rPr>
          <w:rFonts w:cs="Calibri"/>
          <w:color w:val="000000" w:themeColor="text1"/>
        </w:rPr>
        <w:t>Békés</w:t>
      </w:r>
      <w:r w:rsidRPr="00037C61">
        <w:rPr>
          <w:rFonts w:cs="Calibri"/>
        </w:rPr>
        <w:t xml:space="preserve">, which experience over 62% to 66,67%, followed by </w:t>
      </w:r>
      <w:r w:rsidRPr="00037C61">
        <w:rPr>
          <w:rFonts w:cs="Calibri"/>
          <w:color w:val="000000" w:themeColor="text1"/>
        </w:rPr>
        <w:t>Csongrád-Csanád</w:t>
      </w:r>
      <w:r w:rsidRPr="00037C61">
        <w:rPr>
          <w:rFonts w:cs="Calibri"/>
        </w:rPr>
        <w:t xml:space="preserve"> with 57,47% of the total of flood causing events. In Romania we find that heavy rain is a slightly greater problem, with the counties of Bihor, Arad, </w:t>
      </w:r>
      <w:r w:rsidR="00124940" w:rsidRPr="00037C61">
        <w:rPr>
          <w:rFonts w:cs="Calibri"/>
        </w:rPr>
        <w:t>Timiș</w:t>
      </w:r>
      <w:r w:rsidRPr="00037C61">
        <w:rPr>
          <w:rFonts w:cs="Calibri"/>
        </w:rPr>
        <w:t xml:space="preserve"> and Satu Mare experiencing 62% to 73.52% large flood events in the form of heavy rain.</w:t>
      </w:r>
      <w:r w:rsidR="00852ADB" w:rsidRPr="00037C61">
        <w:rPr>
          <w:rFonts w:cs="Calibri"/>
        </w:rPr>
        <w:t xml:space="preserve"> </w:t>
      </w:r>
      <w:r w:rsidRPr="00037C61">
        <w:rPr>
          <w:rFonts w:cs="Calibri"/>
          <w:b/>
        </w:rPr>
        <w:t>Snow melt</w:t>
      </w:r>
      <w:r w:rsidRPr="00037C61">
        <w:rPr>
          <w:rFonts w:cs="Calibri"/>
        </w:rPr>
        <w:t xml:space="preserve"> is causing large flood events to a lesser extent in all the counties of the target area (in Hungary and Romania), with some counties more affected than others. In Hungary areas most affected are Szabolcs-Szatmár-Bereg, Hajdú-Bihar and Csongrád-Csanád (31%-33% of the events that cause large floods are related to snow melting), followed by Békés (under 30%). In </w:t>
      </w:r>
      <w:r w:rsidR="002A4322" w:rsidRPr="00037C61">
        <w:rPr>
          <w:rFonts w:cs="Calibri"/>
        </w:rPr>
        <w:t>Romania,</w:t>
      </w:r>
      <w:r w:rsidRPr="00037C61">
        <w:rPr>
          <w:rFonts w:cs="Calibri"/>
        </w:rPr>
        <w:t xml:space="preserve"> the county most affected by snow melt is Satu Mare (over 37% of the events), which is the most affected county in the target area, followed by Bihor, Arad and </w:t>
      </w:r>
      <w:r w:rsidR="00124940" w:rsidRPr="00037C61">
        <w:rPr>
          <w:rFonts w:cs="Calibri"/>
        </w:rPr>
        <w:t>Timiș</w:t>
      </w:r>
      <w:r w:rsidRPr="00037C61">
        <w:rPr>
          <w:rFonts w:cs="Calibri"/>
        </w:rPr>
        <w:t xml:space="preserve"> with 24-26% of events.</w:t>
      </w:r>
    </w:p>
    <w:p w14:paraId="06A85238" w14:textId="4A9C0DA7" w:rsidR="00EE4466" w:rsidRPr="00037C61" w:rsidRDefault="00FB0745" w:rsidP="00FB0745">
      <w:pPr>
        <w:rPr>
          <w:rFonts w:cs="Calibri"/>
          <w:lang w:val="en-GB"/>
        </w:rPr>
      </w:pPr>
      <w:r w:rsidRPr="00037C61">
        <w:rPr>
          <w:rFonts w:cs="Calibri"/>
          <w:lang w:val="en-GB"/>
        </w:rPr>
        <w:lastRenderedPageBreak/>
        <w:t>The</w:t>
      </w:r>
      <w:r w:rsidR="005D64A2" w:rsidRPr="00037C61">
        <w:rPr>
          <w:rFonts w:cs="Calibri"/>
          <w:lang w:val="en-GB"/>
        </w:rPr>
        <w:t xml:space="preserve"> number of flood events </w:t>
      </w:r>
      <w:r w:rsidRPr="00037C61">
        <w:rPr>
          <w:rFonts w:cs="Calibri"/>
          <w:lang w:val="en-GB"/>
        </w:rPr>
        <w:t>to present is illustrated in the table below</w:t>
      </w:r>
      <w:r w:rsidR="00852ADB" w:rsidRPr="00037C61">
        <w:rPr>
          <w:rFonts w:cs="Calibri"/>
          <w:lang w:val="en-GB"/>
        </w:rPr>
        <w:t>, based on severity (Class 1 – large flood events; Class 2 – extreme event with an estimated recurrence interval greater than 100 years)</w:t>
      </w:r>
      <w:r w:rsidR="00EE4466" w:rsidRPr="00037C61">
        <w:rPr>
          <w:rFonts w:cs="Calibri"/>
          <w:lang w:val="en-GB"/>
        </w:rPr>
        <w:t xml:space="preserve">. </w:t>
      </w:r>
    </w:p>
    <w:p w14:paraId="77809E19" w14:textId="2BB85D9F" w:rsidR="00FB0745" w:rsidRPr="00037C61" w:rsidRDefault="00EE4466" w:rsidP="00FB0745">
      <w:pPr>
        <w:rPr>
          <w:rFonts w:cs="Calibri"/>
          <w:lang w:val="en-GB"/>
        </w:rPr>
      </w:pPr>
      <w:r w:rsidRPr="00037C61">
        <w:rPr>
          <w:rFonts w:cs="Calibri"/>
          <w:lang w:val="en-GB"/>
        </w:rPr>
        <w:t>The counties most affected by floods in the target area are in Romania in the counties of Bihor with 287 class 1 events (26.43% of total class 1 events) and 355 class 2 events and 244 floods (29.05% of total of class 2 events), and Satu Mare with 244 class 1 events (26.43% of total) and 363 class 2 events (29.71%). The counties of Timiș and Szabolcs-Szatmár-Bereg follow, with a lower number and share of flood events, nevertheless still posing significant risk to the human settlements in the respective areas.</w:t>
      </w:r>
    </w:p>
    <w:p w14:paraId="1FF2B5BE" w14:textId="41CD430A" w:rsidR="00EE4466" w:rsidRPr="00037C61" w:rsidRDefault="00EE4466" w:rsidP="005E0849">
      <w:pPr>
        <w:pStyle w:val="Caption"/>
        <w:keepNext/>
        <w:jc w:val="left"/>
        <w:rPr>
          <w:lang w:val="en-GB"/>
        </w:rPr>
      </w:pPr>
      <w:bookmarkStart w:id="679" w:name="_Toc58237648"/>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26</w:t>
      </w:r>
      <w:r w:rsidRPr="00037C61">
        <w:rPr>
          <w:lang w:val="en-GB"/>
        </w:rPr>
        <w:fldChar w:fldCharType="end"/>
      </w:r>
      <w:r w:rsidRPr="00037C61">
        <w:rPr>
          <w:lang w:val="en-GB"/>
        </w:rPr>
        <w:t xml:space="preserve"> - Number of flood events in the PA (1985 - present) by class and percentage</w:t>
      </w:r>
      <w:bookmarkEnd w:id="679"/>
    </w:p>
    <w:tbl>
      <w:tblPr>
        <w:tblStyle w:val="ListTable3-Accent11"/>
        <w:tblW w:w="9209" w:type="dxa"/>
        <w:tblLook w:val="04A0" w:firstRow="1" w:lastRow="0" w:firstColumn="1" w:lastColumn="0" w:noHBand="0" w:noVBand="1"/>
      </w:tblPr>
      <w:tblGrid>
        <w:gridCol w:w="2564"/>
        <w:gridCol w:w="816"/>
        <w:gridCol w:w="1187"/>
        <w:gridCol w:w="816"/>
        <w:gridCol w:w="1187"/>
        <w:gridCol w:w="1452"/>
        <w:gridCol w:w="1187"/>
      </w:tblGrid>
      <w:tr w:rsidR="00EE4466" w:rsidRPr="004A5488" w14:paraId="28937E78" w14:textId="55225597" w:rsidTr="005E0849">
        <w:trPr>
          <w:cnfStyle w:val="100000000000" w:firstRow="1" w:lastRow="0" w:firstColumn="0" w:lastColumn="0" w:oddVBand="0" w:evenVBand="0" w:oddHBand="0" w:evenHBand="0" w:firstRowFirstColumn="0" w:firstRowLastColumn="0" w:lastRowFirstColumn="0" w:lastRowLastColumn="0"/>
          <w:trHeight w:val="703"/>
        </w:trPr>
        <w:tc>
          <w:tcPr>
            <w:cnfStyle w:val="001000000100" w:firstRow="0" w:lastRow="0" w:firstColumn="1" w:lastColumn="0" w:oddVBand="0" w:evenVBand="0" w:oddHBand="0" w:evenHBand="0" w:firstRowFirstColumn="1" w:firstRowLastColumn="0" w:lastRowFirstColumn="0" w:lastRowLastColumn="0"/>
            <w:tcW w:w="0" w:type="dxa"/>
            <w:gridSpan w:val="7"/>
            <w:noWrap/>
            <w:hideMark/>
          </w:tcPr>
          <w:p w14:paraId="36A35349" w14:textId="2467553B" w:rsidR="00EE4466" w:rsidRPr="00037C61" w:rsidRDefault="00EE4466" w:rsidP="00FB0745">
            <w:pPr>
              <w:jc w:val="center"/>
              <w:rPr>
                <w:b w:val="0"/>
                <w:bCs w:val="0"/>
                <w:sz w:val="20"/>
                <w:lang w:val="en-GB"/>
              </w:rPr>
            </w:pPr>
          </w:p>
          <w:p w14:paraId="213A7792" w14:textId="2B3D6E15" w:rsidR="00EE4466" w:rsidRPr="00037C61" w:rsidRDefault="00EE4466" w:rsidP="00FB0745">
            <w:pPr>
              <w:jc w:val="center"/>
              <w:rPr>
                <w:sz w:val="20"/>
                <w:lang w:val="en-GB"/>
              </w:rPr>
            </w:pPr>
            <w:r w:rsidRPr="00037C61">
              <w:rPr>
                <w:sz w:val="20"/>
                <w:lang w:val="en-GB"/>
              </w:rPr>
              <w:t xml:space="preserve">Number of flood events from 1985 – present, in number and percentage of total events in the PA </w:t>
            </w:r>
          </w:p>
        </w:tc>
      </w:tr>
      <w:tr w:rsidR="00EE4466" w:rsidRPr="00037C61" w14:paraId="35C6A73E" w14:textId="5B09DD3A" w:rsidTr="005E084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tcPr>
          <w:p w14:paraId="3D678375" w14:textId="77777777" w:rsidR="00EE4466" w:rsidRPr="00037C61" w:rsidRDefault="00EE4466" w:rsidP="00FB0745">
            <w:pPr>
              <w:jc w:val="center"/>
              <w:rPr>
                <w:b w:val="0"/>
                <w:color w:val="000000"/>
                <w:sz w:val="20"/>
                <w:lang w:val="en-GB"/>
              </w:rPr>
            </w:pPr>
            <w:r w:rsidRPr="00037C61">
              <w:rPr>
                <w:color w:val="000000"/>
                <w:sz w:val="20"/>
                <w:lang w:val="en-GB"/>
              </w:rPr>
              <w:t>NUTS3</w:t>
            </w:r>
          </w:p>
        </w:tc>
        <w:tc>
          <w:tcPr>
            <w:tcW w:w="0" w:type="dxa"/>
            <w:noWrap/>
          </w:tcPr>
          <w:p w14:paraId="472AEC61" w14:textId="77777777" w:rsidR="00EE4466" w:rsidRPr="00037C61" w:rsidRDefault="00EE4466" w:rsidP="00FB0745">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Class 1</w:t>
            </w:r>
          </w:p>
        </w:tc>
        <w:tc>
          <w:tcPr>
            <w:tcW w:w="0" w:type="dxa"/>
          </w:tcPr>
          <w:p w14:paraId="176DF3E8" w14:textId="3F99F8E2" w:rsidR="00EE4466" w:rsidRPr="00037C61" w:rsidRDefault="00EE4466" w:rsidP="00FB0745">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Class 1 (%)</w:t>
            </w:r>
          </w:p>
        </w:tc>
        <w:tc>
          <w:tcPr>
            <w:tcW w:w="0" w:type="dxa"/>
            <w:noWrap/>
          </w:tcPr>
          <w:p w14:paraId="54BB2D03" w14:textId="77050A6D" w:rsidR="00EE4466" w:rsidRPr="00037C61" w:rsidRDefault="00EE4466" w:rsidP="00FB0745">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Class 2</w:t>
            </w:r>
          </w:p>
        </w:tc>
        <w:tc>
          <w:tcPr>
            <w:tcW w:w="0" w:type="dxa"/>
          </w:tcPr>
          <w:p w14:paraId="464A8731" w14:textId="57159F01" w:rsidR="00EE4466" w:rsidRPr="00037C61" w:rsidRDefault="00EE4466" w:rsidP="00FB0745">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Class 2 (%)</w:t>
            </w:r>
          </w:p>
        </w:tc>
        <w:tc>
          <w:tcPr>
            <w:tcW w:w="1121" w:type="dxa"/>
            <w:noWrap/>
          </w:tcPr>
          <w:p w14:paraId="2BBABBE2" w14:textId="648B1251" w:rsidR="00EE4466" w:rsidRPr="00037C61" w:rsidRDefault="00EE4466" w:rsidP="00FB0745">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Total</w:t>
            </w:r>
          </w:p>
        </w:tc>
        <w:tc>
          <w:tcPr>
            <w:tcW w:w="0" w:type="dxa"/>
          </w:tcPr>
          <w:p w14:paraId="2478D4F6" w14:textId="665B9AC9" w:rsidR="00EE4466" w:rsidRPr="00037C61" w:rsidRDefault="00EE4466" w:rsidP="00FB0745">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Total (%)</w:t>
            </w:r>
          </w:p>
        </w:tc>
      </w:tr>
      <w:tr w:rsidR="00EE4466" w:rsidRPr="00037C61" w14:paraId="534489BE" w14:textId="4A8EA181" w:rsidTr="005E0849">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10ABCB5" w14:textId="77777777" w:rsidR="00EE4466" w:rsidRPr="00037C61" w:rsidRDefault="00EE4466" w:rsidP="00EE4466">
            <w:pPr>
              <w:jc w:val="center"/>
              <w:rPr>
                <w:color w:val="000000"/>
                <w:sz w:val="20"/>
                <w:lang w:val="en-GB"/>
              </w:rPr>
            </w:pPr>
            <w:r w:rsidRPr="00037C61">
              <w:rPr>
                <w:color w:val="000000"/>
                <w:sz w:val="20"/>
                <w:lang w:val="en-GB"/>
              </w:rPr>
              <w:t>Hajdú-Bihar</w:t>
            </w:r>
          </w:p>
        </w:tc>
        <w:tc>
          <w:tcPr>
            <w:tcW w:w="0" w:type="dxa"/>
            <w:noWrap/>
            <w:hideMark/>
          </w:tcPr>
          <w:p w14:paraId="33F634A9" w14:textId="7777777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48</w:t>
            </w:r>
          </w:p>
        </w:tc>
        <w:tc>
          <w:tcPr>
            <w:tcW w:w="0" w:type="dxa"/>
          </w:tcPr>
          <w:p w14:paraId="67C6D363" w14:textId="60482FBE"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4,42%</w:t>
            </w:r>
          </w:p>
        </w:tc>
        <w:tc>
          <w:tcPr>
            <w:tcW w:w="0" w:type="dxa"/>
            <w:noWrap/>
            <w:hideMark/>
          </w:tcPr>
          <w:p w14:paraId="074F071F" w14:textId="7032CBF1"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40</w:t>
            </w:r>
          </w:p>
        </w:tc>
        <w:tc>
          <w:tcPr>
            <w:tcW w:w="0" w:type="dxa"/>
          </w:tcPr>
          <w:p w14:paraId="5DAB8B5F" w14:textId="3C90C6E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3,27%</w:t>
            </w:r>
          </w:p>
        </w:tc>
        <w:tc>
          <w:tcPr>
            <w:tcW w:w="1121" w:type="dxa"/>
            <w:noWrap/>
            <w:hideMark/>
          </w:tcPr>
          <w:p w14:paraId="7DD0EDED" w14:textId="34312D81"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88</w:t>
            </w:r>
          </w:p>
        </w:tc>
        <w:tc>
          <w:tcPr>
            <w:tcW w:w="0" w:type="dxa"/>
          </w:tcPr>
          <w:p w14:paraId="5CD6BE48" w14:textId="60FB4984"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3,81%</w:t>
            </w:r>
          </w:p>
        </w:tc>
      </w:tr>
      <w:tr w:rsidR="00981D6C" w:rsidRPr="00037C61" w14:paraId="0BBB9973" w14:textId="354EC9FE" w:rsidTr="00EE446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shd w:val="clear" w:color="auto" w:fill="FBD1D2" w:themeFill="accent3" w:themeFillTint="33"/>
            <w:noWrap/>
            <w:hideMark/>
          </w:tcPr>
          <w:p w14:paraId="0765268D" w14:textId="77777777" w:rsidR="00EE4466" w:rsidRPr="00037C61" w:rsidRDefault="00EE4466" w:rsidP="00EE4466">
            <w:pPr>
              <w:jc w:val="center"/>
              <w:rPr>
                <w:color w:val="000000"/>
                <w:sz w:val="20"/>
                <w:lang w:val="en-GB"/>
              </w:rPr>
            </w:pPr>
            <w:r w:rsidRPr="00037C61">
              <w:rPr>
                <w:color w:val="000000"/>
                <w:sz w:val="20"/>
                <w:lang w:val="en-GB"/>
              </w:rPr>
              <w:t>Szabolcs-Szatmár-Bereg</w:t>
            </w:r>
          </w:p>
        </w:tc>
        <w:tc>
          <w:tcPr>
            <w:tcW w:w="0" w:type="dxa"/>
            <w:shd w:val="clear" w:color="auto" w:fill="FBD1D2" w:themeFill="accent3" w:themeFillTint="33"/>
            <w:noWrap/>
            <w:hideMark/>
          </w:tcPr>
          <w:p w14:paraId="4E84B19C" w14:textId="77777777"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125</w:t>
            </w:r>
          </w:p>
        </w:tc>
        <w:tc>
          <w:tcPr>
            <w:tcW w:w="0" w:type="dxa"/>
            <w:shd w:val="clear" w:color="auto" w:fill="FBD1D2" w:themeFill="accent3" w:themeFillTint="33"/>
          </w:tcPr>
          <w:p w14:paraId="429568D1" w14:textId="4C5C7D9D"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11,51%</w:t>
            </w:r>
          </w:p>
        </w:tc>
        <w:tc>
          <w:tcPr>
            <w:tcW w:w="0" w:type="dxa"/>
            <w:shd w:val="clear" w:color="auto" w:fill="FBD1D2" w:themeFill="accent3" w:themeFillTint="33"/>
            <w:noWrap/>
            <w:hideMark/>
          </w:tcPr>
          <w:p w14:paraId="539E84F6" w14:textId="51A85A1A"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129</w:t>
            </w:r>
          </w:p>
        </w:tc>
        <w:tc>
          <w:tcPr>
            <w:tcW w:w="0" w:type="dxa"/>
            <w:shd w:val="clear" w:color="auto" w:fill="FBD1D2" w:themeFill="accent3" w:themeFillTint="33"/>
          </w:tcPr>
          <w:p w14:paraId="637841D8" w14:textId="192B70C6"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10,56%</w:t>
            </w:r>
          </w:p>
        </w:tc>
        <w:tc>
          <w:tcPr>
            <w:tcW w:w="1121" w:type="dxa"/>
            <w:shd w:val="clear" w:color="auto" w:fill="FBD1D2" w:themeFill="accent3" w:themeFillTint="33"/>
            <w:noWrap/>
            <w:hideMark/>
          </w:tcPr>
          <w:p w14:paraId="035FC2AA" w14:textId="190EAFBA"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254</w:t>
            </w:r>
          </w:p>
        </w:tc>
        <w:tc>
          <w:tcPr>
            <w:tcW w:w="0" w:type="dxa"/>
            <w:shd w:val="clear" w:color="auto" w:fill="FBD1D2" w:themeFill="accent3" w:themeFillTint="33"/>
          </w:tcPr>
          <w:p w14:paraId="2AA7D617" w14:textId="23403BB3"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11,01%</w:t>
            </w:r>
          </w:p>
        </w:tc>
      </w:tr>
      <w:tr w:rsidR="00EE4466" w:rsidRPr="00037C61" w14:paraId="662DC0D7" w14:textId="03CCE868" w:rsidTr="005E0849">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6FA9244" w14:textId="77777777" w:rsidR="00EE4466" w:rsidRPr="00037C61" w:rsidRDefault="00EE4466" w:rsidP="00EE4466">
            <w:pPr>
              <w:jc w:val="center"/>
              <w:rPr>
                <w:color w:val="000000"/>
                <w:sz w:val="20"/>
                <w:lang w:val="en-GB"/>
              </w:rPr>
            </w:pPr>
            <w:r w:rsidRPr="00037C61">
              <w:rPr>
                <w:color w:val="000000"/>
                <w:sz w:val="20"/>
                <w:lang w:val="en-GB"/>
              </w:rPr>
              <w:t>Békés</w:t>
            </w:r>
          </w:p>
        </w:tc>
        <w:tc>
          <w:tcPr>
            <w:tcW w:w="0" w:type="dxa"/>
            <w:noWrap/>
            <w:hideMark/>
          </w:tcPr>
          <w:p w14:paraId="45CA0B1A" w14:textId="7777777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54</w:t>
            </w:r>
          </w:p>
        </w:tc>
        <w:tc>
          <w:tcPr>
            <w:tcW w:w="0" w:type="dxa"/>
          </w:tcPr>
          <w:p w14:paraId="372FA68C" w14:textId="134BD7F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4,97%</w:t>
            </w:r>
          </w:p>
        </w:tc>
        <w:tc>
          <w:tcPr>
            <w:tcW w:w="0" w:type="dxa"/>
            <w:noWrap/>
            <w:hideMark/>
          </w:tcPr>
          <w:p w14:paraId="7318BA76" w14:textId="78E2FDCD"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36</w:t>
            </w:r>
          </w:p>
        </w:tc>
        <w:tc>
          <w:tcPr>
            <w:tcW w:w="0" w:type="dxa"/>
          </w:tcPr>
          <w:p w14:paraId="1240BDBC" w14:textId="32922223"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2,95%</w:t>
            </w:r>
          </w:p>
        </w:tc>
        <w:tc>
          <w:tcPr>
            <w:tcW w:w="1121" w:type="dxa"/>
            <w:noWrap/>
            <w:hideMark/>
          </w:tcPr>
          <w:p w14:paraId="16B62ECA" w14:textId="1782DC0E"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90</w:t>
            </w:r>
          </w:p>
        </w:tc>
        <w:tc>
          <w:tcPr>
            <w:tcW w:w="0" w:type="dxa"/>
          </w:tcPr>
          <w:p w14:paraId="66FC8C29" w14:textId="723F0755"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3,90%</w:t>
            </w:r>
          </w:p>
        </w:tc>
      </w:tr>
      <w:tr w:rsidR="00EE4466" w:rsidRPr="00037C61" w14:paraId="1777203A" w14:textId="0199EB72" w:rsidTr="005E084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44BE08F" w14:textId="3F0260E5" w:rsidR="00EE4466" w:rsidRPr="00037C61" w:rsidRDefault="00EE4466" w:rsidP="00EE4466">
            <w:pPr>
              <w:jc w:val="center"/>
              <w:rPr>
                <w:color w:val="000000"/>
                <w:sz w:val="20"/>
                <w:szCs w:val="20"/>
                <w:lang w:val="en-GB"/>
              </w:rPr>
            </w:pPr>
            <w:r w:rsidRPr="00037C61">
              <w:rPr>
                <w:color w:val="000000" w:themeColor="text1"/>
                <w:sz w:val="20"/>
                <w:szCs w:val="20"/>
                <w:lang w:val="en-GB"/>
              </w:rPr>
              <w:t>Csongrád-Csanád</w:t>
            </w:r>
          </w:p>
        </w:tc>
        <w:tc>
          <w:tcPr>
            <w:tcW w:w="0" w:type="dxa"/>
            <w:noWrap/>
            <w:hideMark/>
          </w:tcPr>
          <w:p w14:paraId="6DF2895D" w14:textId="77777777"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87</w:t>
            </w:r>
          </w:p>
        </w:tc>
        <w:tc>
          <w:tcPr>
            <w:tcW w:w="0" w:type="dxa"/>
          </w:tcPr>
          <w:p w14:paraId="558B1999" w14:textId="5FA8CFBB"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8,01%</w:t>
            </w:r>
          </w:p>
        </w:tc>
        <w:tc>
          <w:tcPr>
            <w:tcW w:w="0" w:type="dxa"/>
            <w:noWrap/>
            <w:hideMark/>
          </w:tcPr>
          <w:p w14:paraId="0C8CB690" w14:textId="3A15131D"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52</w:t>
            </w:r>
          </w:p>
        </w:tc>
        <w:tc>
          <w:tcPr>
            <w:tcW w:w="0" w:type="dxa"/>
          </w:tcPr>
          <w:p w14:paraId="2F525065" w14:textId="2B347A20"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4,26%</w:t>
            </w:r>
          </w:p>
        </w:tc>
        <w:tc>
          <w:tcPr>
            <w:tcW w:w="1121" w:type="dxa"/>
            <w:noWrap/>
            <w:hideMark/>
          </w:tcPr>
          <w:p w14:paraId="0D447CDF" w14:textId="58BB950F"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139</w:t>
            </w:r>
          </w:p>
        </w:tc>
        <w:tc>
          <w:tcPr>
            <w:tcW w:w="0" w:type="dxa"/>
          </w:tcPr>
          <w:p w14:paraId="08EA3322" w14:textId="770948C1"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6,02%</w:t>
            </w:r>
          </w:p>
        </w:tc>
      </w:tr>
      <w:tr w:rsidR="00981D6C" w:rsidRPr="00037C61" w14:paraId="791E488B" w14:textId="1BB8541B" w:rsidTr="00EE4466">
        <w:trPr>
          <w:trHeight w:val="315"/>
        </w:trPr>
        <w:tc>
          <w:tcPr>
            <w:cnfStyle w:val="001000000000" w:firstRow="0" w:lastRow="0" w:firstColumn="1" w:lastColumn="0" w:oddVBand="0" w:evenVBand="0" w:oddHBand="0" w:evenHBand="0" w:firstRowFirstColumn="0" w:firstRowLastColumn="0" w:lastRowFirstColumn="0" w:lastRowLastColumn="0"/>
            <w:tcW w:w="1980" w:type="dxa"/>
            <w:shd w:val="clear" w:color="auto" w:fill="FBD1D2" w:themeFill="accent3" w:themeFillTint="33"/>
            <w:noWrap/>
            <w:hideMark/>
          </w:tcPr>
          <w:p w14:paraId="501C00CD" w14:textId="77777777" w:rsidR="00EE4466" w:rsidRPr="00037C61" w:rsidRDefault="00EE4466" w:rsidP="00EE4466">
            <w:pPr>
              <w:jc w:val="center"/>
              <w:rPr>
                <w:color w:val="000000"/>
                <w:sz w:val="20"/>
                <w:lang w:val="en-GB"/>
              </w:rPr>
            </w:pPr>
            <w:r w:rsidRPr="00037C61">
              <w:rPr>
                <w:color w:val="000000"/>
                <w:sz w:val="20"/>
                <w:lang w:val="en-GB"/>
              </w:rPr>
              <w:t>Bihor</w:t>
            </w:r>
          </w:p>
        </w:tc>
        <w:tc>
          <w:tcPr>
            <w:tcW w:w="0" w:type="dxa"/>
            <w:shd w:val="clear" w:color="auto" w:fill="FBD1D2" w:themeFill="accent3" w:themeFillTint="33"/>
            <w:noWrap/>
            <w:hideMark/>
          </w:tcPr>
          <w:p w14:paraId="5D5786FF" w14:textId="7777777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287</w:t>
            </w:r>
          </w:p>
        </w:tc>
        <w:tc>
          <w:tcPr>
            <w:tcW w:w="0" w:type="dxa"/>
            <w:shd w:val="clear" w:color="auto" w:fill="FBD1D2" w:themeFill="accent3" w:themeFillTint="33"/>
          </w:tcPr>
          <w:p w14:paraId="4B3A96EC" w14:textId="6A363131"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26,43%</w:t>
            </w:r>
          </w:p>
        </w:tc>
        <w:tc>
          <w:tcPr>
            <w:tcW w:w="0" w:type="dxa"/>
            <w:shd w:val="clear" w:color="auto" w:fill="FBD1D2" w:themeFill="accent3" w:themeFillTint="33"/>
            <w:noWrap/>
            <w:hideMark/>
          </w:tcPr>
          <w:p w14:paraId="01E2CC44" w14:textId="5461E928"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355</w:t>
            </w:r>
          </w:p>
        </w:tc>
        <w:tc>
          <w:tcPr>
            <w:tcW w:w="0" w:type="dxa"/>
            <w:shd w:val="clear" w:color="auto" w:fill="FBD1D2" w:themeFill="accent3" w:themeFillTint="33"/>
          </w:tcPr>
          <w:p w14:paraId="34C6F8B9" w14:textId="173DD633"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29,05%</w:t>
            </w:r>
          </w:p>
        </w:tc>
        <w:tc>
          <w:tcPr>
            <w:tcW w:w="1121" w:type="dxa"/>
            <w:shd w:val="clear" w:color="auto" w:fill="FBD1D2" w:themeFill="accent3" w:themeFillTint="33"/>
            <w:noWrap/>
            <w:hideMark/>
          </w:tcPr>
          <w:p w14:paraId="74C30831" w14:textId="03E2F468"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642</w:t>
            </w:r>
          </w:p>
        </w:tc>
        <w:tc>
          <w:tcPr>
            <w:tcW w:w="0" w:type="dxa"/>
            <w:shd w:val="clear" w:color="auto" w:fill="FBD1D2" w:themeFill="accent3" w:themeFillTint="33"/>
          </w:tcPr>
          <w:p w14:paraId="097F49FE" w14:textId="3A38FE23"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27,82%</w:t>
            </w:r>
          </w:p>
        </w:tc>
      </w:tr>
      <w:tr w:rsidR="00981D6C" w:rsidRPr="00037C61" w14:paraId="2AC453C0" w14:textId="73465D9D" w:rsidTr="00EE446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shd w:val="clear" w:color="auto" w:fill="FBD1D2" w:themeFill="accent3" w:themeFillTint="33"/>
            <w:noWrap/>
            <w:hideMark/>
          </w:tcPr>
          <w:p w14:paraId="19D2004C" w14:textId="77777777" w:rsidR="00EE4466" w:rsidRPr="00037C61" w:rsidRDefault="00EE4466" w:rsidP="00EE4466">
            <w:pPr>
              <w:jc w:val="center"/>
              <w:rPr>
                <w:color w:val="000000"/>
                <w:sz w:val="20"/>
                <w:lang w:val="en-GB"/>
              </w:rPr>
            </w:pPr>
            <w:r w:rsidRPr="00037C61">
              <w:rPr>
                <w:color w:val="000000"/>
                <w:sz w:val="20"/>
                <w:lang w:val="en-GB"/>
              </w:rPr>
              <w:t>Satu Mare</w:t>
            </w:r>
          </w:p>
        </w:tc>
        <w:tc>
          <w:tcPr>
            <w:tcW w:w="0" w:type="dxa"/>
            <w:shd w:val="clear" w:color="auto" w:fill="FBD1D2" w:themeFill="accent3" w:themeFillTint="33"/>
            <w:noWrap/>
            <w:hideMark/>
          </w:tcPr>
          <w:p w14:paraId="28622A91" w14:textId="77777777"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244</w:t>
            </w:r>
          </w:p>
        </w:tc>
        <w:tc>
          <w:tcPr>
            <w:tcW w:w="0" w:type="dxa"/>
            <w:shd w:val="clear" w:color="auto" w:fill="FBD1D2" w:themeFill="accent3" w:themeFillTint="33"/>
          </w:tcPr>
          <w:p w14:paraId="5DFC2C2E" w14:textId="3C0A1319"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22,47%</w:t>
            </w:r>
          </w:p>
        </w:tc>
        <w:tc>
          <w:tcPr>
            <w:tcW w:w="0" w:type="dxa"/>
            <w:shd w:val="clear" w:color="auto" w:fill="FBD1D2" w:themeFill="accent3" w:themeFillTint="33"/>
            <w:noWrap/>
            <w:hideMark/>
          </w:tcPr>
          <w:p w14:paraId="5907D70A" w14:textId="21BCAB16"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363</w:t>
            </w:r>
          </w:p>
        </w:tc>
        <w:tc>
          <w:tcPr>
            <w:tcW w:w="0" w:type="dxa"/>
            <w:shd w:val="clear" w:color="auto" w:fill="FBD1D2" w:themeFill="accent3" w:themeFillTint="33"/>
          </w:tcPr>
          <w:p w14:paraId="5981D8F7" w14:textId="3A4F1B53"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29,71%</w:t>
            </w:r>
          </w:p>
        </w:tc>
        <w:tc>
          <w:tcPr>
            <w:tcW w:w="1121" w:type="dxa"/>
            <w:shd w:val="clear" w:color="auto" w:fill="FBD1D2" w:themeFill="accent3" w:themeFillTint="33"/>
            <w:noWrap/>
            <w:hideMark/>
          </w:tcPr>
          <w:p w14:paraId="1CD176B9" w14:textId="50409ADC"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607</w:t>
            </w:r>
          </w:p>
        </w:tc>
        <w:tc>
          <w:tcPr>
            <w:tcW w:w="0" w:type="dxa"/>
            <w:shd w:val="clear" w:color="auto" w:fill="FBD1D2" w:themeFill="accent3" w:themeFillTint="33"/>
          </w:tcPr>
          <w:p w14:paraId="6D824B67" w14:textId="377A5F74"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26,30%</w:t>
            </w:r>
          </w:p>
        </w:tc>
      </w:tr>
      <w:tr w:rsidR="00EE4466" w:rsidRPr="00037C61" w14:paraId="06353CB3" w14:textId="3A939E49" w:rsidTr="005E0849">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8CDBD99" w14:textId="77777777" w:rsidR="00EE4466" w:rsidRPr="00037C61" w:rsidRDefault="00EE4466" w:rsidP="00EE4466">
            <w:pPr>
              <w:jc w:val="center"/>
              <w:rPr>
                <w:color w:val="000000"/>
                <w:sz w:val="20"/>
                <w:lang w:val="en-GB"/>
              </w:rPr>
            </w:pPr>
            <w:r w:rsidRPr="00037C61">
              <w:rPr>
                <w:color w:val="000000"/>
                <w:sz w:val="20"/>
                <w:lang w:val="en-GB"/>
              </w:rPr>
              <w:t>Arad</w:t>
            </w:r>
          </w:p>
        </w:tc>
        <w:tc>
          <w:tcPr>
            <w:tcW w:w="0" w:type="dxa"/>
            <w:noWrap/>
            <w:hideMark/>
          </w:tcPr>
          <w:p w14:paraId="17EF700D" w14:textId="7777777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78</w:t>
            </w:r>
          </w:p>
        </w:tc>
        <w:tc>
          <w:tcPr>
            <w:tcW w:w="0" w:type="dxa"/>
          </w:tcPr>
          <w:p w14:paraId="2B24C316" w14:textId="698B67F1"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7,18%</w:t>
            </w:r>
          </w:p>
        </w:tc>
        <w:tc>
          <w:tcPr>
            <w:tcW w:w="0" w:type="dxa"/>
            <w:noWrap/>
            <w:hideMark/>
          </w:tcPr>
          <w:p w14:paraId="57AA518D" w14:textId="2E37BB9A"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color w:val="000000"/>
                <w:sz w:val="20"/>
                <w:lang w:val="en-GB"/>
              </w:rPr>
            </w:pPr>
            <w:r w:rsidRPr="00037C61">
              <w:rPr>
                <w:color w:val="000000"/>
                <w:sz w:val="20"/>
                <w:lang w:val="en-GB"/>
              </w:rPr>
              <w:t>85</w:t>
            </w:r>
          </w:p>
        </w:tc>
        <w:tc>
          <w:tcPr>
            <w:tcW w:w="0" w:type="dxa"/>
          </w:tcPr>
          <w:p w14:paraId="2F92470A" w14:textId="07D80CDB"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6,96%</w:t>
            </w:r>
          </w:p>
        </w:tc>
        <w:tc>
          <w:tcPr>
            <w:tcW w:w="1121" w:type="dxa"/>
            <w:noWrap/>
            <w:hideMark/>
          </w:tcPr>
          <w:p w14:paraId="3C077C38" w14:textId="656D5CE9"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163</w:t>
            </w:r>
          </w:p>
        </w:tc>
        <w:tc>
          <w:tcPr>
            <w:tcW w:w="0" w:type="dxa"/>
          </w:tcPr>
          <w:p w14:paraId="4C2C37B3" w14:textId="6CACBDB4"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7,06%</w:t>
            </w:r>
          </w:p>
        </w:tc>
      </w:tr>
      <w:tr w:rsidR="00981D6C" w:rsidRPr="00037C61" w14:paraId="32371B5C" w14:textId="5761BE6B" w:rsidTr="00EE446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shd w:val="clear" w:color="auto" w:fill="FBD1D2" w:themeFill="accent3" w:themeFillTint="33"/>
            <w:noWrap/>
            <w:hideMark/>
          </w:tcPr>
          <w:p w14:paraId="43665606" w14:textId="594BFBBE" w:rsidR="00EE4466" w:rsidRPr="00037C61" w:rsidRDefault="00EE4466" w:rsidP="00EE4466">
            <w:pPr>
              <w:jc w:val="center"/>
              <w:rPr>
                <w:color w:val="000000"/>
                <w:sz w:val="20"/>
                <w:lang w:val="en-GB"/>
              </w:rPr>
            </w:pPr>
            <w:r w:rsidRPr="00037C61">
              <w:rPr>
                <w:rFonts w:cs="Calibri"/>
                <w:color w:val="000000"/>
                <w:sz w:val="20"/>
                <w:szCs w:val="20"/>
                <w:lang w:val="en-GB"/>
              </w:rPr>
              <w:t>Timiș</w:t>
            </w:r>
          </w:p>
        </w:tc>
        <w:tc>
          <w:tcPr>
            <w:tcW w:w="0" w:type="dxa"/>
            <w:shd w:val="clear" w:color="auto" w:fill="FBD1D2" w:themeFill="accent3" w:themeFillTint="33"/>
            <w:noWrap/>
            <w:hideMark/>
          </w:tcPr>
          <w:p w14:paraId="47FF0A75" w14:textId="77777777"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163</w:t>
            </w:r>
          </w:p>
        </w:tc>
        <w:tc>
          <w:tcPr>
            <w:tcW w:w="0" w:type="dxa"/>
            <w:shd w:val="clear" w:color="auto" w:fill="FBD1D2" w:themeFill="accent3" w:themeFillTint="33"/>
          </w:tcPr>
          <w:p w14:paraId="53656B31" w14:textId="241F7BCB"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15,01%</w:t>
            </w:r>
          </w:p>
        </w:tc>
        <w:tc>
          <w:tcPr>
            <w:tcW w:w="0" w:type="dxa"/>
            <w:shd w:val="clear" w:color="auto" w:fill="FBD1D2" w:themeFill="accent3" w:themeFillTint="33"/>
            <w:noWrap/>
            <w:hideMark/>
          </w:tcPr>
          <w:p w14:paraId="1E410206" w14:textId="3C5CE90D"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color w:val="000000"/>
                <w:sz w:val="20"/>
                <w:lang w:val="en-GB"/>
              </w:rPr>
            </w:pPr>
            <w:r w:rsidRPr="00037C61">
              <w:rPr>
                <w:color w:val="000000"/>
                <w:sz w:val="20"/>
                <w:lang w:val="en-GB"/>
              </w:rPr>
              <w:t>162</w:t>
            </w:r>
          </w:p>
        </w:tc>
        <w:tc>
          <w:tcPr>
            <w:tcW w:w="0" w:type="dxa"/>
            <w:shd w:val="clear" w:color="auto" w:fill="FBD1D2" w:themeFill="accent3" w:themeFillTint="33"/>
          </w:tcPr>
          <w:p w14:paraId="5EB6AB52" w14:textId="0671EEE6"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13,26%</w:t>
            </w:r>
          </w:p>
        </w:tc>
        <w:tc>
          <w:tcPr>
            <w:tcW w:w="1121" w:type="dxa"/>
            <w:shd w:val="clear" w:color="auto" w:fill="FBD1D2" w:themeFill="accent3" w:themeFillTint="33"/>
            <w:noWrap/>
            <w:hideMark/>
          </w:tcPr>
          <w:p w14:paraId="3EF759A6" w14:textId="19BC0FCB"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b/>
                <w:color w:val="000000"/>
                <w:sz w:val="20"/>
                <w:lang w:val="en-GB"/>
              </w:rPr>
              <w:t>325</w:t>
            </w:r>
          </w:p>
        </w:tc>
        <w:tc>
          <w:tcPr>
            <w:tcW w:w="0" w:type="dxa"/>
            <w:shd w:val="clear" w:color="auto" w:fill="FBD1D2" w:themeFill="accent3" w:themeFillTint="33"/>
          </w:tcPr>
          <w:p w14:paraId="5BD2FA64" w14:textId="39F6970E" w:rsidR="00EE4466" w:rsidRPr="00037C61" w:rsidRDefault="00EE4466" w:rsidP="00EE4466">
            <w:pPr>
              <w:jc w:val="center"/>
              <w:cnfStyle w:val="000000100000" w:firstRow="0" w:lastRow="0" w:firstColumn="0" w:lastColumn="0" w:oddVBand="0" w:evenVBand="0" w:oddHBand="1" w:evenHBand="0" w:firstRowFirstColumn="0" w:firstRowLastColumn="0" w:lastRowFirstColumn="0" w:lastRowLastColumn="0"/>
              <w:rPr>
                <w:b/>
                <w:color w:val="000000"/>
                <w:sz w:val="20"/>
                <w:lang w:val="en-GB"/>
              </w:rPr>
            </w:pPr>
            <w:r w:rsidRPr="00037C61">
              <w:rPr>
                <w:color w:val="000000"/>
                <w:sz w:val="20"/>
                <w:lang w:val="en-GB"/>
              </w:rPr>
              <w:t>14,08%</w:t>
            </w:r>
          </w:p>
        </w:tc>
      </w:tr>
      <w:tr w:rsidR="00EE4466" w:rsidRPr="00037C61" w14:paraId="12B6C003" w14:textId="47DCC145" w:rsidTr="005E0849">
        <w:trPr>
          <w:trHeight w:val="315"/>
        </w:trPr>
        <w:tc>
          <w:tcPr>
            <w:cnfStyle w:val="001000000000" w:firstRow="0" w:lastRow="0" w:firstColumn="1" w:lastColumn="0" w:oddVBand="0" w:evenVBand="0" w:oddHBand="0" w:evenHBand="0" w:firstRowFirstColumn="0" w:firstRowLastColumn="0" w:lastRowFirstColumn="0" w:lastRowLastColumn="0"/>
            <w:tcW w:w="1980" w:type="dxa"/>
            <w:hideMark/>
          </w:tcPr>
          <w:p w14:paraId="07215B09" w14:textId="77777777" w:rsidR="00EE4466" w:rsidRPr="00037C61" w:rsidRDefault="00EE4466" w:rsidP="00EE4466">
            <w:pPr>
              <w:jc w:val="center"/>
              <w:rPr>
                <w:b w:val="0"/>
                <w:color w:val="000000"/>
                <w:sz w:val="20"/>
                <w:lang w:val="en-GB"/>
              </w:rPr>
            </w:pPr>
            <w:r w:rsidRPr="00037C61">
              <w:rPr>
                <w:color w:val="000000"/>
                <w:sz w:val="20"/>
                <w:lang w:val="en-GB"/>
              </w:rPr>
              <w:t>Total number of flood events in the border region</w:t>
            </w:r>
          </w:p>
        </w:tc>
        <w:tc>
          <w:tcPr>
            <w:tcW w:w="0" w:type="dxa"/>
            <w:noWrap/>
            <w:hideMark/>
          </w:tcPr>
          <w:p w14:paraId="25AE2E1B" w14:textId="77777777"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1086</w:t>
            </w:r>
          </w:p>
        </w:tc>
        <w:tc>
          <w:tcPr>
            <w:tcW w:w="0" w:type="dxa"/>
          </w:tcPr>
          <w:p w14:paraId="2260DE3B" w14:textId="66DCDC28"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100,00%</w:t>
            </w:r>
          </w:p>
        </w:tc>
        <w:tc>
          <w:tcPr>
            <w:tcW w:w="0" w:type="dxa"/>
            <w:noWrap/>
            <w:hideMark/>
          </w:tcPr>
          <w:p w14:paraId="262B8060" w14:textId="74CE1DF9"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1222</w:t>
            </w:r>
          </w:p>
        </w:tc>
        <w:tc>
          <w:tcPr>
            <w:tcW w:w="0" w:type="dxa"/>
          </w:tcPr>
          <w:p w14:paraId="00CD0201" w14:textId="5BE6B004"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100,00%</w:t>
            </w:r>
          </w:p>
        </w:tc>
        <w:tc>
          <w:tcPr>
            <w:tcW w:w="1121" w:type="dxa"/>
            <w:noWrap/>
            <w:hideMark/>
          </w:tcPr>
          <w:p w14:paraId="6DE8B00C" w14:textId="20D75B0F"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b/>
                <w:color w:val="000000"/>
                <w:sz w:val="20"/>
                <w:lang w:val="en-GB"/>
              </w:rPr>
              <w:t>2308</w:t>
            </w:r>
          </w:p>
        </w:tc>
        <w:tc>
          <w:tcPr>
            <w:tcW w:w="0" w:type="dxa"/>
          </w:tcPr>
          <w:p w14:paraId="7AEF3FF7" w14:textId="440DC6E2" w:rsidR="00EE4466" w:rsidRPr="00037C61" w:rsidRDefault="00EE4466" w:rsidP="00EE4466">
            <w:pPr>
              <w:jc w:val="center"/>
              <w:cnfStyle w:val="000000000000" w:firstRow="0" w:lastRow="0" w:firstColumn="0" w:lastColumn="0" w:oddVBand="0" w:evenVBand="0" w:oddHBand="0" w:evenHBand="0" w:firstRowFirstColumn="0" w:firstRowLastColumn="0" w:lastRowFirstColumn="0" w:lastRowLastColumn="0"/>
              <w:rPr>
                <w:b/>
                <w:color w:val="000000"/>
                <w:sz w:val="20"/>
                <w:lang w:val="en-GB"/>
              </w:rPr>
            </w:pPr>
            <w:r w:rsidRPr="00037C61">
              <w:rPr>
                <w:color w:val="000000"/>
                <w:sz w:val="20"/>
                <w:lang w:val="en-GB"/>
              </w:rPr>
              <w:t>100,00%</w:t>
            </w:r>
          </w:p>
        </w:tc>
      </w:tr>
    </w:tbl>
    <w:p w14:paraId="07F0EC1D" w14:textId="77777777" w:rsidR="00FB0745" w:rsidRPr="00DB74BF" w:rsidRDefault="00FB0745" w:rsidP="00FB0745">
      <w:pPr>
        <w:pStyle w:val="InterregROHUBullet1"/>
        <w:numPr>
          <w:ilvl w:val="0"/>
          <w:numId w:val="0"/>
        </w:numPr>
        <w:spacing w:after="200" w:line="276" w:lineRule="auto"/>
        <w:rPr>
          <w:rFonts w:cs="Calibri"/>
          <w:lang w:val="fr-FR"/>
        </w:rPr>
      </w:pPr>
      <w:r w:rsidRPr="00DB74BF">
        <w:rPr>
          <w:rFonts w:cs="Calibri"/>
          <w:i/>
          <w:sz w:val="18"/>
          <w:lang w:val="fr-FR"/>
        </w:rPr>
        <w:t>Source: https://floodobservatory.colorado.edu/</w:t>
      </w:r>
    </w:p>
    <w:p w14:paraId="3FD79D66" w14:textId="2AD8E1A3" w:rsidR="00FB0745" w:rsidRPr="00DB74BF" w:rsidRDefault="00FB0745" w:rsidP="005E0849">
      <w:pPr>
        <w:rPr>
          <w:rFonts w:cs="Calibri"/>
          <w:lang w:val="fr-FR"/>
        </w:rPr>
      </w:pPr>
    </w:p>
    <w:p w14:paraId="06DA3E1F" w14:textId="5FC19FAA" w:rsidR="00633AA9" w:rsidRPr="00037C61" w:rsidRDefault="00633AA9" w:rsidP="005E0849">
      <w:pPr>
        <w:pStyle w:val="Heading4"/>
        <w:spacing w:after="240"/>
        <w:rPr>
          <w:rFonts w:cs="Calibri"/>
          <w:lang w:val="en-GB"/>
        </w:rPr>
      </w:pPr>
      <w:r w:rsidRPr="00037C61">
        <w:rPr>
          <w:rFonts w:cs="Calibri"/>
          <w:lang w:val="en-GB"/>
        </w:rPr>
        <w:t xml:space="preserve">Earthquakes </w:t>
      </w:r>
    </w:p>
    <w:p w14:paraId="1C367B17" w14:textId="0092FCF6" w:rsidR="0049285D" w:rsidRPr="00037C61" w:rsidRDefault="00EE4466" w:rsidP="00633AA9">
      <w:pPr>
        <w:rPr>
          <w:lang w:val="en-GB"/>
        </w:rPr>
      </w:pPr>
      <w:r w:rsidRPr="00037C61">
        <w:rPr>
          <w:noProof/>
          <w:lang w:val="ro-RO" w:eastAsia="ro-RO"/>
        </w:rPr>
        <mc:AlternateContent>
          <mc:Choice Requires="wpg">
            <w:drawing>
              <wp:anchor distT="0" distB="0" distL="114300" distR="114300" simplePos="0" relativeHeight="251672064" behindDoc="0" locked="0" layoutInCell="1" allowOverlap="1" wp14:anchorId="1B1C8550" wp14:editId="0D604BA4">
                <wp:simplePos x="0" y="0"/>
                <wp:positionH relativeFrom="column">
                  <wp:posOffset>2219325</wp:posOffset>
                </wp:positionH>
                <wp:positionV relativeFrom="paragraph">
                  <wp:posOffset>10795</wp:posOffset>
                </wp:positionV>
                <wp:extent cx="3587115" cy="3145155"/>
                <wp:effectExtent l="0" t="0" r="0" b="0"/>
                <wp:wrapSquare wrapText="bothSides"/>
                <wp:docPr id="799357024" name="Group 799357024"/>
                <wp:cNvGraphicFramePr/>
                <a:graphic xmlns:a="http://schemas.openxmlformats.org/drawingml/2006/main">
                  <a:graphicData uri="http://schemas.microsoft.com/office/word/2010/wordprocessingGroup">
                    <wpg:wgp>
                      <wpg:cNvGrpSpPr/>
                      <wpg:grpSpPr>
                        <a:xfrm>
                          <a:off x="0" y="0"/>
                          <a:ext cx="3587115" cy="3145155"/>
                          <a:chOff x="0" y="0"/>
                          <a:chExt cx="3234690" cy="2836545"/>
                        </a:xfrm>
                      </wpg:grpSpPr>
                      <pic:pic xmlns:pic="http://schemas.openxmlformats.org/drawingml/2006/picture">
                        <pic:nvPicPr>
                          <pic:cNvPr id="799357021" name="Picture 4"/>
                          <pic:cNvPicPr>
                            <a:picLocks noChangeAspect="1"/>
                          </pic:cNvPicPr>
                        </pic:nvPicPr>
                        <pic:blipFill rotWithShape="1">
                          <a:blip r:embed="rId160">
                            <a:extLst>
                              <a:ext uri="{28A0092B-C50C-407E-A947-70E740481C1C}">
                                <a14:useLocalDpi xmlns:a14="http://schemas.microsoft.com/office/drawing/2010/main" val="0"/>
                              </a:ext>
                            </a:extLst>
                          </a:blip>
                          <a:srcRect l="2394" t="1612" r="60247" b="23679"/>
                          <a:stretch/>
                        </pic:blipFill>
                        <pic:spPr bwMode="auto">
                          <a:xfrm>
                            <a:off x="0" y="9525"/>
                            <a:ext cx="2141220" cy="2827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9357023" name="Picture 4"/>
                          <pic:cNvPicPr>
                            <a:picLocks noChangeAspect="1"/>
                          </pic:cNvPicPr>
                        </pic:nvPicPr>
                        <pic:blipFill rotWithShape="1">
                          <a:blip r:embed="rId160">
                            <a:extLst>
                              <a:ext uri="{28A0092B-C50C-407E-A947-70E740481C1C}">
                                <a14:useLocalDpi xmlns:a14="http://schemas.microsoft.com/office/drawing/2010/main" val="0"/>
                              </a:ext>
                            </a:extLst>
                          </a:blip>
                          <a:srcRect l="76712" t="21144" r="5473" b="34755"/>
                          <a:stretch/>
                        </pic:blipFill>
                        <pic:spPr bwMode="auto">
                          <a:xfrm>
                            <a:off x="2133600" y="0"/>
                            <a:ext cx="1101090" cy="18002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9CF80A0">
              <v:group id="Group 799357024" style="position:absolute;margin-left:174.75pt;margin-top:.85pt;width:282.45pt;height:247.65pt;z-index:251728896;mso-width-relative:margin;mso-height-relative:margin" coordsize="32346,28365" o:spid="_x0000_s1026" w14:anchorId="26834A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">
                <v:shape id="Picture 4" style="position:absolute;top:95;width:21412;height:2827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">
                  <v:imagedata cropleft="1569f" croptop="1056f" cropright="39483f" cropbottom="15518f" o:title="" r:id="rId161"/>
                </v:shape>
                <v:shape id="Picture 4" style="position:absolute;left:21336;width:11010;height:1800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">
                  <v:imagedata cropleft="50274f" croptop="13857f" cropright="3587f" cropbottom="22777f" o:title="" r:id="rId161"/>
                </v:shape>
                <w10:wrap type="square"/>
              </v:group>
            </w:pict>
          </mc:Fallback>
        </mc:AlternateContent>
      </w:r>
      <w:r w:rsidRPr="00037C61">
        <w:rPr>
          <w:noProof/>
          <w:lang w:val="ro-RO" w:eastAsia="ro-RO"/>
        </w:rPr>
        <mc:AlternateContent>
          <mc:Choice Requires="wps">
            <w:drawing>
              <wp:anchor distT="0" distB="0" distL="114300" distR="114300" simplePos="0" relativeHeight="251673088" behindDoc="0" locked="0" layoutInCell="1" allowOverlap="1" wp14:anchorId="7FB5B09E" wp14:editId="42429CFB">
                <wp:simplePos x="0" y="0"/>
                <wp:positionH relativeFrom="column">
                  <wp:posOffset>2219325</wp:posOffset>
                </wp:positionH>
                <wp:positionV relativeFrom="paragraph">
                  <wp:posOffset>3317875</wp:posOffset>
                </wp:positionV>
                <wp:extent cx="3587115" cy="635"/>
                <wp:effectExtent l="0" t="0" r="0" b="0"/>
                <wp:wrapSquare wrapText="bothSides"/>
                <wp:docPr id="799357041" name="Text Box 799357041"/>
                <wp:cNvGraphicFramePr/>
                <a:graphic xmlns:a="http://schemas.openxmlformats.org/drawingml/2006/main">
                  <a:graphicData uri="http://schemas.microsoft.com/office/word/2010/wordprocessingShape">
                    <wps:wsp>
                      <wps:cNvSpPr txBox="1"/>
                      <wps:spPr>
                        <a:xfrm>
                          <a:off x="0" y="0"/>
                          <a:ext cx="3587115" cy="635"/>
                        </a:xfrm>
                        <a:prstGeom prst="rect">
                          <a:avLst/>
                        </a:prstGeom>
                        <a:solidFill>
                          <a:prstClr val="white"/>
                        </a:solidFill>
                        <a:ln>
                          <a:noFill/>
                        </a:ln>
                      </wps:spPr>
                      <wps:txbx>
                        <w:txbxContent>
                          <w:p w14:paraId="6AD458D4" w14:textId="24E41399" w:rsidR="00944B4A" w:rsidRPr="00847958" w:rsidRDefault="00944B4A" w:rsidP="005E0849">
                            <w:pPr>
                              <w:pStyle w:val="Caption"/>
                              <w:jc w:val="left"/>
                              <w:rPr>
                                <w:lang w:val="en-GB"/>
                              </w:rPr>
                            </w:pPr>
                            <w:bookmarkStart w:id="680" w:name="_Toc64611024"/>
                            <w:r w:rsidRPr="00847958">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75</w:t>
                            </w:r>
                            <w:r>
                              <w:rPr>
                                <w:lang w:val="en-GB"/>
                              </w:rPr>
                              <w:fldChar w:fldCharType="end"/>
                            </w:r>
                            <w:r w:rsidRPr="00847958">
                              <w:rPr>
                                <w:lang w:val="en-GB"/>
                              </w:rPr>
                              <w:t xml:space="preserve"> - Distribution of seismic sources by epicentral intensity in the PA</w:t>
                            </w:r>
                            <w:bookmarkEnd w:id="680"/>
                          </w:p>
                          <w:p w14:paraId="7CEDC337" w14:textId="5A53785A" w:rsidR="00944B4A" w:rsidRPr="00847958" w:rsidRDefault="00944B4A" w:rsidP="005E0849">
                            <w:pPr>
                              <w:pStyle w:val="Caption"/>
                              <w:jc w:val="left"/>
                              <w:rPr>
                                <w:lang w:val="fr-FR"/>
                              </w:rPr>
                            </w:pPr>
                            <w:r w:rsidRPr="00847958">
                              <w:rPr>
                                <w:lang w:val="fr-FR"/>
                              </w:rPr>
                              <w:t>Source: https://gis.ro-risk.ro/site/documente/RezultateRO-RISK/Cutremur/Cap.%202.%20Analiza%20de%20hazard.pdf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B5B09E" id="Text Box 799357041" o:spid="_x0000_s1038" type="#_x0000_t202" style="position:absolute;left:0;text-align:left;margin-left:174.75pt;margin-top:261.25pt;width:282.45pt;height:.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" stroked="f">
                <v:textbox style="mso-fit-shape-to-text:t" inset="0,0,0,0">
                  <w:txbxContent>
                    <w:p w14:paraId="6AD458D4" w14:textId="24E41399" w:rsidR="00944B4A" w:rsidRPr="00847958" w:rsidRDefault="00944B4A" w:rsidP="005E0849">
                      <w:pPr>
                        <w:pStyle w:val="Didascalia"/>
                        <w:jc w:val="left"/>
                        <w:rPr>
                          <w:lang w:val="en-GB"/>
                        </w:rPr>
                      </w:pPr>
                      <w:bookmarkStart w:id="722" w:name="_Toc64611024"/>
                      <w:r w:rsidRPr="00847958">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75</w:t>
                      </w:r>
                      <w:r>
                        <w:rPr>
                          <w:lang w:val="en-GB"/>
                        </w:rPr>
                        <w:fldChar w:fldCharType="end"/>
                      </w:r>
                      <w:r w:rsidRPr="00847958">
                        <w:rPr>
                          <w:lang w:val="en-GB"/>
                        </w:rPr>
                        <w:t xml:space="preserve"> - Distribution of seismic sources by epicentral intensity in the PA</w:t>
                      </w:r>
                      <w:bookmarkEnd w:id="722"/>
                    </w:p>
                    <w:p w14:paraId="7CEDC337" w14:textId="5A53785A" w:rsidR="00944B4A" w:rsidRPr="00847958" w:rsidRDefault="00944B4A" w:rsidP="005E0849">
                      <w:pPr>
                        <w:pStyle w:val="Didascalia"/>
                        <w:jc w:val="left"/>
                        <w:rPr>
                          <w:lang w:val="fr-FR"/>
                        </w:rPr>
                      </w:pPr>
                      <w:r w:rsidRPr="00847958">
                        <w:rPr>
                          <w:lang w:val="fr-FR"/>
                        </w:rPr>
                        <w:t>Source: https://gis.ro-risk.ro/site/documente/RezultateRO-RISK/Cutremur/Cap.%202.%20Analiza%20de%20hazard.pdf</w:t>
                      </w:r>
                    </w:p>
                  </w:txbxContent>
                </v:textbox>
                <w10:wrap type="square"/>
              </v:shape>
            </w:pict>
          </mc:Fallback>
        </mc:AlternateContent>
      </w:r>
      <w:r w:rsidR="0049285D" w:rsidRPr="00037C61">
        <w:rPr>
          <w:lang w:val="en-GB"/>
        </w:rPr>
        <w:t xml:space="preserve">The analysis of seismic risks, looking at </w:t>
      </w:r>
      <w:r w:rsidRPr="00037C61">
        <w:rPr>
          <w:lang w:val="en-GB"/>
        </w:rPr>
        <w:t xml:space="preserve">the </w:t>
      </w:r>
      <w:r w:rsidR="0049285D" w:rsidRPr="00037C61">
        <w:rPr>
          <w:lang w:val="en-GB"/>
        </w:rPr>
        <w:t>earthquak</w:t>
      </w:r>
      <w:r w:rsidRPr="00037C61">
        <w:rPr>
          <w:lang w:val="en-GB"/>
        </w:rPr>
        <w:t>e</w:t>
      </w:r>
      <w:r w:rsidR="0049285D" w:rsidRPr="00037C61">
        <w:rPr>
          <w:lang w:val="en-GB"/>
        </w:rPr>
        <w:t xml:space="preserve"> concentration and magnitude in the PA, shows that there are two areas, in the south (</w:t>
      </w:r>
      <w:r w:rsidR="003B42ED" w:rsidRPr="00037C61">
        <w:rPr>
          <w:lang w:val="en-GB"/>
        </w:rPr>
        <w:t xml:space="preserve">Banat area) </w:t>
      </w:r>
      <w:r w:rsidR="0049285D" w:rsidRPr="00037C61">
        <w:rPr>
          <w:lang w:val="en-GB"/>
        </w:rPr>
        <w:t>and the north</w:t>
      </w:r>
      <w:r w:rsidR="003B42ED" w:rsidRPr="00037C61">
        <w:rPr>
          <w:lang w:val="en-GB"/>
        </w:rPr>
        <w:t xml:space="preserve"> (Crișana-Maramureș area) of the PA</w:t>
      </w:r>
      <w:r w:rsidR="0049285D" w:rsidRPr="00037C61">
        <w:rPr>
          <w:lang w:val="en-GB"/>
        </w:rPr>
        <w:t>, towards the Romanian border</w:t>
      </w:r>
      <w:r w:rsidR="003B42ED" w:rsidRPr="00037C61">
        <w:rPr>
          <w:lang w:val="en-GB"/>
        </w:rPr>
        <w:t>,</w:t>
      </w:r>
      <w:r w:rsidR="0049285D" w:rsidRPr="00037C61">
        <w:rPr>
          <w:lang w:val="en-GB"/>
        </w:rPr>
        <w:t xml:space="preserve"> </w:t>
      </w:r>
      <w:r w:rsidR="003B42ED" w:rsidRPr="00037C61">
        <w:rPr>
          <w:lang w:val="en-GB"/>
        </w:rPr>
        <w:t xml:space="preserve">which </w:t>
      </w:r>
      <w:r w:rsidR="003B42ED" w:rsidRPr="00037C61">
        <w:rPr>
          <w:b/>
          <w:bCs/>
          <w:lang w:val="en-GB"/>
        </w:rPr>
        <w:t>may be affected by low to medium-sized magnitude earthquakes</w:t>
      </w:r>
      <w:r w:rsidR="00AF77EC" w:rsidRPr="00037C61">
        <w:rPr>
          <w:lang w:val="en-GB"/>
        </w:rPr>
        <w:t>. These events may produce effects in the Hungarian counties of the PA as well, especially in Szabolcs-Szatmár-Bereg</w:t>
      </w:r>
      <w:r w:rsidR="003B42ED" w:rsidRPr="00037C61">
        <w:rPr>
          <w:lang w:val="en-GB"/>
        </w:rPr>
        <w:t xml:space="preserve"> </w:t>
      </w:r>
      <w:r w:rsidR="00AF77EC" w:rsidRPr="00037C61">
        <w:rPr>
          <w:lang w:val="en-GB"/>
        </w:rPr>
        <w:t>and</w:t>
      </w:r>
      <w:r w:rsidR="003B42ED" w:rsidRPr="00037C61">
        <w:rPr>
          <w:lang w:val="en-GB"/>
        </w:rPr>
        <w:t xml:space="preserve"> </w:t>
      </w:r>
      <w:r w:rsidR="00AF77EC" w:rsidRPr="00037C61">
        <w:rPr>
          <w:lang w:val="en-GB"/>
        </w:rPr>
        <w:t xml:space="preserve">Csongrád-Csanád. </w:t>
      </w:r>
    </w:p>
    <w:p w14:paraId="383CB527" w14:textId="1B316E29" w:rsidR="00EE4466" w:rsidRPr="00037C61" w:rsidRDefault="00EE4466" w:rsidP="00F84602">
      <w:pPr>
        <w:jc w:val="center"/>
        <w:rPr>
          <w:rFonts w:eastAsia="Times New Roman" w:cstheme="minorHAnsi"/>
          <w:noProof/>
          <w:color w:val="000000"/>
          <w:sz w:val="20"/>
          <w:szCs w:val="20"/>
          <w:bdr w:val="none" w:sz="0" w:space="0" w:color="auto" w:frame="1"/>
          <w:lang w:val="en-GB"/>
        </w:rPr>
      </w:pPr>
    </w:p>
    <w:p w14:paraId="0AD55852" w14:textId="4C3CC2DC" w:rsidR="00BC4292" w:rsidRPr="00037C61" w:rsidRDefault="00EE4466" w:rsidP="00EE4466">
      <w:pPr>
        <w:jc w:val="center"/>
        <w:rPr>
          <w:lang w:val="en-GB"/>
        </w:rPr>
      </w:pPr>
      <w:r w:rsidRPr="00037C61" w:rsidDel="00EE4466">
        <w:rPr>
          <w:lang w:val="en-GB"/>
        </w:rPr>
        <w:t xml:space="preserve"> </w:t>
      </w:r>
    </w:p>
    <w:p w14:paraId="5F8CCBFE" w14:textId="377AAE22" w:rsidR="00BC4292" w:rsidRPr="00037C61" w:rsidRDefault="00BC4292" w:rsidP="005E0849">
      <w:pPr>
        <w:rPr>
          <w:lang w:val="en-GB"/>
        </w:rPr>
      </w:pPr>
    </w:p>
    <w:p w14:paraId="7877268A" w14:textId="01222DDB" w:rsidR="00BC4292" w:rsidRPr="00037C61" w:rsidRDefault="00BC4292" w:rsidP="00BC4292">
      <w:pPr>
        <w:pStyle w:val="Heading4"/>
        <w:rPr>
          <w:lang w:val="en-GB"/>
        </w:rPr>
      </w:pPr>
      <w:r w:rsidRPr="00037C61">
        <w:rPr>
          <w:lang w:val="en-GB"/>
        </w:rPr>
        <w:lastRenderedPageBreak/>
        <w:t>Landslide risks</w:t>
      </w:r>
    </w:p>
    <w:p w14:paraId="1941AC09" w14:textId="62C27B76" w:rsidR="00DF642F" w:rsidRPr="00037C61" w:rsidRDefault="00DF642F" w:rsidP="005E0849">
      <w:pPr>
        <w:rPr>
          <w:lang w:val="en-GB"/>
        </w:rPr>
      </w:pPr>
      <w:r w:rsidRPr="00037C61">
        <w:rPr>
          <w:noProof/>
          <w:lang w:val="ro-RO" w:eastAsia="ro-RO"/>
        </w:rPr>
        <mc:AlternateContent>
          <mc:Choice Requires="wps">
            <w:drawing>
              <wp:anchor distT="0" distB="0" distL="114300" distR="114300" simplePos="0" relativeHeight="251677184" behindDoc="0" locked="0" layoutInCell="1" allowOverlap="1" wp14:anchorId="67B0DE98" wp14:editId="108D3130">
                <wp:simplePos x="0" y="0"/>
                <wp:positionH relativeFrom="margin">
                  <wp:align>right</wp:align>
                </wp:positionH>
                <wp:positionV relativeFrom="paragraph">
                  <wp:posOffset>86783</wp:posOffset>
                </wp:positionV>
                <wp:extent cx="3656965" cy="177800"/>
                <wp:effectExtent l="0" t="0" r="635" b="0"/>
                <wp:wrapSquare wrapText="bothSides"/>
                <wp:docPr id="151" name="Text Box 151"/>
                <wp:cNvGraphicFramePr/>
                <a:graphic xmlns:a="http://schemas.openxmlformats.org/drawingml/2006/main">
                  <a:graphicData uri="http://schemas.microsoft.com/office/word/2010/wordprocessingShape">
                    <wps:wsp>
                      <wps:cNvSpPr txBox="1"/>
                      <wps:spPr>
                        <a:xfrm>
                          <a:off x="0" y="0"/>
                          <a:ext cx="3656965" cy="177800"/>
                        </a:xfrm>
                        <a:prstGeom prst="rect">
                          <a:avLst/>
                        </a:prstGeom>
                        <a:solidFill>
                          <a:prstClr val="white"/>
                        </a:solidFill>
                        <a:ln>
                          <a:noFill/>
                        </a:ln>
                      </wps:spPr>
                      <wps:txbx>
                        <w:txbxContent>
                          <w:p w14:paraId="032E8AEE" w14:textId="02702CDD" w:rsidR="00944B4A" w:rsidRPr="00847958" w:rsidRDefault="00944B4A" w:rsidP="005E0849">
                            <w:pPr>
                              <w:pStyle w:val="Caption"/>
                              <w:jc w:val="left"/>
                              <w:rPr>
                                <w:noProof/>
                                <w:lang w:val="en-GB"/>
                              </w:rPr>
                            </w:pPr>
                            <w:bookmarkStart w:id="681" w:name="_Toc64611025"/>
                            <w:r w:rsidRPr="00847958">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76</w:t>
                            </w:r>
                            <w:r>
                              <w:rPr>
                                <w:lang w:val="en-GB"/>
                              </w:rPr>
                              <w:fldChar w:fldCharType="end"/>
                            </w:r>
                            <w:r w:rsidRPr="00847958">
                              <w:rPr>
                                <w:lang w:val="en-GB"/>
                              </w:rPr>
                              <w:t xml:space="preserve"> - Landslide risks in the PA</w:t>
                            </w:r>
                            <w:bookmarkEnd w:id="6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B0DE98" id="Text Box 151" o:spid="_x0000_s1039" type="#_x0000_t202" style="position:absolute;left:0;text-align:left;margin-left:236.75pt;margin-top:6.85pt;width:287.95pt;height:14pt;z-index:2516771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" stroked="f">
                <v:textbox inset="0,0,0,0">
                  <w:txbxContent>
                    <w:p w14:paraId="032E8AEE" w14:textId="02702CDD" w:rsidR="00944B4A" w:rsidRPr="00847958" w:rsidRDefault="00944B4A" w:rsidP="005E0849">
                      <w:pPr>
                        <w:pStyle w:val="Didascalia"/>
                        <w:jc w:val="left"/>
                        <w:rPr>
                          <w:noProof/>
                          <w:lang w:val="en-GB"/>
                        </w:rPr>
                      </w:pPr>
                      <w:bookmarkStart w:id="724" w:name="_Toc64611025"/>
                      <w:r w:rsidRPr="00847958">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76</w:t>
                      </w:r>
                      <w:r>
                        <w:rPr>
                          <w:lang w:val="en-GB"/>
                        </w:rPr>
                        <w:fldChar w:fldCharType="end"/>
                      </w:r>
                      <w:r w:rsidRPr="00847958">
                        <w:rPr>
                          <w:lang w:val="en-GB"/>
                        </w:rPr>
                        <w:t xml:space="preserve"> - Landslide risks in the PA</w:t>
                      </w:r>
                      <w:bookmarkEnd w:id="724"/>
                    </w:p>
                  </w:txbxContent>
                </v:textbox>
                <w10:wrap type="square" anchorx="margin"/>
              </v:shape>
            </w:pict>
          </mc:Fallback>
        </mc:AlternateContent>
      </w:r>
      <w:r w:rsidRPr="00037C61">
        <w:rPr>
          <w:noProof/>
          <w:lang w:val="ro-RO" w:eastAsia="ro-RO"/>
        </w:rPr>
        <mc:AlternateContent>
          <mc:Choice Requires="wpg">
            <w:drawing>
              <wp:anchor distT="0" distB="0" distL="114300" distR="114300" simplePos="0" relativeHeight="251676160" behindDoc="0" locked="0" layoutInCell="1" allowOverlap="1" wp14:anchorId="644BC5C3" wp14:editId="13A4B669">
                <wp:simplePos x="0" y="0"/>
                <wp:positionH relativeFrom="margin">
                  <wp:posOffset>1955588</wp:posOffset>
                </wp:positionH>
                <wp:positionV relativeFrom="paragraph">
                  <wp:posOffset>167428</wp:posOffset>
                </wp:positionV>
                <wp:extent cx="3732530" cy="4242435"/>
                <wp:effectExtent l="0" t="0" r="1270" b="5715"/>
                <wp:wrapSquare wrapText="bothSides"/>
                <wp:docPr id="150" name="Group 150"/>
                <wp:cNvGraphicFramePr/>
                <a:graphic xmlns:a="http://schemas.openxmlformats.org/drawingml/2006/main">
                  <a:graphicData uri="http://schemas.microsoft.com/office/word/2010/wordprocessingGroup">
                    <wpg:wgp>
                      <wpg:cNvGrpSpPr/>
                      <wpg:grpSpPr>
                        <a:xfrm>
                          <a:off x="0" y="0"/>
                          <a:ext cx="3732530" cy="4242435"/>
                          <a:chOff x="0" y="0"/>
                          <a:chExt cx="5731510" cy="6513830"/>
                        </a:xfrm>
                      </wpg:grpSpPr>
                      <pic:pic xmlns:pic="http://schemas.openxmlformats.org/drawingml/2006/picture">
                        <pic:nvPicPr>
                          <pic:cNvPr id="136" name="Picture 136"/>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31510" cy="6513830"/>
                          </a:xfrm>
                          <a:prstGeom prst="rect">
                            <a:avLst/>
                          </a:prstGeom>
                          <a:noFill/>
                          <a:ln>
                            <a:noFill/>
                          </a:ln>
                        </pic:spPr>
                      </pic:pic>
                      <pic:pic xmlns:pic="http://schemas.openxmlformats.org/drawingml/2006/picture">
                        <pic:nvPicPr>
                          <pic:cNvPr id="140" name="Picture 140"/>
                          <pic:cNvPicPr>
                            <a:picLocks noChangeAspect="1"/>
                          </pic:cNvPicPr>
                        </pic:nvPicPr>
                        <pic:blipFill rotWithShape="1">
                          <a:blip r:embed="rId163">
                            <a:extLst>
                              <a:ext uri="{28A0092B-C50C-407E-A947-70E740481C1C}">
                                <a14:useLocalDpi xmlns:a14="http://schemas.microsoft.com/office/drawing/2010/main" val="0"/>
                              </a:ext>
                            </a:extLst>
                          </a:blip>
                          <a:srcRect l="56856" t="52943" r="32752" b="37593"/>
                          <a:stretch/>
                        </pic:blipFill>
                        <pic:spPr bwMode="auto">
                          <a:xfrm>
                            <a:off x="158075" y="302400"/>
                            <a:ext cx="2296265" cy="2376976"/>
                          </a:xfrm>
                          <a:prstGeom prst="rect">
                            <a:avLst/>
                          </a:prstGeom>
                          <a:noFill/>
                          <a:ln w="28575">
                            <a:solidFill>
                              <a:schemeClr val="accent3">
                                <a:lumMod val="75000"/>
                              </a:schemeClr>
                            </a:solidFill>
                          </a:ln>
                          <a:extLst>
                            <a:ext uri="{53640926-AAD7-44D8-BBD7-CCE9431645EC}">
                              <a14:shadowObscured xmlns:a14="http://schemas.microsoft.com/office/drawing/2010/main"/>
                            </a:ext>
                          </a:extLst>
                        </pic:spPr>
                      </pic:pic>
                      <pic:pic xmlns:pic="http://schemas.openxmlformats.org/drawingml/2006/picture">
                        <pic:nvPicPr>
                          <pic:cNvPr id="142" name="Picture 142"/>
                          <pic:cNvPicPr>
                            <a:picLocks noChangeAspect="1"/>
                          </pic:cNvPicPr>
                        </pic:nvPicPr>
                        <pic:blipFill rotWithShape="1">
                          <a:blip r:embed="rId164" cstate="print">
                            <a:alphaModFix amt="5000"/>
                            <a:extLst>
                              <a:ext uri="{28A0092B-C50C-407E-A947-70E740481C1C}">
                                <a14:useLocalDpi xmlns:a14="http://schemas.microsoft.com/office/drawing/2010/main" val="0"/>
                              </a:ext>
                            </a:extLst>
                          </a:blip>
                          <a:srcRect l="53435" t="49103" r="28252" b="36623"/>
                          <a:stretch/>
                        </pic:blipFill>
                        <pic:spPr bwMode="auto">
                          <a:xfrm>
                            <a:off x="3194138" y="3431087"/>
                            <a:ext cx="722515" cy="640057"/>
                          </a:xfrm>
                          <a:prstGeom prst="rect">
                            <a:avLst/>
                          </a:prstGeom>
                          <a:noFill/>
                          <a:ln w="28575">
                            <a:solidFill>
                              <a:schemeClr val="accent3">
                                <a:lumMod val="75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4D98618">
              <v:group id="Group 150" style="position:absolute;margin-left:154pt;margin-top:13.2pt;width:293.9pt;height:334.05pt;z-index:251738112;mso-position-horizontal-relative:margin;mso-width-relative:margin;mso-height-relative:margin" coordsize="57315,65138" o:spid="_x0000_s1026" w14:anchorId="1FC05BA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VBLAwQKAAAAAAAAACEAD0dSQ0PAAgBDwAIAFQAAAGRycy9tZWRpYS9pbWFnZTMu&#10;anBlZ//Y/+AAEEpGSUYAAQEBANwA3AAA/9sAQwACAQEBAQECAQEBAgICAgIEAwICAgIFBAQDBAYF&#10;BgYGBQYGBgcJCAYHCQcGBggLCAkKCgoKCgYICwwLCgwJCgoK/9sAQwECAgICAgIFAwMFCgcGBwoK&#10;CgoKCgoKCgoKCgoKCgoKCgoKCgoKCgoKCgoKCgoKCgoKCgoKCgoKCgoKCgoKCgoK/8AAEQgCvAJ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">
                <v:shape id="Picture 136" style="position:absolute;width:57315;height:6513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">
                  <v:imagedata o:title="" r:id="rId165"/>
                </v:shape>
                <v:shape id="Picture 140" style="position:absolute;left:1580;top:3024;width:22963;height:23769;visibility:visible;mso-wrap-style:square" o:spid="_x0000_s1028" stroked="t" strokecolor="#b80e14 [2406]" strokeweight="2.2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">
                  <v:imagedata cropleft="37261f" croptop="34697f" cropright="21464f" cropbottom="24637f" o:title="" r:id="rId166"/>
                  <v:path arrowok="t"/>
                </v:shape>
                <v:shape id="Picture 142" style="position:absolute;left:31941;top:34310;width:7225;height:6401;visibility:visible;mso-wrap-style:square" o:spid="_x0000_s1029" stroked="t" strokecolor="#b80e14 [2406]" strokeweight="2.2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">
                  <v:imagedata cropleft="35019f" croptop="32180f" cropright="18515f" cropbottom="24001f" o:title="" r:id="rId167"/>
                  <v:path arrowok="t"/>
                </v:shape>
                <w10:wrap type="square" anchorx="margin"/>
              </v:group>
            </w:pict>
          </mc:Fallback>
        </mc:AlternateContent>
      </w:r>
    </w:p>
    <w:p w14:paraId="6BE61DE6" w14:textId="3DFDA0FA" w:rsidR="00BC4292" w:rsidRPr="00037C61" w:rsidRDefault="00061735" w:rsidP="00BC4292">
      <w:pPr>
        <w:jc w:val="left"/>
        <w:rPr>
          <w:lang w:val="en-GB"/>
        </w:rPr>
      </w:pPr>
      <w:r w:rsidRPr="00037C61">
        <w:rPr>
          <w:lang w:val="en-GB"/>
        </w:rPr>
        <w:t xml:space="preserve">According to ESPON (ESPON 1.3.1, 2005), and based on national expert opinion through the European Geological Surveys, </w:t>
      </w:r>
      <w:r w:rsidRPr="00037C61">
        <w:rPr>
          <w:b/>
          <w:bCs/>
          <w:lang w:val="en-GB"/>
        </w:rPr>
        <w:t>landslide hazard is low</w:t>
      </w:r>
      <w:r w:rsidRPr="00037C61">
        <w:rPr>
          <w:lang w:val="en-GB"/>
        </w:rPr>
        <w:t xml:space="preserve"> throughout the whole PA, with the exception of the Bihor county in Romania. </w:t>
      </w:r>
    </w:p>
    <w:p w14:paraId="7BE5E537" w14:textId="1EEAB437" w:rsidR="00BC4292" w:rsidRPr="00037C61" w:rsidRDefault="00061735" w:rsidP="005E0849">
      <w:pPr>
        <w:jc w:val="left"/>
        <w:rPr>
          <w:lang w:val="en-GB"/>
        </w:rPr>
      </w:pPr>
      <w:r w:rsidRPr="00037C61">
        <w:rPr>
          <w:lang w:val="en-GB"/>
        </w:rPr>
        <w:t xml:space="preserve">Concerning </w:t>
      </w:r>
      <w:r w:rsidRPr="00037C61">
        <w:rPr>
          <w:b/>
          <w:bCs/>
          <w:lang w:val="en-GB"/>
        </w:rPr>
        <w:t>landslide susceptibility,</w:t>
      </w:r>
      <w:r w:rsidRPr="00037C61">
        <w:rPr>
          <w:lang w:val="en-GB"/>
        </w:rPr>
        <w:t xml:space="preserve"> according to the Pan-European landslide susceptibility map (ELSUS Version 2, 2018), the Romanian counties (especially Timiș, Arad and Bihor) record a medium-to-high susceptibility along the riparian areas of the rivers Barcău, Crișul Negru, Crișul Alb, in the eastern areas of the counties, which are part of the geomorphological unit of the Apuseni Mountains. </w:t>
      </w:r>
    </w:p>
    <w:p w14:paraId="1212A2C6" w14:textId="3FD88977" w:rsidR="00F84602" w:rsidRPr="00037C61" w:rsidRDefault="00061735" w:rsidP="005E0849">
      <w:pPr>
        <w:pStyle w:val="Caption"/>
        <w:ind w:left="3119"/>
        <w:jc w:val="left"/>
        <w:rPr>
          <w:lang w:val="en-GB"/>
        </w:rPr>
      </w:pPr>
      <w:r w:rsidRPr="00037C61">
        <w:rPr>
          <w:lang w:val="en-GB"/>
        </w:rPr>
        <w:t>Source</w:t>
      </w:r>
      <w:r w:rsidR="00DF642F" w:rsidRPr="00037C61">
        <w:rPr>
          <w:lang w:val="en-GB"/>
        </w:rPr>
        <w:t>:</w:t>
      </w:r>
      <w:r w:rsidRPr="00037C61">
        <w:rPr>
          <w:lang w:val="en-GB"/>
        </w:rPr>
        <w:t> </w:t>
      </w:r>
      <w:r w:rsidR="00DF642F" w:rsidRPr="00037C61">
        <w:rPr>
          <w:lang w:val="en-GB"/>
        </w:rPr>
        <w:t xml:space="preserve">The Spatial Effects and Management of Natural and Technological Hazards in Europe - ESPON 1.3.1 </w:t>
      </w:r>
    </w:p>
    <w:p w14:paraId="4A4CF618" w14:textId="77777777" w:rsidR="00C15E52" w:rsidRDefault="00C15E52">
      <w:pPr>
        <w:rPr>
          <w:b/>
          <w:bCs/>
          <w:color w:val="FF0000"/>
          <w:highlight w:val="yellow"/>
          <w:lang w:val="en-GB"/>
        </w:rPr>
      </w:pPr>
    </w:p>
    <w:p w14:paraId="0EE88178" w14:textId="70900162" w:rsidR="00C15E52" w:rsidRDefault="00412697">
      <w:pPr>
        <w:rPr>
          <w:b/>
          <w:bCs/>
          <w:color w:val="FF0000"/>
          <w:lang w:val="en-GB"/>
        </w:rPr>
      </w:pPr>
      <w:r>
        <w:rPr>
          <w:noProof/>
          <w:lang w:val="ro-RO" w:eastAsia="ro-RO"/>
        </w:rPr>
        <mc:AlternateContent>
          <mc:Choice Requires="wps">
            <w:drawing>
              <wp:anchor distT="0" distB="0" distL="114300" distR="114300" simplePos="0" relativeHeight="251706880" behindDoc="0" locked="0" layoutInCell="1" allowOverlap="1" wp14:anchorId="5F91F8F2" wp14:editId="6497143D">
                <wp:simplePos x="0" y="0"/>
                <wp:positionH relativeFrom="column">
                  <wp:posOffset>2674620</wp:posOffset>
                </wp:positionH>
                <wp:positionV relativeFrom="paragraph">
                  <wp:posOffset>2846070</wp:posOffset>
                </wp:positionV>
                <wp:extent cx="309372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3093720" cy="635"/>
                        </a:xfrm>
                        <a:prstGeom prst="rect">
                          <a:avLst/>
                        </a:prstGeom>
                        <a:solidFill>
                          <a:prstClr val="white"/>
                        </a:solidFill>
                        <a:ln>
                          <a:noFill/>
                        </a:ln>
                      </wps:spPr>
                      <wps:txbx>
                        <w:txbxContent>
                          <w:p w14:paraId="4825E35B" w14:textId="00C2F770" w:rsidR="00944B4A" w:rsidRPr="00DB74BF" w:rsidRDefault="00944B4A" w:rsidP="00412697">
                            <w:pPr>
                              <w:pStyle w:val="Caption"/>
                              <w:rPr>
                                <w:lang w:val="en-GB"/>
                              </w:rPr>
                            </w:pPr>
                            <w:bookmarkStart w:id="682" w:name="_Toc64611026"/>
                            <w:r w:rsidRPr="00DB74BF">
                              <w:rPr>
                                <w:lang w:val="en-GB"/>
                              </w:rPr>
                              <w:t xml:space="preserve">Figure </w:t>
                            </w:r>
                            <w:r>
                              <w:fldChar w:fldCharType="begin"/>
                            </w:r>
                            <w:r w:rsidRPr="00DB74BF">
                              <w:rPr>
                                <w:lang w:val="en-GB"/>
                              </w:rPr>
                              <w:instrText xml:space="preserve"> SEQ Figure \* ARABIC </w:instrText>
                            </w:r>
                            <w:r>
                              <w:fldChar w:fldCharType="separate"/>
                            </w:r>
                            <w:r w:rsidRPr="00DB74BF">
                              <w:rPr>
                                <w:noProof/>
                                <w:lang w:val="en-GB"/>
                              </w:rPr>
                              <w:t>77</w:t>
                            </w:r>
                            <w:r>
                              <w:fldChar w:fldCharType="end"/>
                            </w:r>
                            <w:r w:rsidRPr="00DB74BF">
                              <w:rPr>
                                <w:lang w:val="en-GB"/>
                              </w:rPr>
                              <w:t xml:space="preserve"> – No. (left) and surface (right) burnt by wildfires</w:t>
                            </w:r>
                            <w:bookmarkEnd w:id="682"/>
                            <w:r w:rsidRPr="00DB74BF">
                              <w:rPr>
                                <w:lang w:val="en-GB"/>
                              </w:rPr>
                              <w:t xml:space="preserve"> </w:t>
                            </w:r>
                          </w:p>
                          <w:p w14:paraId="738A6655" w14:textId="6C1621FE" w:rsidR="00944B4A" w:rsidRPr="00DB74BF" w:rsidRDefault="00944B4A" w:rsidP="00DB74BF">
                            <w:pPr>
                              <w:pStyle w:val="Caption"/>
                              <w:rPr>
                                <w:lang w:val="fr-FR"/>
                              </w:rPr>
                            </w:pPr>
                            <w:r w:rsidRPr="00DB74BF">
                              <w:rPr>
                                <w:lang w:val="fr-FR"/>
                              </w:rPr>
                              <w:t>Source: effis.jrc.ec.europa.eu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91F8F2" id="Text Box 48" o:spid="_x0000_s1040" type="#_x0000_t202" style="position:absolute;left:0;text-align:left;margin-left:210.6pt;margin-top:224.1pt;width:243.6pt;height:.05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" stroked="f">
                <v:textbox style="mso-fit-shape-to-text:t" inset="0,0,0,0">
                  <w:txbxContent>
                    <w:p w14:paraId="4825E35B" w14:textId="00C2F770" w:rsidR="00944B4A" w:rsidRPr="00DB74BF" w:rsidRDefault="00944B4A" w:rsidP="00412697">
                      <w:pPr>
                        <w:pStyle w:val="Didascalia"/>
                        <w:rPr>
                          <w:lang w:val="en-GB"/>
                        </w:rPr>
                      </w:pPr>
                      <w:bookmarkStart w:id="728" w:name="_Toc64611026"/>
                      <w:r w:rsidRPr="00DB74BF">
                        <w:rPr>
                          <w:lang w:val="en-GB"/>
                        </w:rPr>
                        <w:t xml:space="preserve">Figure </w:t>
                      </w:r>
                      <w:r>
                        <w:fldChar w:fldCharType="begin"/>
                      </w:r>
                      <w:r w:rsidRPr="00DB74BF">
                        <w:rPr>
                          <w:lang w:val="en-GB"/>
                        </w:rPr>
                        <w:instrText xml:space="preserve"> SEQ Figure \* ARABIC </w:instrText>
                      </w:r>
                      <w:r>
                        <w:fldChar w:fldCharType="separate"/>
                      </w:r>
                      <w:r w:rsidRPr="00DB74BF">
                        <w:rPr>
                          <w:noProof/>
                          <w:lang w:val="en-GB"/>
                        </w:rPr>
                        <w:t>77</w:t>
                      </w:r>
                      <w:r>
                        <w:fldChar w:fldCharType="end"/>
                      </w:r>
                      <w:r w:rsidRPr="00DB74BF">
                        <w:rPr>
                          <w:lang w:val="en-GB"/>
                        </w:rPr>
                        <w:t xml:space="preserve"> – No. (left) and surface (right) burnt by wildfires</w:t>
                      </w:r>
                      <w:bookmarkEnd w:id="728"/>
                      <w:r w:rsidRPr="00DB74BF">
                        <w:rPr>
                          <w:lang w:val="en-GB"/>
                        </w:rPr>
                        <w:t xml:space="preserve"> </w:t>
                      </w:r>
                    </w:p>
                    <w:p w14:paraId="738A6655" w14:textId="6C1621FE" w:rsidR="00944B4A" w:rsidRPr="00DB74BF" w:rsidRDefault="00944B4A" w:rsidP="00DB74BF">
                      <w:pPr>
                        <w:pStyle w:val="Didascalia"/>
                        <w:rPr>
                          <w:lang w:val="fr-FR"/>
                        </w:rPr>
                      </w:pPr>
                      <w:r w:rsidRPr="00DB74BF">
                        <w:rPr>
                          <w:lang w:val="fr-FR"/>
                        </w:rPr>
                        <w:t>Source: effis.jrc.ec.europa.eu</w:t>
                      </w:r>
                    </w:p>
                  </w:txbxContent>
                </v:textbox>
                <w10:wrap type="square"/>
              </v:shape>
            </w:pict>
          </mc:Fallback>
        </mc:AlternateContent>
      </w:r>
      <w:r w:rsidRPr="00DB74BF">
        <w:rPr>
          <w:noProof/>
          <w:sz w:val="20"/>
          <w:szCs w:val="20"/>
          <w:lang w:val="ro-RO" w:eastAsia="ro-RO"/>
        </w:rPr>
        <w:drawing>
          <wp:anchor distT="0" distB="0" distL="114300" distR="114300" simplePos="0" relativeHeight="251704832" behindDoc="0" locked="0" layoutInCell="1" allowOverlap="1" wp14:anchorId="724D3A0C" wp14:editId="6B6F64E5">
            <wp:simplePos x="0" y="0"/>
            <wp:positionH relativeFrom="column">
              <wp:posOffset>2674620</wp:posOffset>
            </wp:positionH>
            <wp:positionV relativeFrom="paragraph">
              <wp:posOffset>68580</wp:posOffset>
            </wp:positionV>
            <wp:extent cx="3093720" cy="2743200"/>
            <wp:effectExtent l="0" t="0" r="11430" b="0"/>
            <wp:wrapSquare wrapText="bothSides"/>
            <wp:docPr id="5" name="Chart 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34BC5A-93F9-4ABE-B784-FB37838058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14:sizeRelV relativeFrom="margin">
              <wp14:pctHeight>0</wp14:pctHeight>
            </wp14:sizeRelV>
          </wp:anchor>
        </w:drawing>
      </w:r>
      <w:r w:rsidR="00C15E52">
        <w:rPr>
          <w:b/>
          <w:bCs/>
          <w:color w:val="FF0000"/>
          <w:lang w:val="en-GB"/>
        </w:rPr>
        <w:t xml:space="preserve">Wildfire risk </w:t>
      </w:r>
    </w:p>
    <w:p w14:paraId="1C33F2CB" w14:textId="07CB4B0C" w:rsidR="00C15E52" w:rsidRDefault="00C15E52" w:rsidP="00C15E52">
      <w:pPr>
        <w:jc w:val="left"/>
        <w:rPr>
          <w:lang w:val="en-GB"/>
        </w:rPr>
      </w:pPr>
      <w:r w:rsidRPr="00DB74BF">
        <w:rPr>
          <w:lang w:val="en-GB"/>
        </w:rPr>
        <w:t xml:space="preserve">Forest fires have multiplied in the last few decades in </w:t>
      </w:r>
      <w:r>
        <w:rPr>
          <w:lang w:val="en-GB"/>
        </w:rPr>
        <w:t xml:space="preserve">both Romania as well as </w:t>
      </w:r>
      <w:r w:rsidRPr="00DB74BF">
        <w:rPr>
          <w:lang w:val="en-GB"/>
        </w:rPr>
        <w:t>Hungary</w:t>
      </w:r>
      <w:r w:rsidR="00412697">
        <w:rPr>
          <w:lang w:val="en-GB"/>
        </w:rPr>
        <w:t>, albeit with a much stronger increase in the former</w:t>
      </w:r>
      <w:r w:rsidRPr="00DB74BF">
        <w:rPr>
          <w:lang w:val="en-GB"/>
        </w:rPr>
        <w:t xml:space="preserve">. The </w:t>
      </w:r>
      <w:r w:rsidR="00412697">
        <w:rPr>
          <w:lang w:val="en-GB"/>
        </w:rPr>
        <w:t xml:space="preserve">overall </w:t>
      </w:r>
      <w:r w:rsidRPr="00DB74BF">
        <w:rPr>
          <w:lang w:val="en-GB"/>
        </w:rPr>
        <w:t xml:space="preserve">reasons can be found in climate extremities, less precipitation, the increase of mean annual temperature and a series of winters without snowfall. </w:t>
      </w:r>
      <w:r w:rsidR="00412697">
        <w:rPr>
          <w:lang w:val="en-GB"/>
        </w:rPr>
        <w:t xml:space="preserve">Differences between the Romanian and Hungarian incidence of wildfires are, amongst others, attributable to the difference in forest coverage. </w:t>
      </w:r>
      <w:r w:rsidRPr="00DB74BF">
        <w:rPr>
          <w:lang w:val="en-GB"/>
        </w:rPr>
        <w:t>Due to the warming, the dangerous period of wildfires ha</w:t>
      </w:r>
      <w:r>
        <w:rPr>
          <w:lang w:val="en-GB"/>
        </w:rPr>
        <w:t xml:space="preserve">s </w:t>
      </w:r>
      <w:r w:rsidRPr="00DB74BF">
        <w:rPr>
          <w:lang w:val="en-GB"/>
        </w:rPr>
        <w:t xml:space="preserve">extended, </w:t>
      </w:r>
      <w:r>
        <w:rPr>
          <w:lang w:val="en-GB"/>
        </w:rPr>
        <w:t xml:space="preserve">which poses a concern to the environment as well as the socio-economic activities and safety of human settlements. </w:t>
      </w:r>
    </w:p>
    <w:p w14:paraId="61D693A0" w14:textId="79DABD8A" w:rsidR="00C15E52" w:rsidRPr="00DB74BF" w:rsidRDefault="00412697" w:rsidP="00C15E52">
      <w:pPr>
        <w:jc w:val="left"/>
        <w:rPr>
          <w:lang w:val="ro-RO"/>
        </w:rPr>
      </w:pPr>
      <w:r>
        <w:rPr>
          <w:lang w:val="en-GB"/>
        </w:rPr>
        <w:lastRenderedPageBreak/>
        <w:t>Analysing the evolution of the number of wildfires over the course of the last decade, at national level, this increasing trend becomes obvious. The disparity between the countries is equally highlighted in the analysis of the wildfire burnt areas over the course of 2020, which highlights a prevalence of wildfires in the area of the Apuseni mountains (</w:t>
      </w:r>
      <w:r>
        <w:rPr>
          <w:lang w:val="ro-RO"/>
        </w:rPr>
        <w:t xml:space="preserve">Timiș, Arad) and also in the territory between Arad and Timișoara. </w:t>
      </w:r>
    </w:p>
    <w:p w14:paraId="1FFA8202" w14:textId="4F2C2E9F" w:rsidR="00C15E52" w:rsidRPr="00DB74BF" w:rsidRDefault="00C15E52" w:rsidP="00DB74BF">
      <w:pPr>
        <w:pStyle w:val="Caption"/>
        <w:keepNext/>
        <w:jc w:val="both"/>
        <w:rPr>
          <w:lang w:val="en-GB"/>
        </w:rPr>
      </w:pPr>
      <w:bookmarkStart w:id="683" w:name="_Toc64611027"/>
      <w:r w:rsidRPr="00DB74BF">
        <w:rPr>
          <w:lang w:val="en-GB"/>
        </w:rPr>
        <w:t xml:space="preserve">Figure </w:t>
      </w:r>
      <w:r w:rsidR="00412697">
        <w:fldChar w:fldCharType="begin"/>
      </w:r>
      <w:r w:rsidR="00412697" w:rsidRPr="00DB74BF">
        <w:rPr>
          <w:lang w:val="en-GB"/>
        </w:rPr>
        <w:instrText xml:space="preserve"> SEQ Figure \* ARABIC </w:instrText>
      </w:r>
      <w:r w:rsidR="00412697">
        <w:fldChar w:fldCharType="separate"/>
      </w:r>
      <w:r w:rsidR="00412697" w:rsidRPr="00DB74BF">
        <w:rPr>
          <w:noProof/>
          <w:lang w:val="en-GB"/>
        </w:rPr>
        <w:t>78</w:t>
      </w:r>
      <w:r w:rsidR="00412697">
        <w:fldChar w:fldCharType="end"/>
      </w:r>
      <w:r w:rsidRPr="00DB74BF">
        <w:rPr>
          <w:lang w:val="en-GB"/>
        </w:rPr>
        <w:t xml:space="preserve"> - Wildfire burnt areas over the course of 2020 (1 Jan - 31 Dec) as identified through MODIS and VIIRS</w:t>
      </w:r>
      <w:bookmarkEnd w:id="683"/>
      <w:r w:rsidRPr="00DB74BF">
        <w:rPr>
          <w:lang w:val="en-GB"/>
        </w:rPr>
        <w:t xml:space="preserve"> </w:t>
      </w:r>
    </w:p>
    <w:p w14:paraId="76D5C406" w14:textId="6A1DE9BB" w:rsidR="00434158" w:rsidRDefault="00C15E52" w:rsidP="00DB74BF">
      <w:pPr>
        <w:spacing w:after="0"/>
        <w:rPr>
          <w:lang w:val="en-GB"/>
        </w:rPr>
      </w:pPr>
      <w:r>
        <w:rPr>
          <w:noProof/>
          <w:lang w:val="ro-RO" w:eastAsia="ro-RO"/>
        </w:rPr>
        <w:drawing>
          <wp:inline distT="0" distB="0" distL="0" distR="0" wp14:anchorId="3D22B587" wp14:editId="585904E7">
            <wp:extent cx="5722620" cy="56997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22620" cy="5699760"/>
                    </a:xfrm>
                    <a:prstGeom prst="rect">
                      <a:avLst/>
                    </a:prstGeom>
                    <a:noFill/>
                    <a:ln>
                      <a:noFill/>
                    </a:ln>
                  </pic:spPr>
                </pic:pic>
              </a:graphicData>
            </a:graphic>
          </wp:inline>
        </w:drawing>
      </w:r>
    </w:p>
    <w:p w14:paraId="4BF9B45A" w14:textId="20336259" w:rsidR="00F16D33" w:rsidRPr="008B195A" w:rsidRDefault="00C15E52" w:rsidP="00DB74BF">
      <w:pPr>
        <w:pStyle w:val="Caption"/>
        <w:keepNext/>
        <w:jc w:val="both"/>
        <w:rPr>
          <w:lang w:val="en-GB"/>
        </w:rPr>
      </w:pPr>
      <w:r w:rsidRPr="008B195A">
        <w:rPr>
          <w:lang w:val="en-GB"/>
        </w:rPr>
        <w:t xml:space="preserve">Source: Global Wildfire Information System, </w:t>
      </w:r>
      <w:hyperlink r:id="rId170" w:history="1">
        <w:r w:rsidRPr="00DB74BF">
          <w:rPr>
            <w:lang w:val="en-GB"/>
          </w:rPr>
          <w:t>https://gwis.jrc.ec.europa.eu/static/gwis_current_situation/public/index.html</w:t>
        </w:r>
      </w:hyperlink>
      <w:r w:rsidRPr="008B195A">
        <w:rPr>
          <w:lang w:val="en-GB"/>
        </w:rPr>
        <w:t xml:space="preserve"> </w:t>
      </w:r>
    </w:p>
    <w:p w14:paraId="25C0C78B" w14:textId="77777777" w:rsidR="00F16D33" w:rsidRPr="00037C61" w:rsidRDefault="00F16D33" w:rsidP="005E0849">
      <w:pPr>
        <w:rPr>
          <w:lang w:val="en-GB"/>
        </w:rPr>
      </w:pPr>
    </w:p>
    <w:p w14:paraId="4DBE2BAB" w14:textId="7A97F5D1" w:rsidR="006B184D" w:rsidRPr="00037C61" w:rsidRDefault="086A48B6" w:rsidP="086A48B6">
      <w:pPr>
        <w:spacing w:line="257" w:lineRule="auto"/>
        <w:rPr>
          <w:lang w:val="en-GB"/>
        </w:rPr>
      </w:pPr>
      <w:r w:rsidRPr="00037C61">
        <w:rPr>
          <w:rFonts w:eastAsiaTheme="majorEastAsia" w:cstheme="majorBidi"/>
          <w:b/>
          <w:bCs/>
          <w:color w:val="023B7A" w:themeColor="accent1" w:themeShade="BF"/>
          <w:lang w:val="en-GB"/>
        </w:rPr>
        <w:t>Invasive alien plant species in Europe</w:t>
      </w:r>
    </w:p>
    <w:p w14:paraId="7D0A67B4" w14:textId="77777777" w:rsidR="000A1174" w:rsidRPr="00037C61" w:rsidRDefault="086A48B6" w:rsidP="000A1174">
      <w:pPr>
        <w:spacing w:line="257" w:lineRule="auto"/>
        <w:rPr>
          <w:rFonts w:eastAsiaTheme="minorEastAsia"/>
          <w:lang w:val="en-GB"/>
        </w:rPr>
      </w:pPr>
      <w:r w:rsidRPr="00037C61">
        <w:rPr>
          <w:rFonts w:eastAsiaTheme="minorEastAsia"/>
          <w:lang w:val="en-GB"/>
        </w:rPr>
        <w:t xml:space="preserve">Based on the 2010 study of the European Commission regarding the specific indicator assessment Invasive alien plant species in Europe, the PA confronts with concerning issues regarding the distribution of new, non-native plant species. </w:t>
      </w:r>
    </w:p>
    <w:p w14:paraId="4433E53C" w14:textId="56D771A0" w:rsidR="0032601C" w:rsidRPr="00037C61" w:rsidRDefault="000A1174" w:rsidP="000A1174">
      <w:pPr>
        <w:spacing w:line="257" w:lineRule="auto"/>
        <w:rPr>
          <w:rFonts w:eastAsiaTheme="minorEastAsia"/>
          <w:lang w:val="en-GB"/>
        </w:rPr>
      </w:pPr>
      <w:r w:rsidRPr="00037C61">
        <w:rPr>
          <w:rFonts w:eastAsiaTheme="minorEastAsia"/>
          <w:lang w:val="en-GB"/>
        </w:rPr>
        <w:t xml:space="preserve">Invasive alien species and introduced non-native species (IAS) are non-native plants, animals, pathogens and other species that may cause harm to the native biodiversity and ecosystems of </w:t>
      </w:r>
      <w:r w:rsidRPr="00037C61">
        <w:rPr>
          <w:rFonts w:eastAsiaTheme="minorEastAsia"/>
          <w:lang w:val="en-GB"/>
        </w:rPr>
        <w:lastRenderedPageBreak/>
        <w:t>Europe. Damage can result from the competition  between these species and native species for food; from their consumption; through the spread of disease; through genetic changes caused by interbreeding with native species; and as a result of the disruption of various aspects of the food web and the physical environment. IAS may ultimately lead to the loss of biodiversity and are considered to be the second-most significant cause of biodiversity loss worldwide, after direct habitat loss and degradation. This represents one important concern that has to be considered in the context of climate change (increasing temperatures can be one of the factors that facilitate the grow of non-native plant species, that also has an impact of the animal species movement/migration).</w:t>
      </w:r>
    </w:p>
    <w:p w14:paraId="627657EF" w14:textId="77777777" w:rsidR="009E24B4" w:rsidRPr="00037C61" w:rsidRDefault="086A48B6" w:rsidP="086A48B6">
      <w:pPr>
        <w:spacing w:line="257" w:lineRule="auto"/>
        <w:rPr>
          <w:rFonts w:eastAsiaTheme="minorEastAsia"/>
          <w:lang w:val="en-GB"/>
        </w:rPr>
      </w:pPr>
      <w:r w:rsidRPr="00037C61">
        <w:rPr>
          <w:rFonts w:eastAsiaTheme="minorEastAsia"/>
          <w:lang w:val="en-GB"/>
        </w:rPr>
        <w:t xml:space="preserve">Analyzing the map, we can observe that the most affected areas are in the low altitudinal hill and plain geographical regions. </w:t>
      </w:r>
      <w:r w:rsidR="000A1174" w:rsidRPr="00037C61">
        <w:rPr>
          <w:rFonts w:eastAsiaTheme="minorEastAsia"/>
          <w:lang w:val="en-GB"/>
        </w:rPr>
        <w:t xml:space="preserve">At the programme area, the level of invasion of IAS is over 5%. </w:t>
      </w:r>
    </w:p>
    <w:p w14:paraId="5CE3247F" w14:textId="7ADED0BA" w:rsidR="086A48B6" w:rsidRPr="00037C61" w:rsidRDefault="086A48B6" w:rsidP="086A48B6">
      <w:pPr>
        <w:spacing w:line="257" w:lineRule="auto"/>
        <w:rPr>
          <w:rFonts w:eastAsiaTheme="minorEastAsia"/>
          <w:lang w:val="en-GB"/>
        </w:rPr>
      </w:pPr>
      <w:r w:rsidRPr="00037C61">
        <w:rPr>
          <w:rFonts w:eastAsiaTheme="minorEastAsia"/>
          <w:lang w:val="en-GB"/>
        </w:rPr>
        <w:t xml:space="preserve">A relatively constant proportion of the alien species established cause significant damage to native biodiversity, i.e can be classified as invasive alien species according to the Convention on Biological Diversity. </w:t>
      </w:r>
      <w:r w:rsidRPr="00037C61">
        <w:rPr>
          <w:rFonts w:eastAsiaTheme="minorEastAsia"/>
          <w:i/>
          <w:iCs/>
          <w:lang w:val="en-GB"/>
        </w:rPr>
        <w:t>This increase in the number of alien species established thus implies a growing potential risk of damage to native biodiversity caused by invasive alien species</w:t>
      </w:r>
      <w:r w:rsidR="000A1174" w:rsidRPr="00037C61">
        <w:rPr>
          <w:rStyle w:val="FootnoteReference"/>
          <w:rFonts w:eastAsiaTheme="minorEastAsia"/>
          <w:lang w:val="en-GB"/>
        </w:rPr>
        <w:footnoteReference w:id="29"/>
      </w:r>
      <w:r w:rsidRPr="00037C61">
        <w:rPr>
          <w:rFonts w:eastAsiaTheme="minorEastAsia"/>
          <w:lang w:val="en-GB"/>
        </w:rPr>
        <w:t xml:space="preserve">. </w:t>
      </w:r>
    </w:p>
    <w:p w14:paraId="50FA78C3" w14:textId="36E60153" w:rsidR="009E24B4" w:rsidRPr="00037C61" w:rsidRDefault="009E24B4" w:rsidP="086A48B6">
      <w:pPr>
        <w:spacing w:line="257" w:lineRule="auto"/>
        <w:rPr>
          <w:lang w:val="en-GB"/>
        </w:rPr>
      </w:pPr>
      <w:r w:rsidRPr="00037C61">
        <w:rPr>
          <w:rFonts w:eastAsiaTheme="minorEastAsia"/>
          <w:lang w:val="en-GB"/>
        </w:rPr>
        <w:t>The topographic transition from west (plains) to east (mountains) overlays with the most affected areas by non-native species. As a result, the mountain area has low degree of IAS.</w:t>
      </w:r>
    </w:p>
    <w:p w14:paraId="446C1590" w14:textId="77777777" w:rsidR="0032601C" w:rsidRPr="00037C61" w:rsidRDefault="086A48B6" w:rsidP="0032601C">
      <w:pPr>
        <w:keepNext/>
        <w:spacing w:line="257" w:lineRule="auto"/>
        <w:jc w:val="center"/>
        <w:rPr>
          <w:lang w:val="en-GB"/>
        </w:rPr>
      </w:pPr>
      <w:r w:rsidRPr="00037C61">
        <w:rPr>
          <w:noProof/>
          <w:lang w:val="ro-RO" w:eastAsia="ro-RO"/>
        </w:rPr>
        <w:drawing>
          <wp:inline distT="0" distB="0" distL="0" distR="0" wp14:anchorId="4E7D2B80" wp14:editId="256C1B74">
            <wp:extent cx="5582093" cy="3548020"/>
            <wp:effectExtent l="0" t="0" r="0" b="0"/>
            <wp:docPr id="1649911400" name="Picture 164991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5603870" cy="3561861"/>
                    </a:xfrm>
                    <a:prstGeom prst="rect">
                      <a:avLst/>
                    </a:prstGeom>
                  </pic:spPr>
                </pic:pic>
              </a:graphicData>
            </a:graphic>
          </wp:inline>
        </w:drawing>
      </w:r>
    </w:p>
    <w:p w14:paraId="52EF0E70" w14:textId="7A91ACDF" w:rsidR="0032601C" w:rsidRPr="00037C61" w:rsidRDefault="0032601C" w:rsidP="0032601C">
      <w:pPr>
        <w:pStyle w:val="Caption"/>
        <w:jc w:val="left"/>
        <w:rPr>
          <w:lang w:val="en-GB"/>
        </w:rPr>
      </w:pPr>
      <w:bookmarkStart w:id="684" w:name="_Toc6461102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79</w:t>
      </w:r>
      <w:r w:rsidR="00412697">
        <w:rPr>
          <w:lang w:val="en-GB"/>
        </w:rPr>
        <w:fldChar w:fldCharType="end"/>
      </w:r>
      <w:r w:rsidRPr="00037C61">
        <w:rPr>
          <w:lang w:val="en-GB"/>
        </w:rPr>
        <w:t xml:space="preserve"> - European map estimating the level of invasion by alien plant species</w:t>
      </w:r>
      <w:bookmarkEnd w:id="684"/>
      <w:r w:rsidRPr="00037C61">
        <w:rPr>
          <w:lang w:val="en-GB"/>
        </w:rPr>
        <w:t xml:space="preserve"> </w:t>
      </w:r>
    </w:p>
    <w:p w14:paraId="6C2C954B" w14:textId="507FD3D9" w:rsidR="0032601C" w:rsidRPr="00DB74BF" w:rsidRDefault="0032601C" w:rsidP="0032601C">
      <w:pPr>
        <w:pStyle w:val="Caption"/>
        <w:jc w:val="left"/>
        <w:rPr>
          <w:lang w:val="fr-FR"/>
        </w:rPr>
      </w:pPr>
      <w:r w:rsidRPr="00DB74BF">
        <w:rPr>
          <w:lang w:val="fr-FR"/>
        </w:rPr>
        <w:t xml:space="preserve">Source: </w:t>
      </w:r>
      <w:hyperlink r:id="rId172" w:history="1">
        <w:r w:rsidRPr="00DB74BF">
          <w:rPr>
            <w:rStyle w:val="Hyperlink"/>
            <w:lang w:val="fr-FR"/>
          </w:rPr>
          <w:t>https://www.eea.europa.eu/data-and-maps/figures/european-map-estimating-the-level/european-map-estimating-the-level</w:t>
        </w:r>
      </w:hyperlink>
    </w:p>
    <w:p w14:paraId="590019BB" w14:textId="68C0421B" w:rsidR="086A48B6" w:rsidRPr="00DB74BF" w:rsidRDefault="086A48B6" w:rsidP="0032601C">
      <w:pPr>
        <w:pStyle w:val="Caption"/>
        <w:rPr>
          <w:lang w:val="fr-FR"/>
        </w:rPr>
      </w:pPr>
    </w:p>
    <w:p w14:paraId="32B4F2FB" w14:textId="62AC2385" w:rsidR="0032601C" w:rsidRPr="00037C61" w:rsidRDefault="000A1174" w:rsidP="0032601C">
      <w:pPr>
        <w:rPr>
          <w:lang w:val="en-GB"/>
        </w:rPr>
      </w:pPr>
      <w:r w:rsidRPr="00037C61">
        <w:rPr>
          <w:lang w:val="en-GB"/>
        </w:rPr>
        <w:t xml:space="preserve">However, regarding the potential level of invasive alien species-related pressures on forest ecosystems in the programme area, this is moderate level. That is because old forests pay a very </w:t>
      </w:r>
      <w:r w:rsidRPr="00037C61">
        <w:rPr>
          <w:lang w:val="en-GB"/>
        </w:rPr>
        <w:lastRenderedPageBreak/>
        <w:t xml:space="preserve">important role in limiting invasion of IAS; old forest are vital for forest biota, particularly many rare and threatened species. </w:t>
      </w:r>
    </w:p>
    <w:p w14:paraId="00DB8082" w14:textId="005E61EF" w:rsidR="000A1174" w:rsidRPr="00037C61" w:rsidRDefault="000A1174" w:rsidP="0032601C">
      <w:pPr>
        <w:rPr>
          <w:lang w:val="en-GB"/>
        </w:rPr>
      </w:pPr>
      <w:r w:rsidRPr="00037C61">
        <w:rPr>
          <w:lang w:val="en-GB"/>
        </w:rPr>
        <w:t>In order to preserve biodiversity, the importance of old trees is well recognized. For instance, the old forests of Romania are home to up to 13 000 species (</w:t>
      </w:r>
      <w:r w:rsidRPr="00037C61">
        <w:rPr>
          <w:lang w:val="en-GB"/>
        </w:rPr>
        <w:fldChar w:fldCharType="begin"/>
      </w:r>
      <w:r w:rsidRPr="00037C61">
        <w:rPr>
          <w:lang w:val="en-GB"/>
        </w:rPr>
        <w:instrText xml:space="preserve"> REF _Ref58239246 \h </w:instrText>
      </w:r>
      <w:r w:rsidRPr="00037C61">
        <w:rPr>
          <w:lang w:val="en-GB"/>
        </w:rPr>
      </w:r>
      <w:r w:rsidRPr="00037C61">
        <w:rPr>
          <w:lang w:val="en-GB"/>
        </w:rPr>
        <w:fldChar w:fldCharType="separate"/>
      </w:r>
      <w:r w:rsidRPr="00037C61">
        <w:rPr>
          <w:lang w:val="en-GB"/>
        </w:rPr>
        <w:t xml:space="preserve">Figure </w:t>
      </w:r>
      <w:r w:rsidRPr="00037C61">
        <w:rPr>
          <w:noProof/>
          <w:lang w:val="en-GB"/>
        </w:rPr>
        <w:t>79</w:t>
      </w:r>
      <w:r w:rsidRPr="00037C61">
        <w:rPr>
          <w:lang w:val="en-GB"/>
        </w:rPr>
        <w:t xml:space="preserve"> - The classification of forests, per country, according to their degree of naturalness in 2015</w:t>
      </w:r>
      <w:r w:rsidRPr="00037C61">
        <w:rPr>
          <w:lang w:val="en-GB"/>
        </w:rPr>
        <w:fldChar w:fldCharType="end"/>
      </w:r>
      <w:r w:rsidRPr="00037C61">
        <w:rPr>
          <w:lang w:val="en-GB"/>
        </w:rPr>
        <w:t>). Ancient forests also have a higher volume of deadwood, which forms microhabitats for many species including fungi, lichens, ferns and invertebrates, as well as woodpeckers and beetles. Old forests are also important for their aesthetic, cultural and nature conservation values. The largest undisturbed forests are located in Bulgaria, Estonia, Finland, Romania, Slovenia, Sweden and Turkey.</w:t>
      </w:r>
    </w:p>
    <w:p w14:paraId="4D9D05A5" w14:textId="77777777" w:rsidR="000A1174" w:rsidRPr="00037C61" w:rsidRDefault="000A1174" w:rsidP="000A1174">
      <w:pPr>
        <w:keepNext/>
        <w:spacing w:after="0"/>
        <w:jc w:val="center"/>
        <w:rPr>
          <w:lang w:val="en-GB"/>
        </w:rPr>
      </w:pPr>
      <w:r w:rsidRPr="00037C61">
        <w:rPr>
          <w:rFonts w:ascii="Times New Roman" w:hAnsi="Times New Roman" w:cs="Times New Roman"/>
          <w:noProof/>
          <w:lang w:val="ro-RO" w:eastAsia="ro-RO"/>
        </w:rPr>
        <w:drawing>
          <wp:inline distT="0" distB="0" distL="0" distR="0" wp14:anchorId="5CB44238" wp14:editId="5CD332E5">
            <wp:extent cx="5587365" cy="3614205"/>
            <wp:effectExtent l="0" t="0" r="0" b="5715"/>
            <wp:docPr id="1490160128" name="Picture 1490160128"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map&#10;&#10;Description automatically generated"/>
                    <pic:cNvPicPr/>
                  </pic:nvPicPr>
                  <pic:blipFill rotWithShape="1">
                    <a:blip r:embed="rId173" cstate="print">
                      <a:extLst>
                        <a:ext uri="{28A0092B-C50C-407E-A947-70E740481C1C}">
                          <a14:useLocalDpi xmlns:a14="http://schemas.microsoft.com/office/drawing/2010/main" val="0"/>
                        </a:ext>
                      </a:extLst>
                    </a:blip>
                    <a:srcRect l="11966" t="15955" r="11987" b="5336"/>
                    <a:stretch/>
                  </pic:blipFill>
                  <pic:spPr bwMode="auto">
                    <a:xfrm>
                      <a:off x="0" y="0"/>
                      <a:ext cx="5599261" cy="3621900"/>
                    </a:xfrm>
                    <a:prstGeom prst="rect">
                      <a:avLst/>
                    </a:prstGeom>
                    <a:ln>
                      <a:noFill/>
                    </a:ln>
                    <a:extLst>
                      <a:ext uri="{53640926-AAD7-44D8-BBD7-CCE9431645EC}">
                        <a14:shadowObscured xmlns:a14="http://schemas.microsoft.com/office/drawing/2010/main"/>
                      </a:ext>
                    </a:extLst>
                  </pic:spPr>
                </pic:pic>
              </a:graphicData>
            </a:graphic>
          </wp:inline>
        </w:drawing>
      </w:r>
    </w:p>
    <w:p w14:paraId="69A3166A" w14:textId="41A1E9D6" w:rsidR="000A1174" w:rsidRPr="00037C61" w:rsidRDefault="000A1174" w:rsidP="000A1174">
      <w:pPr>
        <w:pStyle w:val="Caption"/>
        <w:jc w:val="left"/>
        <w:rPr>
          <w:lang w:val="en-GB"/>
        </w:rPr>
      </w:pPr>
      <w:bookmarkStart w:id="685" w:name="_Toc6461102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80</w:t>
      </w:r>
      <w:r w:rsidR="00412697">
        <w:rPr>
          <w:lang w:val="en-GB"/>
        </w:rPr>
        <w:fldChar w:fldCharType="end"/>
      </w:r>
      <w:r w:rsidRPr="00037C61">
        <w:rPr>
          <w:lang w:val="en-GB"/>
        </w:rPr>
        <w:t xml:space="preserve"> - Potential level of invasive alien species-related pressures on forest ecosystems</w:t>
      </w:r>
      <w:bookmarkEnd w:id="685"/>
      <w:r w:rsidRPr="00037C61">
        <w:rPr>
          <w:lang w:val="en-GB"/>
        </w:rPr>
        <w:t xml:space="preserve"> </w:t>
      </w:r>
    </w:p>
    <w:p w14:paraId="794A45E4" w14:textId="0B6A8744" w:rsidR="000A1174" w:rsidRPr="00037C61" w:rsidRDefault="000A1174" w:rsidP="000A1174">
      <w:pPr>
        <w:pStyle w:val="Caption"/>
        <w:jc w:val="left"/>
        <w:rPr>
          <w:lang w:val="en-GB"/>
        </w:rPr>
      </w:pPr>
      <w:r w:rsidRPr="00037C61">
        <w:rPr>
          <w:lang w:val="en-GB"/>
        </w:rPr>
        <w:t>Source: European forest ecosystems - State and trends, EEA Report No 5/2016, ISSN 1977-8449</w:t>
      </w:r>
    </w:p>
    <w:p w14:paraId="14761928" w14:textId="77777777" w:rsidR="000A1174" w:rsidRPr="00037C61" w:rsidRDefault="000A1174" w:rsidP="000A1174">
      <w:pPr>
        <w:keepNext/>
        <w:spacing w:before="240" w:after="0"/>
        <w:jc w:val="center"/>
        <w:rPr>
          <w:lang w:val="en-GB"/>
        </w:rPr>
      </w:pPr>
      <w:r w:rsidRPr="00037C61">
        <w:rPr>
          <w:rFonts w:ascii="Times New Roman" w:hAnsi="Times New Roman" w:cs="Times New Roman"/>
          <w:noProof/>
          <w:lang w:val="ro-RO" w:eastAsia="ro-RO"/>
        </w:rPr>
        <w:lastRenderedPageBreak/>
        <w:drawing>
          <wp:inline distT="0" distB="0" distL="0" distR="0" wp14:anchorId="431C625A" wp14:editId="32F5FEFF">
            <wp:extent cx="4220845" cy="3413760"/>
            <wp:effectExtent l="0" t="0" r="0" b="2540"/>
            <wp:docPr id="1490160129" name="Picture 149016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74">
                      <a:extLst>
                        <a:ext uri="{28A0092B-C50C-407E-A947-70E740481C1C}">
                          <a14:useLocalDpi xmlns:a14="http://schemas.microsoft.com/office/drawing/2010/main" val="0"/>
                        </a:ext>
                      </a:extLst>
                    </a:blip>
                    <a:srcRect l="19543" t="19982" r="21693" b="3971"/>
                    <a:stretch/>
                  </pic:blipFill>
                  <pic:spPr bwMode="auto">
                    <a:xfrm>
                      <a:off x="0" y="0"/>
                      <a:ext cx="4229334" cy="3420626"/>
                    </a:xfrm>
                    <a:prstGeom prst="rect">
                      <a:avLst/>
                    </a:prstGeom>
                    <a:ln>
                      <a:noFill/>
                    </a:ln>
                    <a:extLst>
                      <a:ext uri="{53640926-AAD7-44D8-BBD7-CCE9431645EC}">
                        <a14:shadowObscured xmlns:a14="http://schemas.microsoft.com/office/drawing/2010/main"/>
                      </a:ext>
                    </a:extLst>
                  </pic:spPr>
                </pic:pic>
              </a:graphicData>
            </a:graphic>
          </wp:inline>
        </w:drawing>
      </w:r>
    </w:p>
    <w:p w14:paraId="4E9200F3" w14:textId="7B949646" w:rsidR="000A1174" w:rsidRPr="00037C61" w:rsidRDefault="000A1174" w:rsidP="000A1174">
      <w:pPr>
        <w:pStyle w:val="Caption"/>
        <w:jc w:val="left"/>
        <w:rPr>
          <w:lang w:val="en-GB"/>
        </w:rPr>
      </w:pPr>
      <w:bookmarkStart w:id="686" w:name="_Ref58239246"/>
      <w:bookmarkStart w:id="687" w:name="_Toc6461103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81</w:t>
      </w:r>
      <w:r w:rsidR="00412697">
        <w:rPr>
          <w:lang w:val="en-GB"/>
        </w:rPr>
        <w:fldChar w:fldCharType="end"/>
      </w:r>
      <w:r w:rsidRPr="00037C61">
        <w:rPr>
          <w:lang w:val="en-GB"/>
        </w:rPr>
        <w:t xml:space="preserve"> - The classification of forests, per country, according to their degree of naturalness in 2015</w:t>
      </w:r>
      <w:bookmarkEnd w:id="686"/>
      <w:bookmarkEnd w:id="687"/>
      <w:r w:rsidRPr="00037C61">
        <w:rPr>
          <w:lang w:val="en-GB"/>
        </w:rPr>
        <w:t xml:space="preserve"> </w:t>
      </w:r>
    </w:p>
    <w:p w14:paraId="6B0E1BF8" w14:textId="540A0090" w:rsidR="000A1174" w:rsidRPr="00037C61" w:rsidRDefault="000A1174" w:rsidP="000A1174">
      <w:pPr>
        <w:pStyle w:val="Caption"/>
        <w:jc w:val="left"/>
        <w:rPr>
          <w:lang w:val="en-GB"/>
        </w:rPr>
      </w:pPr>
      <w:r w:rsidRPr="00037C61">
        <w:rPr>
          <w:lang w:val="en-GB"/>
        </w:rPr>
        <w:t>Source: European forest ecosystems - State and trends, EEA Report No 5/2016, ISSN 1977-8449</w:t>
      </w:r>
    </w:p>
    <w:p w14:paraId="1EC4866E" w14:textId="77777777" w:rsidR="000A1174" w:rsidRPr="00037C61" w:rsidRDefault="000A1174" w:rsidP="000A1174">
      <w:pPr>
        <w:rPr>
          <w:lang w:val="en-GB"/>
        </w:rPr>
      </w:pPr>
    </w:p>
    <w:p w14:paraId="25EACB44" w14:textId="123D4843" w:rsidR="000A1174" w:rsidRPr="00037C61" w:rsidRDefault="000A1174" w:rsidP="000A1174">
      <w:pPr>
        <w:rPr>
          <w:lang w:val="en-GB"/>
        </w:rPr>
      </w:pPr>
      <w:r w:rsidRPr="00037C61">
        <w:rPr>
          <w:lang w:val="en-GB"/>
        </w:rPr>
        <w:t>However, as presented below (</w:t>
      </w:r>
      <w:r w:rsidRPr="00037C61">
        <w:rPr>
          <w:lang w:val="en-GB"/>
        </w:rPr>
        <w:fldChar w:fldCharType="begin"/>
      </w:r>
      <w:r w:rsidRPr="00037C61">
        <w:rPr>
          <w:lang w:val="en-GB"/>
        </w:rPr>
        <w:instrText xml:space="preserve"> REF _Ref58239351 \h </w:instrText>
      </w:r>
      <w:r w:rsidRPr="00037C61">
        <w:rPr>
          <w:lang w:val="en-GB"/>
        </w:rPr>
      </w:r>
      <w:r w:rsidRPr="00037C61">
        <w:rPr>
          <w:lang w:val="en-GB"/>
        </w:rPr>
        <w:fldChar w:fldCharType="separate"/>
      </w:r>
      <w:r w:rsidRPr="00037C61">
        <w:rPr>
          <w:lang w:val="en-GB"/>
        </w:rPr>
        <w:t xml:space="preserve">Figure </w:t>
      </w:r>
      <w:r w:rsidRPr="00037C61">
        <w:rPr>
          <w:noProof/>
          <w:lang w:val="en-GB"/>
        </w:rPr>
        <w:t>80</w:t>
      </w:r>
      <w:r w:rsidRPr="00037C61">
        <w:rPr>
          <w:lang w:val="en-GB"/>
        </w:rPr>
        <w:t xml:space="preserve"> - Percentage of forest areas within Natura 2000 site in the EU Member states in 2012</w:t>
      </w:r>
      <w:r w:rsidRPr="00037C61">
        <w:rPr>
          <w:lang w:val="en-GB"/>
        </w:rPr>
        <w:fldChar w:fldCharType="end"/>
      </w:r>
      <w:r w:rsidRPr="00037C61">
        <w:rPr>
          <w:lang w:val="en-GB"/>
        </w:rPr>
        <w:t>) the percentage of forest areas within Natura 2000 site in the EU Member states in 2012 reveals that in Hungary the percentage of 43% is much higher than in Romania where is 38,6%.</w:t>
      </w:r>
    </w:p>
    <w:p w14:paraId="780ADB06" w14:textId="7D1D2739" w:rsidR="000A1174" w:rsidRPr="00037C61" w:rsidRDefault="000A1174" w:rsidP="000A1174">
      <w:pPr>
        <w:rPr>
          <w:lang w:val="en-GB"/>
        </w:rPr>
      </w:pPr>
      <w:r w:rsidRPr="00037C61">
        <w:rPr>
          <w:lang w:val="en-GB"/>
        </w:rPr>
        <w:t>The Member States with the largest proportion of Natura 2000 forests are Spain (8 million ha), Poland (3 million ha) and France (3 million ha). In 2012, 18 of the 27 EU Member States had more than 20 % of their forest areas within Natura 2000 sites, and more than 40 % of the land in Bulgaria, Cyprus, Greece, Hungary, Slovakia, Slovenia and Spain was covered by the Natura 2000 network.</w:t>
      </w:r>
    </w:p>
    <w:p w14:paraId="66189C34" w14:textId="77777777" w:rsidR="000A1174" w:rsidRPr="00037C61" w:rsidRDefault="000A1174" w:rsidP="000A1174">
      <w:pPr>
        <w:keepNext/>
        <w:jc w:val="center"/>
        <w:rPr>
          <w:lang w:val="en-GB"/>
        </w:rPr>
      </w:pPr>
      <w:r w:rsidRPr="00037C61">
        <w:rPr>
          <w:rFonts w:ascii="Times New Roman" w:hAnsi="Times New Roman" w:cs="Times New Roman"/>
          <w:noProof/>
          <w:lang w:val="ro-RO" w:eastAsia="ro-RO"/>
        </w:rPr>
        <w:drawing>
          <wp:inline distT="0" distB="0" distL="0" distR="0" wp14:anchorId="6A366C98" wp14:editId="44F0E6A6">
            <wp:extent cx="4571365" cy="2590800"/>
            <wp:effectExtent l="0" t="0" r="635" b="0"/>
            <wp:docPr id="1490160130" name="Picture 14901601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rotWithShape="1">
                    <a:blip r:embed="rId175">
                      <a:extLst>
                        <a:ext uri="{28A0092B-C50C-407E-A947-70E740481C1C}">
                          <a14:useLocalDpi xmlns:a14="http://schemas.microsoft.com/office/drawing/2010/main" val="0"/>
                        </a:ext>
                      </a:extLst>
                    </a:blip>
                    <a:srcRect l="15821" t="30017" r="18369" b="10305"/>
                    <a:stretch/>
                  </pic:blipFill>
                  <pic:spPr bwMode="auto">
                    <a:xfrm>
                      <a:off x="0" y="0"/>
                      <a:ext cx="4575714" cy="2593265"/>
                    </a:xfrm>
                    <a:prstGeom prst="rect">
                      <a:avLst/>
                    </a:prstGeom>
                    <a:ln>
                      <a:noFill/>
                    </a:ln>
                    <a:extLst>
                      <a:ext uri="{53640926-AAD7-44D8-BBD7-CCE9431645EC}">
                        <a14:shadowObscured xmlns:a14="http://schemas.microsoft.com/office/drawing/2010/main"/>
                      </a:ext>
                    </a:extLst>
                  </pic:spPr>
                </pic:pic>
              </a:graphicData>
            </a:graphic>
          </wp:inline>
        </w:drawing>
      </w:r>
    </w:p>
    <w:p w14:paraId="47414278" w14:textId="0E55EBFA" w:rsidR="000A1174" w:rsidRPr="00037C61" w:rsidRDefault="000A1174" w:rsidP="000A1174">
      <w:pPr>
        <w:pStyle w:val="Caption"/>
        <w:jc w:val="left"/>
        <w:rPr>
          <w:lang w:val="en-GB"/>
        </w:rPr>
      </w:pPr>
      <w:bookmarkStart w:id="688" w:name="_Ref58239351"/>
      <w:bookmarkStart w:id="689" w:name="_Toc6461103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82</w:t>
      </w:r>
      <w:r w:rsidR="00412697">
        <w:rPr>
          <w:lang w:val="en-GB"/>
        </w:rPr>
        <w:fldChar w:fldCharType="end"/>
      </w:r>
      <w:r w:rsidRPr="00037C61">
        <w:rPr>
          <w:lang w:val="en-GB"/>
        </w:rPr>
        <w:t xml:space="preserve"> - Percentage of forest areas within Natura 2000 site in the EU Member states in 2012</w:t>
      </w:r>
      <w:bookmarkEnd w:id="688"/>
      <w:bookmarkEnd w:id="689"/>
      <w:r w:rsidRPr="00037C61">
        <w:rPr>
          <w:lang w:val="en-GB"/>
        </w:rPr>
        <w:t xml:space="preserve"> </w:t>
      </w:r>
    </w:p>
    <w:p w14:paraId="6276A4C0" w14:textId="38DE67CF" w:rsidR="000A1174" w:rsidRPr="00037C61" w:rsidRDefault="000A1174" w:rsidP="000A1174">
      <w:pPr>
        <w:pStyle w:val="Caption"/>
        <w:jc w:val="left"/>
        <w:rPr>
          <w:lang w:val="en-GB"/>
        </w:rPr>
      </w:pPr>
      <w:r w:rsidRPr="00037C61">
        <w:rPr>
          <w:lang w:val="en-GB"/>
        </w:rPr>
        <w:t>Source: European forest ecosystems - State and trends, EEA Report No 5/2016, ISSN 1977-8449</w:t>
      </w:r>
    </w:p>
    <w:p w14:paraId="0698D913" w14:textId="77777777" w:rsidR="000A1174" w:rsidRPr="00037C61" w:rsidRDefault="000A1174" w:rsidP="0084216E">
      <w:pPr>
        <w:rPr>
          <w:lang w:val="en-GB"/>
        </w:rPr>
      </w:pPr>
    </w:p>
    <w:p w14:paraId="139E2241" w14:textId="77777777" w:rsidR="00FB0745" w:rsidRPr="00037C61" w:rsidRDefault="1C774ED0" w:rsidP="005E0849">
      <w:pPr>
        <w:pStyle w:val="Heading3"/>
        <w:ind w:left="567"/>
      </w:pPr>
      <w:bookmarkStart w:id="690" w:name="_Toc50359116"/>
      <w:bookmarkStart w:id="691" w:name="_Toc53137210"/>
      <w:bookmarkStart w:id="692" w:name="_Toc50723338"/>
      <w:bookmarkStart w:id="693" w:name="_Toc64619547"/>
      <w:r w:rsidRPr="00037C61">
        <w:t>Environmental quality and climate change mitigation</w:t>
      </w:r>
      <w:bookmarkEnd w:id="690"/>
      <w:bookmarkEnd w:id="691"/>
      <w:bookmarkEnd w:id="692"/>
      <w:bookmarkEnd w:id="693"/>
    </w:p>
    <w:p w14:paraId="52770D26" w14:textId="1BD6C9C6" w:rsidR="00852ADB" w:rsidRPr="00037C61" w:rsidRDefault="00434158" w:rsidP="00457478">
      <w:pPr>
        <w:pStyle w:val="Heading4"/>
        <w:rPr>
          <w:lang w:val="en-GB"/>
        </w:rPr>
      </w:pPr>
      <w:r w:rsidRPr="00037C61">
        <w:rPr>
          <w:lang w:val="en-GB"/>
        </w:rPr>
        <w:t>Climate change</w:t>
      </w:r>
    </w:p>
    <w:p w14:paraId="7EED9F12" w14:textId="77777777" w:rsidR="00434158" w:rsidRPr="00037C61" w:rsidRDefault="00434158" w:rsidP="00A86A35">
      <w:pPr>
        <w:tabs>
          <w:tab w:val="left" w:pos="1701"/>
        </w:tabs>
        <w:rPr>
          <w:lang w:val="en-GB"/>
        </w:rPr>
      </w:pPr>
      <w:r w:rsidRPr="00037C61">
        <w:rPr>
          <w:lang w:val="en-GB"/>
        </w:rPr>
        <w:t xml:space="preserve">According to the most recent data from the JRC (2020), there are significant climate change effects manifesting at the level of the programming area. As part of a wider macro-regional area in the Central and Eastern Europe faced with an increase in temperature, the programming area records on average 7-10 additional summer days per decade, with the northern area (especially Satu Mare) being affected more, with over 10 additional summer days over the last decade (JRC – Maes et al., 2020). </w:t>
      </w:r>
    </w:p>
    <w:p w14:paraId="0CAE31AC" w14:textId="1506953D" w:rsidR="00434158" w:rsidRDefault="00434158" w:rsidP="00A86A35">
      <w:pPr>
        <w:tabs>
          <w:tab w:val="left" w:pos="1701"/>
        </w:tabs>
        <w:rPr>
          <w:lang w:val="en-GB"/>
        </w:rPr>
      </w:pPr>
      <w:r w:rsidRPr="00037C61">
        <w:rPr>
          <w:lang w:val="en-GB"/>
        </w:rPr>
        <w:t xml:space="preserve">The programme area is also affected by increasing frequency in droughts, and extreme droughts – specifically Satu Mare, Szabolcs-Szatmár-Bereg and Csongrád-Csanád. </w:t>
      </w:r>
    </w:p>
    <w:p w14:paraId="7FDEDDC7" w14:textId="77777777" w:rsidR="00434158" w:rsidRPr="00037C61" w:rsidRDefault="00434158" w:rsidP="005E0849">
      <w:pPr>
        <w:keepNext/>
        <w:tabs>
          <w:tab w:val="left" w:pos="1701"/>
        </w:tabs>
        <w:spacing w:after="0"/>
        <w:ind w:hanging="142"/>
        <w:rPr>
          <w:lang w:val="en-GB"/>
        </w:rPr>
      </w:pPr>
      <w:r w:rsidRPr="00037C61">
        <w:rPr>
          <w:noProof/>
          <w:lang w:val="ro-RO" w:eastAsia="ro-RO"/>
        </w:rPr>
        <w:drawing>
          <wp:inline distT="0" distB="0" distL="0" distR="0" wp14:anchorId="30D83684" wp14:editId="46806801">
            <wp:extent cx="5834951" cy="3135923"/>
            <wp:effectExtent l="0" t="0" r="0" b="7620"/>
            <wp:docPr id="799356992" name="Picture 79935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6992"/>
                    <pic:cNvPicPr/>
                  </pic:nvPicPr>
                  <pic:blipFill>
                    <a:blip r:embed="rId176">
                      <a:extLst>
                        <a:ext uri="{28A0092B-C50C-407E-A947-70E740481C1C}">
                          <a14:useLocalDpi xmlns:a14="http://schemas.microsoft.com/office/drawing/2010/main" val="0"/>
                        </a:ext>
                      </a:extLst>
                    </a:blip>
                    <a:stretch>
                      <a:fillRect/>
                    </a:stretch>
                  </pic:blipFill>
                  <pic:spPr>
                    <a:xfrm>
                      <a:off x="0" y="0"/>
                      <a:ext cx="5834951" cy="3135923"/>
                    </a:xfrm>
                    <a:prstGeom prst="rect">
                      <a:avLst/>
                    </a:prstGeom>
                  </pic:spPr>
                </pic:pic>
              </a:graphicData>
            </a:graphic>
          </wp:inline>
        </w:drawing>
      </w:r>
    </w:p>
    <w:p w14:paraId="719066EF" w14:textId="114A82B5" w:rsidR="00434158" w:rsidRPr="00037C61" w:rsidRDefault="00434158" w:rsidP="00434158">
      <w:pPr>
        <w:pStyle w:val="Caption"/>
        <w:jc w:val="both"/>
        <w:rPr>
          <w:lang w:val="en-GB"/>
        </w:rPr>
      </w:pPr>
      <w:bookmarkStart w:id="694" w:name="_Toc6461103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83</w:t>
      </w:r>
      <w:r w:rsidR="00412697">
        <w:rPr>
          <w:lang w:val="en-GB"/>
        </w:rPr>
        <w:fldChar w:fldCharType="end"/>
      </w:r>
      <w:r w:rsidRPr="00037C61">
        <w:rPr>
          <w:lang w:val="en-GB"/>
        </w:rPr>
        <w:t xml:space="preserve"> - Trends in drought and extreme drought frequency, 1950-2018</w:t>
      </w:r>
      <w:bookmarkEnd w:id="694"/>
      <w:r w:rsidRPr="00037C61">
        <w:rPr>
          <w:lang w:val="en-GB"/>
        </w:rPr>
        <w:t xml:space="preserve"> </w:t>
      </w:r>
    </w:p>
    <w:p w14:paraId="23EF0E16" w14:textId="21C1241A" w:rsidR="00434158" w:rsidRPr="00037C61" w:rsidRDefault="00434158" w:rsidP="005E0849">
      <w:pPr>
        <w:pStyle w:val="Caption"/>
        <w:jc w:val="both"/>
        <w:rPr>
          <w:lang w:val="en-GB"/>
        </w:rPr>
      </w:pPr>
      <w:r w:rsidRPr="00037C61">
        <w:rPr>
          <w:lang w:val="en-GB"/>
        </w:rPr>
        <w:t xml:space="preserve">Source: </w:t>
      </w:r>
      <w:bookmarkStart w:id="695" w:name="_Hlk55729918"/>
      <w:r w:rsidRPr="00037C61">
        <w:rPr>
          <w:lang w:val="en-GB"/>
        </w:rPr>
        <w:t>JRC- Maes et al., Mapping and Assessment of Ecosystems and their Services: An EU ecosystem assessment, 2020</w:t>
      </w:r>
    </w:p>
    <w:bookmarkEnd w:id="695"/>
    <w:p w14:paraId="53EC8A79" w14:textId="0992C07B" w:rsidR="00434158" w:rsidRPr="00037C61" w:rsidRDefault="00434158" w:rsidP="005E0849">
      <w:pPr>
        <w:tabs>
          <w:tab w:val="left" w:pos="1701"/>
        </w:tabs>
        <w:ind w:hanging="142"/>
        <w:rPr>
          <w:lang w:val="en-GB"/>
        </w:rPr>
      </w:pPr>
      <w:r w:rsidRPr="00037C61">
        <w:rPr>
          <w:lang w:val="en-GB"/>
        </w:rPr>
        <w:t xml:space="preserve"> </w:t>
      </w:r>
    </w:p>
    <w:p w14:paraId="5A4C815E" w14:textId="51DD5D90" w:rsidR="004C7208" w:rsidRPr="00037C61" w:rsidRDefault="004C7208" w:rsidP="005E0849">
      <w:pPr>
        <w:pStyle w:val="Heading4"/>
        <w:rPr>
          <w:lang w:val="en-GB"/>
        </w:rPr>
      </w:pPr>
      <w:r w:rsidRPr="00037C61">
        <w:rPr>
          <w:rFonts w:cs="Calibri"/>
          <w:lang w:val="en-GB"/>
        </w:rPr>
        <w:t xml:space="preserve">Water quality </w:t>
      </w:r>
    </w:p>
    <w:p w14:paraId="4D090E77" w14:textId="50FF6374" w:rsidR="00FB0745" w:rsidRPr="00037C61" w:rsidRDefault="00FB0745" w:rsidP="00FB0745">
      <w:pPr>
        <w:rPr>
          <w:rFonts w:cs="Calibri"/>
          <w:lang w:val="en-GB"/>
        </w:rPr>
      </w:pPr>
      <w:r w:rsidRPr="00037C61">
        <w:rPr>
          <w:rFonts w:cs="Calibri"/>
          <w:lang w:val="en-GB"/>
        </w:rPr>
        <w:t>In Hungary, the quality of water in each of the target counties can be described as follows</w:t>
      </w:r>
      <w:r w:rsidR="00CE1732" w:rsidRPr="00037C61">
        <w:rPr>
          <w:rFonts w:cs="Calibri"/>
          <w:lang w:val="en-GB"/>
        </w:rPr>
        <w:t xml:space="preserve"> below, with a general illustration provided in </w:t>
      </w:r>
      <w:r w:rsidR="00DE27F1" w:rsidRPr="00037C61">
        <w:rPr>
          <w:rFonts w:cs="Calibri"/>
          <w:lang w:val="en-GB"/>
        </w:rPr>
        <w:fldChar w:fldCharType="begin"/>
      </w:r>
      <w:r w:rsidR="00DE27F1" w:rsidRPr="00037C61">
        <w:rPr>
          <w:rFonts w:cs="Calibri"/>
          <w:lang w:val="en-GB"/>
        </w:rPr>
        <w:instrText xml:space="preserve"> REF _Ref58323333 \h </w:instrText>
      </w:r>
      <w:r w:rsidR="00DE27F1" w:rsidRPr="00037C61">
        <w:rPr>
          <w:rFonts w:cs="Calibri"/>
          <w:lang w:val="en-GB"/>
        </w:rPr>
      </w:r>
      <w:r w:rsidR="00DE27F1" w:rsidRPr="00037C61">
        <w:rPr>
          <w:rFonts w:cs="Calibri"/>
          <w:lang w:val="en-GB"/>
        </w:rPr>
        <w:fldChar w:fldCharType="separate"/>
      </w:r>
      <w:r w:rsidR="00DE27F1" w:rsidRPr="00037C61">
        <w:rPr>
          <w:rFonts w:cs="Calibri"/>
          <w:lang w:val="en-GB"/>
        </w:rPr>
        <w:t xml:space="preserve">Figure </w:t>
      </w:r>
      <w:r w:rsidR="00DE27F1" w:rsidRPr="00037C61">
        <w:rPr>
          <w:rFonts w:cs="Calibri"/>
          <w:noProof/>
          <w:lang w:val="en-GB"/>
        </w:rPr>
        <w:t>82</w:t>
      </w:r>
      <w:r w:rsidR="00DE27F1" w:rsidRPr="00037C61">
        <w:rPr>
          <w:rFonts w:cs="Calibri"/>
          <w:lang w:val="en-GB"/>
        </w:rPr>
        <w:t xml:space="preserve"> - Quality status of rivers in the PA</w:t>
      </w:r>
      <w:r w:rsidR="00DE27F1" w:rsidRPr="00037C61">
        <w:rPr>
          <w:rFonts w:cs="Calibri"/>
          <w:lang w:val="en-GB"/>
        </w:rPr>
        <w:fldChar w:fldCharType="end"/>
      </w:r>
      <w:r w:rsidRPr="00037C61">
        <w:rPr>
          <w:rFonts w:cs="Calibri"/>
          <w:lang w:val="en-GB"/>
        </w:rPr>
        <w:t>:</w:t>
      </w:r>
    </w:p>
    <w:p w14:paraId="6F7CC18C" w14:textId="77777777" w:rsidR="00FB0745" w:rsidRPr="00037C61" w:rsidRDefault="00FB0745" w:rsidP="00FB0745">
      <w:pPr>
        <w:pStyle w:val="InterregROHUBullet1"/>
        <w:spacing w:after="0"/>
        <w:ind w:left="709"/>
        <w:rPr>
          <w:rFonts w:cs="Calibri"/>
          <w:b/>
          <w:bCs w:val="0"/>
        </w:rPr>
      </w:pPr>
      <w:r w:rsidRPr="00037C61">
        <w:rPr>
          <w:rFonts w:cs="Calibri"/>
          <w:b/>
          <w:bCs w:val="0"/>
        </w:rPr>
        <w:t>Hajdú-Bihar</w:t>
      </w:r>
    </w:p>
    <w:p w14:paraId="2019FB4B" w14:textId="77777777" w:rsidR="00FB0745" w:rsidRPr="00037C61" w:rsidRDefault="00FB0745" w:rsidP="00FB0745">
      <w:pPr>
        <w:tabs>
          <w:tab w:val="left" w:pos="1701"/>
        </w:tabs>
        <w:rPr>
          <w:rFonts w:cs="Calibri"/>
          <w:lang w:val="en-GB"/>
        </w:rPr>
      </w:pPr>
      <w:r w:rsidRPr="00037C61">
        <w:rPr>
          <w:rFonts w:cs="Calibri"/>
          <w:lang w:val="en-GB"/>
        </w:rPr>
        <w:t xml:space="preserve">The quality of water in Hajdú-Bihar is generally in the „Failing good status / high confidence” range (rivers </w:t>
      </w:r>
      <w:r w:rsidRPr="00037C61">
        <w:rPr>
          <w:rFonts w:cs="Calibri"/>
          <w:color w:val="000000"/>
          <w:lang w:val="en-GB"/>
        </w:rPr>
        <w:t>Berettyó /Barcău, Hortobágy-Berettyó</w:t>
      </w:r>
      <w:r w:rsidRPr="00037C61">
        <w:rPr>
          <w:rFonts w:cs="Calibri"/>
          <w:lang w:val="en-GB"/>
        </w:rPr>
        <w:t xml:space="preserve">, </w:t>
      </w:r>
      <w:r w:rsidRPr="00037C61">
        <w:rPr>
          <w:rFonts w:cs="Calibri"/>
          <w:color w:val="000000"/>
          <w:lang w:val="en-GB"/>
        </w:rPr>
        <w:t>Sebes-Körös / Crișul Repede</w:t>
      </w:r>
      <w:r w:rsidRPr="00037C61">
        <w:rPr>
          <w:rFonts w:cs="Calibri"/>
          <w:lang w:val="en-GB"/>
        </w:rPr>
        <w:t xml:space="preserve">), with the exception of a „Good status / medium confidence” evaluation (in some, reduced, segments of the </w:t>
      </w:r>
      <w:r w:rsidRPr="00037C61">
        <w:rPr>
          <w:rFonts w:cs="Calibri"/>
          <w:color w:val="000000"/>
          <w:lang w:val="en-GB"/>
        </w:rPr>
        <w:t>Berettyó / Barcău river</w:t>
      </w:r>
      <w:r w:rsidRPr="00037C61">
        <w:rPr>
          <w:rFonts w:cs="Calibri"/>
          <w:lang w:val="en-GB"/>
        </w:rPr>
        <w:t xml:space="preserve">) and </w:t>
      </w:r>
      <w:r w:rsidRPr="00037C61">
        <w:rPr>
          <w:rFonts w:cs="Calibri"/>
          <w:color w:val="000000"/>
          <w:lang w:val="en-GB"/>
        </w:rPr>
        <w:t>Good status / low confidence</w:t>
      </w:r>
      <w:r w:rsidRPr="00037C61">
        <w:rPr>
          <w:rFonts w:cs="Calibri"/>
          <w:lang w:val="en-GB"/>
        </w:rPr>
        <w:t xml:space="preserve"> (in some segments of the </w:t>
      </w:r>
      <w:r w:rsidRPr="00037C61">
        <w:rPr>
          <w:rFonts w:cs="Calibri"/>
          <w:color w:val="000000"/>
          <w:lang w:val="en-GB"/>
        </w:rPr>
        <w:t>Tisza / Tisa</w:t>
      </w:r>
      <w:r w:rsidRPr="00037C61">
        <w:rPr>
          <w:rFonts w:cs="Calibri"/>
          <w:lang w:val="en-GB"/>
        </w:rPr>
        <w:t xml:space="preserve"> river).</w:t>
      </w:r>
    </w:p>
    <w:p w14:paraId="1FCA2139" w14:textId="77777777" w:rsidR="00FB0745" w:rsidRPr="00037C61" w:rsidRDefault="00FB0745" w:rsidP="00FB0745">
      <w:pPr>
        <w:pStyle w:val="InterregROHUBullet1"/>
        <w:spacing w:after="0"/>
        <w:ind w:left="709"/>
        <w:rPr>
          <w:rFonts w:cs="Calibri"/>
          <w:b/>
          <w:bCs w:val="0"/>
        </w:rPr>
      </w:pPr>
      <w:r w:rsidRPr="00037C61">
        <w:rPr>
          <w:rFonts w:cs="Calibri"/>
          <w:b/>
          <w:bCs w:val="0"/>
        </w:rPr>
        <w:t>Szabolcs-Szatmár-Bereg</w:t>
      </w:r>
    </w:p>
    <w:p w14:paraId="28694B4B" w14:textId="7F1CE456" w:rsidR="00FB0745" w:rsidRPr="00037C61" w:rsidRDefault="00FB0745" w:rsidP="00FB0745">
      <w:pPr>
        <w:tabs>
          <w:tab w:val="left" w:pos="1701"/>
        </w:tabs>
        <w:rPr>
          <w:rFonts w:cs="Calibri"/>
          <w:lang w:val="en-GB"/>
        </w:rPr>
      </w:pPr>
      <w:r w:rsidRPr="00037C61">
        <w:rPr>
          <w:rFonts w:cs="Calibri"/>
          <w:lang w:val="en-GB"/>
        </w:rPr>
        <w:t xml:space="preserve">The quality of water in Szabolcs-Szatmár-Bereg is generally in the „Failing good status / high confidence” range (rivers </w:t>
      </w:r>
      <w:r w:rsidRPr="00037C61">
        <w:rPr>
          <w:rFonts w:cs="Calibri"/>
          <w:color w:val="000000" w:themeColor="text1"/>
          <w:lang w:val="en-GB"/>
        </w:rPr>
        <w:t xml:space="preserve">Szamos / </w:t>
      </w:r>
      <w:r w:rsidRPr="00037C61">
        <w:rPr>
          <w:rFonts w:cs="Calibri"/>
          <w:lang w:val="en-GB"/>
        </w:rPr>
        <w:t>Someș – 51,26 and Tisza / Tisa - 86.42), with the exception of a „Good status / high confidence” assessment Szamos / Someș. River Tisza</w:t>
      </w:r>
      <w:r w:rsidRPr="00037C61">
        <w:rPr>
          <w:rFonts w:cs="Calibri"/>
          <w:color w:val="000000" w:themeColor="text1"/>
          <w:lang w:val="en-GB"/>
        </w:rPr>
        <w:t xml:space="preserve"> / Tisa</w:t>
      </w:r>
      <w:r w:rsidRPr="00037C61">
        <w:rPr>
          <w:rFonts w:cs="Calibri"/>
          <w:lang w:val="en-GB"/>
        </w:rPr>
        <w:t xml:space="preserve"> has also segments that </w:t>
      </w:r>
      <w:r w:rsidRPr="00037C61">
        <w:rPr>
          <w:rFonts w:cs="Calibri"/>
          <w:lang w:val="en-GB"/>
        </w:rPr>
        <w:lastRenderedPageBreak/>
        <w:t>have measured as „</w:t>
      </w:r>
      <w:r w:rsidRPr="00037C61">
        <w:rPr>
          <w:rFonts w:cs="Calibri"/>
          <w:color w:val="000000" w:themeColor="text1"/>
          <w:lang w:val="en-GB"/>
        </w:rPr>
        <w:t>Failing good status / medium confidence</w:t>
      </w:r>
      <w:r w:rsidRPr="00037C61">
        <w:rPr>
          <w:rFonts w:cs="Calibri"/>
          <w:lang w:val="en-GB"/>
        </w:rPr>
        <w:t>” (</w:t>
      </w:r>
      <w:r w:rsidRPr="00037C61">
        <w:rPr>
          <w:rFonts w:cs="Calibri"/>
          <w:color w:val="000000" w:themeColor="text1"/>
          <w:lang w:val="en-GB"/>
        </w:rPr>
        <w:t>33,75</w:t>
      </w:r>
      <w:r w:rsidRPr="00037C61">
        <w:rPr>
          <w:rFonts w:cs="Calibri"/>
          <w:lang w:val="en-GB"/>
        </w:rPr>
        <w:t xml:space="preserve">), </w:t>
      </w:r>
      <w:r w:rsidRPr="00037C61">
        <w:rPr>
          <w:rFonts w:cs="Calibri"/>
          <w:color w:val="000000" w:themeColor="text1"/>
          <w:lang w:val="en-GB"/>
        </w:rPr>
        <w:t>„Good status / low confidence” (19,37)</w:t>
      </w:r>
      <w:r w:rsidRPr="00037C61">
        <w:rPr>
          <w:rFonts w:cs="Calibri"/>
          <w:lang w:val="en-GB"/>
        </w:rPr>
        <w:t xml:space="preserve"> and “</w:t>
      </w:r>
      <w:r w:rsidRPr="00037C61">
        <w:rPr>
          <w:rFonts w:cs="Calibri"/>
          <w:color w:val="000000" w:themeColor="text1"/>
          <w:lang w:val="en-GB"/>
        </w:rPr>
        <w:t>Good status / medium confidence” (47,08)</w:t>
      </w:r>
      <w:r w:rsidRPr="00037C61">
        <w:rPr>
          <w:rFonts w:cs="Calibri"/>
          <w:lang w:val="en-GB"/>
        </w:rPr>
        <w:t>, out of a total of 191.92.</w:t>
      </w:r>
    </w:p>
    <w:p w14:paraId="6A7A4FF0" w14:textId="77777777" w:rsidR="00FB0745" w:rsidRPr="00037C61" w:rsidRDefault="00FB0745" w:rsidP="00FB0745">
      <w:pPr>
        <w:pStyle w:val="InterregROHUBullet1"/>
        <w:spacing w:after="0"/>
        <w:ind w:left="709"/>
        <w:rPr>
          <w:rFonts w:cs="Calibri"/>
          <w:b/>
          <w:bCs w:val="0"/>
        </w:rPr>
      </w:pPr>
      <w:r w:rsidRPr="00037C61">
        <w:rPr>
          <w:rFonts w:cs="Calibri"/>
          <w:b/>
          <w:bCs w:val="0"/>
        </w:rPr>
        <w:t>Békés</w:t>
      </w:r>
    </w:p>
    <w:p w14:paraId="7159A644" w14:textId="77777777" w:rsidR="00FB0745" w:rsidRPr="00037C61" w:rsidRDefault="00FB0745" w:rsidP="00FB0745">
      <w:pPr>
        <w:tabs>
          <w:tab w:val="left" w:pos="1701"/>
        </w:tabs>
        <w:rPr>
          <w:rFonts w:cs="Calibri"/>
          <w:lang w:val="en-GB"/>
        </w:rPr>
      </w:pPr>
      <w:r w:rsidRPr="00037C61">
        <w:rPr>
          <w:rFonts w:cs="Calibri"/>
          <w:lang w:val="en-GB"/>
        </w:rPr>
        <w:t xml:space="preserve">The quality of water in Békés is generally in the „Failing good status / high confidence” range (rivers </w:t>
      </w:r>
      <w:r w:rsidRPr="00037C61">
        <w:rPr>
          <w:rFonts w:cs="Calibri"/>
          <w:color w:val="000000" w:themeColor="text1"/>
          <w:lang w:val="en-GB"/>
        </w:rPr>
        <w:t>Berettyó /Barcău, Fehér-Körös / Crișul Alb</w:t>
      </w:r>
      <w:r w:rsidRPr="00037C61">
        <w:rPr>
          <w:rFonts w:cs="Calibri"/>
          <w:lang w:val="en-GB"/>
        </w:rPr>
        <w:t xml:space="preserve">, </w:t>
      </w:r>
      <w:r w:rsidRPr="00037C61">
        <w:rPr>
          <w:rFonts w:cs="Calibri"/>
          <w:color w:val="000000" w:themeColor="text1"/>
          <w:lang w:val="en-GB"/>
        </w:rPr>
        <w:t>Fekete-Körös / Crișul Negru</w:t>
      </w:r>
      <w:r w:rsidRPr="00037C61">
        <w:rPr>
          <w:rFonts w:cs="Calibri"/>
          <w:lang w:val="en-GB"/>
        </w:rPr>
        <w:t xml:space="preserve">, </w:t>
      </w:r>
      <w:r w:rsidRPr="00037C61">
        <w:rPr>
          <w:rFonts w:cs="Calibri"/>
          <w:color w:val="000000" w:themeColor="text1"/>
          <w:lang w:val="en-GB"/>
        </w:rPr>
        <w:t>Hortobágy-Berettyó, Körös / Criș, Sebes-Körös / Crișul Repede</w:t>
      </w:r>
      <w:r w:rsidRPr="00037C61">
        <w:rPr>
          <w:rFonts w:cs="Calibri"/>
          <w:lang w:val="en-GB"/>
        </w:rPr>
        <w:t xml:space="preserve">), with the exception of a „Good status / medium confidence” evaluation (in some, segments of the </w:t>
      </w:r>
      <w:r w:rsidRPr="00037C61">
        <w:rPr>
          <w:rFonts w:cs="Calibri"/>
          <w:color w:val="000000" w:themeColor="text1"/>
          <w:lang w:val="en-GB"/>
        </w:rPr>
        <w:t>Fekete-Körös / Crișul Negru river</w:t>
      </w:r>
      <w:r w:rsidRPr="00037C61">
        <w:rPr>
          <w:rFonts w:cs="Calibri"/>
          <w:lang w:val="en-GB"/>
        </w:rPr>
        <w:t xml:space="preserve">, </w:t>
      </w:r>
      <w:r w:rsidRPr="00037C61">
        <w:rPr>
          <w:rFonts w:cs="Calibri"/>
          <w:color w:val="000000" w:themeColor="text1"/>
          <w:lang w:val="en-GB"/>
        </w:rPr>
        <w:t>Körös / Criș and Sebes-Körös / Crișul Repede</w:t>
      </w:r>
      <w:r w:rsidRPr="00037C61">
        <w:rPr>
          <w:rFonts w:cs="Calibri"/>
          <w:lang w:val="en-GB"/>
        </w:rPr>
        <w:t xml:space="preserve">) and </w:t>
      </w:r>
      <w:r w:rsidRPr="00037C61">
        <w:rPr>
          <w:rFonts w:cs="Calibri"/>
          <w:color w:val="000000" w:themeColor="text1"/>
          <w:lang w:val="en-GB"/>
        </w:rPr>
        <w:t>Good status / low confidence</w:t>
      </w:r>
      <w:r w:rsidRPr="00037C61">
        <w:rPr>
          <w:rFonts w:cs="Calibri"/>
          <w:lang w:val="en-GB"/>
        </w:rPr>
        <w:t xml:space="preserve"> (in some segments of the </w:t>
      </w:r>
      <w:r w:rsidRPr="00037C61">
        <w:rPr>
          <w:rFonts w:cs="Calibri"/>
          <w:color w:val="000000" w:themeColor="text1"/>
          <w:lang w:val="en-GB"/>
        </w:rPr>
        <w:t>Tisza / Tisa</w:t>
      </w:r>
      <w:r w:rsidRPr="00037C61">
        <w:rPr>
          <w:rFonts w:cs="Calibri"/>
          <w:lang w:val="en-GB"/>
        </w:rPr>
        <w:t xml:space="preserve"> river).</w:t>
      </w:r>
    </w:p>
    <w:p w14:paraId="174C771E" w14:textId="30678037" w:rsidR="00FB0745" w:rsidRPr="00037C61" w:rsidRDefault="6446A0E8" w:rsidP="6446A0E8">
      <w:pPr>
        <w:pStyle w:val="InterregROHUBullet1"/>
        <w:spacing w:after="0"/>
        <w:ind w:left="709"/>
        <w:rPr>
          <w:rFonts w:cs="Calibri"/>
          <w:b/>
        </w:rPr>
      </w:pPr>
      <w:r w:rsidRPr="00037C61">
        <w:rPr>
          <w:rFonts w:cs="Calibri"/>
          <w:b/>
        </w:rPr>
        <w:t>Csongrád-Csanád</w:t>
      </w:r>
    </w:p>
    <w:p w14:paraId="6B82697A" w14:textId="6BE933F0" w:rsidR="00FB0745" w:rsidRPr="00037C61" w:rsidRDefault="6446A0E8" w:rsidP="00FB0745">
      <w:pPr>
        <w:tabs>
          <w:tab w:val="left" w:pos="1701"/>
        </w:tabs>
        <w:rPr>
          <w:rFonts w:cs="Calibri"/>
          <w:lang w:val="en-GB"/>
        </w:rPr>
      </w:pPr>
      <w:r w:rsidRPr="00037C61">
        <w:rPr>
          <w:rFonts w:cs="Calibri"/>
          <w:lang w:val="en-GB"/>
        </w:rPr>
        <w:t>The quality of water in Csongrád-Csanád is shared between ”</w:t>
      </w:r>
      <w:r w:rsidRPr="00037C61">
        <w:rPr>
          <w:rFonts w:cs="Calibri"/>
          <w:color w:val="000000" w:themeColor="text1"/>
          <w:lang w:val="en-GB"/>
        </w:rPr>
        <w:t>Good status / medium confidence” (river Maros / Mureș - 39.91)</w:t>
      </w:r>
      <w:r w:rsidRPr="00037C61">
        <w:rPr>
          <w:rFonts w:cs="Calibri"/>
          <w:lang w:val="en-GB"/>
        </w:rPr>
        <w:t>, “</w:t>
      </w:r>
      <w:r w:rsidRPr="00037C61">
        <w:rPr>
          <w:rFonts w:cs="Calibri"/>
          <w:color w:val="000000" w:themeColor="text1"/>
          <w:lang w:val="en-GB"/>
        </w:rPr>
        <w:t>Failing good status / medium confidence”</w:t>
      </w:r>
      <w:r w:rsidRPr="00037C61">
        <w:rPr>
          <w:rFonts w:cs="Calibri"/>
          <w:lang w:val="en-GB"/>
        </w:rPr>
        <w:t xml:space="preserve"> (rivers </w:t>
      </w:r>
      <w:r w:rsidRPr="00037C61">
        <w:rPr>
          <w:rFonts w:cs="Calibri"/>
          <w:color w:val="000000" w:themeColor="text1"/>
          <w:lang w:val="en-GB"/>
        </w:rPr>
        <w:t>Körös / Criș</w:t>
      </w:r>
      <w:r w:rsidR="6515D5F5" w:rsidRPr="00037C61">
        <w:rPr>
          <w:rFonts w:cs="Calibri"/>
          <w:color w:val="000000" w:themeColor="text1"/>
          <w:lang w:val="en-GB"/>
        </w:rPr>
        <w:t xml:space="preserve"> </w:t>
      </w:r>
      <w:r w:rsidRPr="00037C61">
        <w:rPr>
          <w:rFonts w:cs="Calibri"/>
          <w:lang w:val="en-GB"/>
        </w:rPr>
        <w:t xml:space="preserve">– </w:t>
      </w:r>
      <w:r w:rsidRPr="00037C61">
        <w:rPr>
          <w:rFonts w:cs="Calibri"/>
          <w:color w:val="000000" w:themeColor="text1"/>
          <w:lang w:val="en-GB"/>
        </w:rPr>
        <w:t>9.17 and</w:t>
      </w:r>
      <w:r w:rsidRPr="00037C61">
        <w:rPr>
          <w:rFonts w:cs="Calibri"/>
          <w:lang w:val="en-GB"/>
        </w:rPr>
        <w:t xml:space="preserve"> Tisza / Tisa - </w:t>
      </w:r>
      <w:r w:rsidRPr="00037C61">
        <w:rPr>
          <w:rFonts w:cs="Calibri"/>
          <w:color w:val="000000" w:themeColor="text1"/>
          <w:lang w:val="en-GB"/>
        </w:rPr>
        <w:t>12,41</w:t>
      </w:r>
      <w:r w:rsidRPr="00037C61">
        <w:rPr>
          <w:rFonts w:cs="Calibri"/>
          <w:lang w:val="en-GB"/>
        </w:rPr>
        <w:t>) and “</w:t>
      </w:r>
      <w:r w:rsidRPr="00037C61">
        <w:rPr>
          <w:rFonts w:cs="Calibri"/>
          <w:color w:val="000000" w:themeColor="text1"/>
          <w:lang w:val="en-GB"/>
        </w:rPr>
        <w:t>Failing good status / high confidence” (</w:t>
      </w:r>
      <w:r w:rsidRPr="00037C61">
        <w:rPr>
          <w:rFonts w:cs="Calibri"/>
          <w:lang w:val="en-GB"/>
        </w:rPr>
        <w:t>Tisza / Tisa</w:t>
      </w:r>
      <w:r w:rsidRPr="00037C61">
        <w:rPr>
          <w:rFonts w:cs="Calibri"/>
          <w:color w:val="000000" w:themeColor="text1"/>
          <w:lang w:val="en-GB"/>
        </w:rPr>
        <w:t xml:space="preserve"> - 87,56)</w:t>
      </w:r>
      <w:r w:rsidRPr="00037C61">
        <w:rPr>
          <w:rFonts w:cs="Calibri"/>
          <w:lang w:val="en-GB"/>
        </w:rPr>
        <w:t xml:space="preserve"> out of a total of 172,95.</w:t>
      </w:r>
    </w:p>
    <w:p w14:paraId="05155447" w14:textId="77777777" w:rsidR="00FB0745" w:rsidRPr="00037C61" w:rsidRDefault="00FB0745" w:rsidP="00FB0745">
      <w:pPr>
        <w:rPr>
          <w:rFonts w:cs="Calibri"/>
          <w:lang w:val="en-GB"/>
        </w:rPr>
      </w:pPr>
      <w:r w:rsidRPr="00037C61">
        <w:rPr>
          <w:rFonts w:cs="Calibri"/>
          <w:lang w:val="en-GB"/>
        </w:rPr>
        <w:t>In Romania the quality of water in each of the target counties can be described as follows:</w:t>
      </w:r>
    </w:p>
    <w:p w14:paraId="1E4ECB16" w14:textId="77777777" w:rsidR="00FB0745" w:rsidRPr="00037C61" w:rsidRDefault="00FB0745" w:rsidP="00FB0745">
      <w:pPr>
        <w:pStyle w:val="InterregROHUBullet1"/>
        <w:spacing w:after="0"/>
        <w:ind w:left="709"/>
        <w:rPr>
          <w:rFonts w:cs="Calibri"/>
          <w:b/>
          <w:bCs w:val="0"/>
        </w:rPr>
      </w:pPr>
      <w:r w:rsidRPr="00037C61">
        <w:rPr>
          <w:rFonts w:cs="Calibri"/>
          <w:b/>
          <w:bCs w:val="0"/>
        </w:rPr>
        <w:t>Bihor</w:t>
      </w:r>
    </w:p>
    <w:p w14:paraId="4FD1D3AC" w14:textId="77777777" w:rsidR="00FB0745" w:rsidRPr="00037C61" w:rsidRDefault="00FB0745" w:rsidP="00FB0745">
      <w:pPr>
        <w:tabs>
          <w:tab w:val="left" w:pos="1701"/>
        </w:tabs>
        <w:rPr>
          <w:rFonts w:cs="Calibri"/>
          <w:lang w:val="en-GB"/>
        </w:rPr>
      </w:pPr>
      <w:r w:rsidRPr="00037C61">
        <w:rPr>
          <w:rFonts w:cs="Calibri"/>
          <w:lang w:val="en-GB"/>
        </w:rPr>
        <w:t xml:space="preserve">The quality of water in Bihor is generally in the „Good status / medium confidence” range (rivers </w:t>
      </w:r>
      <w:r w:rsidRPr="00037C61">
        <w:rPr>
          <w:rFonts w:cs="Calibri"/>
          <w:color w:val="000000"/>
          <w:lang w:val="en-GB"/>
        </w:rPr>
        <w:t>Sebes-Körös / Crișul Repede, Fekete-Körös / Crișul Negru and Berettyó / Barcău</w:t>
      </w:r>
      <w:r w:rsidRPr="00037C61">
        <w:rPr>
          <w:rFonts w:cs="Calibri"/>
          <w:lang w:val="en-GB"/>
        </w:rPr>
        <w:t>), with the exception of “</w:t>
      </w:r>
      <w:r w:rsidRPr="00037C61">
        <w:rPr>
          <w:rFonts w:cs="Calibri"/>
          <w:color w:val="000000"/>
          <w:lang w:val="en-GB"/>
        </w:rPr>
        <w:t>Good status / low confidence”</w:t>
      </w:r>
      <w:r w:rsidRPr="00037C61">
        <w:rPr>
          <w:rFonts w:cs="Calibri"/>
          <w:lang w:val="en-GB"/>
        </w:rPr>
        <w:t xml:space="preserve"> (in some segments of Fekete-Körös / Crișul Negru, </w:t>
      </w:r>
      <w:r w:rsidRPr="00037C61">
        <w:rPr>
          <w:rFonts w:cs="Calibri"/>
          <w:color w:val="000000"/>
          <w:lang w:val="en-GB"/>
        </w:rPr>
        <w:t>Sebes-Körös / Crișul Repede</w:t>
      </w:r>
      <w:r w:rsidRPr="00037C61">
        <w:rPr>
          <w:rFonts w:cs="Calibri"/>
          <w:lang w:val="en-GB"/>
        </w:rPr>
        <w:t>) and “Good status / low confidence” (in some segments of Sebes-Körös / Crișul Repede and Fekete-Körös / Crișul Negru).</w:t>
      </w:r>
    </w:p>
    <w:p w14:paraId="3FB24EAB" w14:textId="77777777" w:rsidR="00FB0745" w:rsidRPr="00037C61" w:rsidRDefault="00FB0745" w:rsidP="00FB0745">
      <w:pPr>
        <w:pStyle w:val="InterregROHUBullet1"/>
        <w:spacing w:after="0"/>
        <w:ind w:left="709"/>
        <w:rPr>
          <w:rFonts w:cs="Calibri"/>
          <w:b/>
          <w:bCs w:val="0"/>
        </w:rPr>
      </w:pPr>
      <w:r w:rsidRPr="00037C61">
        <w:rPr>
          <w:rFonts w:cs="Calibri"/>
          <w:b/>
          <w:bCs w:val="0"/>
        </w:rPr>
        <w:t>Satu Mare</w:t>
      </w:r>
    </w:p>
    <w:p w14:paraId="3680C027" w14:textId="77777777" w:rsidR="00FB0745" w:rsidRPr="00037C61" w:rsidRDefault="00FB0745" w:rsidP="00FB0745">
      <w:pPr>
        <w:pStyle w:val="InterregROHUBullet1"/>
        <w:numPr>
          <w:ilvl w:val="0"/>
          <w:numId w:val="0"/>
        </w:numPr>
        <w:rPr>
          <w:rFonts w:cs="Calibri"/>
        </w:rPr>
      </w:pPr>
      <w:r w:rsidRPr="00037C61">
        <w:rPr>
          <w:rFonts w:cs="Calibri"/>
        </w:rPr>
        <w:t>The quality of water in Satu Mare is generally in the “Failing good status / medium confidence” range (in some segments of Szamos / Someș) with the exception of “Good status / high confidence” in other segments of Szamos / Someș.</w:t>
      </w:r>
    </w:p>
    <w:p w14:paraId="04585D55" w14:textId="77777777" w:rsidR="00FB0745" w:rsidRPr="00037C61" w:rsidRDefault="00FB0745" w:rsidP="00FB0745">
      <w:pPr>
        <w:pStyle w:val="InterregROHUBullet1"/>
        <w:spacing w:after="0"/>
        <w:ind w:left="709"/>
        <w:rPr>
          <w:rFonts w:cs="Calibri"/>
          <w:b/>
          <w:bCs w:val="0"/>
        </w:rPr>
      </w:pPr>
      <w:r w:rsidRPr="00037C61">
        <w:rPr>
          <w:rFonts w:cs="Calibri"/>
          <w:b/>
          <w:bCs w:val="0"/>
        </w:rPr>
        <w:t>Arad</w:t>
      </w:r>
    </w:p>
    <w:p w14:paraId="4D012C18" w14:textId="77777777" w:rsidR="00FB0745" w:rsidRPr="00037C61" w:rsidRDefault="00FB0745" w:rsidP="00FB0745">
      <w:pPr>
        <w:tabs>
          <w:tab w:val="left" w:pos="1701"/>
        </w:tabs>
        <w:rPr>
          <w:rFonts w:cs="Calibri"/>
          <w:lang w:val="en-GB"/>
        </w:rPr>
      </w:pPr>
      <w:r w:rsidRPr="00037C61">
        <w:rPr>
          <w:rFonts w:cs="Calibri"/>
          <w:lang w:val="en-GB"/>
        </w:rPr>
        <w:t xml:space="preserve">The quality of water in Arad is generally in the „Good status / medium confidence” range (rivers </w:t>
      </w:r>
      <w:r w:rsidRPr="00037C61">
        <w:rPr>
          <w:rFonts w:cs="Calibri"/>
          <w:color w:val="000000"/>
          <w:lang w:val="en-GB"/>
        </w:rPr>
        <w:t>Maros / Mureș, Fehér-Körös / Crișul Alb</w:t>
      </w:r>
      <w:r w:rsidRPr="00037C61">
        <w:rPr>
          <w:rFonts w:cs="Calibri"/>
          <w:lang w:val="en-GB"/>
        </w:rPr>
        <w:t>), with the exception of a „Good status / low confidence” evaluation (in some, segments of the</w:t>
      </w:r>
      <w:r w:rsidRPr="00037C61">
        <w:rPr>
          <w:rFonts w:cs="Calibri"/>
          <w:color w:val="000000"/>
          <w:lang w:val="en-GB"/>
        </w:rPr>
        <w:t xml:space="preserve"> Berettyó / Barcău</w:t>
      </w:r>
      <w:r w:rsidRPr="00037C61">
        <w:rPr>
          <w:rFonts w:cs="Calibri"/>
          <w:lang w:val="en-GB"/>
        </w:rPr>
        <w:t>), “</w:t>
      </w:r>
      <w:r w:rsidRPr="00037C61">
        <w:rPr>
          <w:rFonts w:cs="Calibri"/>
          <w:color w:val="000000"/>
          <w:lang w:val="en-GB"/>
        </w:rPr>
        <w:t>Good status / low confidence”</w:t>
      </w:r>
      <w:r w:rsidRPr="00037C61">
        <w:rPr>
          <w:rFonts w:cs="Calibri"/>
          <w:lang w:val="en-GB"/>
        </w:rPr>
        <w:t xml:space="preserve"> (in some segments of Fehér-Körös / Crișul Alb) and “Failing good status / high confidence” (in other segments of Fehér-Körös / Crișul Alb).</w:t>
      </w:r>
    </w:p>
    <w:p w14:paraId="4105609F" w14:textId="7AAA8B7F" w:rsidR="00FB0745" w:rsidRPr="00037C61" w:rsidRDefault="008B32DD" w:rsidP="00FB0745">
      <w:pPr>
        <w:pStyle w:val="InterregROHUBullet1"/>
        <w:spacing w:after="0"/>
        <w:ind w:left="709"/>
        <w:rPr>
          <w:rFonts w:cs="Calibri"/>
          <w:b/>
          <w:bCs w:val="0"/>
        </w:rPr>
      </w:pPr>
      <w:r w:rsidRPr="00037C61">
        <w:rPr>
          <w:rFonts w:cs="Calibri"/>
          <w:b/>
          <w:bCs w:val="0"/>
        </w:rPr>
        <w:t>Timiș</w:t>
      </w:r>
    </w:p>
    <w:p w14:paraId="06588DAE" w14:textId="18CFF23E" w:rsidR="00FB0745" w:rsidRPr="00037C61" w:rsidRDefault="00FB0745" w:rsidP="00FB0745">
      <w:pPr>
        <w:pStyle w:val="InterregROHUBullet1"/>
        <w:numPr>
          <w:ilvl w:val="0"/>
          <w:numId w:val="0"/>
        </w:numPr>
        <w:spacing w:after="200" w:line="276" w:lineRule="auto"/>
        <w:rPr>
          <w:rFonts w:cs="Calibri"/>
        </w:rPr>
      </w:pPr>
      <w:r w:rsidRPr="00037C61">
        <w:rPr>
          <w:rFonts w:cs="Calibri"/>
        </w:rPr>
        <w:t xml:space="preserve">The quality of water in </w:t>
      </w:r>
      <w:r w:rsidR="008B32DD" w:rsidRPr="00037C61">
        <w:rPr>
          <w:rFonts w:cs="Calibri"/>
        </w:rPr>
        <w:t>Timiș</w:t>
      </w:r>
      <w:r w:rsidRPr="00037C61">
        <w:rPr>
          <w:rFonts w:cs="Calibri"/>
        </w:rPr>
        <w:t xml:space="preserve"> is generally in the „Good status / medium confidence” range (rivers </w:t>
      </w:r>
      <w:r w:rsidRPr="00037C61">
        <w:rPr>
          <w:rFonts w:cs="Calibri"/>
          <w:color w:val="000000"/>
        </w:rPr>
        <w:t>Béga / Bega, Temes / Timiș and Maros / Mureș</w:t>
      </w:r>
      <w:r w:rsidRPr="00037C61">
        <w:rPr>
          <w:rFonts w:cs="Calibri"/>
        </w:rPr>
        <w:t>).</w:t>
      </w:r>
    </w:p>
    <w:p w14:paraId="0E3FFE7E" w14:textId="0DE54E82" w:rsidR="00FB0745" w:rsidRPr="00037C61" w:rsidRDefault="00852ADB" w:rsidP="00FB0745">
      <w:pPr>
        <w:pStyle w:val="InterregROHUBullet1"/>
        <w:numPr>
          <w:ilvl w:val="0"/>
          <w:numId w:val="0"/>
        </w:numPr>
        <w:spacing w:after="200" w:line="276" w:lineRule="auto"/>
        <w:rPr>
          <w:rFonts w:cs="Calibri"/>
        </w:rPr>
      </w:pPr>
      <w:r w:rsidRPr="00037C61">
        <w:rPr>
          <w:rFonts w:cs="Calibri"/>
        </w:rPr>
        <w:t>The</w:t>
      </w:r>
      <w:r w:rsidR="6446A0E8" w:rsidRPr="00037C61">
        <w:rPr>
          <w:rFonts w:cs="Calibri"/>
          <w:b/>
        </w:rPr>
        <w:t xml:space="preserve"> quality of water is rather in good status/ medium confidence in Timiș, Arad, Bihor and Csongrád-Csanád NUTS3.</w:t>
      </w:r>
      <w:r w:rsidR="6446A0E8" w:rsidRPr="00037C61">
        <w:rPr>
          <w:rFonts w:cs="Calibri"/>
        </w:rPr>
        <w:t xml:space="preserve"> </w:t>
      </w:r>
      <w:r w:rsidR="6446A0E8" w:rsidRPr="00037C61">
        <w:rPr>
          <w:rFonts w:cs="Calibri"/>
          <w:b/>
        </w:rPr>
        <w:t xml:space="preserve">In the other NUTS3 is rather failing good status / medium confidence or under this level, </w:t>
      </w:r>
      <w:r w:rsidR="6446A0E8" w:rsidRPr="00037C61">
        <w:rPr>
          <w:rFonts w:cs="Calibri"/>
        </w:rPr>
        <w:t xml:space="preserve">as it is also shown in the map below. There is a disparity between the Hungarian and the Romanian side, with the former presenting a generally lower river quality, which could represent a priority for cross-border partnership – especially in the riparian areas extending across the border.   </w:t>
      </w:r>
    </w:p>
    <w:p w14:paraId="4812D6AE" w14:textId="1270A218" w:rsidR="00FB0745" w:rsidRPr="00037C61" w:rsidRDefault="00FB0745" w:rsidP="00FB0745">
      <w:pPr>
        <w:pStyle w:val="InterregROHUBullet1"/>
        <w:keepNext/>
        <w:numPr>
          <w:ilvl w:val="0"/>
          <w:numId w:val="0"/>
        </w:numPr>
        <w:spacing w:after="0"/>
        <w:rPr>
          <w:rFonts w:cs="Calibri"/>
        </w:rPr>
      </w:pPr>
      <w:r w:rsidRPr="00037C61">
        <w:rPr>
          <w:noProof/>
          <w:lang w:val="ro-RO" w:eastAsia="ro-RO"/>
        </w:rPr>
        <w:lastRenderedPageBreak/>
        <w:drawing>
          <wp:inline distT="0" distB="0" distL="0" distR="0" wp14:anchorId="44774273" wp14:editId="39451931">
            <wp:extent cx="6240926" cy="259624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pic:nvPicPr>
                  <pic:blipFill>
                    <a:blip r:embed="rId177">
                      <a:extLst>
                        <a:ext uri="{28A0092B-C50C-407E-A947-70E740481C1C}">
                          <a14:useLocalDpi xmlns:a14="http://schemas.microsoft.com/office/drawing/2010/main"/>
                        </a:ext>
                      </a:extLst>
                    </a:blip>
                    <a:stretch>
                      <a:fillRect/>
                    </a:stretch>
                  </pic:blipFill>
                  <pic:spPr>
                    <a:xfrm>
                      <a:off x="0" y="0"/>
                      <a:ext cx="6240926" cy="2596243"/>
                    </a:xfrm>
                    <a:prstGeom prst="rect">
                      <a:avLst/>
                    </a:prstGeom>
                  </pic:spPr>
                </pic:pic>
              </a:graphicData>
            </a:graphic>
          </wp:inline>
        </w:drawing>
      </w:r>
    </w:p>
    <w:p w14:paraId="15C29FD0" w14:textId="728505A9" w:rsidR="00FB0745" w:rsidRPr="00037C61" w:rsidRDefault="52230E0C" w:rsidP="00FB0745">
      <w:pPr>
        <w:pStyle w:val="Caption"/>
        <w:jc w:val="both"/>
        <w:rPr>
          <w:rFonts w:cs="Calibri"/>
          <w:lang w:val="en-GB"/>
        </w:rPr>
      </w:pPr>
      <w:bookmarkStart w:id="696" w:name="_Ref58323333"/>
      <w:bookmarkStart w:id="697" w:name="_Ref58323335"/>
      <w:bookmarkStart w:id="698" w:name="_Toc64611033"/>
      <w:r w:rsidRPr="00037C61">
        <w:rPr>
          <w:rFonts w:cs="Calibri"/>
          <w:lang w:val="en-GB"/>
        </w:rPr>
        <w:t xml:space="preserve">Figure </w:t>
      </w:r>
      <w:r w:rsidR="00412697">
        <w:rPr>
          <w:rFonts w:cs="Calibri"/>
          <w:lang w:val="en-GB"/>
        </w:rPr>
        <w:fldChar w:fldCharType="begin"/>
      </w:r>
      <w:r w:rsidR="00412697">
        <w:rPr>
          <w:rFonts w:cs="Calibri"/>
          <w:lang w:val="en-GB"/>
        </w:rPr>
        <w:instrText xml:space="preserve"> SEQ Figure \* ARABIC </w:instrText>
      </w:r>
      <w:r w:rsidR="00412697">
        <w:rPr>
          <w:rFonts w:cs="Calibri"/>
          <w:lang w:val="en-GB"/>
        </w:rPr>
        <w:fldChar w:fldCharType="separate"/>
      </w:r>
      <w:r w:rsidR="00412697">
        <w:rPr>
          <w:rFonts w:cs="Calibri"/>
          <w:noProof/>
          <w:lang w:val="en-GB"/>
        </w:rPr>
        <w:t>84</w:t>
      </w:r>
      <w:r w:rsidR="00412697">
        <w:rPr>
          <w:rFonts w:cs="Calibri"/>
          <w:lang w:val="en-GB"/>
        </w:rPr>
        <w:fldChar w:fldCharType="end"/>
      </w:r>
      <w:r w:rsidRPr="00037C61">
        <w:rPr>
          <w:rFonts w:cs="Calibri"/>
          <w:lang w:val="en-GB"/>
        </w:rPr>
        <w:t xml:space="preserve"> - Quality status of rivers in the PA</w:t>
      </w:r>
      <w:bookmarkEnd w:id="696"/>
      <w:bookmarkEnd w:id="697"/>
      <w:bookmarkEnd w:id="698"/>
      <w:r w:rsidRPr="00037C61">
        <w:rPr>
          <w:rFonts w:cs="Calibri"/>
          <w:lang w:val="en-GB"/>
        </w:rPr>
        <w:t xml:space="preserve"> </w:t>
      </w:r>
    </w:p>
    <w:p w14:paraId="6679B6CB" w14:textId="5FBA9B6A" w:rsidR="00FB0745" w:rsidRPr="00037C61" w:rsidRDefault="00FB0745" w:rsidP="00F05815">
      <w:pPr>
        <w:pStyle w:val="Caption"/>
        <w:spacing w:after="240"/>
        <w:jc w:val="both"/>
        <w:rPr>
          <w:rFonts w:cs="Calibri"/>
          <w:lang w:val="en-GB"/>
        </w:rPr>
      </w:pPr>
      <w:r w:rsidRPr="00037C61">
        <w:rPr>
          <w:rFonts w:cs="Calibri"/>
          <w:lang w:val="en-GB"/>
        </w:rPr>
        <w:t>Source: eea.europa.eu</w:t>
      </w:r>
    </w:p>
    <w:p w14:paraId="34013114" w14:textId="1FD00F28" w:rsidR="00DE2BA6" w:rsidRPr="00037C61" w:rsidRDefault="00DE2BA6" w:rsidP="00DE2BA6">
      <w:pPr>
        <w:rPr>
          <w:lang w:val="en-GB"/>
        </w:rPr>
      </w:pPr>
      <w:r w:rsidRPr="00037C61">
        <w:rPr>
          <w:lang w:val="en-GB"/>
        </w:rPr>
        <w:t xml:space="preserve">At national level, in Hungary and Romania the situation regarding water pollution from industrial sources shows a dynamic which has improved slightly over the course of the 2008-2016 period. </w:t>
      </w:r>
    </w:p>
    <w:p w14:paraId="2CC49373" w14:textId="7DB66CAD" w:rsidR="00DE2BA6" w:rsidRPr="00037C61" w:rsidRDefault="00DE2BA6" w:rsidP="00DE2BA6">
      <w:pPr>
        <w:spacing w:after="0"/>
        <w:rPr>
          <w:lang w:val="en-GB"/>
        </w:rPr>
      </w:pPr>
      <w:r w:rsidRPr="00037C61">
        <w:rPr>
          <w:noProof/>
          <w:lang w:val="ro-RO" w:eastAsia="ro-RO"/>
        </w:rPr>
        <w:drawing>
          <wp:inline distT="0" distB="0" distL="0" distR="0" wp14:anchorId="4ED08FA3" wp14:editId="45245156">
            <wp:extent cx="2712720" cy="1734287"/>
            <wp:effectExtent l="0" t="0" r="0" b="0"/>
            <wp:docPr id="168" name="Picture 1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pic:nvPicPr>
                  <pic:blipFill rotWithShape="1">
                    <a:blip r:embed="rId178" cstate="print">
                      <a:extLst>
                        <a:ext uri="{28A0092B-C50C-407E-A947-70E740481C1C}">
                          <a14:useLocalDpi xmlns:a14="http://schemas.microsoft.com/office/drawing/2010/main"/>
                        </a:ext>
                      </a:extLst>
                    </a:blip>
                    <a:srcRect l="50136" t="27954" b="31880"/>
                    <a:stretch/>
                  </pic:blipFill>
                  <pic:spPr bwMode="auto">
                    <a:xfrm>
                      <a:off x="0" y="0"/>
                      <a:ext cx="2722708" cy="1740672"/>
                    </a:xfrm>
                    <a:prstGeom prst="rect">
                      <a:avLst/>
                    </a:prstGeom>
                    <a:ln>
                      <a:noFill/>
                    </a:ln>
                    <a:extLst>
                      <a:ext uri="{53640926-AAD7-44D8-BBD7-CCE9431645EC}">
                        <a14:shadowObscured xmlns:a14="http://schemas.microsoft.com/office/drawing/2010/main"/>
                      </a:ext>
                    </a:extLst>
                  </pic:spPr>
                </pic:pic>
              </a:graphicData>
            </a:graphic>
          </wp:inline>
        </w:drawing>
      </w:r>
      <w:r w:rsidRPr="00037C61">
        <w:rPr>
          <w:noProof/>
          <w:lang w:val="ro-RO" w:eastAsia="ro-RO"/>
        </w:rPr>
        <w:drawing>
          <wp:inline distT="0" distB="0" distL="0" distR="0" wp14:anchorId="0F487C4D" wp14:editId="1D512EE1">
            <wp:extent cx="2796540" cy="1737712"/>
            <wp:effectExtent l="0" t="0" r="3810" b="0"/>
            <wp:docPr id="175" name="Picture 1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pic:nvPicPr>
                  <pic:blipFill rotWithShape="1">
                    <a:blip r:embed="rId179" cstate="print">
                      <a:extLst>
                        <a:ext uri="{28A0092B-C50C-407E-A947-70E740481C1C}">
                          <a14:useLocalDpi xmlns:a14="http://schemas.microsoft.com/office/drawing/2010/main"/>
                        </a:ext>
                      </a:extLst>
                    </a:blip>
                    <a:srcRect l="50600" t="28076" b="33248"/>
                    <a:stretch/>
                  </pic:blipFill>
                  <pic:spPr bwMode="auto">
                    <a:xfrm>
                      <a:off x="0" y="0"/>
                      <a:ext cx="2819944" cy="1752255"/>
                    </a:xfrm>
                    <a:prstGeom prst="rect">
                      <a:avLst/>
                    </a:prstGeom>
                    <a:ln>
                      <a:noFill/>
                    </a:ln>
                    <a:extLst>
                      <a:ext uri="{53640926-AAD7-44D8-BBD7-CCE9431645EC}">
                        <a14:shadowObscured xmlns:a14="http://schemas.microsoft.com/office/drawing/2010/main"/>
                      </a:ext>
                    </a:extLst>
                  </pic:spPr>
                </pic:pic>
              </a:graphicData>
            </a:graphic>
          </wp:inline>
        </w:drawing>
      </w:r>
    </w:p>
    <w:p w14:paraId="0C596BB0" w14:textId="74370F2A" w:rsidR="00DE2BA6" w:rsidRPr="00037C61" w:rsidRDefault="00DE2BA6" w:rsidP="00DE2BA6">
      <w:pPr>
        <w:pStyle w:val="Caption"/>
        <w:jc w:val="both"/>
        <w:rPr>
          <w:lang w:val="en-GB"/>
        </w:rPr>
      </w:pPr>
      <w:bookmarkStart w:id="699" w:name="_Toc6461103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85</w:t>
      </w:r>
      <w:r w:rsidR="00412697">
        <w:rPr>
          <w:lang w:val="en-GB"/>
        </w:rPr>
        <w:fldChar w:fldCharType="end"/>
      </w:r>
      <w:r w:rsidRPr="00037C61">
        <w:rPr>
          <w:lang w:val="en-GB"/>
        </w:rPr>
        <w:t xml:space="preserve"> – Industrial water pollution profiles of Hungary and Romania, 2017</w:t>
      </w:r>
      <w:bookmarkEnd w:id="699"/>
    </w:p>
    <w:p w14:paraId="5D84E84C" w14:textId="77777777" w:rsidR="00DE2BA6" w:rsidRPr="00DB74BF" w:rsidRDefault="00DE2BA6" w:rsidP="00DE2BA6">
      <w:pPr>
        <w:pStyle w:val="Caption"/>
        <w:keepNext/>
        <w:jc w:val="left"/>
        <w:rPr>
          <w:lang w:val="fr-FR"/>
        </w:rPr>
      </w:pPr>
      <w:r w:rsidRPr="00DB74BF">
        <w:rPr>
          <w:lang w:val="fr-FR"/>
        </w:rPr>
        <w:t xml:space="preserve">Source: </w:t>
      </w:r>
      <w:hyperlink r:id="rId180" w:history="1">
        <w:r w:rsidRPr="00DB74BF">
          <w:rPr>
            <w:rStyle w:val="Hyperlink"/>
            <w:lang w:val="fr-FR"/>
          </w:rPr>
          <w:t>https://www.eea.europa.eu/themes/industry/industrial-pollution/industrial-pollution-country-profiles-2020/</w:t>
        </w:r>
      </w:hyperlink>
    </w:p>
    <w:p w14:paraId="14E924C0" w14:textId="77777777" w:rsidR="00DE2BA6" w:rsidRPr="00DB74BF" w:rsidRDefault="00DE2BA6" w:rsidP="005E0849">
      <w:pPr>
        <w:rPr>
          <w:lang w:val="fr-FR"/>
        </w:rPr>
      </w:pPr>
    </w:p>
    <w:p w14:paraId="5AE724DB" w14:textId="2EF3F5F6" w:rsidR="00DF642F" w:rsidRPr="00037C61" w:rsidRDefault="00446FAC" w:rsidP="005E0849">
      <w:pPr>
        <w:pStyle w:val="Heading4"/>
        <w:rPr>
          <w:lang w:val="en-GB"/>
        </w:rPr>
      </w:pPr>
      <w:r w:rsidRPr="00DB74BF">
        <w:rPr>
          <w:lang w:val="fr-FR"/>
        </w:rPr>
        <w:t xml:space="preserve"> </w:t>
      </w:r>
      <w:r w:rsidRPr="00037C61">
        <w:rPr>
          <w:lang w:val="en-GB"/>
        </w:rPr>
        <w:t>Waste water treatment</w:t>
      </w:r>
    </w:p>
    <w:p w14:paraId="14AC42AD" w14:textId="77777777" w:rsidR="00DF642F" w:rsidRPr="00037C61" w:rsidRDefault="00DF642F" w:rsidP="00DF642F">
      <w:pPr>
        <w:pStyle w:val="InterregROHUBullet1"/>
        <w:numPr>
          <w:ilvl w:val="0"/>
          <w:numId w:val="0"/>
        </w:numPr>
        <w:rPr>
          <w:rFonts w:cs="Calibri"/>
        </w:rPr>
      </w:pPr>
      <w:r w:rsidRPr="00037C61">
        <w:rPr>
          <w:rFonts w:cs="Calibri"/>
        </w:rPr>
        <w:t xml:space="preserve">At the level of the PA, the implementation of the </w:t>
      </w:r>
      <w:bookmarkStart w:id="700" w:name="_Hlk54881804"/>
      <w:r w:rsidRPr="00037C61">
        <w:rPr>
          <w:rFonts w:cs="Calibri"/>
        </w:rPr>
        <w:t xml:space="preserve">Urban Waste Water Treatment directive </w:t>
      </w:r>
      <w:bookmarkEnd w:id="700"/>
      <w:r w:rsidRPr="00037C61">
        <w:rPr>
          <w:rFonts w:cs="Calibri"/>
        </w:rPr>
        <w:t xml:space="preserve">(UWWTD) is of particular relevance. Data reported for the year 2016 (the most recent data provided by the EEA) indicates that, throughout the entire area, there is compliance with requirements for collecting systems (yellow), treatment of collected waste water (green). For most of the Hungarian side of the cooperation area, there is compliance with more stringent treatment in sensitive areas and catchments, while the four Romanian counties are lagging in this respect. </w:t>
      </w:r>
    </w:p>
    <w:p w14:paraId="2F86B620" w14:textId="1387C51F" w:rsidR="00DF642F" w:rsidRPr="00037C61" w:rsidRDefault="00DF642F" w:rsidP="00DF642F">
      <w:pPr>
        <w:pStyle w:val="InterregROHUBullet1"/>
        <w:keepNext/>
        <w:numPr>
          <w:ilvl w:val="0"/>
          <w:numId w:val="0"/>
        </w:numPr>
        <w:spacing w:after="0"/>
        <w:jc w:val="center"/>
      </w:pPr>
      <w:r w:rsidRPr="00037C61">
        <w:rPr>
          <w:noProof/>
          <w:lang w:val="ro-RO" w:eastAsia="ro-RO"/>
        </w:rPr>
        <w:lastRenderedPageBreak/>
        <w:drawing>
          <wp:inline distT="0" distB="0" distL="0" distR="0" wp14:anchorId="4A605272" wp14:editId="6D32AA75">
            <wp:extent cx="4248482" cy="3519055"/>
            <wp:effectExtent l="0" t="0" r="0" b="571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pic:nvPicPr>
                  <pic:blipFill>
                    <a:blip r:embed="rId181">
                      <a:extLst>
                        <a:ext uri="{28A0092B-C50C-407E-A947-70E740481C1C}">
                          <a14:useLocalDpi xmlns:a14="http://schemas.microsoft.com/office/drawing/2010/main"/>
                        </a:ext>
                      </a:extLst>
                    </a:blip>
                    <a:stretch>
                      <a:fillRect/>
                    </a:stretch>
                  </pic:blipFill>
                  <pic:spPr>
                    <a:xfrm>
                      <a:off x="0" y="0"/>
                      <a:ext cx="4248482" cy="3519055"/>
                    </a:xfrm>
                    <a:prstGeom prst="rect">
                      <a:avLst/>
                    </a:prstGeom>
                  </pic:spPr>
                </pic:pic>
              </a:graphicData>
            </a:graphic>
          </wp:inline>
        </w:drawing>
      </w:r>
    </w:p>
    <w:p w14:paraId="5E05A3D8" w14:textId="7F4DB850" w:rsidR="00DF642F" w:rsidRPr="00037C61" w:rsidRDefault="00DF642F" w:rsidP="00DF642F">
      <w:pPr>
        <w:pStyle w:val="Caption"/>
        <w:jc w:val="both"/>
        <w:rPr>
          <w:lang w:val="en-GB"/>
        </w:rPr>
      </w:pPr>
      <w:bookmarkStart w:id="701" w:name="_Hlk64611477"/>
      <w:bookmarkStart w:id="702" w:name="_Toc6461103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86</w:t>
      </w:r>
      <w:r w:rsidR="00412697">
        <w:rPr>
          <w:lang w:val="en-GB"/>
        </w:rPr>
        <w:fldChar w:fldCharType="end"/>
      </w:r>
      <w:r w:rsidRPr="00037C61">
        <w:rPr>
          <w:lang w:val="en-GB"/>
        </w:rPr>
        <w:t xml:space="preserve"> </w:t>
      </w:r>
      <w:bookmarkEnd w:id="701"/>
      <w:r w:rsidRPr="00037C61">
        <w:rPr>
          <w:lang w:val="en-GB"/>
        </w:rPr>
        <w:t>- Compliance with UWWTD at treatment plant level in the PA</w:t>
      </w:r>
      <w:bookmarkEnd w:id="702"/>
    </w:p>
    <w:p w14:paraId="196B747B" w14:textId="1410D1E6" w:rsidR="00DF642F" w:rsidRPr="00DB74BF" w:rsidRDefault="00DF642F" w:rsidP="00DF642F">
      <w:pPr>
        <w:pStyle w:val="Caption"/>
        <w:jc w:val="both"/>
        <w:rPr>
          <w:rStyle w:val="Hyperlink"/>
          <w:lang w:val="fr-FR"/>
        </w:rPr>
      </w:pPr>
      <w:r w:rsidRPr="00DB74BF">
        <w:rPr>
          <w:lang w:val="fr-FR"/>
        </w:rPr>
        <w:t xml:space="preserve">Source: EEA, </w:t>
      </w:r>
      <w:hyperlink r:id="rId182" w:history="1">
        <w:r w:rsidRPr="00DB74BF">
          <w:rPr>
            <w:rStyle w:val="Hyperlink"/>
            <w:lang w:val="fr-FR"/>
          </w:rPr>
          <w:t>https://eea.maps.arcgis.com/apps/MapJournal/index.html?appid=e7e93bfd95ab44e28cae733b5a4ff54b%20</w:t>
        </w:r>
      </w:hyperlink>
    </w:p>
    <w:p w14:paraId="666E444D" w14:textId="5128859A" w:rsidR="00446FAC" w:rsidRPr="00DB74BF" w:rsidRDefault="00446FAC" w:rsidP="00446FAC">
      <w:pPr>
        <w:rPr>
          <w:lang w:val="fr-FR"/>
        </w:rPr>
      </w:pPr>
    </w:p>
    <w:p w14:paraId="29E34BFF" w14:textId="77777777" w:rsidR="00357E37" w:rsidRPr="00037C61" w:rsidRDefault="00357E37" w:rsidP="00357E37">
      <w:pPr>
        <w:spacing w:after="0" w:line="240" w:lineRule="auto"/>
        <w:rPr>
          <w:rFonts w:eastAsiaTheme="majorEastAsia" w:cstheme="majorBidi"/>
          <w:b/>
          <w:iCs/>
          <w:color w:val="023B7A" w:themeColor="accent1" w:themeShade="BF"/>
          <w:lang w:val="en-GB"/>
        </w:rPr>
      </w:pPr>
      <w:r w:rsidRPr="00037C61">
        <w:rPr>
          <w:rFonts w:eastAsiaTheme="majorEastAsia" w:cstheme="majorBidi"/>
          <w:b/>
          <w:iCs/>
          <w:color w:val="023B7A" w:themeColor="accent1" w:themeShade="BF"/>
          <w:lang w:val="en-GB"/>
        </w:rPr>
        <w:t>Ground water bodies versus agricultural activities (in the European context)</w:t>
      </w:r>
    </w:p>
    <w:p w14:paraId="0FE74FDB" w14:textId="77777777" w:rsidR="00357E37" w:rsidRPr="00037C61" w:rsidRDefault="00357E37" w:rsidP="00357E37">
      <w:pPr>
        <w:spacing w:after="0" w:line="240" w:lineRule="auto"/>
        <w:rPr>
          <w:rFonts w:eastAsia="Times New Roman" w:cstheme="minorHAnsi"/>
          <w:color w:val="000000"/>
          <w:lang w:val="en-GB"/>
        </w:rPr>
      </w:pPr>
    </w:p>
    <w:p w14:paraId="25D4AA00" w14:textId="6D3C5757" w:rsidR="00357E37" w:rsidRPr="00037C61" w:rsidRDefault="00357E37">
      <w:pPr>
        <w:spacing w:after="0" w:line="240" w:lineRule="auto"/>
        <w:rPr>
          <w:rFonts w:eastAsia="Times New Roman" w:cstheme="minorHAnsi"/>
          <w:color w:val="000000"/>
          <w:lang w:val="en-GB"/>
        </w:rPr>
      </w:pPr>
      <w:r w:rsidRPr="00037C61">
        <w:rPr>
          <w:rFonts w:eastAsia="Times New Roman" w:cstheme="minorHAnsi"/>
          <w:color w:val="000000"/>
          <w:lang w:val="en-GB"/>
        </w:rPr>
        <w:t>In the eligible area of Romania, the status of groundwater waters is good in general. Based on the Summary of Water Quality in 2013 in Romania, there were 17 groundwater bodies in “good” status and 3 in “poor” status from the 20 monitored groundwater bodies.</w:t>
      </w:r>
      <w:r w:rsidRPr="00037C61">
        <w:rPr>
          <w:rFonts w:eastAsia="Times New Roman" w:cstheme="minorHAnsi"/>
          <w:color w:val="000000"/>
          <w:vertAlign w:val="superscript"/>
          <w:lang w:val="en-GB"/>
        </w:rPr>
        <w:t xml:space="preserve"> </w:t>
      </w:r>
      <w:r w:rsidRPr="00037C61">
        <w:rPr>
          <w:rFonts w:eastAsia="Times New Roman" w:cstheme="minorHAnsi"/>
          <w:color w:val="000000"/>
          <w:lang w:val="en-GB"/>
        </w:rPr>
        <w:t>There are 70 vulnerable catchments in the Hungarian eligible counties. Due to Hungary’s natural endowments the public utility water supply is predominantly based on groundwater sources. Two thirds of the drinking water supply is based on vulnerable sources. Since that the area of these water sources are mostly affected by many sources of pollution, these water sources should be regarded not only vulnerable but endangered also.</w:t>
      </w:r>
      <w:r w:rsidRPr="00037C61">
        <w:rPr>
          <w:rStyle w:val="FootnoteReference"/>
          <w:rFonts w:cstheme="minorHAnsi"/>
          <w:color w:val="000000"/>
          <w:lang w:val="en-GB"/>
        </w:rPr>
        <w:footnoteReference w:id="30"/>
      </w:r>
    </w:p>
    <w:p w14:paraId="6A8A7C38" w14:textId="77777777" w:rsidR="00357E37" w:rsidRPr="00037C61" w:rsidRDefault="00357E37">
      <w:pPr>
        <w:spacing w:before="240" w:after="0" w:line="240" w:lineRule="auto"/>
        <w:rPr>
          <w:rFonts w:eastAsia="Times New Roman" w:cstheme="minorHAnsi"/>
          <w:i/>
          <w:iCs/>
          <w:color w:val="333333"/>
          <w:shd w:val="clear" w:color="auto" w:fill="FFFFFF"/>
          <w:lang w:val="en-GB"/>
        </w:rPr>
      </w:pPr>
      <w:r w:rsidRPr="00037C61">
        <w:rPr>
          <w:rFonts w:eastAsia="Times New Roman" w:cstheme="minorHAnsi"/>
          <w:color w:val="000000"/>
          <w:lang w:val="en-GB"/>
        </w:rPr>
        <w:t xml:space="preserve">According to the European Commission study on Agri-environmental indicator, several countries in Europe report that groundwater has concentrations of pesticides that exceed the quality standards. </w:t>
      </w:r>
      <w:r w:rsidRPr="00037C61">
        <w:rPr>
          <w:rFonts w:eastAsia="Times New Roman" w:cstheme="minorHAnsi"/>
          <w:i/>
          <w:iCs/>
          <w:color w:val="333333"/>
          <w:shd w:val="clear" w:color="auto" w:fill="FFFFFF"/>
          <w:lang w:val="en-GB"/>
        </w:rPr>
        <w:t>Across this European dataset, about 7 % of the groundwater stations reported exceeded levels for one or more pesticides. Atrazine and its metabolites is the pesticide most frequently detected above the quality standard throughout Europe. Groundwater at risk appears to be located in areas used intensively for agriculture.</w:t>
      </w:r>
    </w:p>
    <w:p w14:paraId="5BA74159" w14:textId="77777777" w:rsidR="00357E37" w:rsidRPr="00037C61" w:rsidRDefault="00357E37">
      <w:pPr>
        <w:keepNext/>
        <w:spacing w:after="0" w:line="240" w:lineRule="auto"/>
        <w:jc w:val="center"/>
        <w:rPr>
          <w:lang w:val="en-GB"/>
        </w:rPr>
      </w:pPr>
      <w:r w:rsidRPr="00037C61">
        <w:rPr>
          <w:noProof/>
          <w:lang w:val="ro-RO" w:eastAsia="ro-RO"/>
        </w:rPr>
        <w:lastRenderedPageBreak/>
        <w:drawing>
          <wp:inline distT="0" distB="0" distL="0" distR="0" wp14:anchorId="275E0A8E" wp14:editId="49EED496">
            <wp:extent cx="4108450" cy="3238500"/>
            <wp:effectExtent l="0" t="0" r="6350" b="0"/>
            <wp:docPr id="1490160132" name="Picture 149016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12628" cy="3241793"/>
                    </a:xfrm>
                    <a:prstGeom prst="rect">
                      <a:avLst/>
                    </a:prstGeom>
                    <a:noFill/>
                    <a:ln>
                      <a:noFill/>
                    </a:ln>
                  </pic:spPr>
                </pic:pic>
              </a:graphicData>
            </a:graphic>
          </wp:inline>
        </w:drawing>
      </w:r>
    </w:p>
    <w:p w14:paraId="5DCC4F5A" w14:textId="6CB26AF2" w:rsidR="00357E37" w:rsidRPr="00DB74BF" w:rsidRDefault="00494E56" w:rsidP="00494E56">
      <w:pPr>
        <w:pStyle w:val="Caption"/>
        <w:jc w:val="both"/>
        <w:rPr>
          <w:lang w:val="en-GB"/>
        </w:rPr>
      </w:pPr>
      <w:bookmarkStart w:id="703" w:name="_Toc64611036"/>
      <w:r w:rsidRPr="00037C61">
        <w:rPr>
          <w:lang w:val="en-GB"/>
        </w:rPr>
        <w:t xml:space="preserve">Figure </w:t>
      </w:r>
      <w:r>
        <w:rPr>
          <w:lang w:val="en-GB"/>
        </w:rPr>
        <w:fldChar w:fldCharType="begin"/>
      </w:r>
      <w:r>
        <w:rPr>
          <w:lang w:val="en-GB"/>
        </w:rPr>
        <w:instrText xml:space="preserve"> SEQ Figure \* ARABIC </w:instrText>
      </w:r>
      <w:r>
        <w:rPr>
          <w:lang w:val="en-GB"/>
        </w:rPr>
        <w:fldChar w:fldCharType="separate"/>
      </w:r>
      <w:r w:rsidR="006508E7">
        <w:rPr>
          <w:noProof/>
          <w:lang w:val="en-GB"/>
        </w:rPr>
        <w:t>88</w:t>
      </w:r>
      <w:r>
        <w:rPr>
          <w:lang w:val="en-GB"/>
        </w:rPr>
        <w:fldChar w:fldCharType="end"/>
      </w:r>
      <w:r w:rsidRPr="00037C61">
        <w:rPr>
          <w:lang w:val="en-GB"/>
        </w:rPr>
        <w:t xml:space="preserve"> </w:t>
      </w:r>
      <w:r w:rsidR="00357E37" w:rsidRPr="00DB74BF">
        <w:rPr>
          <w:lang w:val="en-GB"/>
        </w:rPr>
        <w:t>Occurrence and exceedance of Environmental Quality Standards (EQS) of individual pesticides in groundwater monitoring stations, (%), 2010-2011</w:t>
      </w:r>
      <w:bookmarkEnd w:id="703"/>
    </w:p>
    <w:p w14:paraId="0FCA32AC" w14:textId="6A5E55C8" w:rsidR="00357E37" w:rsidRPr="00037C61" w:rsidRDefault="00357E37" w:rsidP="006A685E">
      <w:pPr>
        <w:pStyle w:val="Caption"/>
        <w:spacing w:after="240"/>
        <w:jc w:val="left"/>
        <w:rPr>
          <w:lang w:val="en-GB"/>
        </w:rPr>
      </w:pPr>
      <w:r w:rsidRPr="00037C61">
        <w:rPr>
          <w:lang w:val="en-GB"/>
        </w:rPr>
        <w:t>Source: European Environment Agency, WISE-SoE Groundwater</w:t>
      </w:r>
    </w:p>
    <w:p w14:paraId="74AFEB88" w14:textId="7ABAC240" w:rsidR="00357E37" w:rsidRPr="00037C61" w:rsidRDefault="00357E37" w:rsidP="00357E37">
      <w:pPr>
        <w:keepNext/>
        <w:rPr>
          <w:lang w:val="en-GB"/>
        </w:rPr>
      </w:pPr>
      <w:r w:rsidRPr="00037C61">
        <w:rPr>
          <w:lang w:val="en-GB"/>
        </w:rPr>
        <w:t xml:space="preserve">The main factor for polluting the groundwater resources is represented by the agricultural activity, but the monitoring of pesticides and used chemicals is a challenging task because </w:t>
      </w:r>
      <w:r w:rsidR="006A685E" w:rsidRPr="00037C61">
        <w:rPr>
          <w:lang w:val="en-GB"/>
        </w:rPr>
        <w:t>o</w:t>
      </w:r>
      <w:r w:rsidRPr="00037C61">
        <w:rPr>
          <w:lang w:val="en-GB"/>
        </w:rPr>
        <w:t>f the high number of registered pesticides, cost of analyses, and the need for sampling to be performed during periods of application and use, and under various weather conditions</w:t>
      </w:r>
      <w:r w:rsidRPr="00037C61">
        <w:rPr>
          <w:rStyle w:val="FootnoteReference"/>
          <w:lang w:val="en-GB"/>
        </w:rPr>
        <w:footnoteReference w:id="31"/>
      </w:r>
      <w:r w:rsidRPr="00037C61">
        <w:rPr>
          <w:lang w:val="en-GB"/>
        </w:rPr>
        <w:t xml:space="preserve">. </w:t>
      </w:r>
    </w:p>
    <w:p w14:paraId="1BEBA75D" w14:textId="77777777" w:rsidR="00357E37" w:rsidRPr="00037C61" w:rsidRDefault="00357E37" w:rsidP="00357E37">
      <w:pPr>
        <w:rPr>
          <w:lang w:val="en-GB"/>
        </w:rPr>
      </w:pPr>
    </w:p>
    <w:p w14:paraId="3A804977" w14:textId="74BB3276" w:rsidR="00357E37" w:rsidRPr="00037C61" w:rsidRDefault="00357E37" w:rsidP="00357E37">
      <w:pPr>
        <w:keepNext/>
        <w:spacing w:before="240" w:after="0"/>
        <w:rPr>
          <w:lang w:val="en-GB"/>
        </w:rPr>
      </w:pPr>
      <w:r w:rsidRPr="00037C61">
        <w:rPr>
          <w:noProof/>
          <w:lang w:val="ro-RO" w:eastAsia="ro-RO"/>
        </w:rPr>
        <mc:AlternateContent>
          <mc:Choice Requires="wps">
            <w:drawing>
              <wp:anchor distT="45720" distB="45720" distL="114300" distR="114300" simplePos="0" relativeHeight="251703808" behindDoc="0" locked="0" layoutInCell="1" allowOverlap="1" wp14:anchorId="1FD0C68E" wp14:editId="355467E2">
                <wp:simplePos x="0" y="0"/>
                <wp:positionH relativeFrom="margin">
                  <wp:posOffset>3419475</wp:posOffset>
                </wp:positionH>
                <wp:positionV relativeFrom="paragraph">
                  <wp:posOffset>45720</wp:posOffset>
                </wp:positionV>
                <wp:extent cx="2302510" cy="2885440"/>
                <wp:effectExtent l="0" t="0" r="2540" b="0"/>
                <wp:wrapSquare wrapText="bothSides"/>
                <wp:docPr id="1490160145" name="Text Box 1490160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2885440"/>
                        </a:xfrm>
                        <a:prstGeom prst="rect">
                          <a:avLst/>
                        </a:prstGeom>
                        <a:solidFill>
                          <a:srgbClr val="FFFFFF"/>
                        </a:solidFill>
                        <a:ln w="9525">
                          <a:noFill/>
                          <a:miter lim="800000"/>
                          <a:headEnd/>
                          <a:tailEnd/>
                        </a:ln>
                      </wps:spPr>
                      <wps:txbx>
                        <w:txbxContent>
                          <w:p w14:paraId="53843F90" w14:textId="71A9EA9E" w:rsidR="00944B4A" w:rsidRDefault="00944B4A" w:rsidP="00DB74BF">
                            <w:pPr>
                              <w:rPr>
                                <w:lang w:val="en-US"/>
                              </w:rPr>
                            </w:pPr>
                            <w:r>
                              <w:rPr>
                                <w:lang w:val="en-US"/>
                              </w:rPr>
                              <w:t>In order to assess the potential risk for groundwater pollution, it`s import</w:t>
                            </w:r>
                            <w:r w:rsidRPr="005042B9">
                              <w:rPr>
                                <w:lang w:val="en-US"/>
                              </w:rPr>
                              <w:t>ant</w:t>
                            </w:r>
                            <w:r>
                              <w:rPr>
                                <w:lang w:val="en-US"/>
                              </w:rPr>
                              <w:t xml:space="preserve"> to analyze the total share of irrigated agricultural land. According to the Eurostat Agri-environmental indicator – irrigation, for 2016, we can observe that Romanian side has a lower share of agricultural land irrigated than the Hungarian side. </w:t>
                            </w:r>
                          </w:p>
                          <w:p w14:paraId="1387538D" w14:textId="77777777" w:rsidR="00944B4A" w:rsidRDefault="00944B4A" w:rsidP="00357E37">
                            <w:pPr>
                              <w:spacing w:line="360" w:lineRule="auto"/>
                              <w:rPr>
                                <w:lang w:val="ro-R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D0C68E" id="Text Box 1490160145" o:spid="_x0000_s1041" type="#_x0000_t202" style="position:absolute;left:0;text-align:left;margin-left:269.25pt;margin-top:3.6pt;width:181.3pt;height:227.2pt;z-index:25170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" stroked="f">
                <v:textbox>
                  <w:txbxContent>
                    <w:p w14:paraId="53843F90" w14:textId="71A9EA9E" w:rsidR="00944B4A" w:rsidRDefault="00944B4A" w:rsidP="00DB74BF">
                      <w:pPr>
                        <w:rPr>
                          <w:lang w:val="en-US"/>
                        </w:rPr>
                      </w:pPr>
                      <w:r>
                        <w:rPr>
                          <w:lang w:val="en-US"/>
                        </w:rPr>
                        <w:t>In order to assess the potential risk for groundwater pollution, it`s import</w:t>
                      </w:r>
                      <w:r w:rsidRPr="005042B9">
                        <w:rPr>
                          <w:lang w:val="en-US"/>
                        </w:rPr>
                        <w:t>ant</w:t>
                      </w:r>
                      <w:r>
                        <w:rPr>
                          <w:lang w:val="en-US"/>
                        </w:rPr>
                        <w:t xml:space="preserve"> to analyze the total share of irrigated agricultural land. According to the Eurostat Agri-environmental indicator – irrigation, for 2016, we can observe that Romanian side has a lower share of agricultural land irrigated than the Hungarian side. </w:t>
                      </w:r>
                    </w:p>
                    <w:p w14:paraId="1387538D" w14:textId="77777777" w:rsidR="00944B4A" w:rsidRDefault="00944B4A" w:rsidP="00357E37">
                      <w:pPr>
                        <w:spacing w:line="360" w:lineRule="auto"/>
                        <w:rPr>
                          <w:lang w:val="ro-RO"/>
                        </w:rPr>
                      </w:pPr>
                    </w:p>
                  </w:txbxContent>
                </v:textbox>
                <w10:wrap type="square" anchorx="margin"/>
              </v:shape>
            </w:pict>
          </mc:Fallback>
        </mc:AlternateContent>
      </w:r>
      <w:r w:rsidRPr="00037C61">
        <w:rPr>
          <w:noProof/>
          <w:lang w:val="ro-RO" w:eastAsia="ro-RO"/>
        </w:rPr>
        <w:drawing>
          <wp:inline distT="0" distB="0" distL="0" distR="0" wp14:anchorId="5DC7C2AD" wp14:editId="4E81487B">
            <wp:extent cx="3004185" cy="2458085"/>
            <wp:effectExtent l="0" t="0" r="5715" b="0"/>
            <wp:docPr id="1490160131" name="Picture 149016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t="40356"/>
                    <a:stretch>
                      <a:fillRect/>
                    </a:stretch>
                  </pic:blipFill>
                  <pic:spPr bwMode="auto">
                    <a:xfrm>
                      <a:off x="0" y="0"/>
                      <a:ext cx="3004185" cy="2458085"/>
                    </a:xfrm>
                    <a:prstGeom prst="rect">
                      <a:avLst/>
                    </a:prstGeom>
                    <a:noFill/>
                    <a:ln>
                      <a:noFill/>
                    </a:ln>
                  </pic:spPr>
                </pic:pic>
              </a:graphicData>
            </a:graphic>
          </wp:inline>
        </w:drawing>
      </w:r>
    </w:p>
    <w:p w14:paraId="668F3A49" w14:textId="58B5CADF" w:rsidR="00357E37" w:rsidRPr="00037C61" w:rsidRDefault="00357E37" w:rsidP="0061187F">
      <w:pPr>
        <w:pStyle w:val="Caption"/>
        <w:jc w:val="left"/>
        <w:rPr>
          <w:lang w:val="en-GB"/>
        </w:rPr>
      </w:pPr>
      <w:bookmarkStart w:id="704" w:name="_Toc6461103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89</w:t>
      </w:r>
      <w:r w:rsidR="00412697">
        <w:rPr>
          <w:lang w:val="en-GB"/>
        </w:rPr>
        <w:fldChar w:fldCharType="end"/>
      </w:r>
      <w:r w:rsidRPr="00037C61">
        <w:rPr>
          <w:lang w:val="en-GB"/>
        </w:rPr>
        <w:t xml:space="preserve"> - Share of irrigated areas in UAA by NUTS 2 regions, EU-28, 2016</w:t>
      </w:r>
      <w:bookmarkEnd w:id="704"/>
      <w:r w:rsidRPr="00037C61">
        <w:rPr>
          <w:lang w:val="en-GB"/>
        </w:rPr>
        <w:t xml:space="preserve"> </w:t>
      </w:r>
    </w:p>
    <w:p w14:paraId="1FBBFD7B" w14:textId="77C4B025" w:rsidR="00357E37" w:rsidRPr="00037C61" w:rsidRDefault="00357E37">
      <w:pPr>
        <w:pStyle w:val="Caption"/>
        <w:jc w:val="left"/>
        <w:rPr>
          <w:lang w:val="en-GB"/>
        </w:rPr>
      </w:pPr>
      <w:r w:rsidRPr="00037C61">
        <w:rPr>
          <w:lang w:val="en-GB"/>
        </w:rPr>
        <w:t>Source: Eurostat</w:t>
      </w:r>
    </w:p>
    <w:p w14:paraId="09F80DEF" w14:textId="26BB8246" w:rsidR="00357E37" w:rsidRPr="00037C61" w:rsidRDefault="00E17CA8" w:rsidP="00E17CA8">
      <w:pPr>
        <w:rPr>
          <w:lang w:val="en-GB"/>
        </w:rPr>
      </w:pPr>
      <w:r w:rsidRPr="00037C61">
        <w:rPr>
          <w:lang w:val="en-GB"/>
        </w:rPr>
        <w:lastRenderedPageBreak/>
        <w:t xml:space="preserve">Analyzing the statistical data regarding the total share of irrigated land, we observe that Arad county has the largest area of irrigated land, followed by Békés county, then Timiș county. In total, the two cross-border regions have similar values for irrigated land (in 2018, </w:t>
      </w:r>
      <w:r w:rsidR="003D5918" w:rsidRPr="00037C61">
        <w:rPr>
          <w:lang w:val="en-GB"/>
        </w:rPr>
        <w:t xml:space="preserve">the </w:t>
      </w:r>
      <w:r w:rsidRPr="00037C61">
        <w:rPr>
          <w:lang w:val="en-GB"/>
        </w:rPr>
        <w:t>Hungarian side has 51180</w:t>
      </w:r>
      <w:r w:rsidR="00833361" w:rsidRPr="00037C61">
        <w:rPr>
          <w:lang w:val="en-GB"/>
        </w:rPr>
        <w:t xml:space="preserve"> </w:t>
      </w:r>
      <w:r w:rsidRPr="00037C61">
        <w:rPr>
          <w:lang w:val="en-GB"/>
        </w:rPr>
        <w:t xml:space="preserve">ha versus </w:t>
      </w:r>
      <w:r w:rsidR="00833361" w:rsidRPr="00037C61">
        <w:rPr>
          <w:lang w:val="en-GB"/>
        </w:rPr>
        <w:t xml:space="preserve">the </w:t>
      </w:r>
      <w:r w:rsidRPr="00037C61">
        <w:rPr>
          <w:lang w:val="en-GB"/>
        </w:rPr>
        <w:t>Romanian side with 55131</w:t>
      </w:r>
      <w:r w:rsidR="00833361" w:rsidRPr="00037C61">
        <w:rPr>
          <w:lang w:val="en-GB"/>
        </w:rPr>
        <w:t xml:space="preserve"> </w:t>
      </w:r>
      <w:r w:rsidRPr="00037C61">
        <w:rPr>
          <w:lang w:val="en-GB"/>
        </w:rPr>
        <w:t>ha). Also, a major evolution in the total ir</w:t>
      </w:r>
      <w:r w:rsidR="003D5918" w:rsidRPr="00037C61">
        <w:rPr>
          <w:lang w:val="en-GB"/>
        </w:rPr>
        <w:t>r</w:t>
      </w:r>
      <w:r w:rsidRPr="00037C61">
        <w:rPr>
          <w:lang w:val="en-GB"/>
        </w:rPr>
        <w:t xml:space="preserve">igated land area can be observed in the case of Szabolcs-Szatmár-Bereg, in 2018 having almost double the </w:t>
      </w:r>
      <w:r w:rsidR="00F40B72" w:rsidRPr="00037C61">
        <w:rPr>
          <w:lang w:val="en-GB"/>
        </w:rPr>
        <w:t xml:space="preserve">total area of 2009. </w:t>
      </w:r>
      <w:r w:rsidRPr="00037C61">
        <w:rPr>
          <w:lang w:val="en-GB"/>
        </w:rPr>
        <w:t xml:space="preserve"> </w:t>
      </w:r>
    </w:p>
    <w:p w14:paraId="1F776ED3" w14:textId="77777777" w:rsidR="0084216E" w:rsidRPr="00037C61" w:rsidRDefault="00833361" w:rsidP="005042B9">
      <w:pPr>
        <w:keepNext/>
        <w:spacing w:after="0"/>
        <w:rPr>
          <w:lang w:val="en-GB"/>
        </w:rPr>
      </w:pPr>
      <w:r w:rsidRPr="00037C61">
        <w:rPr>
          <w:noProof/>
          <w:lang w:val="ro-RO" w:eastAsia="ro-RO"/>
        </w:rPr>
        <w:drawing>
          <wp:inline distT="0" distB="0" distL="0" distR="0" wp14:anchorId="5EC89036" wp14:editId="64ACDA85">
            <wp:extent cx="5715000" cy="1819275"/>
            <wp:effectExtent l="0" t="0" r="0" b="9525"/>
            <wp:docPr id="583329692" name="Chart 58332969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080A1D-E22B-472E-AE8A-E0E615C2D3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2F289F0D" w14:textId="5134A653" w:rsidR="0084216E" w:rsidRPr="00037C61" w:rsidRDefault="0084216E" w:rsidP="0084216E">
      <w:pPr>
        <w:pStyle w:val="Caption"/>
        <w:jc w:val="both"/>
        <w:rPr>
          <w:lang w:val="en-GB"/>
        </w:rPr>
      </w:pPr>
      <w:bookmarkStart w:id="705" w:name="_Toc6461103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90</w:t>
      </w:r>
      <w:r w:rsidR="00412697">
        <w:rPr>
          <w:lang w:val="en-GB"/>
        </w:rPr>
        <w:fldChar w:fldCharType="end"/>
      </w:r>
      <w:r w:rsidRPr="00037C61">
        <w:rPr>
          <w:lang w:val="en-GB"/>
        </w:rPr>
        <w:t xml:space="preserve"> - Total irrigated area for agricultural activities</w:t>
      </w:r>
      <w:bookmarkEnd w:id="705"/>
      <w:r w:rsidRPr="00037C61">
        <w:rPr>
          <w:lang w:val="en-GB"/>
        </w:rPr>
        <w:t xml:space="preserve"> </w:t>
      </w:r>
    </w:p>
    <w:p w14:paraId="2251A6C2" w14:textId="13BDC585" w:rsidR="00494E56" w:rsidRDefault="0084216E" w:rsidP="006508E7">
      <w:pPr>
        <w:pStyle w:val="Caption"/>
        <w:jc w:val="both"/>
        <w:rPr>
          <w:lang w:val="en-GB"/>
        </w:rPr>
      </w:pPr>
      <w:r w:rsidRPr="00037C61">
        <w:rPr>
          <w:lang w:val="en-GB"/>
        </w:rPr>
        <w:t>Source: INS, KSH</w:t>
      </w:r>
    </w:p>
    <w:p w14:paraId="654AD12C" w14:textId="77777777" w:rsidR="006508E7" w:rsidRDefault="006508E7" w:rsidP="003D5918">
      <w:pPr>
        <w:rPr>
          <w:lang w:val="en-GB"/>
        </w:rPr>
      </w:pPr>
    </w:p>
    <w:p w14:paraId="3A3587F7" w14:textId="724F3FAD" w:rsidR="003D5918" w:rsidRPr="00037C61" w:rsidRDefault="003D5918" w:rsidP="003D5918">
      <w:pPr>
        <w:rPr>
          <w:lang w:val="en-GB"/>
        </w:rPr>
      </w:pPr>
      <w:r w:rsidRPr="00037C61">
        <w:rPr>
          <w:lang w:val="en-GB"/>
        </w:rPr>
        <w:t xml:space="preserve">The next important indicator analyzed, that gives us a good idea regarding the pollution of groundwater bodies is the quantity of chemical fertilizer applied in agricultural activities. For this indicator, the analysis compares the total mass of chemicals used, measured in tonnes of active substance.  It can be observed that in general, the Hungarian side is using approximately 4 times more chemical fertilizers in agricultural activities (except in 2018 when the percentage of total chemical fertilizers is 60% Hungarian side – 40% Romanian side). As concerns evolution in the 2009-2018 period, Timiș county is the only region with a significant increase. </w:t>
      </w:r>
    </w:p>
    <w:p w14:paraId="30DB305A" w14:textId="77777777" w:rsidR="003D5918" w:rsidRPr="00037C61" w:rsidRDefault="003D5918" w:rsidP="003D5918">
      <w:pPr>
        <w:rPr>
          <w:lang w:val="en-GB"/>
        </w:rPr>
      </w:pPr>
      <w:r w:rsidRPr="00037C61">
        <w:rPr>
          <w:lang w:val="en-GB"/>
        </w:rPr>
        <w:t>As concerns the risk of polluting the groundwater resources, through agricultural activities than implies the use of chemicals, we can say that for the Hungarian side represents a more pressing issue, due to the high quantities of chemicals used on a longer time period (2009-2018 values are approximately constant).</w:t>
      </w:r>
    </w:p>
    <w:p w14:paraId="775A2703" w14:textId="77777777" w:rsidR="0084216E" w:rsidRPr="00037C61" w:rsidRDefault="00F40B72" w:rsidP="0061187F">
      <w:pPr>
        <w:keepNext/>
        <w:spacing w:after="0"/>
        <w:rPr>
          <w:lang w:val="en-GB"/>
        </w:rPr>
      </w:pPr>
      <w:r w:rsidRPr="00037C61">
        <w:rPr>
          <w:noProof/>
          <w:lang w:val="ro-RO" w:eastAsia="ro-RO"/>
        </w:rPr>
        <w:drawing>
          <wp:inline distT="0" distB="0" distL="0" distR="0" wp14:anchorId="39AC432C" wp14:editId="3B26E58D">
            <wp:extent cx="5762625" cy="2371725"/>
            <wp:effectExtent l="0" t="0" r="9525" b="9525"/>
            <wp:docPr id="583329670" name="Chart 58332967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9AD9D3-38FB-4CF2-972A-2FDB0D483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32164BA0" w14:textId="6BDDABC5" w:rsidR="0084216E" w:rsidRPr="00037C61" w:rsidRDefault="0084216E" w:rsidP="0084216E">
      <w:pPr>
        <w:pStyle w:val="Caption"/>
        <w:jc w:val="both"/>
        <w:rPr>
          <w:lang w:val="en-GB"/>
        </w:rPr>
      </w:pPr>
      <w:bookmarkStart w:id="706" w:name="_Toc6461103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91</w:t>
      </w:r>
      <w:r w:rsidR="00412697">
        <w:rPr>
          <w:lang w:val="en-GB"/>
        </w:rPr>
        <w:fldChar w:fldCharType="end"/>
      </w:r>
      <w:r w:rsidRPr="00037C61">
        <w:rPr>
          <w:lang w:val="en-GB"/>
        </w:rPr>
        <w:t xml:space="preserve"> - Quantity of chemical fertilizers applied in agriculture</w:t>
      </w:r>
      <w:bookmarkEnd w:id="706"/>
      <w:r w:rsidRPr="00037C61">
        <w:rPr>
          <w:lang w:val="en-GB"/>
        </w:rPr>
        <w:t xml:space="preserve"> </w:t>
      </w:r>
    </w:p>
    <w:p w14:paraId="311F63A6" w14:textId="1F7A4E30" w:rsidR="0084216E" w:rsidRPr="00037C61" w:rsidRDefault="0084216E" w:rsidP="0061187F">
      <w:pPr>
        <w:pStyle w:val="Caption"/>
        <w:jc w:val="both"/>
        <w:rPr>
          <w:lang w:val="en-GB"/>
        </w:rPr>
      </w:pPr>
      <w:r w:rsidRPr="00037C61">
        <w:rPr>
          <w:lang w:val="en-GB"/>
        </w:rPr>
        <w:t>Source: INS, KSH</w:t>
      </w:r>
    </w:p>
    <w:p w14:paraId="48A24A41" w14:textId="37BBDB0B" w:rsidR="00DE2BA6" w:rsidRPr="00037C61" w:rsidRDefault="00DE2BA6" w:rsidP="005E0849">
      <w:pPr>
        <w:pStyle w:val="Heading4"/>
        <w:rPr>
          <w:lang w:val="en-GB"/>
        </w:rPr>
      </w:pPr>
      <w:r w:rsidRPr="00037C61">
        <w:rPr>
          <w:lang w:val="en-GB"/>
        </w:rPr>
        <w:lastRenderedPageBreak/>
        <w:t xml:space="preserve">Soil pollution </w:t>
      </w:r>
    </w:p>
    <w:p w14:paraId="559732F7" w14:textId="3C3AB5DD" w:rsidR="00343FC0" w:rsidRPr="00037C61" w:rsidRDefault="00343FC0" w:rsidP="00FB0745">
      <w:pPr>
        <w:pStyle w:val="InterregROHUBullet1"/>
        <w:numPr>
          <w:ilvl w:val="0"/>
          <w:numId w:val="0"/>
        </w:numPr>
        <w:rPr>
          <w:rFonts w:cs="Calibri"/>
          <w:color w:val="000000" w:themeColor="text1"/>
        </w:rPr>
      </w:pPr>
      <w:r w:rsidRPr="00037C61">
        <w:rPr>
          <w:rFonts w:cs="Calibri"/>
          <w:color w:val="000000" w:themeColor="text1"/>
        </w:rPr>
        <w:t xml:space="preserve">A qualitative assessment of the soil in the PA area is not achievable, due to the lack of data. </w:t>
      </w:r>
      <w:r w:rsidRPr="00037C61">
        <w:rPr>
          <w:rFonts w:cs="Calibri"/>
          <w:b/>
          <w:bCs w:val="0"/>
          <w:color w:val="000000" w:themeColor="text1"/>
        </w:rPr>
        <w:t>Soil contamination and soil loss</w:t>
      </w:r>
      <w:r w:rsidRPr="00037C61">
        <w:rPr>
          <w:rFonts w:cs="Calibri"/>
          <w:color w:val="000000" w:themeColor="text1"/>
        </w:rPr>
        <w:t xml:space="preserve"> are two critical aspects in the European Union, though there is currently no database on European brownfields, much less information at national levels. Romania for example has identified 210 potentially contaminated sites, albeit their assessment has not been carried out, and county environmental reports do not provide data on the question. </w:t>
      </w:r>
    </w:p>
    <w:p w14:paraId="2D5F8CF9" w14:textId="7970CC6A" w:rsidR="00FB0745" w:rsidRPr="00037C61" w:rsidRDefault="00BC0ECE" w:rsidP="00FB0745">
      <w:pPr>
        <w:pStyle w:val="Heading4"/>
        <w:rPr>
          <w:rFonts w:cs="Calibri"/>
          <w:lang w:val="en-GB"/>
        </w:rPr>
      </w:pPr>
      <w:r w:rsidRPr="00037C61">
        <w:rPr>
          <w:rFonts w:cs="Calibri"/>
          <w:lang w:val="en-GB"/>
        </w:rPr>
        <w:t xml:space="preserve">Air pollution in the PA </w:t>
      </w:r>
    </w:p>
    <w:p w14:paraId="45B00566" w14:textId="26464D4C" w:rsidR="00FB0745" w:rsidRPr="00037C61" w:rsidRDefault="00FB0745" w:rsidP="00FB0745">
      <w:pPr>
        <w:pStyle w:val="InterregROHUBullet1"/>
        <w:numPr>
          <w:ilvl w:val="0"/>
          <w:numId w:val="0"/>
        </w:numPr>
        <w:spacing w:after="0"/>
        <w:rPr>
          <w:rFonts w:cs="Calibri"/>
        </w:rPr>
      </w:pPr>
      <w:r w:rsidRPr="00037C61">
        <w:rPr>
          <w:rFonts w:cs="Calibri"/>
        </w:rPr>
        <w:t>Th</w:t>
      </w:r>
      <w:r w:rsidR="00B21A8C" w:rsidRPr="00037C61">
        <w:rPr>
          <w:rFonts w:cs="Calibri"/>
        </w:rPr>
        <w:t>e</w:t>
      </w:r>
      <w:r w:rsidRPr="00037C61">
        <w:rPr>
          <w:rFonts w:cs="Calibri"/>
        </w:rPr>
        <w:t xml:space="preserve"> </w:t>
      </w:r>
      <w:r w:rsidR="00B21A8C" w:rsidRPr="00037C61">
        <w:rPr>
          <w:rFonts w:cs="Calibri"/>
        </w:rPr>
        <w:t>statistical</w:t>
      </w:r>
      <w:r w:rsidRPr="00037C61">
        <w:rPr>
          <w:rFonts w:cs="Calibri"/>
        </w:rPr>
        <w:t xml:space="preserve"> data regarding greenhouse gases and air pollution are revealing that the highest pollution is on Romanian side of the border, with:</w:t>
      </w:r>
    </w:p>
    <w:p w14:paraId="0CCBE4D6" w14:textId="76037CBF" w:rsidR="00FB0745" w:rsidRPr="00037C61" w:rsidRDefault="00FB0745" w:rsidP="00014AA0">
      <w:pPr>
        <w:pStyle w:val="InterregROHUBullet1"/>
        <w:numPr>
          <w:ilvl w:val="0"/>
          <w:numId w:val="10"/>
        </w:numPr>
        <w:spacing w:after="0"/>
        <w:rPr>
          <w:rFonts w:cs="Calibri"/>
        </w:rPr>
      </w:pPr>
      <w:r w:rsidRPr="00037C61">
        <w:rPr>
          <w:rFonts w:cs="Calibri"/>
        </w:rPr>
        <w:t xml:space="preserve">PM2.5 </w:t>
      </w:r>
      <w:r w:rsidR="000F6FBD" w:rsidRPr="00037C61">
        <w:rPr>
          <w:rFonts w:cs="Calibri"/>
        </w:rPr>
        <w:t>emissions</w:t>
      </w:r>
      <w:r w:rsidRPr="00037C61">
        <w:rPr>
          <w:rFonts w:cs="Calibri"/>
        </w:rPr>
        <w:t xml:space="preserve"> in </w:t>
      </w:r>
      <w:r w:rsidR="00124940" w:rsidRPr="00037C61">
        <w:rPr>
          <w:rFonts w:cs="Calibri"/>
        </w:rPr>
        <w:t>Timiș</w:t>
      </w:r>
      <w:r w:rsidRPr="00037C61">
        <w:rPr>
          <w:rFonts w:cs="Calibri"/>
        </w:rPr>
        <w:t xml:space="preserve"> and Bihor, </w:t>
      </w:r>
      <w:r w:rsidR="000F6FBD" w:rsidRPr="00037C61">
        <w:rPr>
          <w:rFonts w:cs="Calibri"/>
        </w:rPr>
        <w:t>followed</w:t>
      </w:r>
      <w:r w:rsidRPr="00037C61">
        <w:rPr>
          <w:rFonts w:cs="Calibri"/>
        </w:rPr>
        <w:t xml:space="preserve"> nearly by Arad and Satu Mare; </w:t>
      </w:r>
    </w:p>
    <w:p w14:paraId="0516A3DD" w14:textId="77777777" w:rsidR="00FB0745" w:rsidRPr="00037C61" w:rsidRDefault="00FB0745" w:rsidP="00014AA0">
      <w:pPr>
        <w:pStyle w:val="InterregROHUBullet1"/>
        <w:numPr>
          <w:ilvl w:val="0"/>
          <w:numId w:val="10"/>
        </w:numPr>
        <w:spacing w:after="0"/>
        <w:rPr>
          <w:rFonts w:cs="Calibri"/>
        </w:rPr>
      </w:pPr>
      <w:r w:rsidRPr="00037C61">
        <w:rPr>
          <w:rFonts w:cs="Calibri"/>
        </w:rPr>
        <w:t>emissions of volatile organic compound almost at the same high level in all NUTS3;</w:t>
      </w:r>
    </w:p>
    <w:p w14:paraId="5098F8A7" w14:textId="7ED59D20" w:rsidR="00FB0745" w:rsidRPr="00037C61" w:rsidRDefault="00FB0745" w:rsidP="00014AA0">
      <w:pPr>
        <w:pStyle w:val="InterregROHUBullet1"/>
        <w:numPr>
          <w:ilvl w:val="0"/>
          <w:numId w:val="10"/>
        </w:numPr>
        <w:spacing w:after="0"/>
        <w:rPr>
          <w:rFonts w:cs="Calibri"/>
        </w:rPr>
      </w:pPr>
      <w:r w:rsidRPr="00037C61">
        <w:rPr>
          <w:rFonts w:cs="Calibri"/>
        </w:rPr>
        <w:t xml:space="preserve">SO2 emissions </w:t>
      </w:r>
      <w:r w:rsidR="000F6FBD" w:rsidRPr="00037C61">
        <w:rPr>
          <w:rFonts w:cs="Calibri"/>
        </w:rPr>
        <w:t>mostly</w:t>
      </w:r>
      <w:r w:rsidRPr="00037C61">
        <w:rPr>
          <w:rFonts w:cs="Calibri"/>
        </w:rPr>
        <w:t xml:space="preserve"> in Bihor;</w:t>
      </w:r>
    </w:p>
    <w:p w14:paraId="1787EE52" w14:textId="77777777" w:rsidR="00FB0745" w:rsidRPr="00037C61" w:rsidRDefault="00FB0745" w:rsidP="00014AA0">
      <w:pPr>
        <w:pStyle w:val="InterregROHUBullet1"/>
        <w:numPr>
          <w:ilvl w:val="0"/>
          <w:numId w:val="10"/>
        </w:numPr>
        <w:rPr>
          <w:rFonts w:cs="Calibri"/>
        </w:rPr>
      </w:pPr>
      <w:r w:rsidRPr="00037C61">
        <w:rPr>
          <w:rFonts w:cs="Calibri"/>
        </w:rPr>
        <w:t>NH3 emissions in Arad.</w:t>
      </w:r>
    </w:p>
    <w:p w14:paraId="54CE767C" w14:textId="77777777" w:rsidR="00FB0745" w:rsidRPr="00037C61" w:rsidRDefault="00FB0745" w:rsidP="00FB0745">
      <w:pPr>
        <w:pStyle w:val="InterregROHUBullet1"/>
        <w:numPr>
          <w:ilvl w:val="0"/>
          <w:numId w:val="0"/>
        </w:numPr>
        <w:spacing w:after="0"/>
        <w:rPr>
          <w:rFonts w:cs="Calibri"/>
        </w:rPr>
      </w:pPr>
      <w:r w:rsidRPr="00037C61">
        <w:rPr>
          <w:rFonts w:cs="Calibri"/>
        </w:rPr>
        <w:t>On the Hungarian side of the border the highest pollution is with:</w:t>
      </w:r>
    </w:p>
    <w:p w14:paraId="0FA463D1" w14:textId="5A1FAD54" w:rsidR="00FB0745" w:rsidRPr="00037C61" w:rsidRDefault="00FB0745" w:rsidP="00014AA0">
      <w:pPr>
        <w:pStyle w:val="InterregROHUBullet1"/>
        <w:numPr>
          <w:ilvl w:val="0"/>
          <w:numId w:val="10"/>
        </w:numPr>
        <w:spacing w:after="0"/>
        <w:rPr>
          <w:rFonts w:cs="Calibri"/>
        </w:rPr>
      </w:pPr>
      <w:r w:rsidRPr="00037C61">
        <w:rPr>
          <w:rFonts w:cs="Calibri"/>
        </w:rPr>
        <w:t xml:space="preserve">emissions of volatile organic compound in Békés and Szabolcs-Szatmár-Bereg with </w:t>
      </w:r>
      <w:r w:rsidR="00B21A8C" w:rsidRPr="00037C61">
        <w:rPr>
          <w:rFonts w:cs="Calibri"/>
        </w:rPr>
        <w:t xml:space="preserve">figures </w:t>
      </w:r>
      <w:r w:rsidRPr="00037C61">
        <w:rPr>
          <w:rFonts w:cs="Calibri"/>
        </w:rPr>
        <w:t xml:space="preserve">at half Romanian ones and </w:t>
      </w:r>
    </w:p>
    <w:p w14:paraId="30960A90" w14:textId="77777777" w:rsidR="00FB0745" w:rsidRPr="00037C61" w:rsidRDefault="00FB0745" w:rsidP="00014AA0">
      <w:pPr>
        <w:pStyle w:val="InterregROHUBullet1"/>
        <w:numPr>
          <w:ilvl w:val="0"/>
          <w:numId w:val="10"/>
        </w:numPr>
        <w:rPr>
          <w:rFonts w:cs="Calibri"/>
        </w:rPr>
      </w:pPr>
      <w:r w:rsidRPr="00037C61">
        <w:rPr>
          <w:rFonts w:cs="Calibri"/>
        </w:rPr>
        <w:t>NH3 emissions in Békés.</w:t>
      </w:r>
    </w:p>
    <w:p w14:paraId="3A087103" w14:textId="32139ACE" w:rsidR="006B184D" w:rsidRPr="00037C61" w:rsidRDefault="006B184D" w:rsidP="00715B98">
      <w:pPr>
        <w:pStyle w:val="Caption"/>
        <w:keepNext/>
        <w:jc w:val="left"/>
        <w:rPr>
          <w:lang w:val="en-GB"/>
        </w:rPr>
      </w:pPr>
      <w:bookmarkStart w:id="707" w:name="_Toc58237649"/>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27</w:t>
      </w:r>
      <w:r w:rsidRPr="00037C61">
        <w:rPr>
          <w:lang w:val="en-GB"/>
        </w:rPr>
        <w:fldChar w:fldCharType="end"/>
      </w:r>
      <w:r w:rsidRPr="00037C61">
        <w:rPr>
          <w:lang w:val="en-GB"/>
        </w:rPr>
        <w:t xml:space="preserve"> - Greenhouse gases and air pollution - </w:t>
      </w:r>
      <w:r w:rsidR="00B21A8C" w:rsidRPr="00037C61">
        <w:rPr>
          <w:lang w:val="en-GB"/>
        </w:rPr>
        <w:t>Emissions</w:t>
      </w:r>
      <w:r w:rsidRPr="00037C61">
        <w:rPr>
          <w:lang w:val="en-GB"/>
        </w:rPr>
        <w:t xml:space="preserve"> per capita of PM2.5, VOC, SO2 and NH3</w:t>
      </w:r>
      <w:bookmarkEnd w:id="707"/>
    </w:p>
    <w:tbl>
      <w:tblPr>
        <w:tblStyle w:val="ListTable3-Accent11"/>
        <w:tblW w:w="9501" w:type="dxa"/>
        <w:tblLayout w:type="fixed"/>
        <w:tblLook w:val="04A0" w:firstRow="1" w:lastRow="0" w:firstColumn="1" w:lastColumn="0" w:noHBand="0" w:noVBand="1"/>
      </w:tblPr>
      <w:tblGrid>
        <w:gridCol w:w="1033"/>
        <w:gridCol w:w="1033"/>
        <w:gridCol w:w="1033"/>
        <w:gridCol w:w="1032"/>
        <w:gridCol w:w="1032"/>
        <w:gridCol w:w="1032"/>
        <w:gridCol w:w="1032"/>
        <w:gridCol w:w="1032"/>
        <w:gridCol w:w="1032"/>
        <w:gridCol w:w="210"/>
      </w:tblGrid>
      <w:tr w:rsidR="000F6FBD" w:rsidRPr="00037C61" w14:paraId="7073D09A" w14:textId="77777777" w:rsidTr="3C1461C6">
        <w:trPr>
          <w:cnfStyle w:val="100000000000" w:firstRow="1" w:lastRow="0" w:firstColumn="0" w:lastColumn="0" w:oddVBand="0" w:evenVBand="0" w:oddHBand="0" w:evenHBand="0" w:firstRowFirstColumn="0" w:firstRowLastColumn="0" w:lastRowFirstColumn="0" w:lastRowLastColumn="0"/>
          <w:trHeight w:val="312"/>
        </w:trPr>
        <w:tc>
          <w:tcPr>
            <w:cnfStyle w:val="001000000100" w:firstRow="0" w:lastRow="0" w:firstColumn="1" w:lastColumn="0" w:oddVBand="0" w:evenVBand="0" w:oddHBand="0" w:evenHBand="0" w:firstRowFirstColumn="1" w:firstRowLastColumn="0" w:lastRowFirstColumn="0" w:lastRowLastColumn="0"/>
            <w:tcW w:w="0" w:type="dxa"/>
            <w:vMerge w:val="restart"/>
          </w:tcPr>
          <w:p w14:paraId="072014A7" w14:textId="6489F670" w:rsidR="000F6FBD" w:rsidRPr="00037C61" w:rsidRDefault="000F6FBD" w:rsidP="00FB0745">
            <w:pPr>
              <w:jc w:val="center"/>
              <w:rPr>
                <w:rFonts w:cs="Calibri"/>
                <w:b w:val="0"/>
                <w:bCs w:val="0"/>
                <w:sz w:val="18"/>
                <w:szCs w:val="18"/>
                <w:lang w:val="en-GB"/>
              </w:rPr>
            </w:pPr>
            <w:r w:rsidRPr="00037C61">
              <w:rPr>
                <w:rFonts w:cs="Calibri"/>
                <w:b w:val="0"/>
                <w:bCs w:val="0"/>
                <w:sz w:val="18"/>
                <w:szCs w:val="18"/>
                <w:lang w:val="en-GB"/>
              </w:rPr>
              <w:t xml:space="preserve">Greenhouse gases and air pollution - </w:t>
            </w:r>
            <w:r w:rsidR="00B21A8C" w:rsidRPr="00037C61">
              <w:rPr>
                <w:rFonts w:cs="Calibri"/>
                <w:b w:val="0"/>
                <w:bCs w:val="0"/>
                <w:sz w:val="18"/>
                <w:szCs w:val="18"/>
                <w:lang w:val="en-GB"/>
              </w:rPr>
              <w:t>Emissions</w:t>
            </w:r>
            <w:r w:rsidRPr="00037C61">
              <w:rPr>
                <w:rFonts w:cs="Calibri"/>
                <w:b w:val="0"/>
                <w:bCs w:val="0"/>
                <w:sz w:val="18"/>
                <w:szCs w:val="18"/>
                <w:lang w:val="en-GB"/>
              </w:rPr>
              <w:t xml:space="preserve"> per capita</w:t>
            </w:r>
          </w:p>
        </w:tc>
        <w:tc>
          <w:tcPr>
            <w:tcW w:w="0" w:type="dxa"/>
            <w:gridSpan w:val="9"/>
          </w:tcPr>
          <w:p w14:paraId="4287D7EF" w14:textId="77777777" w:rsidR="000F6FBD" w:rsidRPr="00037C61" w:rsidRDefault="000F6FBD" w:rsidP="00FB0745">
            <w:pPr>
              <w:jc w:val="center"/>
              <w:cnfStyle w:val="100000000000" w:firstRow="1"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sz w:val="18"/>
                <w:szCs w:val="18"/>
                <w:lang w:val="en-GB"/>
              </w:rPr>
              <w:t xml:space="preserve">2020  </w:t>
            </w:r>
          </w:p>
        </w:tc>
      </w:tr>
      <w:tr w:rsidR="000F6FBD" w:rsidRPr="00037C61" w14:paraId="3E18433E" w14:textId="77777777" w:rsidTr="3C1461C6">
        <w:trPr>
          <w:gridAfter w:val="1"/>
          <w:cnfStyle w:val="000000100000" w:firstRow="0" w:lastRow="0" w:firstColumn="0" w:lastColumn="0" w:oddVBand="0" w:evenVBand="0" w:oddHBand="1" w:evenHBand="0" w:firstRowFirstColumn="0" w:firstRowLastColumn="0" w:lastRowFirstColumn="0" w:lastRowLastColumn="0"/>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vMerge/>
            <w:hideMark/>
          </w:tcPr>
          <w:p w14:paraId="2616898D" w14:textId="77777777" w:rsidR="000F6FBD" w:rsidRPr="00037C61" w:rsidRDefault="000F6FBD" w:rsidP="00FB0745">
            <w:pPr>
              <w:jc w:val="center"/>
              <w:rPr>
                <w:rFonts w:cs="Calibri"/>
                <w:b w:val="0"/>
                <w:bCs w:val="0"/>
                <w:color w:val="000000" w:themeColor="text1"/>
                <w:sz w:val="18"/>
                <w:szCs w:val="18"/>
                <w:lang w:val="en-GB"/>
              </w:rPr>
            </w:pPr>
          </w:p>
        </w:tc>
        <w:tc>
          <w:tcPr>
            <w:tcW w:w="0" w:type="dxa"/>
            <w:hideMark/>
          </w:tcPr>
          <w:p w14:paraId="703ACD60" w14:textId="1E26FD5F"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 xml:space="preserve">PM2.5 </w:t>
            </w:r>
            <w:r w:rsidR="00B21A8C" w:rsidRPr="00037C61">
              <w:rPr>
                <w:rFonts w:cs="Calibri"/>
                <w:color w:val="000000" w:themeColor="text1"/>
                <w:sz w:val="18"/>
                <w:szCs w:val="18"/>
                <w:lang w:val="en-GB"/>
              </w:rPr>
              <w:t>emissions</w:t>
            </w:r>
          </w:p>
          <w:p w14:paraId="3F80A586" w14:textId="48568AE2"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(tons)</w:t>
            </w:r>
          </w:p>
        </w:tc>
        <w:tc>
          <w:tcPr>
            <w:tcW w:w="0" w:type="dxa"/>
            <w:hideMark/>
          </w:tcPr>
          <w:p w14:paraId="455AE85C" w14:textId="2D11A59E"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 xml:space="preserve">PM2.5 </w:t>
            </w:r>
            <w:r w:rsidR="00B21A8C" w:rsidRPr="00037C61">
              <w:rPr>
                <w:rFonts w:cs="Calibri"/>
                <w:b/>
                <w:bCs/>
                <w:color w:val="000000" w:themeColor="text1"/>
                <w:sz w:val="18"/>
                <w:szCs w:val="18"/>
                <w:lang w:val="en-GB"/>
              </w:rPr>
              <w:t>emissions</w:t>
            </w:r>
            <w:r w:rsidRPr="00037C61">
              <w:rPr>
                <w:rFonts w:cs="Calibri"/>
                <w:b/>
                <w:bCs/>
                <w:color w:val="000000" w:themeColor="text1"/>
                <w:sz w:val="18"/>
                <w:szCs w:val="18"/>
                <w:lang w:val="en-GB"/>
              </w:rPr>
              <w:t xml:space="preserve"> (tons/ 1000 capita)</w:t>
            </w:r>
          </w:p>
        </w:tc>
        <w:tc>
          <w:tcPr>
            <w:tcW w:w="0" w:type="dxa"/>
            <w:hideMark/>
          </w:tcPr>
          <w:p w14:paraId="4B90F3BA" w14:textId="782369F4"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Emissions of volatile organic compound(tons)</w:t>
            </w:r>
          </w:p>
        </w:tc>
        <w:tc>
          <w:tcPr>
            <w:tcW w:w="0" w:type="dxa"/>
            <w:hideMark/>
          </w:tcPr>
          <w:p w14:paraId="12E30C67" w14:textId="35DAB3EB"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Emissions of volatile organic compound (tons/ 1000 capita))</w:t>
            </w:r>
          </w:p>
        </w:tc>
        <w:tc>
          <w:tcPr>
            <w:tcW w:w="0" w:type="dxa"/>
            <w:hideMark/>
          </w:tcPr>
          <w:p w14:paraId="2B5F7920" w14:textId="24A20B15"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SO2 Emissions (tons)</w:t>
            </w:r>
          </w:p>
        </w:tc>
        <w:tc>
          <w:tcPr>
            <w:tcW w:w="0" w:type="dxa"/>
            <w:hideMark/>
          </w:tcPr>
          <w:p w14:paraId="08B692D3" w14:textId="22350614"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SO2 Emissions (tons/ 1000 capita))</w:t>
            </w:r>
          </w:p>
        </w:tc>
        <w:tc>
          <w:tcPr>
            <w:tcW w:w="0" w:type="dxa"/>
            <w:hideMark/>
          </w:tcPr>
          <w:p w14:paraId="5F2B6618" w14:textId="682555A8"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NH3 Emissions (tons)</w:t>
            </w:r>
          </w:p>
        </w:tc>
        <w:tc>
          <w:tcPr>
            <w:tcW w:w="0" w:type="dxa"/>
            <w:hideMark/>
          </w:tcPr>
          <w:p w14:paraId="1EF87E76" w14:textId="67370095" w:rsidR="000F6FBD" w:rsidRPr="00037C61" w:rsidRDefault="000F6FB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NH3 Emissions (tons/ 1000 capita))</w:t>
            </w:r>
          </w:p>
        </w:tc>
      </w:tr>
      <w:tr w:rsidR="000F6FBD" w:rsidRPr="00037C61" w14:paraId="0F81F948" w14:textId="77777777" w:rsidTr="3C1461C6">
        <w:trPr>
          <w:gridAfter w:val="1"/>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43D87B36" w14:textId="77777777" w:rsidR="000F6FBD" w:rsidRPr="00037C61" w:rsidRDefault="000F6FBD" w:rsidP="00FB0745">
            <w:pPr>
              <w:rPr>
                <w:rFonts w:cs="Calibri"/>
                <w:color w:val="000000" w:themeColor="text1"/>
                <w:sz w:val="18"/>
                <w:szCs w:val="18"/>
                <w:lang w:val="en-GB"/>
              </w:rPr>
            </w:pPr>
            <w:r w:rsidRPr="00037C61">
              <w:rPr>
                <w:rFonts w:cs="Calibri"/>
                <w:color w:val="000000" w:themeColor="text1"/>
                <w:sz w:val="18"/>
                <w:szCs w:val="18"/>
                <w:lang w:val="en-GB"/>
              </w:rPr>
              <w:t>Hajdú-Bihar</w:t>
            </w:r>
          </w:p>
        </w:tc>
        <w:tc>
          <w:tcPr>
            <w:tcW w:w="0" w:type="dxa"/>
            <w:noWrap/>
            <w:hideMark/>
          </w:tcPr>
          <w:p w14:paraId="6CB73E1C"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756,27</w:t>
            </w:r>
          </w:p>
        </w:tc>
        <w:tc>
          <w:tcPr>
            <w:tcW w:w="0" w:type="dxa"/>
            <w:noWrap/>
            <w:hideMark/>
          </w:tcPr>
          <w:p w14:paraId="4CD6AC03"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1,4257</w:t>
            </w:r>
          </w:p>
        </w:tc>
        <w:tc>
          <w:tcPr>
            <w:tcW w:w="0" w:type="dxa"/>
            <w:noWrap/>
            <w:hideMark/>
          </w:tcPr>
          <w:p w14:paraId="6291C209"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3.050,00</w:t>
            </w:r>
          </w:p>
        </w:tc>
        <w:tc>
          <w:tcPr>
            <w:tcW w:w="0" w:type="dxa"/>
            <w:noWrap/>
            <w:hideMark/>
          </w:tcPr>
          <w:p w14:paraId="0CCDB009"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5,7497</w:t>
            </w:r>
          </w:p>
        </w:tc>
        <w:tc>
          <w:tcPr>
            <w:tcW w:w="0" w:type="dxa"/>
            <w:noWrap/>
            <w:hideMark/>
          </w:tcPr>
          <w:p w14:paraId="49E6F7CD"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655,49</w:t>
            </w:r>
          </w:p>
        </w:tc>
        <w:tc>
          <w:tcPr>
            <w:tcW w:w="0" w:type="dxa"/>
            <w:noWrap/>
            <w:hideMark/>
          </w:tcPr>
          <w:p w14:paraId="3CBD4598"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1,2357</w:t>
            </w:r>
          </w:p>
        </w:tc>
        <w:tc>
          <w:tcPr>
            <w:tcW w:w="0" w:type="dxa"/>
            <w:noWrap/>
            <w:hideMark/>
          </w:tcPr>
          <w:p w14:paraId="4423B50E"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3.620,00</w:t>
            </w:r>
          </w:p>
        </w:tc>
        <w:tc>
          <w:tcPr>
            <w:tcW w:w="0" w:type="dxa"/>
            <w:noWrap/>
            <w:hideMark/>
          </w:tcPr>
          <w:p w14:paraId="28E5B5F3"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6,8242</w:t>
            </w:r>
          </w:p>
        </w:tc>
      </w:tr>
      <w:tr w:rsidR="000F6FBD" w:rsidRPr="00037C61" w14:paraId="7C09DAF6" w14:textId="77777777" w:rsidTr="3C1461C6">
        <w:trPr>
          <w:gridAfter w:val="1"/>
          <w:cnfStyle w:val="000000100000" w:firstRow="0" w:lastRow="0" w:firstColumn="0" w:lastColumn="0" w:oddVBand="0" w:evenVBand="0" w:oddHBand="1" w:evenHBand="0" w:firstRowFirstColumn="0" w:firstRowLastColumn="0" w:lastRowFirstColumn="0" w:lastRowLastColumn="0"/>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0844F602" w14:textId="77777777" w:rsidR="000F6FBD" w:rsidRPr="00037C61" w:rsidRDefault="000F6FBD" w:rsidP="00FB0745">
            <w:pPr>
              <w:rPr>
                <w:rFonts w:cs="Calibri"/>
                <w:color w:val="000000" w:themeColor="text1"/>
                <w:sz w:val="18"/>
                <w:szCs w:val="18"/>
                <w:lang w:val="en-GB"/>
              </w:rPr>
            </w:pPr>
            <w:r w:rsidRPr="00037C61">
              <w:rPr>
                <w:rFonts w:cs="Calibri"/>
                <w:color w:val="000000" w:themeColor="text1"/>
                <w:sz w:val="18"/>
                <w:szCs w:val="18"/>
                <w:lang w:val="en-GB"/>
              </w:rPr>
              <w:t>Szabolcs-Szatmár-Bereg</w:t>
            </w:r>
          </w:p>
        </w:tc>
        <w:tc>
          <w:tcPr>
            <w:tcW w:w="0" w:type="dxa"/>
            <w:noWrap/>
            <w:hideMark/>
          </w:tcPr>
          <w:p w14:paraId="4E574526"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1.450,00</w:t>
            </w:r>
          </w:p>
        </w:tc>
        <w:tc>
          <w:tcPr>
            <w:tcW w:w="0" w:type="dxa"/>
            <w:noWrap/>
            <w:hideMark/>
          </w:tcPr>
          <w:p w14:paraId="0504A1E5"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2,5969</w:t>
            </w:r>
          </w:p>
        </w:tc>
        <w:tc>
          <w:tcPr>
            <w:tcW w:w="0" w:type="dxa"/>
            <w:noWrap/>
            <w:hideMark/>
          </w:tcPr>
          <w:p w14:paraId="1DC36E90"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5.350,00</w:t>
            </w:r>
          </w:p>
        </w:tc>
        <w:tc>
          <w:tcPr>
            <w:tcW w:w="0" w:type="dxa"/>
            <w:noWrap/>
            <w:hideMark/>
          </w:tcPr>
          <w:p w14:paraId="6D754FC5"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9,5816</w:t>
            </w:r>
          </w:p>
        </w:tc>
        <w:tc>
          <w:tcPr>
            <w:tcW w:w="0" w:type="dxa"/>
            <w:noWrap/>
            <w:hideMark/>
          </w:tcPr>
          <w:p w14:paraId="48822104"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1.920,00</w:t>
            </w:r>
          </w:p>
        </w:tc>
        <w:tc>
          <w:tcPr>
            <w:tcW w:w="0" w:type="dxa"/>
            <w:noWrap/>
            <w:hideMark/>
          </w:tcPr>
          <w:p w14:paraId="43397862"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3,4386</w:t>
            </w:r>
          </w:p>
        </w:tc>
        <w:tc>
          <w:tcPr>
            <w:tcW w:w="0" w:type="dxa"/>
            <w:noWrap/>
            <w:hideMark/>
          </w:tcPr>
          <w:p w14:paraId="0ECC30F4"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3.130,00</w:t>
            </w:r>
          </w:p>
        </w:tc>
        <w:tc>
          <w:tcPr>
            <w:tcW w:w="0" w:type="dxa"/>
            <w:noWrap/>
            <w:hideMark/>
          </w:tcPr>
          <w:p w14:paraId="4A7EC2F4"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5,6057</w:t>
            </w:r>
          </w:p>
        </w:tc>
      </w:tr>
      <w:tr w:rsidR="000F6FBD" w:rsidRPr="00037C61" w14:paraId="23D925CB" w14:textId="77777777" w:rsidTr="3C1461C6">
        <w:trPr>
          <w:gridAfter w:val="1"/>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212204C8" w14:textId="77777777" w:rsidR="000F6FBD" w:rsidRPr="00037C61" w:rsidRDefault="000F6FBD" w:rsidP="00FB0745">
            <w:pPr>
              <w:rPr>
                <w:rFonts w:cs="Calibri"/>
                <w:color w:val="000000" w:themeColor="text1"/>
                <w:sz w:val="18"/>
                <w:szCs w:val="18"/>
                <w:lang w:val="en-GB"/>
              </w:rPr>
            </w:pPr>
            <w:r w:rsidRPr="00037C61">
              <w:rPr>
                <w:rFonts w:cs="Calibri"/>
                <w:color w:val="000000" w:themeColor="text1"/>
                <w:sz w:val="18"/>
                <w:szCs w:val="18"/>
                <w:lang w:val="en-GB"/>
              </w:rPr>
              <w:t>Békés</w:t>
            </w:r>
          </w:p>
        </w:tc>
        <w:tc>
          <w:tcPr>
            <w:tcW w:w="0" w:type="dxa"/>
            <w:noWrap/>
            <w:hideMark/>
          </w:tcPr>
          <w:p w14:paraId="6F66E01F"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708,02</w:t>
            </w:r>
          </w:p>
        </w:tc>
        <w:tc>
          <w:tcPr>
            <w:tcW w:w="0" w:type="dxa"/>
            <w:noWrap/>
            <w:hideMark/>
          </w:tcPr>
          <w:p w14:paraId="58B0E625"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2,0946</w:t>
            </w:r>
          </w:p>
        </w:tc>
        <w:tc>
          <w:tcPr>
            <w:tcW w:w="0" w:type="dxa"/>
            <w:noWrap/>
            <w:hideMark/>
          </w:tcPr>
          <w:p w14:paraId="1579EE0A"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4.030,00</w:t>
            </w:r>
          </w:p>
        </w:tc>
        <w:tc>
          <w:tcPr>
            <w:tcW w:w="0" w:type="dxa"/>
            <w:noWrap/>
            <w:hideMark/>
          </w:tcPr>
          <w:p w14:paraId="01ADABE3"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11,9222</w:t>
            </w:r>
          </w:p>
        </w:tc>
        <w:tc>
          <w:tcPr>
            <w:tcW w:w="0" w:type="dxa"/>
            <w:noWrap/>
            <w:hideMark/>
          </w:tcPr>
          <w:p w14:paraId="7EA7C40E"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727,03</w:t>
            </w:r>
          </w:p>
        </w:tc>
        <w:tc>
          <w:tcPr>
            <w:tcW w:w="0" w:type="dxa"/>
            <w:noWrap/>
            <w:hideMark/>
          </w:tcPr>
          <w:p w14:paraId="05194DD2"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2,1508</w:t>
            </w:r>
          </w:p>
        </w:tc>
        <w:tc>
          <w:tcPr>
            <w:tcW w:w="0" w:type="dxa"/>
            <w:noWrap/>
            <w:hideMark/>
          </w:tcPr>
          <w:p w14:paraId="36CB17BA"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3.920,00</w:t>
            </w:r>
          </w:p>
        </w:tc>
        <w:tc>
          <w:tcPr>
            <w:tcW w:w="0" w:type="dxa"/>
            <w:noWrap/>
            <w:hideMark/>
          </w:tcPr>
          <w:p w14:paraId="285A1B61"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FF0000"/>
                <w:sz w:val="18"/>
                <w:szCs w:val="18"/>
                <w:lang w:val="en-GB"/>
              </w:rPr>
              <w:t>11,5968</w:t>
            </w:r>
          </w:p>
        </w:tc>
      </w:tr>
      <w:tr w:rsidR="000F6FBD" w:rsidRPr="00037C61" w14:paraId="73B57DF8" w14:textId="77777777" w:rsidTr="3C1461C6">
        <w:trPr>
          <w:gridAfter w:val="1"/>
          <w:cnfStyle w:val="000000100000" w:firstRow="0" w:lastRow="0" w:firstColumn="0" w:lastColumn="0" w:oddVBand="0" w:evenVBand="0" w:oddHBand="1" w:evenHBand="0" w:firstRowFirstColumn="0" w:firstRowLastColumn="0" w:lastRowFirstColumn="0" w:lastRowLastColumn="0"/>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5C8B9025" w14:textId="441E53BB" w:rsidR="000F6FBD" w:rsidRPr="00037C61" w:rsidRDefault="6446A0E8" w:rsidP="00FB0745">
            <w:pPr>
              <w:rPr>
                <w:rFonts w:cs="Calibri"/>
                <w:color w:val="000000" w:themeColor="text1"/>
                <w:sz w:val="18"/>
                <w:szCs w:val="18"/>
                <w:lang w:val="en-GB"/>
              </w:rPr>
            </w:pPr>
            <w:r w:rsidRPr="00037C61">
              <w:rPr>
                <w:rFonts w:cs="Calibri"/>
                <w:color w:val="000000" w:themeColor="text1"/>
                <w:sz w:val="18"/>
                <w:szCs w:val="18"/>
                <w:lang w:val="en-GB"/>
              </w:rPr>
              <w:t>Csongrád-Csanád</w:t>
            </w:r>
          </w:p>
        </w:tc>
        <w:tc>
          <w:tcPr>
            <w:tcW w:w="0" w:type="dxa"/>
            <w:noWrap/>
            <w:hideMark/>
          </w:tcPr>
          <w:p w14:paraId="522374BC"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724,47</w:t>
            </w:r>
          </w:p>
        </w:tc>
        <w:tc>
          <w:tcPr>
            <w:tcW w:w="0" w:type="dxa"/>
            <w:noWrap/>
            <w:hideMark/>
          </w:tcPr>
          <w:p w14:paraId="35424483"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1,8101</w:t>
            </w:r>
          </w:p>
        </w:tc>
        <w:tc>
          <w:tcPr>
            <w:tcW w:w="0" w:type="dxa"/>
            <w:noWrap/>
            <w:hideMark/>
          </w:tcPr>
          <w:p w14:paraId="4A4B24DD"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3.230,00</w:t>
            </w:r>
          </w:p>
        </w:tc>
        <w:tc>
          <w:tcPr>
            <w:tcW w:w="0" w:type="dxa"/>
            <w:noWrap/>
            <w:hideMark/>
          </w:tcPr>
          <w:p w14:paraId="3FD212DE"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8,0702</w:t>
            </w:r>
          </w:p>
        </w:tc>
        <w:tc>
          <w:tcPr>
            <w:tcW w:w="0" w:type="dxa"/>
            <w:noWrap/>
            <w:hideMark/>
          </w:tcPr>
          <w:p w14:paraId="792AADA8"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596,08</w:t>
            </w:r>
          </w:p>
        </w:tc>
        <w:tc>
          <w:tcPr>
            <w:tcW w:w="0" w:type="dxa"/>
            <w:noWrap/>
            <w:hideMark/>
          </w:tcPr>
          <w:p w14:paraId="7554EC28"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1,4893</w:t>
            </w:r>
          </w:p>
        </w:tc>
        <w:tc>
          <w:tcPr>
            <w:tcW w:w="0" w:type="dxa"/>
            <w:noWrap/>
            <w:hideMark/>
          </w:tcPr>
          <w:p w14:paraId="55F4AA8C"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3.230,00</w:t>
            </w:r>
          </w:p>
        </w:tc>
        <w:tc>
          <w:tcPr>
            <w:tcW w:w="0" w:type="dxa"/>
            <w:noWrap/>
            <w:hideMark/>
          </w:tcPr>
          <w:p w14:paraId="263FABFB"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8,0702</w:t>
            </w:r>
          </w:p>
        </w:tc>
      </w:tr>
      <w:tr w:rsidR="000F6FBD" w:rsidRPr="00037C61" w14:paraId="3FB029DA" w14:textId="77777777" w:rsidTr="3C1461C6">
        <w:trPr>
          <w:gridAfter w:val="1"/>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14AE7F5E" w14:textId="77777777" w:rsidR="000F6FBD" w:rsidRPr="00037C61" w:rsidRDefault="000F6FBD" w:rsidP="00FB0745">
            <w:pPr>
              <w:rPr>
                <w:rFonts w:cs="Calibri"/>
                <w:color w:val="000000" w:themeColor="text1"/>
                <w:sz w:val="18"/>
                <w:szCs w:val="18"/>
                <w:lang w:val="en-GB"/>
              </w:rPr>
            </w:pPr>
            <w:r w:rsidRPr="00037C61">
              <w:rPr>
                <w:rFonts w:cs="Calibri"/>
                <w:color w:val="000000" w:themeColor="text1"/>
                <w:sz w:val="18"/>
                <w:szCs w:val="18"/>
                <w:lang w:val="en-GB"/>
              </w:rPr>
              <w:t>Bihor</w:t>
            </w:r>
          </w:p>
        </w:tc>
        <w:tc>
          <w:tcPr>
            <w:tcW w:w="0" w:type="dxa"/>
            <w:noWrap/>
            <w:hideMark/>
          </w:tcPr>
          <w:p w14:paraId="42322880"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3.250,00</w:t>
            </w:r>
          </w:p>
        </w:tc>
        <w:tc>
          <w:tcPr>
            <w:tcW w:w="0" w:type="dxa"/>
            <w:noWrap/>
            <w:hideMark/>
          </w:tcPr>
          <w:p w14:paraId="1948900B"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5,7613</w:t>
            </w:r>
          </w:p>
        </w:tc>
        <w:tc>
          <w:tcPr>
            <w:tcW w:w="0" w:type="dxa"/>
            <w:noWrap/>
            <w:hideMark/>
          </w:tcPr>
          <w:p w14:paraId="0FCAABCC"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11.510,00</w:t>
            </w:r>
          </w:p>
        </w:tc>
        <w:tc>
          <w:tcPr>
            <w:tcW w:w="0" w:type="dxa"/>
            <w:noWrap/>
            <w:hideMark/>
          </w:tcPr>
          <w:p w14:paraId="6D2D749E"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20,4039</w:t>
            </w:r>
          </w:p>
        </w:tc>
        <w:tc>
          <w:tcPr>
            <w:tcW w:w="0" w:type="dxa"/>
            <w:noWrap/>
            <w:hideMark/>
          </w:tcPr>
          <w:p w14:paraId="03DFC47E"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7.090,00</w:t>
            </w:r>
          </w:p>
        </w:tc>
        <w:tc>
          <w:tcPr>
            <w:tcW w:w="0" w:type="dxa"/>
            <w:noWrap/>
            <w:hideMark/>
          </w:tcPr>
          <w:p w14:paraId="3A81C940"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FF0000"/>
                <w:sz w:val="18"/>
                <w:szCs w:val="18"/>
                <w:lang w:val="en-GB"/>
              </w:rPr>
              <w:t>12,5685</w:t>
            </w:r>
          </w:p>
        </w:tc>
        <w:tc>
          <w:tcPr>
            <w:tcW w:w="0" w:type="dxa"/>
            <w:noWrap/>
            <w:hideMark/>
          </w:tcPr>
          <w:p w14:paraId="20126DED"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3.890,00</w:t>
            </w:r>
          </w:p>
        </w:tc>
        <w:tc>
          <w:tcPr>
            <w:tcW w:w="0" w:type="dxa"/>
            <w:noWrap/>
            <w:hideMark/>
          </w:tcPr>
          <w:p w14:paraId="7E0FD01F"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6,8958</w:t>
            </w:r>
          </w:p>
        </w:tc>
      </w:tr>
      <w:tr w:rsidR="000F6FBD" w:rsidRPr="00037C61" w14:paraId="2E6BA51D" w14:textId="77777777" w:rsidTr="3C1461C6">
        <w:trPr>
          <w:gridAfter w:val="1"/>
          <w:cnfStyle w:val="000000100000" w:firstRow="0" w:lastRow="0" w:firstColumn="0" w:lastColumn="0" w:oddVBand="0" w:evenVBand="0" w:oddHBand="1" w:evenHBand="0" w:firstRowFirstColumn="0" w:firstRowLastColumn="0" w:lastRowFirstColumn="0" w:lastRowLastColumn="0"/>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64425BF2" w14:textId="77777777" w:rsidR="000F6FBD" w:rsidRPr="00037C61" w:rsidRDefault="000F6FBD" w:rsidP="00FB0745">
            <w:pPr>
              <w:rPr>
                <w:rFonts w:cs="Calibri"/>
                <w:color w:val="000000" w:themeColor="text1"/>
                <w:sz w:val="18"/>
                <w:szCs w:val="18"/>
                <w:lang w:val="en-GB"/>
              </w:rPr>
            </w:pPr>
            <w:r w:rsidRPr="00037C61">
              <w:rPr>
                <w:rFonts w:cs="Calibri"/>
                <w:color w:val="000000" w:themeColor="text1"/>
                <w:sz w:val="18"/>
                <w:szCs w:val="18"/>
                <w:lang w:val="en-GB"/>
              </w:rPr>
              <w:t>Satu Mare</w:t>
            </w:r>
          </w:p>
        </w:tc>
        <w:tc>
          <w:tcPr>
            <w:tcW w:w="0" w:type="dxa"/>
            <w:noWrap/>
            <w:hideMark/>
          </w:tcPr>
          <w:p w14:paraId="6443AF7E"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1.920,00</w:t>
            </w:r>
          </w:p>
        </w:tc>
        <w:tc>
          <w:tcPr>
            <w:tcW w:w="0" w:type="dxa"/>
            <w:noWrap/>
            <w:hideMark/>
          </w:tcPr>
          <w:p w14:paraId="13B06FA9"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5,7369</w:t>
            </w:r>
          </w:p>
        </w:tc>
        <w:tc>
          <w:tcPr>
            <w:tcW w:w="0" w:type="dxa"/>
            <w:noWrap/>
            <w:hideMark/>
          </w:tcPr>
          <w:p w14:paraId="72B855AC"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5.210,00</w:t>
            </w:r>
          </w:p>
        </w:tc>
        <w:tc>
          <w:tcPr>
            <w:tcW w:w="0" w:type="dxa"/>
            <w:noWrap/>
            <w:hideMark/>
          </w:tcPr>
          <w:p w14:paraId="24BB98EE"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15,5672</w:t>
            </w:r>
          </w:p>
        </w:tc>
        <w:tc>
          <w:tcPr>
            <w:tcW w:w="0" w:type="dxa"/>
            <w:noWrap/>
            <w:hideMark/>
          </w:tcPr>
          <w:p w14:paraId="4BE6963C"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980,85</w:t>
            </w:r>
          </w:p>
        </w:tc>
        <w:tc>
          <w:tcPr>
            <w:tcW w:w="0" w:type="dxa"/>
            <w:noWrap/>
            <w:hideMark/>
          </w:tcPr>
          <w:p w14:paraId="681E6957"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2,9307</w:t>
            </w:r>
          </w:p>
        </w:tc>
        <w:tc>
          <w:tcPr>
            <w:tcW w:w="0" w:type="dxa"/>
            <w:noWrap/>
            <w:hideMark/>
          </w:tcPr>
          <w:p w14:paraId="71BC1DDF"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2.970,00</w:t>
            </w:r>
          </w:p>
        </w:tc>
        <w:tc>
          <w:tcPr>
            <w:tcW w:w="0" w:type="dxa"/>
            <w:noWrap/>
            <w:hideMark/>
          </w:tcPr>
          <w:p w14:paraId="58D2EA19"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8,8742</w:t>
            </w:r>
          </w:p>
        </w:tc>
      </w:tr>
      <w:tr w:rsidR="000F6FBD" w:rsidRPr="00037C61" w14:paraId="18979731" w14:textId="77777777" w:rsidTr="3C1461C6">
        <w:trPr>
          <w:gridAfter w:val="1"/>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72AA0FD1" w14:textId="77777777" w:rsidR="000F6FBD" w:rsidRPr="00037C61" w:rsidRDefault="000F6FBD" w:rsidP="00FB0745">
            <w:pPr>
              <w:rPr>
                <w:rFonts w:cs="Calibri"/>
                <w:color w:val="000000" w:themeColor="text1"/>
                <w:sz w:val="18"/>
                <w:szCs w:val="18"/>
                <w:lang w:val="en-GB"/>
              </w:rPr>
            </w:pPr>
            <w:r w:rsidRPr="00037C61">
              <w:rPr>
                <w:rFonts w:cs="Calibri"/>
                <w:color w:val="000000" w:themeColor="text1"/>
                <w:sz w:val="18"/>
                <w:szCs w:val="18"/>
                <w:lang w:val="en-GB"/>
              </w:rPr>
              <w:t>Arad</w:t>
            </w:r>
          </w:p>
        </w:tc>
        <w:tc>
          <w:tcPr>
            <w:tcW w:w="0" w:type="dxa"/>
            <w:noWrap/>
            <w:hideMark/>
          </w:tcPr>
          <w:p w14:paraId="505E3DDC"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2.600,00</w:t>
            </w:r>
          </w:p>
        </w:tc>
        <w:tc>
          <w:tcPr>
            <w:tcW w:w="0" w:type="dxa"/>
            <w:noWrap/>
            <w:hideMark/>
          </w:tcPr>
          <w:p w14:paraId="4A78076D"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6,1999</w:t>
            </w:r>
          </w:p>
        </w:tc>
        <w:tc>
          <w:tcPr>
            <w:tcW w:w="0" w:type="dxa"/>
            <w:noWrap/>
            <w:hideMark/>
          </w:tcPr>
          <w:p w14:paraId="79C1B21E"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8.520,00</w:t>
            </w:r>
          </w:p>
        </w:tc>
        <w:tc>
          <w:tcPr>
            <w:tcW w:w="0" w:type="dxa"/>
            <w:noWrap/>
            <w:hideMark/>
          </w:tcPr>
          <w:p w14:paraId="16DB1AB8"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20,3167</w:t>
            </w:r>
          </w:p>
        </w:tc>
        <w:tc>
          <w:tcPr>
            <w:tcW w:w="0" w:type="dxa"/>
            <w:noWrap/>
            <w:hideMark/>
          </w:tcPr>
          <w:p w14:paraId="6E9CB505"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2.440,00</w:t>
            </w:r>
          </w:p>
        </w:tc>
        <w:tc>
          <w:tcPr>
            <w:tcW w:w="0" w:type="dxa"/>
            <w:noWrap/>
            <w:hideMark/>
          </w:tcPr>
          <w:p w14:paraId="0CD97928"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5,8184</w:t>
            </w:r>
          </w:p>
        </w:tc>
        <w:tc>
          <w:tcPr>
            <w:tcW w:w="0" w:type="dxa"/>
            <w:noWrap/>
            <w:hideMark/>
          </w:tcPr>
          <w:p w14:paraId="0E099C38"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4.380,00</w:t>
            </w:r>
          </w:p>
        </w:tc>
        <w:tc>
          <w:tcPr>
            <w:tcW w:w="0" w:type="dxa"/>
            <w:noWrap/>
            <w:hideMark/>
          </w:tcPr>
          <w:p w14:paraId="21BADC06" w14:textId="77777777" w:rsidR="000F6FBD" w:rsidRPr="00037C61" w:rsidRDefault="000F6FB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FF0000"/>
                <w:sz w:val="18"/>
                <w:szCs w:val="18"/>
                <w:lang w:val="en-GB"/>
              </w:rPr>
              <w:t>10,4445</w:t>
            </w:r>
          </w:p>
        </w:tc>
      </w:tr>
      <w:tr w:rsidR="000F6FBD" w:rsidRPr="00037C61" w14:paraId="5E86EA51" w14:textId="77777777" w:rsidTr="3C1461C6">
        <w:trPr>
          <w:gridAfter w:val="1"/>
          <w:cnfStyle w:val="000000100000" w:firstRow="0" w:lastRow="0" w:firstColumn="0" w:lastColumn="0" w:oddVBand="0" w:evenVBand="0" w:oddHBand="1" w:evenHBand="0" w:firstRowFirstColumn="0" w:firstRowLastColumn="0" w:lastRowFirstColumn="0" w:lastRowLastColumn="0"/>
          <w:wAfter w:w="48" w:type="dxa"/>
          <w:trHeight w:val="312"/>
        </w:trPr>
        <w:tc>
          <w:tcPr>
            <w:cnfStyle w:val="001000000000" w:firstRow="0" w:lastRow="0" w:firstColumn="1" w:lastColumn="0" w:oddVBand="0" w:evenVBand="0" w:oddHBand="0" w:evenHBand="0" w:firstRowFirstColumn="0" w:firstRowLastColumn="0" w:lastRowFirstColumn="0" w:lastRowLastColumn="0"/>
            <w:tcW w:w="0" w:type="dxa"/>
            <w:noWrap/>
            <w:hideMark/>
          </w:tcPr>
          <w:p w14:paraId="0A8FF172" w14:textId="5A7F1396" w:rsidR="000F6FBD" w:rsidRPr="00037C61" w:rsidRDefault="008B32DD" w:rsidP="00FB0745">
            <w:pPr>
              <w:rPr>
                <w:rFonts w:cs="Calibri"/>
                <w:color w:val="000000" w:themeColor="text1"/>
                <w:sz w:val="18"/>
                <w:szCs w:val="18"/>
                <w:lang w:val="en-GB"/>
              </w:rPr>
            </w:pPr>
            <w:r w:rsidRPr="00037C61">
              <w:rPr>
                <w:rFonts w:cs="Calibri"/>
                <w:color w:val="000000" w:themeColor="text1"/>
                <w:sz w:val="18"/>
                <w:szCs w:val="18"/>
                <w:lang w:val="en-GB"/>
              </w:rPr>
              <w:t>Timiș</w:t>
            </w:r>
          </w:p>
        </w:tc>
        <w:tc>
          <w:tcPr>
            <w:tcW w:w="0" w:type="dxa"/>
            <w:noWrap/>
            <w:hideMark/>
          </w:tcPr>
          <w:p w14:paraId="3EC76754"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3.810,00</w:t>
            </w:r>
          </w:p>
        </w:tc>
        <w:tc>
          <w:tcPr>
            <w:tcW w:w="0" w:type="dxa"/>
            <w:noWrap/>
            <w:hideMark/>
          </w:tcPr>
          <w:p w14:paraId="02D3E134"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5,4312</w:t>
            </w:r>
          </w:p>
        </w:tc>
        <w:tc>
          <w:tcPr>
            <w:tcW w:w="0" w:type="dxa"/>
            <w:noWrap/>
            <w:hideMark/>
          </w:tcPr>
          <w:p w14:paraId="157339A5"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11.920,00</w:t>
            </w:r>
          </w:p>
        </w:tc>
        <w:tc>
          <w:tcPr>
            <w:tcW w:w="0" w:type="dxa"/>
            <w:noWrap/>
            <w:hideMark/>
          </w:tcPr>
          <w:p w14:paraId="007739CD"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FF0000"/>
                <w:sz w:val="18"/>
                <w:szCs w:val="18"/>
                <w:lang w:val="en-GB"/>
              </w:rPr>
            </w:pPr>
            <w:r w:rsidRPr="00037C61">
              <w:rPr>
                <w:rFonts w:cs="Calibri"/>
                <w:b/>
                <w:bCs/>
                <w:color w:val="FF0000"/>
                <w:sz w:val="18"/>
                <w:szCs w:val="18"/>
                <w:lang w:val="en-GB"/>
              </w:rPr>
              <w:t>16,9922</w:t>
            </w:r>
          </w:p>
        </w:tc>
        <w:tc>
          <w:tcPr>
            <w:tcW w:w="0" w:type="dxa"/>
            <w:noWrap/>
            <w:hideMark/>
          </w:tcPr>
          <w:p w14:paraId="78F12331"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2.800,00</w:t>
            </w:r>
          </w:p>
        </w:tc>
        <w:tc>
          <w:tcPr>
            <w:tcW w:w="0" w:type="dxa"/>
            <w:noWrap/>
            <w:hideMark/>
          </w:tcPr>
          <w:p w14:paraId="55E01812"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3,9915</w:t>
            </w:r>
          </w:p>
        </w:tc>
        <w:tc>
          <w:tcPr>
            <w:tcW w:w="0" w:type="dxa"/>
            <w:noWrap/>
            <w:hideMark/>
          </w:tcPr>
          <w:p w14:paraId="110846EE"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5.890,00</w:t>
            </w:r>
          </w:p>
        </w:tc>
        <w:tc>
          <w:tcPr>
            <w:tcW w:w="0" w:type="dxa"/>
            <w:noWrap/>
            <w:hideMark/>
          </w:tcPr>
          <w:p w14:paraId="0595CA84" w14:textId="77777777" w:rsidR="000F6FBD" w:rsidRPr="00037C61" w:rsidRDefault="000F6FBD" w:rsidP="00FB0745">
            <w:pPr>
              <w:jc w:val="right"/>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8,3963</w:t>
            </w:r>
          </w:p>
        </w:tc>
      </w:tr>
    </w:tbl>
    <w:p w14:paraId="66F35A13" w14:textId="6FED7A93" w:rsidR="3C1461C6" w:rsidRPr="00037C61" w:rsidRDefault="3C1461C6">
      <w:pPr>
        <w:rPr>
          <w:lang w:val="en-GB"/>
        </w:rPr>
      </w:pPr>
    </w:p>
    <w:p w14:paraId="6555D153" w14:textId="75E68067" w:rsidR="006B184D" w:rsidRPr="00037C61" w:rsidRDefault="5B5B86ED" w:rsidP="00715B98">
      <w:pPr>
        <w:pStyle w:val="Caption"/>
        <w:keepNext/>
        <w:jc w:val="left"/>
        <w:rPr>
          <w:lang w:val="en-GB"/>
        </w:rPr>
      </w:pPr>
      <w:r w:rsidRPr="00037C61">
        <w:rPr>
          <w:lang w:val="en-GB"/>
        </w:rPr>
        <w:t>Source</w:t>
      </w:r>
      <w:r w:rsidRPr="00037C61">
        <w:rPr>
          <w:i w:val="0"/>
          <w:iCs w:val="0"/>
          <w:lang w:val="en-GB"/>
        </w:rPr>
        <w:t>:</w:t>
      </w:r>
      <w:hyperlink r:id="rId187" w:anchor="/en/trends?context=Default&amp;territorialscope=EU28&amp;level=NUTS3&amp;indicator=PM10_EMIS" w:history="1">
        <w:r w:rsidRPr="00037C61">
          <w:rPr>
            <w:rStyle w:val="Hyperlink"/>
            <w:lang w:val="en-GB"/>
          </w:rPr>
          <w:t>https://urban.jrc.ec.europa.eu/#/en/trends?context=Default&amp;territorialscope=EU28&amp;level=NUTS3&amp;indicator=PM10_EMIS</w:t>
        </w:r>
      </w:hyperlink>
      <w:r w:rsidRPr="00037C61">
        <w:rPr>
          <w:lang w:val="en-GB"/>
        </w:rPr>
        <w:t>, 2020</w:t>
      </w:r>
    </w:p>
    <w:p w14:paraId="4651D9E5" w14:textId="6C7A5E78" w:rsidR="00BC0ECE" w:rsidRPr="00037C61" w:rsidRDefault="00BC0ECE">
      <w:pPr>
        <w:pStyle w:val="InterregROHUBullet1"/>
        <w:numPr>
          <w:ilvl w:val="0"/>
          <w:numId w:val="0"/>
        </w:numPr>
        <w:spacing w:before="240"/>
        <w:rPr>
          <w:rFonts w:cs="Calibri"/>
        </w:rPr>
      </w:pPr>
      <w:r w:rsidRPr="00037C61">
        <w:rPr>
          <w:rFonts w:cs="Calibri"/>
          <w:b/>
        </w:rPr>
        <w:t>Regarding CO2 emissions</w:t>
      </w:r>
      <w:r w:rsidR="52230E0C" w:rsidRPr="00037C61">
        <w:rPr>
          <w:rFonts w:cs="Calibri"/>
        </w:rPr>
        <w:t xml:space="preserve">, the most affected </w:t>
      </w:r>
      <w:r w:rsidRPr="00037C61">
        <w:rPr>
          <w:rFonts w:cs="Calibri"/>
        </w:rPr>
        <w:t xml:space="preserve">county in the PA </w:t>
      </w:r>
      <w:r w:rsidR="52230E0C" w:rsidRPr="00037C61">
        <w:rPr>
          <w:rFonts w:cs="Calibri"/>
        </w:rPr>
        <w:t>is Bihor</w:t>
      </w:r>
      <w:r w:rsidRPr="00037C61">
        <w:rPr>
          <w:rFonts w:cs="Calibri"/>
        </w:rPr>
        <w:t xml:space="preserve">, with a per capita emission value three times that of Satu Mare. </w:t>
      </w:r>
      <w:r w:rsidR="52230E0C" w:rsidRPr="00037C61">
        <w:rPr>
          <w:rFonts w:cs="Calibri"/>
        </w:rPr>
        <w:t>CO emissions</w:t>
      </w:r>
      <w:r w:rsidRPr="00037C61">
        <w:rPr>
          <w:rFonts w:cs="Calibri"/>
        </w:rPr>
        <w:t xml:space="preserve"> affect the Romanian counties more, while </w:t>
      </w:r>
      <w:r w:rsidR="52230E0C" w:rsidRPr="00037C61">
        <w:rPr>
          <w:rFonts w:cs="Calibri"/>
        </w:rPr>
        <w:t>the next most polluted is Szabolcs-Szatmár-Bereg from Hungarian side of the border, but at the half of the value of the same indicator</w:t>
      </w:r>
      <w:r w:rsidRPr="00037C61">
        <w:rPr>
          <w:rFonts w:cs="Calibri"/>
        </w:rPr>
        <w:t xml:space="preserve"> when compared to the Romanian counties.</w:t>
      </w:r>
      <w:r w:rsidR="00070EEE" w:rsidRPr="00037C61">
        <w:rPr>
          <w:rFonts w:cs="Calibri"/>
        </w:rPr>
        <w:t xml:space="preserve"> </w:t>
      </w:r>
      <w:r w:rsidRPr="00037C61">
        <w:rPr>
          <w:rFonts w:cs="Calibri"/>
        </w:rPr>
        <w:t xml:space="preserve">Regarding </w:t>
      </w:r>
      <w:r w:rsidR="52230E0C" w:rsidRPr="00037C61">
        <w:rPr>
          <w:rFonts w:cs="Calibri"/>
        </w:rPr>
        <w:t>NOx emissions, the most affected NUTS3 is Bihor, followed by Szabolcs-Szatmár-Bereg</w:t>
      </w:r>
      <w:r w:rsidRPr="00037C61">
        <w:rPr>
          <w:rFonts w:cs="Calibri"/>
        </w:rPr>
        <w:t xml:space="preserve">. </w:t>
      </w:r>
    </w:p>
    <w:p w14:paraId="1193C370" w14:textId="642E813B" w:rsidR="00FB0745" w:rsidRPr="00037C61" w:rsidRDefault="00BC0ECE">
      <w:pPr>
        <w:pStyle w:val="InterregROHUBullet1"/>
        <w:numPr>
          <w:ilvl w:val="0"/>
          <w:numId w:val="0"/>
        </w:numPr>
        <w:spacing w:before="240"/>
        <w:rPr>
          <w:rFonts w:cs="Calibri"/>
        </w:rPr>
      </w:pPr>
      <w:r w:rsidRPr="00037C61">
        <w:rPr>
          <w:rFonts w:cs="Calibri"/>
          <w:b/>
          <w:bCs w:val="0"/>
        </w:rPr>
        <w:lastRenderedPageBreak/>
        <w:t>Pollution with particles in suspension (PM10)</w:t>
      </w:r>
      <w:r w:rsidRPr="00037C61">
        <w:rPr>
          <w:rFonts w:cs="Calibri"/>
        </w:rPr>
        <w:t xml:space="preserve"> affect</w:t>
      </w:r>
      <w:r w:rsidR="7EF7CB62" w:rsidRPr="00037C61">
        <w:rPr>
          <w:rFonts w:cs="Calibri"/>
        </w:rPr>
        <w:t>s</w:t>
      </w:r>
      <w:r w:rsidRPr="00037C61">
        <w:rPr>
          <w:rFonts w:cs="Calibri"/>
        </w:rPr>
        <w:t xml:space="preserve"> the Romanian counties significantly more than the Hungarian ones, with values up to three times higher per capita. The main sources for particulate matter are traffic and heating solutions (such as wood burning), industrial sources, agriculture, construction sites, landfills.  </w:t>
      </w:r>
    </w:p>
    <w:p w14:paraId="15B9310E" w14:textId="35269C97" w:rsidR="006B184D" w:rsidRPr="00037C61" w:rsidRDefault="006B184D">
      <w:pPr>
        <w:pStyle w:val="Caption"/>
        <w:keepNext/>
        <w:jc w:val="left"/>
        <w:rPr>
          <w:lang w:val="en-GB"/>
        </w:rPr>
      </w:pPr>
      <w:bookmarkStart w:id="708" w:name="_Toc58237650"/>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28</w:t>
      </w:r>
      <w:r w:rsidRPr="00037C61">
        <w:rPr>
          <w:lang w:val="en-GB"/>
        </w:rPr>
        <w:fldChar w:fldCharType="end"/>
      </w:r>
      <w:r w:rsidRPr="00037C61">
        <w:rPr>
          <w:lang w:val="en-GB"/>
        </w:rPr>
        <w:t xml:space="preserve"> - Greenhouse gases and air pollution - </w:t>
      </w:r>
      <w:r w:rsidR="00BC0ECE" w:rsidRPr="00037C61">
        <w:rPr>
          <w:lang w:val="en-GB"/>
        </w:rPr>
        <w:t>Emissions</w:t>
      </w:r>
      <w:r w:rsidRPr="00037C61">
        <w:rPr>
          <w:lang w:val="en-GB"/>
        </w:rPr>
        <w:t xml:space="preserve"> per capita of CO2, CO, </w:t>
      </w:r>
      <w:r w:rsidR="00BC0ECE" w:rsidRPr="00037C61">
        <w:rPr>
          <w:lang w:val="en-GB"/>
        </w:rPr>
        <w:t>NOx</w:t>
      </w:r>
      <w:r w:rsidRPr="00037C61">
        <w:rPr>
          <w:lang w:val="en-GB"/>
        </w:rPr>
        <w:t xml:space="preserve"> and PM10</w:t>
      </w:r>
      <w:bookmarkEnd w:id="708"/>
    </w:p>
    <w:tbl>
      <w:tblPr>
        <w:tblStyle w:val="ListTable3-Accent11"/>
        <w:tblW w:w="9175" w:type="dxa"/>
        <w:tblLayout w:type="fixed"/>
        <w:tblLook w:val="04A0" w:firstRow="1" w:lastRow="0" w:firstColumn="1" w:lastColumn="0" w:noHBand="0" w:noVBand="1"/>
      </w:tblPr>
      <w:tblGrid>
        <w:gridCol w:w="990"/>
        <w:gridCol w:w="990"/>
        <w:gridCol w:w="989"/>
        <w:gridCol w:w="989"/>
        <w:gridCol w:w="989"/>
        <w:gridCol w:w="989"/>
        <w:gridCol w:w="989"/>
        <w:gridCol w:w="989"/>
        <w:gridCol w:w="989"/>
        <w:gridCol w:w="272"/>
      </w:tblGrid>
      <w:tr w:rsidR="006B184D" w:rsidRPr="00037C61" w14:paraId="624B72C1" w14:textId="77777777" w:rsidTr="3C1461C6">
        <w:trPr>
          <w:cnfStyle w:val="100000000000" w:firstRow="1" w:lastRow="0" w:firstColumn="0" w:lastColumn="0" w:oddVBand="0" w:evenVBand="0" w:oddHBand="0" w:evenHBand="0" w:firstRowFirstColumn="0" w:firstRowLastColumn="0" w:lastRowFirstColumn="0" w:lastRowLastColumn="0"/>
          <w:trHeight w:val="211"/>
        </w:trPr>
        <w:tc>
          <w:tcPr>
            <w:cnfStyle w:val="001000000100" w:firstRow="0" w:lastRow="0" w:firstColumn="1" w:lastColumn="0" w:oddVBand="0" w:evenVBand="0" w:oddHBand="0" w:evenHBand="0" w:firstRowFirstColumn="1" w:firstRowLastColumn="0" w:lastRowFirstColumn="0" w:lastRowLastColumn="0"/>
            <w:tcW w:w="0" w:type="dxa"/>
            <w:vMerge w:val="restart"/>
          </w:tcPr>
          <w:p w14:paraId="6CBD61B2" w14:textId="3402DD20" w:rsidR="006B184D" w:rsidRPr="00037C61" w:rsidRDefault="006B184D" w:rsidP="00FB0745">
            <w:pPr>
              <w:jc w:val="center"/>
              <w:rPr>
                <w:rFonts w:cs="Calibri"/>
                <w:b w:val="0"/>
                <w:bCs w:val="0"/>
                <w:sz w:val="18"/>
                <w:szCs w:val="18"/>
                <w:lang w:val="en-GB"/>
              </w:rPr>
            </w:pPr>
            <w:r w:rsidRPr="00037C61">
              <w:rPr>
                <w:rFonts w:cs="Calibri"/>
                <w:b w:val="0"/>
                <w:bCs w:val="0"/>
                <w:sz w:val="18"/>
                <w:szCs w:val="18"/>
                <w:lang w:val="en-GB"/>
              </w:rPr>
              <w:t xml:space="preserve">Greenhouse gases and air pollution - </w:t>
            </w:r>
            <w:r w:rsidR="00B21A8C" w:rsidRPr="00037C61">
              <w:rPr>
                <w:rFonts w:cs="Calibri"/>
                <w:b w:val="0"/>
                <w:bCs w:val="0"/>
                <w:sz w:val="18"/>
                <w:szCs w:val="18"/>
                <w:lang w:val="en-GB"/>
              </w:rPr>
              <w:t>Emissions</w:t>
            </w:r>
            <w:r w:rsidRPr="00037C61">
              <w:rPr>
                <w:rFonts w:cs="Calibri"/>
                <w:b w:val="0"/>
                <w:bCs w:val="0"/>
                <w:sz w:val="18"/>
                <w:szCs w:val="18"/>
                <w:lang w:val="en-GB"/>
              </w:rPr>
              <w:t xml:space="preserve"> per capita</w:t>
            </w:r>
          </w:p>
        </w:tc>
        <w:tc>
          <w:tcPr>
            <w:tcW w:w="0" w:type="dxa"/>
            <w:gridSpan w:val="9"/>
          </w:tcPr>
          <w:p w14:paraId="6C9319A3" w14:textId="77777777" w:rsidR="006B184D" w:rsidRPr="00037C61" w:rsidRDefault="006B184D" w:rsidP="00FB0745">
            <w:pPr>
              <w:jc w:val="center"/>
              <w:cnfStyle w:val="100000000000" w:firstRow="1"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sz w:val="18"/>
                <w:szCs w:val="18"/>
                <w:lang w:val="en-GB"/>
              </w:rPr>
              <w:t>2020</w:t>
            </w:r>
          </w:p>
        </w:tc>
      </w:tr>
      <w:tr w:rsidR="006B184D" w:rsidRPr="00037C61" w14:paraId="64D7DC63" w14:textId="77777777" w:rsidTr="3C1461C6">
        <w:trPr>
          <w:gridAfter w:val="1"/>
          <w:cnfStyle w:val="000000100000" w:firstRow="0" w:lastRow="0" w:firstColumn="0" w:lastColumn="0" w:oddVBand="0" w:evenVBand="0" w:oddHBand="1" w:evenHBand="0" w:firstRowFirstColumn="0" w:firstRowLastColumn="0" w:lastRowFirstColumn="0" w:lastRowLastColumn="0"/>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vMerge/>
            <w:hideMark/>
          </w:tcPr>
          <w:p w14:paraId="037E4FBA" w14:textId="77777777" w:rsidR="006B184D" w:rsidRPr="00037C61" w:rsidRDefault="006B184D" w:rsidP="00FB0745">
            <w:pPr>
              <w:jc w:val="center"/>
              <w:rPr>
                <w:rFonts w:cs="Calibri"/>
                <w:b w:val="0"/>
                <w:bCs w:val="0"/>
                <w:color w:val="000000" w:themeColor="text1"/>
                <w:sz w:val="18"/>
                <w:szCs w:val="18"/>
                <w:lang w:val="en-GB"/>
              </w:rPr>
            </w:pPr>
          </w:p>
        </w:tc>
        <w:tc>
          <w:tcPr>
            <w:tcW w:w="0" w:type="dxa"/>
            <w:hideMark/>
          </w:tcPr>
          <w:p w14:paraId="6CFAB917" w14:textId="29F41AD6"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CO2 Emissions (tons)</w:t>
            </w:r>
          </w:p>
        </w:tc>
        <w:tc>
          <w:tcPr>
            <w:tcW w:w="0" w:type="dxa"/>
            <w:hideMark/>
          </w:tcPr>
          <w:p w14:paraId="699BA156" w14:textId="73E1A805"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CO2 Emissions (tons/ 1000 capita)</w:t>
            </w:r>
          </w:p>
        </w:tc>
        <w:tc>
          <w:tcPr>
            <w:tcW w:w="0" w:type="dxa"/>
            <w:hideMark/>
          </w:tcPr>
          <w:p w14:paraId="1289555C" w14:textId="14B6574A"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CO Emissions (tons)</w:t>
            </w:r>
          </w:p>
        </w:tc>
        <w:tc>
          <w:tcPr>
            <w:tcW w:w="0" w:type="dxa"/>
            <w:hideMark/>
          </w:tcPr>
          <w:p w14:paraId="399C5A3A" w14:textId="32F7C28D"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CO Emissions (tons/ 1000 capita)</w:t>
            </w:r>
          </w:p>
        </w:tc>
        <w:tc>
          <w:tcPr>
            <w:tcW w:w="0" w:type="dxa"/>
            <w:hideMark/>
          </w:tcPr>
          <w:p w14:paraId="3E3E3890" w14:textId="323F79AA"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NOx Emissions (tons)</w:t>
            </w:r>
          </w:p>
        </w:tc>
        <w:tc>
          <w:tcPr>
            <w:tcW w:w="0" w:type="dxa"/>
            <w:hideMark/>
          </w:tcPr>
          <w:p w14:paraId="740CCFD0" w14:textId="65EF6314"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NOx Emissions (tons/ 1000 capita)</w:t>
            </w:r>
          </w:p>
        </w:tc>
        <w:tc>
          <w:tcPr>
            <w:tcW w:w="0" w:type="dxa"/>
            <w:hideMark/>
          </w:tcPr>
          <w:p w14:paraId="2A8D6729" w14:textId="482B490C"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PM10 Emissions (tons)</w:t>
            </w:r>
          </w:p>
        </w:tc>
        <w:tc>
          <w:tcPr>
            <w:tcW w:w="0" w:type="dxa"/>
            <w:hideMark/>
          </w:tcPr>
          <w:p w14:paraId="0DBB4878" w14:textId="2BB8D786" w:rsidR="006B184D" w:rsidRPr="00037C61" w:rsidRDefault="006B184D" w:rsidP="00FB0745">
            <w:pPr>
              <w:cnfStyle w:val="000000100000" w:firstRow="0" w:lastRow="0" w:firstColumn="0" w:lastColumn="0" w:oddVBand="0" w:evenVBand="0" w:oddHBand="1"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PM10 Emissions (tons/ 1000 capita)</w:t>
            </w:r>
          </w:p>
        </w:tc>
      </w:tr>
      <w:tr w:rsidR="006B184D" w:rsidRPr="00037C61" w14:paraId="0852ECCA" w14:textId="77777777" w:rsidTr="3C1461C6">
        <w:trPr>
          <w:gridAfter w:val="1"/>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noWrap/>
            <w:hideMark/>
          </w:tcPr>
          <w:p w14:paraId="482EB607" w14:textId="77777777" w:rsidR="006B184D" w:rsidRPr="00037C61" w:rsidRDefault="006B184D" w:rsidP="00FB0745">
            <w:pPr>
              <w:rPr>
                <w:rFonts w:cs="Calibri"/>
                <w:color w:val="000000" w:themeColor="text1"/>
                <w:sz w:val="18"/>
                <w:szCs w:val="18"/>
                <w:lang w:val="en-GB"/>
              </w:rPr>
            </w:pPr>
            <w:r w:rsidRPr="00037C61">
              <w:rPr>
                <w:rFonts w:cs="Calibri"/>
                <w:color w:val="000000" w:themeColor="text1"/>
                <w:sz w:val="18"/>
                <w:szCs w:val="18"/>
                <w:lang w:val="en-GB"/>
              </w:rPr>
              <w:t>Hajdú-Bihar</w:t>
            </w:r>
          </w:p>
        </w:tc>
        <w:tc>
          <w:tcPr>
            <w:tcW w:w="0" w:type="dxa"/>
            <w:noWrap/>
            <w:hideMark/>
          </w:tcPr>
          <w:p w14:paraId="746ABD58"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1.360,00</w:t>
            </w:r>
          </w:p>
        </w:tc>
        <w:tc>
          <w:tcPr>
            <w:tcW w:w="0" w:type="dxa"/>
            <w:noWrap/>
            <w:hideMark/>
          </w:tcPr>
          <w:p w14:paraId="3DEEDD98"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2,5638</w:t>
            </w:r>
          </w:p>
        </w:tc>
        <w:tc>
          <w:tcPr>
            <w:tcW w:w="0" w:type="dxa"/>
            <w:noWrap/>
            <w:hideMark/>
          </w:tcPr>
          <w:p w14:paraId="0FB7D72E"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6.190,00</w:t>
            </w:r>
          </w:p>
        </w:tc>
        <w:tc>
          <w:tcPr>
            <w:tcW w:w="0" w:type="dxa"/>
            <w:noWrap/>
            <w:hideMark/>
          </w:tcPr>
          <w:p w14:paraId="1AC6B3B7"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11,6690</w:t>
            </w:r>
          </w:p>
        </w:tc>
        <w:tc>
          <w:tcPr>
            <w:tcW w:w="0" w:type="dxa"/>
            <w:noWrap/>
            <w:hideMark/>
          </w:tcPr>
          <w:p w14:paraId="53E92934"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1.760,00</w:t>
            </w:r>
          </w:p>
        </w:tc>
        <w:tc>
          <w:tcPr>
            <w:tcW w:w="0" w:type="dxa"/>
            <w:noWrap/>
            <w:hideMark/>
          </w:tcPr>
          <w:p w14:paraId="32DE92CC"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3,3179</w:t>
            </w:r>
          </w:p>
        </w:tc>
        <w:tc>
          <w:tcPr>
            <w:tcW w:w="0" w:type="dxa"/>
            <w:noWrap/>
            <w:hideMark/>
          </w:tcPr>
          <w:p w14:paraId="1FB26CF6"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1.220,00</w:t>
            </w:r>
          </w:p>
        </w:tc>
        <w:tc>
          <w:tcPr>
            <w:tcW w:w="0" w:type="dxa"/>
            <w:noWrap/>
            <w:hideMark/>
          </w:tcPr>
          <w:p w14:paraId="1B0ACC79"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color w:val="000000" w:themeColor="text1"/>
                <w:sz w:val="18"/>
                <w:szCs w:val="18"/>
                <w:lang w:val="en-GB"/>
              </w:rPr>
            </w:pPr>
            <w:r w:rsidRPr="00037C61">
              <w:rPr>
                <w:rFonts w:cs="Calibri"/>
                <w:b/>
                <w:bCs/>
                <w:color w:val="000000" w:themeColor="text1"/>
                <w:sz w:val="18"/>
                <w:szCs w:val="18"/>
                <w:lang w:val="en-GB"/>
              </w:rPr>
              <w:t>2,2999</w:t>
            </w:r>
          </w:p>
        </w:tc>
      </w:tr>
      <w:tr w:rsidR="006B184D" w:rsidRPr="00037C61" w14:paraId="16DA6678" w14:textId="77777777" w:rsidTr="3C1461C6">
        <w:trPr>
          <w:gridAfter w:val="1"/>
          <w:cnfStyle w:val="000000100000" w:firstRow="0" w:lastRow="0" w:firstColumn="0" w:lastColumn="0" w:oddVBand="0" w:evenVBand="0" w:oddHBand="1" w:evenHBand="0" w:firstRowFirstColumn="0" w:firstRowLastColumn="0" w:lastRowFirstColumn="0" w:lastRowLastColumn="0"/>
          <w:wAfter w:w="65" w:type="dxa"/>
          <w:trHeight w:val="635"/>
        </w:trPr>
        <w:tc>
          <w:tcPr>
            <w:cnfStyle w:val="001000000000" w:firstRow="0" w:lastRow="0" w:firstColumn="1" w:lastColumn="0" w:oddVBand="0" w:evenVBand="0" w:oddHBand="0" w:evenHBand="0" w:firstRowFirstColumn="0" w:firstRowLastColumn="0" w:lastRowFirstColumn="0" w:lastRowLastColumn="0"/>
            <w:tcW w:w="0" w:type="dxa"/>
            <w:noWrap/>
            <w:hideMark/>
          </w:tcPr>
          <w:p w14:paraId="7052C903" w14:textId="77777777" w:rsidR="006B184D" w:rsidRPr="00037C61" w:rsidRDefault="006B184D" w:rsidP="00FB0745">
            <w:pPr>
              <w:rPr>
                <w:rFonts w:cs="Calibri"/>
                <w:color w:val="000000" w:themeColor="text1"/>
                <w:sz w:val="18"/>
                <w:szCs w:val="18"/>
                <w:lang w:val="en-GB"/>
              </w:rPr>
            </w:pPr>
            <w:r w:rsidRPr="00037C61">
              <w:rPr>
                <w:rFonts w:cs="Calibri"/>
                <w:color w:val="000000" w:themeColor="text1"/>
                <w:sz w:val="18"/>
                <w:szCs w:val="18"/>
                <w:lang w:val="en-GB"/>
              </w:rPr>
              <w:t>Szabolcs-Szatmár-Bereg</w:t>
            </w:r>
          </w:p>
        </w:tc>
        <w:tc>
          <w:tcPr>
            <w:tcW w:w="0" w:type="dxa"/>
            <w:noWrap/>
            <w:hideMark/>
          </w:tcPr>
          <w:p w14:paraId="326C3E46"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1.320,00</w:t>
            </w:r>
          </w:p>
        </w:tc>
        <w:tc>
          <w:tcPr>
            <w:tcW w:w="0" w:type="dxa"/>
            <w:noWrap/>
            <w:hideMark/>
          </w:tcPr>
          <w:p w14:paraId="7D9DCA4F"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2,3641</w:t>
            </w:r>
          </w:p>
        </w:tc>
        <w:tc>
          <w:tcPr>
            <w:tcW w:w="0" w:type="dxa"/>
            <w:noWrap/>
            <w:hideMark/>
          </w:tcPr>
          <w:p w14:paraId="29673276"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11.690,00</w:t>
            </w:r>
          </w:p>
        </w:tc>
        <w:tc>
          <w:tcPr>
            <w:tcW w:w="0" w:type="dxa"/>
            <w:noWrap/>
            <w:hideMark/>
          </w:tcPr>
          <w:p w14:paraId="770792C9"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20,9363</w:t>
            </w:r>
          </w:p>
        </w:tc>
        <w:tc>
          <w:tcPr>
            <w:tcW w:w="0" w:type="dxa"/>
            <w:noWrap/>
            <w:hideMark/>
          </w:tcPr>
          <w:p w14:paraId="78971284"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4.370,00</w:t>
            </w:r>
          </w:p>
        </w:tc>
        <w:tc>
          <w:tcPr>
            <w:tcW w:w="0" w:type="dxa"/>
            <w:noWrap/>
            <w:hideMark/>
          </w:tcPr>
          <w:p w14:paraId="56AE4890"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7,8265</w:t>
            </w:r>
          </w:p>
        </w:tc>
        <w:tc>
          <w:tcPr>
            <w:tcW w:w="0" w:type="dxa"/>
            <w:noWrap/>
            <w:hideMark/>
          </w:tcPr>
          <w:p w14:paraId="7722AAD4"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1.910,00</w:t>
            </w:r>
          </w:p>
        </w:tc>
        <w:tc>
          <w:tcPr>
            <w:tcW w:w="0" w:type="dxa"/>
            <w:noWrap/>
            <w:hideMark/>
          </w:tcPr>
          <w:p w14:paraId="08008426"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3,4207</w:t>
            </w:r>
          </w:p>
        </w:tc>
      </w:tr>
      <w:tr w:rsidR="006B184D" w:rsidRPr="00037C61" w14:paraId="78797AAB" w14:textId="77777777" w:rsidTr="3C1461C6">
        <w:trPr>
          <w:gridAfter w:val="1"/>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noWrap/>
            <w:hideMark/>
          </w:tcPr>
          <w:p w14:paraId="5399DA11" w14:textId="77777777" w:rsidR="006B184D" w:rsidRPr="00037C61" w:rsidRDefault="006B184D" w:rsidP="00FB0745">
            <w:pPr>
              <w:rPr>
                <w:rFonts w:cs="Calibri"/>
                <w:color w:val="000000" w:themeColor="text1"/>
                <w:sz w:val="18"/>
                <w:szCs w:val="18"/>
                <w:lang w:val="en-GB"/>
              </w:rPr>
            </w:pPr>
            <w:r w:rsidRPr="00037C61">
              <w:rPr>
                <w:rFonts w:cs="Calibri"/>
                <w:color w:val="000000" w:themeColor="text1"/>
                <w:sz w:val="18"/>
                <w:szCs w:val="18"/>
                <w:lang w:val="en-GB"/>
              </w:rPr>
              <w:t>Békés</w:t>
            </w:r>
          </w:p>
        </w:tc>
        <w:tc>
          <w:tcPr>
            <w:tcW w:w="0" w:type="dxa"/>
            <w:noWrap/>
            <w:hideMark/>
          </w:tcPr>
          <w:p w14:paraId="19005DB2"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807,76</w:t>
            </w:r>
          </w:p>
        </w:tc>
        <w:tc>
          <w:tcPr>
            <w:tcW w:w="0" w:type="dxa"/>
            <w:noWrap/>
            <w:hideMark/>
          </w:tcPr>
          <w:p w14:paraId="3E173B6C"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2,3896</w:t>
            </w:r>
          </w:p>
        </w:tc>
        <w:tc>
          <w:tcPr>
            <w:tcW w:w="0" w:type="dxa"/>
            <w:noWrap/>
            <w:hideMark/>
          </w:tcPr>
          <w:p w14:paraId="1C4F7C32"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5.260,00</w:t>
            </w:r>
          </w:p>
        </w:tc>
        <w:tc>
          <w:tcPr>
            <w:tcW w:w="0" w:type="dxa"/>
            <w:noWrap/>
            <w:hideMark/>
          </w:tcPr>
          <w:p w14:paraId="305C5B76"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15,5610</w:t>
            </w:r>
          </w:p>
        </w:tc>
        <w:tc>
          <w:tcPr>
            <w:tcW w:w="0" w:type="dxa"/>
            <w:noWrap/>
            <w:hideMark/>
          </w:tcPr>
          <w:p w14:paraId="622D9AC7"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1.840,00</w:t>
            </w:r>
          </w:p>
        </w:tc>
        <w:tc>
          <w:tcPr>
            <w:tcW w:w="0" w:type="dxa"/>
            <w:noWrap/>
            <w:hideMark/>
          </w:tcPr>
          <w:p w14:paraId="0A97A721"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5,4434</w:t>
            </w:r>
          </w:p>
        </w:tc>
        <w:tc>
          <w:tcPr>
            <w:tcW w:w="0" w:type="dxa"/>
            <w:noWrap/>
            <w:hideMark/>
          </w:tcPr>
          <w:p w14:paraId="76F34080"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1.180,00</w:t>
            </w:r>
          </w:p>
        </w:tc>
        <w:tc>
          <w:tcPr>
            <w:tcW w:w="0" w:type="dxa"/>
            <w:noWrap/>
            <w:hideMark/>
          </w:tcPr>
          <w:p w14:paraId="6CFE7272"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3,4909</w:t>
            </w:r>
          </w:p>
        </w:tc>
      </w:tr>
      <w:tr w:rsidR="006B184D" w:rsidRPr="00037C61" w14:paraId="5F54CDBA" w14:textId="77777777" w:rsidTr="3C1461C6">
        <w:trPr>
          <w:gridAfter w:val="1"/>
          <w:cnfStyle w:val="000000100000" w:firstRow="0" w:lastRow="0" w:firstColumn="0" w:lastColumn="0" w:oddVBand="0" w:evenVBand="0" w:oddHBand="1" w:evenHBand="0" w:firstRowFirstColumn="0" w:firstRowLastColumn="0" w:lastRowFirstColumn="0" w:lastRowLastColumn="0"/>
          <w:wAfter w:w="65" w:type="dxa"/>
          <w:trHeight w:val="222"/>
        </w:trPr>
        <w:tc>
          <w:tcPr>
            <w:cnfStyle w:val="001000000000" w:firstRow="0" w:lastRow="0" w:firstColumn="1" w:lastColumn="0" w:oddVBand="0" w:evenVBand="0" w:oddHBand="0" w:evenHBand="0" w:firstRowFirstColumn="0" w:firstRowLastColumn="0" w:lastRowFirstColumn="0" w:lastRowLastColumn="0"/>
            <w:tcW w:w="0" w:type="dxa"/>
            <w:noWrap/>
            <w:hideMark/>
          </w:tcPr>
          <w:p w14:paraId="6763EAAE" w14:textId="32FDC8A7" w:rsidR="006B184D" w:rsidRPr="00037C61" w:rsidRDefault="6446A0E8" w:rsidP="00FB0745">
            <w:pPr>
              <w:rPr>
                <w:rFonts w:cs="Calibri"/>
                <w:color w:val="000000" w:themeColor="text1"/>
                <w:sz w:val="18"/>
                <w:szCs w:val="18"/>
                <w:lang w:val="en-GB"/>
              </w:rPr>
            </w:pPr>
            <w:r w:rsidRPr="00037C61">
              <w:rPr>
                <w:rFonts w:cs="Calibri"/>
                <w:color w:val="000000" w:themeColor="text1"/>
                <w:sz w:val="18"/>
                <w:szCs w:val="18"/>
                <w:lang w:val="en-GB"/>
              </w:rPr>
              <w:t>Csongrád-Csanád</w:t>
            </w:r>
          </w:p>
        </w:tc>
        <w:tc>
          <w:tcPr>
            <w:tcW w:w="0" w:type="dxa"/>
            <w:noWrap/>
            <w:hideMark/>
          </w:tcPr>
          <w:p w14:paraId="4816C611"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1.260,00</w:t>
            </w:r>
          </w:p>
        </w:tc>
        <w:tc>
          <w:tcPr>
            <w:tcW w:w="0" w:type="dxa"/>
            <w:noWrap/>
            <w:hideMark/>
          </w:tcPr>
          <w:p w14:paraId="2CB9446E"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3,1481</w:t>
            </w:r>
          </w:p>
        </w:tc>
        <w:tc>
          <w:tcPr>
            <w:tcW w:w="0" w:type="dxa"/>
            <w:noWrap/>
            <w:hideMark/>
          </w:tcPr>
          <w:p w14:paraId="5A830A06"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5.470,00</w:t>
            </w:r>
          </w:p>
        </w:tc>
        <w:tc>
          <w:tcPr>
            <w:tcW w:w="0" w:type="dxa"/>
            <w:noWrap/>
            <w:hideMark/>
          </w:tcPr>
          <w:p w14:paraId="70246EC1"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13,6669</w:t>
            </w:r>
          </w:p>
        </w:tc>
        <w:tc>
          <w:tcPr>
            <w:tcW w:w="0" w:type="dxa"/>
            <w:noWrap/>
            <w:hideMark/>
          </w:tcPr>
          <w:p w14:paraId="40B9D581"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1.440,00</w:t>
            </w:r>
          </w:p>
        </w:tc>
        <w:tc>
          <w:tcPr>
            <w:tcW w:w="0" w:type="dxa"/>
            <w:noWrap/>
            <w:hideMark/>
          </w:tcPr>
          <w:p w14:paraId="34408537"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3,5979</w:t>
            </w:r>
          </w:p>
        </w:tc>
        <w:tc>
          <w:tcPr>
            <w:tcW w:w="0" w:type="dxa"/>
            <w:noWrap/>
            <w:hideMark/>
          </w:tcPr>
          <w:p w14:paraId="2A43502B"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1.610,00</w:t>
            </w:r>
          </w:p>
        </w:tc>
        <w:tc>
          <w:tcPr>
            <w:tcW w:w="0" w:type="dxa"/>
            <w:noWrap/>
            <w:hideMark/>
          </w:tcPr>
          <w:p w14:paraId="73675C82"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4,0226</w:t>
            </w:r>
          </w:p>
        </w:tc>
      </w:tr>
      <w:tr w:rsidR="006B184D" w:rsidRPr="00037C61" w14:paraId="62248959" w14:textId="77777777" w:rsidTr="3C1461C6">
        <w:trPr>
          <w:gridAfter w:val="1"/>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noWrap/>
            <w:hideMark/>
          </w:tcPr>
          <w:p w14:paraId="536544FE" w14:textId="77777777" w:rsidR="006B184D" w:rsidRPr="00037C61" w:rsidRDefault="006B184D" w:rsidP="00FB0745">
            <w:pPr>
              <w:rPr>
                <w:rFonts w:cs="Calibri"/>
                <w:color w:val="000000" w:themeColor="text1"/>
                <w:sz w:val="18"/>
                <w:szCs w:val="18"/>
                <w:lang w:val="en-GB"/>
              </w:rPr>
            </w:pPr>
            <w:r w:rsidRPr="00037C61">
              <w:rPr>
                <w:rFonts w:cs="Calibri"/>
                <w:color w:val="000000" w:themeColor="text1"/>
                <w:sz w:val="18"/>
                <w:szCs w:val="18"/>
                <w:lang w:val="en-GB"/>
              </w:rPr>
              <w:t>Bihor</w:t>
            </w:r>
          </w:p>
        </w:tc>
        <w:tc>
          <w:tcPr>
            <w:tcW w:w="0" w:type="dxa"/>
            <w:noWrap/>
            <w:hideMark/>
          </w:tcPr>
          <w:p w14:paraId="040E3B34"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3.590,00</w:t>
            </w:r>
          </w:p>
        </w:tc>
        <w:tc>
          <w:tcPr>
            <w:tcW w:w="0" w:type="dxa"/>
            <w:noWrap/>
            <w:hideMark/>
          </w:tcPr>
          <w:p w14:paraId="3101F203"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6,3640</w:t>
            </w:r>
          </w:p>
        </w:tc>
        <w:tc>
          <w:tcPr>
            <w:tcW w:w="0" w:type="dxa"/>
            <w:noWrap/>
            <w:hideMark/>
          </w:tcPr>
          <w:p w14:paraId="32AE38CE"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24.960,00</w:t>
            </w:r>
          </w:p>
        </w:tc>
        <w:tc>
          <w:tcPr>
            <w:tcW w:w="0" w:type="dxa"/>
            <w:noWrap/>
            <w:hideMark/>
          </w:tcPr>
          <w:p w14:paraId="60C5F6E6"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44,2468</w:t>
            </w:r>
          </w:p>
        </w:tc>
        <w:tc>
          <w:tcPr>
            <w:tcW w:w="0" w:type="dxa"/>
            <w:noWrap/>
            <w:hideMark/>
          </w:tcPr>
          <w:p w14:paraId="259DBB02"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5.070,00</w:t>
            </w:r>
          </w:p>
        </w:tc>
        <w:tc>
          <w:tcPr>
            <w:tcW w:w="0" w:type="dxa"/>
            <w:noWrap/>
            <w:hideMark/>
          </w:tcPr>
          <w:p w14:paraId="2F1C1352"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8,9876</w:t>
            </w:r>
          </w:p>
        </w:tc>
        <w:tc>
          <w:tcPr>
            <w:tcW w:w="0" w:type="dxa"/>
            <w:noWrap/>
            <w:hideMark/>
          </w:tcPr>
          <w:p w14:paraId="631DF13A"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4.060,00</w:t>
            </w:r>
          </w:p>
        </w:tc>
        <w:tc>
          <w:tcPr>
            <w:tcW w:w="0" w:type="dxa"/>
            <w:noWrap/>
            <w:hideMark/>
          </w:tcPr>
          <w:p w14:paraId="0EBC2001"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7,1972</w:t>
            </w:r>
          </w:p>
        </w:tc>
      </w:tr>
      <w:tr w:rsidR="006B184D" w:rsidRPr="00037C61" w14:paraId="183FA426" w14:textId="77777777" w:rsidTr="3C1461C6">
        <w:trPr>
          <w:gridAfter w:val="1"/>
          <w:cnfStyle w:val="000000100000" w:firstRow="0" w:lastRow="0" w:firstColumn="0" w:lastColumn="0" w:oddVBand="0" w:evenVBand="0" w:oddHBand="1" w:evenHBand="0" w:firstRowFirstColumn="0" w:firstRowLastColumn="0" w:lastRowFirstColumn="0" w:lastRowLastColumn="0"/>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noWrap/>
            <w:hideMark/>
          </w:tcPr>
          <w:p w14:paraId="2EB60402" w14:textId="77777777" w:rsidR="006B184D" w:rsidRPr="00037C61" w:rsidRDefault="006B184D" w:rsidP="00FB0745">
            <w:pPr>
              <w:rPr>
                <w:rFonts w:cs="Calibri"/>
                <w:color w:val="000000" w:themeColor="text1"/>
                <w:sz w:val="18"/>
                <w:szCs w:val="18"/>
                <w:lang w:val="en-GB"/>
              </w:rPr>
            </w:pPr>
            <w:r w:rsidRPr="00037C61">
              <w:rPr>
                <w:rFonts w:cs="Calibri"/>
                <w:color w:val="000000" w:themeColor="text1"/>
                <w:sz w:val="18"/>
                <w:szCs w:val="18"/>
                <w:lang w:val="en-GB"/>
              </w:rPr>
              <w:t>Satu Mare</w:t>
            </w:r>
          </w:p>
        </w:tc>
        <w:tc>
          <w:tcPr>
            <w:tcW w:w="0" w:type="dxa"/>
            <w:noWrap/>
            <w:hideMark/>
          </w:tcPr>
          <w:p w14:paraId="6AFD6EC5"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721,13</w:t>
            </w:r>
          </w:p>
        </w:tc>
        <w:tc>
          <w:tcPr>
            <w:tcW w:w="0" w:type="dxa"/>
            <w:noWrap/>
            <w:hideMark/>
          </w:tcPr>
          <w:p w14:paraId="178F6D9C"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2,1547</w:t>
            </w:r>
          </w:p>
        </w:tc>
        <w:tc>
          <w:tcPr>
            <w:tcW w:w="0" w:type="dxa"/>
            <w:noWrap/>
            <w:hideMark/>
          </w:tcPr>
          <w:p w14:paraId="746CBED4"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14.670,00</w:t>
            </w:r>
          </w:p>
        </w:tc>
        <w:tc>
          <w:tcPr>
            <w:tcW w:w="0" w:type="dxa"/>
            <w:noWrap/>
            <w:hideMark/>
          </w:tcPr>
          <w:p w14:paraId="0AE1BDF6"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43,8332</w:t>
            </w:r>
          </w:p>
        </w:tc>
        <w:tc>
          <w:tcPr>
            <w:tcW w:w="0" w:type="dxa"/>
            <w:noWrap/>
            <w:hideMark/>
          </w:tcPr>
          <w:p w14:paraId="11412C0F"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909,90</w:t>
            </w:r>
          </w:p>
        </w:tc>
        <w:tc>
          <w:tcPr>
            <w:tcW w:w="0" w:type="dxa"/>
            <w:noWrap/>
            <w:hideMark/>
          </w:tcPr>
          <w:p w14:paraId="0C43FCF1"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2,7187</w:t>
            </w:r>
          </w:p>
        </w:tc>
        <w:tc>
          <w:tcPr>
            <w:tcW w:w="0" w:type="dxa"/>
            <w:noWrap/>
            <w:hideMark/>
          </w:tcPr>
          <w:p w14:paraId="274B5396"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2.440,00</w:t>
            </w:r>
          </w:p>
        </w:tc>
        <w:tc>
          <w:tcPr>
            <w:tcW w:w="0" w:type="dxa"/>
            <w:noWrap/>
            <w:hideMark/>
          </w:tcPr>
          <w:p w14:paraId="0FD27783"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7,2906</w:t>
            </w:r>
          </w:p>
        </w:tc>
      </w:tr>
      <w:tr w:rsidR="006B184D" w:rsidRPr="00037C61" w14:paraId="67820A31" w14:textId="77777777" w:rsidTr="3C1461C6">
        <w:trPr>
          <w:gridAfter w:val="1"/>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noWrap/>
            <w:hideMark/>
          </w:tcPr>
          <w:p w14:paraId="5C890B30" w14:textId="77777777" w:rsidR="006B184D" w:rsidRPr="00037C61" w:rsidRDefault="006B184D" w:rsidP="00FB0745">
            <w:pPr>
              <w:rPr>
                <w:rFonts w:cs="Calibri"/>
                <w:color w:val="000000" w:themeColor="text1"/>
                <w:sz w:val="18"/>
                <w:szCs w:val="18"/>
                <w:lang w:val="en-GB"/>
              </w:rPr>
            </w:pPr>
            <w:r w:rsidRPr="00037C61">
              <w:rPr>
                <w:rFonts w:cs="Calibri"/>
                <w:color w:val="000000" w:themeColor="text1"/>
                <w:sz w:val="18"/>
                <w:szCs w:val="18"/>
                <w:lang w:val="en-GB"/>
              </w:rPr>
              <w:t>Arad</w:t>
            </w:r>
          </w:p>
        </w:tc>
        <w:tc>
          <w:tcPr>
            <w:tcW w:w="0" w:type="dxa"/>
            <w:noWrap/>
            <w:hideMark/>
          </w:tcPr>
          <w:p w14:paraId="75DF4A45"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1.810,00</w:t>
            </w:r>
          </w:p>
        </w:tc>
        <w:tc>
          <w:tcPr>
            <w:tcW w:w="0" w:type="dxa"/>
            <w:noWrap/>
            <w:hideMark/>
          </w:tcPr>
          <w:p w14:paraId="12313A78"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4,3161</w:t>
            </w:r>
          </w:p>
        </w:tc>
        <w:tc>
          <w:tcPr>
            <w:tcW w:w="0" w:type="dxa"/>
            <w:noWrap/>
            <w:hideMark/>
          </w:tcPr>
          <w:p w14:paraId="059CDBBF"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22.140,00</w:t>
            </w:r>
          </w:p>
        </w:tc>
        <w:tc>
          <w:tcPr>
            <w:tcW w:w="0" w:type="dxa"/>
            <w:noWrap/>
            <w:hideMark/>
          </w:tcPr>
          <w:p w14:paraId="6DA6F32B"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52,7947</w:t>
            </w:r>
          </w:p>
        </w:tc>
        <w:tc>
          <w:tcPr>
            <w:tcW w:w="0" w:type="dxa"/>
            <w:noWrap/>
            <w:hideMark/>
          </w:tcPr>
          <w:p w14:paraId="38CBAF15"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2.280,00</w:t>
            </w:r>
          </w:p>
        </w:tc>
        <w:tc>
          <w:tcPr>
            <w:tcW w:w="0" w:type="dxa"/>
            <w:noWrap/>
            <w:hideMark/>
          </w:tcPr>
          <w:p w14:paraId="79089935"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5,4369</w:t>
            </w:r>
          </w:p>
        </w:tc>
        <w:tc>
          <w:tcPr>
            <w:tcW w:w="0" w:type="dxa"/>
            <w:noWrap/>
            <w:hideMark/>
          </w:tcPr>
          <w:p w14:paraId="59EA8BA0"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3.410,00</w:t>
            </w:r>
          </w:p>
        </w:tc>
        <w:tc>
          <w:tcPr>
            <w:tcW w:w="0" w:type="dxa"/>
            <w:noWrap/>
            <w:hideMark/>
          </w:tcPr>
          <w:p w14:paraId="15FB5F41" w14:textId="77777777" w:rsidR="006B184D" w:rsidRPr="00037C61" w:rsidRDefault="006B184D" w:rsidP="00FB0745">
            <w:pPr>
              <w:jc w:val="right"/>
              <w:cnfStyle w:val="000000000000" w:firstRow="0" w:lastRow="0" w:firstColumn="0" w:lastColumn="0" w:oddVBand="0" w:evenVBand="0" w:oddHBand="0" w:evenHBand="0" w:firstRowFirstColumn="0" w:firstRowLastColumn="0" w:lastRowFirstColumn="0" w:lastRowLastColumn="0"/>
              <w:rPr>
                <w:rFonts w:cs="Calibri"/>
                <w:b/>
                <w:bCs/>
                <w:sz w:val="18"/>
                <w:szCs w:val="18"/>
                <w:lang w:val="en-GB"/>
              </w:rPr>
            </w:pPr>
            <w:r w:rsidRPr="00037C61">
              <w:rPr>
                <w:rFonts w:cs="Calibri"/>
                <w:b/>
                <w:bCs/>
                <w:sz w:val="18"/>
                <w:szCs w:val="18"/>
                <w:lang w:val="en-GB"/>
              </w:rPr>
              <w:t>8,1314</w:t>
            </w:r>
          </w:p>
        </w:tc>
      </w:tr>
      <w:tr w:rsidR="006B184D" w:rsidRPr="00037C61" w14:paraId="5F50F3D1" w14:textId="77777777" w:rsidTr="3C1461C6">
        <w:trPr>
          <w:gridAfter w:val="1"/>
          <w:cnfStyle w:val="000000100000" w:firstRow="0" w:lastRow="0" w:firstColumn="0" w:lastColumn="0" w:oddVBand="0" w:evenVBand="0" w:oddHBand="1" w:evenHBand="0" w:firstRowFirstColumn="0" w:firstRowLastColumn="0" w:lastRowFirstColumn="0" w:lastRowLastColumn="0"/>
          <w:wAfter w:w="65" w:type="dxa"/>
          <w:trHeight w:val="211"/>
        </w:trPr>
        <w:tc>
          <w:tcPr>
            <w:cnfStyle w:val="001000000000" w:firstRow="0" w:lastRow="0" w:firstColumn="1" w:lastColumn="0" w:oddVBand="0" w:evenVBand="0" w:oddHBand="0" w:evenHBand="0" w:firstRowFirstColumn="0" w:firstRowLastColumn="0" w:lastRowFirstColumn="0" w:lastRowLastColumn="0"/>
            <w:tcW w:w="0" w:type="dxa"/>
            <w:noWrap/>
            <w:hideMark/>
          </w:tcPr>
          <w:p w14:paraId="02CDE1E1" w14:textId="4D077819" w:rsidR="006B184D" w:rsidRPr="00037C61" w:rsidRDefault="008B32DD" w:rsidP="00FB0745">
            <w:pPr>
              <w:rPr>
                <w:rFonts w:cs="Calibri"/>
                <w:color w:val="000000" w:themeColor="text1"/>
                <w:sz w:val="18"/>
                <w:szCs w:val="18"/>
                <w:lang w:val="en-GB"/>
              </w:rPr>
            </w:pPr>
            <w:r w:rsidRPr="00037C61">
              <w:rPr>
                <w:rFonts w:cs="Calibri"/>
                <w:color w:val="000000" w:themeColor="text1"/>
                <w:sz w:val="18"/>
                <w:szCs w:val="18"/>
                <w:lang w:val="en-GB"/>
              </w:rPr>
              <w:t>Timiș</w:t>
            </w:r>
          </w:p>
        </w:tc>
        <w:tc>
          <w:tcPr>
            <w:tcW w:w="0" w:type="dxa"/>
            <w:noWrap/>
            <w:hideMark/>
          </w:tcPr>
          <w:p w14:paraId="724E63DD"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2.130,00</w:t>
            </w:r>
          </w:p>
        </w:tc>
        <w:tc>
          <w:tcPr>
            <w:tcW w:w="0" w:type="dxa"/>
            <w:noWrap/>
            <w:hideMark/>
          </w:tcPr>
          <w:p w14:paraId="445A1B55"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3,0364</w:t>
            </w:r>
          </w:p>
        </w:tc>
        <w:tc>
          <w:tcPr>
            <w:tcW w:w="0" w:type="dxa"/>
            <w:noWrap/>
            <w:hideMark/>
          </w:tcPr>
          <w:p w14:paraId="4FD76412"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32.910,00</w:t>
            </w:r>
          </w:p>
        </w:tc>
        <w:tc>
          <w:tcPr>
            <w:tcW w:w="0" w:type="dxa"/>
            <w:noWrap/>
            <w:hideMark/>
          </w:tcPr>
          <w:p w14:paraId="1526D85D"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46,9138</w:t>
            </w:r>
          </w:p>
        </w:tc>
        <w:tc>
          <w:tcPr>
            <w:tcW w:w="0" w:type="dxa"/>
            <w:noWrap/>
            <w:hideMark/>
          </w:tcPr>
          <w:p w14:paraId="0E4728C0"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2.980,00</w:t>
            </w:r>
          </w:p>
        </w:tc>
        <w:tc>
          <w:tcPr>
            <w:tcW w:w="0" w:type="dxa"/>
            <w:noWrap/>
            <w:hideMark/>
          </w:tcPr>
          <w:p w14:paraId="5AF313BB"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4,2480</w:t>
            </w:r>
          </w:p>
        </w:tc>
        <w:tc>
          <w:tcPr>
            <w:tcW w:w="0" w:type="dxa"/>
            <w:noWrap/>
            <w:hideMark/>
          </w:tcPr>
          <w:p w14:paraId="3A48DFCD"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4.960,00</w:t>
            </w:r>
          </w:p>
        </w:tc>
        <w:tc>
          <w:tcPr>
            <w:tcW w:w="0" w:type="dxa"/>
            <w:noWrap/>
            <w:hideMark/>
          </w:tcPr>
          <w:p w14:paraId="18BE8069" w14:textId="77777777" w:rsidR="006B184D" w:rsidRPr="00037C61" w:rsidRDefault="006B184D" w:rsidP="00FB0745">
            <w:pPr>
              <w:jc w:val="right"/>
              <w:cnfStyle w:val="000000100000" w:firstRow="0" w:lastRow="0" w:firstColumn="0" w:lastColumn="0" w:oddVBand="0" w:evenVBand="0" w:oddHBand="1" w:evenHBand="0" w:firstRowFirstColumn="0" w:firstRowLastColumn="0" w:lastRowFirstColumn="0" w:lastRowLastColumn="0"/>
              <w:rPr>
                <w:rFonts w:cs="Calibri"/>
                <w:b/>
                <w:bCs/>
                <w:sz w:val="18"/>
                <w:szCs w:val="18"/>
                <w:lang w:val="en-GB"/>
              </w:rPr>
            </w:pPr>
            <w:r w:rsidRPr="00037C61">
              <w:rPr>
                <w:rFonts w:cs="Calibri"/>
                <w:b/>
                <w:bCs/>
                <w:sz w:val="18"/>
                <w:szCs w:val="18"/>
                <w:lang w:val="en-GB"/>
              </w:rPr>
              <w:t>7,0706</w:t>
            </w:r>
          </w:p>
        </w:tc>
      </w:tr>
    </w:tbl>
    <w:p w14:paraId="3FA67131" w14:textId="6D481EE3" w:rsidR="00FB0745" w:rsidRPr="006508E7" w:rsidRDefault="00FB0745" w:rsidP="006B184D">
      <w:pPr>
        <w:pStyle w:val="Caption"/>
        <w:keepNext/>
        <w:jc w:val="left"/>
      </w:pPr>
      <w:r w:rsidRPr="006508E7">
        <w:t>Source:</w:t>
      </w:r>
      <w:hyperlink r:id="rId188" w:anchor="/en/trends?context=Default&amp;territorialscope=EU28&amp;level=NUTS3&amp;indicator=PM10_EMIS" w:history="1">
        <w:r w:rsidR="006B184D" w:rsidRPr="006508E7">
          <w:rPr>
            <w:rStyle w:val="Hyperlink"/>
          </w:rPr>
          <w:t>https://urban.jrc.ec.europa.eu/#/en/trends?context=Default&amp;territorialscope=EU28&amp;level=NUTS3&amp;indicator=PM10_EMIS</w:t>
        </w:r>
      </w:hyperlink>
      <w:r w:rsidRPr="006508E7">
        <w:t>, 2020</w:t>
      </w:r>
    </w:p>
    <w:p w14:paraId="6EDF9AB3" w14:textId="77777777" w:rsidR="006B184D" w:rsidRPr="006508E7" w:rsidRDefault="006B184D" w:rsidP="00715B98">
      <w:pPr>
        <w:spacing w:after="0"/>
      </w:pPr>
    </w:p>
    <w:p w14:paraId="6F513D97" w14:textId="617EDED7" w:rsidR="00FB0745" w:rsidRPr="00037C61" w:rsidRDefault="005D1208" w:rsidP="00FB0745">
      <w:pPr>
        <w:pStyle w:val="InterregROHUBullet1"/>
        <w:numPr>
          <w:ilvl w:val="0"/>
          <w:numId w:val="0"/>
        </w:numPr>
        <w:rPr>
          <w:rFonts w:cs="Calibri"/>
        </w:rPr>
      </w:pPr>
      <w:r w:rsidRPr="00037C61">
        <w:rPr>
          <w:rFonts w:cs="Calibri"/>
        </w:rPr>
        <w:t>From</w:t>
      </w:r>
      <w:r w:rsidR="52230E0C" w:rsidRPr="00037C61">
        <w:rPr>
          <w:rFonts w:cs="Calibri"/>
        </w:rPr>
        <w:t xml:space="preserve"> these statistical data we can see that </w:t>
      </w:r>
      <w:r w:rsidR="52230E0C" w:rsidRPr="00037C61">
        <w:rPr>
          <w:rFonts w:cs="Calibri"/>
          <w:b/>
        </w:rPr>
        <w:t>Romanian side of the border is more polluted than the Hungarian one.</w:t>
      </w:r>
      <w:r w:rsidR="52230E0C" w:rsidRPr="00037C61">
        <w:rPr>
          <w:rFonts w:cs="Calibri"/>
        </w:rPr>
        <w:t xml:space="preserve"> However, the above revealed situation represents a sum of necessities that can be satisfied, including through CBC Programme, in terms of concrete projects to be proposed, CBC Programme being a specific opportunity.</w:t>
      </w:r>
      <w:r w:rsidR="00BC0ECE" w:rsidRPr="00037C61">
        <w:rPr>
          <w:rFonts w:cs="Calibri"/>
        </w:rPr>
        <w:t xml:space="preserve"> </w:t>
      </w:r>
    </w:p>
    <w:p w14:paraId="1AB4AD10" w14:textId="24226834" w:rsidR="00FB0745" w:rsidRPr="00037C61" w:rsidRDefault="00B27BDC" w:rsidP="00715B98">
      <w:pPr>
        <w:pStyle w:val="Heading4"/>
        <w:rPr>
          <w:lang w:val="en-GB"/>
        </w:rPr>
      </w:pPr>
      <w:r w:rsidRPr="00037C61">
        <w:rPr>
          <w:lang w:val="en-GB"/>
        </w:rPr>
        <w:t>Waste management</w:t>
      </w:r>
      <w:r w:rsidR="00C528B2" w:rsidRPr="00037C61">
        <w:rPr>
          <w:lang w:val="en-GB"/>
        </w:rPr>
        <w:t xml:space="preserve"> and circular economy </w:t>
      </w:r>
    </w:p>
    <w:p w14:paraId="1CD91F54" w14:textId="7507A6EF" w:rsidR="00B27BDC" w:rsidRPr="00037C61" w:rsidRDefault="00B27BDC" w:rsidP="00B27BDC">
      <w:pPr>
        <w:rPr>
          <w:rFonts w:cs="Calibri"/>
          <w:lang w:val="en-GB"/>
        </w:rPr>
      </w:pPr>
      <w:r w:rsidRPr="00037C61">
        <w:rPr>
          <w:b/>
          <w:bCs/>
          <w:lang w:val="en-GB"/>
        </w:rPr>
        <w:t>Regarding the enabling framework for waste management,</w:t>
      </w:r>
      <w:r w:rsidRPr="00037C61">
        <w:rPr>
          <w:lang w:val="en-GB"/>
        </w:rPr>
        <w:t xml:space="preserve"> the Environmental Implementation Review (EIR 2019) for Hungary shows progress in implementing waste management measures to reach the 2020 targets. There has been a slight increase in the municipal waste recycling rate and a slight decrease in the landfilling rate. For Romania, the waste management remains a </w:t>
      </w:r>
      <w:r w:rsidRPr="00037C61">
        <w:rPr>
          <w:b/>
          <w:bCs/>
          <w:lang w:val="en-GB"/>
        </w:rPr>
        <w:t>key challenge</w:t>
      </w:r>
      <w:r w:rsidRPr="00037C61">
        <w:rPr>
          <w:lang w:val="en-GB"/>
        </w:rPr>
        <w:t xml:space="preserve"> despite formal progress thanks to adoption of the national waste management plan in December 2017. </w:t>
      </w:r>
      <w:r w:rsidRPr="00037C61">
        <w:rPr>
          <w:rFonts w:cs="Calibri"/>
          <w:lang w:val="en-GB"/>
        </w:rPr>
        <w:t>Both countries have distinct result</w:t>
      </w:r>
      <w:r w:rsidR="00FD45D9" w:rsidRPr="00037C61">
        <w:rPr>
          <w:rFonts w:cs="Calibri"/>
          <w:lang w:val="en-GB"/>
        </w:rPr>
        <w:t>s in</w:t>
      </w:r>
      <w:r w:rsidRPr="00037C61">
        <w:rPr>
          <w:rFonts w:cs="Calibri"/>
          <w:lang w:val="en-GB"/>
        </w:rPr>
        <w:t xml:space="preserve"> implementing</w:t>
      </w:r>
      <w:r w:rsidR="00FD45D9" w:rsidRPr="00037C61">
        <w:rPr>
          <w:rFonts w:cs="Calibri"/>
          <w:lang w:val="en-GB"/>
        </w:rPr>
        <w:t xml:space="preserve"> waste management</w:t>
      </w:r>
      <w:r w:rsidRPr="00037C61">
        <w:rPr>
          <w:rFonts w:cs="Calibri"/>
          <w:lang w:val="en-GB"/>
        </w:rPr>
        <w:t>, in the senses that, Hungary has better results than Romania, in terms of (quantity) % of waste recycled, partly because Romania entered in EU later on and did not have at that moment experience in good and efficient planning.</w:t>
      </w:r>
    </w:p>
    <w:p w14:paraId="185D0F94" w14:textId="476E79B6" w:rsidR="00B27BDC" w:rsidRPr="00037C61" w:rsidRDefault="00B27BDC" w:rsidP="00B27BDC">
      <w:pPr>
        <w:rPr>
          <w:lang w:val="en-GB"/>
        </w:rPr>
      </w:pPr>
      <w:r w:rsidRPr="00037C61">
        <w:rPr>
          <w:rFonts w:cs="Calibri"/>
          <w:lang w:val="en-GB"/>
        </w:rPr>
        <w:t xml:space="preserve">While data on waste management, recycling and recovery is scarce especially at lower administrative levels (NUTS3), Eurostat provides a comparable overview of 2016 regional data pertaining to the number and capacity of recovery and disposal </w:t>
      </w:r>
      <w:r w:rsidR="00FD45D9" w:rsidRPr="00037C61">
        <w:rPr>
          <w:rFonts w:cs="Calibri"/>
          <w:lang w:val="en-GB"/>
        </w:rPr>
        <w:t xml:space="preserve">facilities. </w:t>
      </w:r>
      <w:r w:rsidRPr="00037C61">
        <w:rPr>
          <w:rFonts w:cs="Calibri"/>
          <w:lang w:val="en-GB"/>
        </w:rPr>
        <w:t xml:space="preserve">  </w:t>
      </w:r>
    </w:p>
    <w:p w14:paraId="086DBCF7" w14:textId="255218D6" w:rsidR="00B27BDC" w:rsidRPr="00037C61" w:rsidRDefault="00B27BDC" w:rsidP="005E0849">
      <w:pPr>
        <w:pStyle w:val="Caption"/>
        <w:keepNext/>
        <w:jc w:val="left"/>
        <w:rPr>
          <w:lang w:val="en-GB"/>
        </w:rPr>
      </w:pPr>
      <w:bookmarkStart w:id="709" w:name="_Toc58237651"/>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29</w:t>
      </w:r>
      <w:r w:rsidRPr="00037C61">
        <w:rPr>
          <w:lang w:val="en-GB"/>
        </w:rPr>
        <w:fldChar w:fldCharType="end"/>
      </w:r>
      <w:r w:rsidRPr="00037C61">
        <w:rPr>
          <w:lang w:val="en-GB"/>
        </w:rPr>
        <w:t xml:space="preserve"> - Number of recovery and disposal facilities by NUTS 2 regions (2016)</w:t>
      </w:r>
      <w:bookmarkEnd w:id="709"/>
      <w:r w:rsidRPr="00037C61">
        <w:rPr>
          <w:lang w:val="en-GB"/>
        </w:rPr>
        <w:t xml:space="preserve"> </w:t>
      </w:r>
    </w:p>
    <w:tbl>
      <w:tblPr>
        <w:tblStyle w:val="ListTable3-Accent11"/>
        <w:tblW w:w="9067" w:type="dxa"/>
        <w:tblLook w:val="04A0" w:firstRow="1" w:lastRow="0" w:firstColumn="1" w:lastColumn="0" w:noHBand="0" w:noVBand="1"/>
      </w:tblPr>
      <w:tblGrid>
        <w:gridCol w:w="1555"/>
        <w:gridCol w:w="1462"/>
        <w:gridCol w:w="1159"/>
        <w:gridCol w:w="1206"/>
        <w:gridCol w:w="1426"/>
        <w:gridCol w:w="1125"/>
        <w:gridCol w:w="1134"/>
      </w:tblGrid>
      <w:tr w:rsidR="00981D6C" w:rsidRPr="00037C61" w14:paraId="7178D8EB" w14:textId="77777777" w:rsidTr="00F75A73">
        <w:trPr>
          <w:cnfStyle w:val="100000000000" w:firstRow="1" w:lastRow="0" w:firstColumn="0" w:lastColumn="0" w:oddVBand="0" w:evenVBand="0" w:oddHBand="0" w:evenHBand="0" w:firstRowFirstColumn="0" w:firstRowLastColumn="0" w:lastRowFirstColumn="0" w:lastRowLastColumn="0"/>
          <w:trHeight w:val="929"/>
          <w:tblHeader/>
        </w:trPr>
        <w:tc>
          <w:tcPr>
            <w:cnfStyle w:val="001000000100" w:firstRow="0" w:lastRow="0" w:firstColumn="1" w:lastColumn="0" w:oddVBand="0" w:evenVBand="0" w:oddHBand="0" w:evenHBand="0" w:firstRowFirstColumn="1" w:firstRowLastColumn="0" w:lastRowFirstColumn="0" w:lastRowLastColumn="0"/>
            <w:tcW w:w="1555" w:type="dxa"/>
            <w:noWrap/>
            <w:hideMark/>
          </w:tcPr>
          <w:p w14:paraId="51FF5BC4" w14:textId="77777777" w:rsidR="00B27BDC" w:rsidRPr="00037C61" w:rsidRDefault="00B27BDC" w:rsidP="00B27BDC">
            <w:pPr>
              <w:jc w:val="right"/>
              <w:rPr>
                <w:rFonts w:eastAsia="Times New Roman" w:cs="Arial"/>
                <w:color w:val="FFFFFF"/>
                <w:sz w:val="18"/>
                <w:szCs w:val="18"/>
                <w:lang w:val="en-GB" w:eastAsia="en-GB"/>
              </w:rPr>
            </w:pPr>
            <w:r w:rsidRPr="00037C61">
              <w:rPr>
                <w:rFonts w:eastAsia="Times New Roman" w:cs="Arial"/>
                <w:color w:val="FFFFFF"/>
                <w:sz w:val="18"/>
                <w:szCs w:val="18"/>
                <w:lang w:val="en-GB" w:eastAsia="en-GB"/>
              </w:rPr>
              <w:t> </w:t>
            </w:r>
          </w:p>
        </w:tc>
        <w:tc>
          <w:tcPr>
            <w:tcW w:w="1462" w:type="dxa"/>
            <w:hideMark/>
          </w:tcPr>
          <w:p w14:paraId="4C7042A6" w14:textId="77777777" w:rsidR="00B27BDC" w:rsidRPr="00037C61" w:rsidRDefault="00B27BDC" w:rsidP="005E0849">
            <w:pPr>
              <w:ind w:left="-55"/>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sz w:val="18"/>
                <w:szCs w:val="18"/>
                <w:lang w:val="en-GB" w:eastAsia="en-GB"/>
              </w:rPr>
            </w:pPr>
            <w:r w:rsidRPr="00037C61">
              <w:rPr>
                <w:rFonts w:eastAsia="Times New Roman" w:cs="Arial"/>
                <w:color w:val="FFFFFF"/>
                <w:sz w:val="18"/>
                <w:szCs w:val="18"/>
                <w:lang w:val="en-GB" w:eastAsia="en-GB"/>
              </w:rPr>
              <w:t>Disposal - landfill (D1, D5, D12)</w:t>
            </w:r>
          </w:p>
        </w:tc>
        <w:tc>
          <w:tcPr>
            <w:tcW w:w="1159" w:type="dxa"/>
            <w:hideMark/>
          </w:tcPr>
          <w:p w14:paraId="32947462" w14:textId="77777777" w:rsidR="00B27BDC" w:rsidRPr="00037C61" w:rsidRDefault="00B27BDC" w:rsidP="005E0849">
            <w:pPr>
              <w:ind w:left="-55"/>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sz w:val="18"/>
                <w:szCs w:val="18"/>
                <w:lang w:val="en-GB" w:eastAsia="en-GB"/>
              </w:rPr>
            </w:pPr>
            <w:r w:rsidRPr="00037C61">
              <w:rPr>
                <w:rFonts w:eastAsia="Times New Roman" w:cs="Arial"/>
                <w:color w:val="FFFFFF"/>
                <w:sz w:val="18"/>
                <w:szCs w:val="18"/>
                <w:lang w:val="en-GB" w:eastAsia="en-GB"/>
              </w:rPr>
              <w:t>Disposal - incineration (D10)</w:t>
            </w:r>
          </w:p>
        </w:tc>
        <w:tc>
          <w:tcPr>
            <w:tcW w:w="1206" w:type="dxa"/>
            <w:hideMark/>
          </w:tcPr>
          <w:p w14:paraId="0441AD38" w14:textId="77777777" w:rsidR="00B27BDC" w:rsidRPr="00037C61" w:rsidRDefault="00B27BDC" w:rsidP="005E0849">
            <w:pPr>
              <w:ind w:left="-55"/>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sz w:val="18"/>
                <w:szCs w:val="18"/>
                <w:lang w:val="en-GB" w:eastAsia="en-GB"/>
              </w:rPr>
            </w:pPr>
            <w:r w:rsidRPr="00037C61">
              <w:rPr>
                <w:rFonts w:eastAsia="Times New Roman" w:cs="Arial"/>
                <w:color w:val="FFFFFF"/>
                <w:sz w:val="18"/>
                <w:szCs w:val="18"/>
                <w:lang w:val="en-GB" w:eastAsia="en-GB"/>
              </w:rPr>
              <w:t>Recovery - energy recovery (R1)</w:t>
            </w:r>
          </w:p>
        </w:tc>
        <w:tc>
          <w:tcPr>
            <w:tcW w:w="1426" w:type="dxa"/>
            <w:hideMark/>
          </w:tcPr>
          <w:p w14:paraId="669EFA1C" w14:textId="5D667439" w:rsidR="00B27BDC" w:rsidRPr="00037C61" w:rsidRDefault="00B27BDC" w:rsidP="005E0849">
            <w:pPr>
              <w:ind w:left="-55"/>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i/>
                <w:iCs/>
                <w:color w:val="FFFFFF"/>
                <w:sz w:val="18"/>
                <w:szCs w:val="18"/>
                <w:lang w:val="en-GB" w:eastAsia="en-GB"/>
              </w:rPr>
            </w:pPr>
            <w:r w:rsidRPr="00037C61">
              <w:rPr>
                <w:rFonts w:eastAsia="Times New Roman" w:cs="Arial"/>
                <w:i/>
                <w:iCs/>
                <w:color w:val="FFFFFF"/>
                <w:sz w:val="18"/>
                <w:szCs w:val="18"/>
                <w:lang w:val="en-GB" w:eastAsia="en-GB"/>
              </w:rPr>
              <w:t>Recovery - energy recovery (t/year/facility</w:t>
            </w:r>
            <w:r w:rsidRPr="00037C61">
              <w:rPr>
                <w:rFonts w:eastAsia="Times New Roman" w:cs="Arial"/>
                <w:b w:val="0"/>
                <w:bCs w:val="0"/>
                <w:i/>
                <w:iCs/>
                <w:color w:val="FFFFFF"/>
                <w:sz w:val="18"/>
                <w:szCs w:val="18"/>
                <w:lang w:val="en-GB" w:eastAsia="en-GB"/>
              </w:rPr>
              <w:t>)</w:t>
            </w:r>
          </w:p>
        </w:tc>
        <w:tc>
          <w:tcPr>
            <w:tcW w:w="1125" w:type="dxa"/>
            <w:hideMark/>
          </w:tcPr>
          <w:p w14:paraId="7BEDE9EC" w14:textId="77777777" w:rsidR="00B27BDC" w:rsidRPr="00037C61" w:rsidRDefault="00B27BDC" w:rsidP="005E0849">
            <w:pPr>
              <w:ind w:left="-55"/>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sz w:val="18"/>
                <w:szCs w:val="18"/>
                <w:lang w:val="en-GB" w:eastAsia="en-GB"/>
              </w:rPr>
            </w:pPr>
            <w:r w:rsidRPr="00037C61">
              <w:rPr>
                <w:rFonts w:eastAsia="Times New Roman" w:cs="Arial"/>
                <w:color w:val="FFFFFF"/>
                <w:sz w:val="18"/>
                <w:szCs w:val="18"/>
                <w:lang w:val="en-GB" w:eastAsia="en-GB"/>
              </w:rPr>
              <w:t>Recovery - recycling and backfilling (R2-R11)</w:t>
            </w:r>
          </w:p>
        </w:tc>
        <w:tc>
          <w:tcPr>
            <w:tcW w:w="1134" w:type="dxa"/>
            <w:hideMark/>
          </w:tcPr>
          <w:p w14:paraId="7133F632" w14:textId="77777777" w:rsidR="00B27BDC" w:rsidRPr="00037C61" w:rsidRDefault="00B27BDC" w:rsidP="005E0849">
            <w:pPr>
              <w:ind w:left="-55"/>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sz w:val="18"/>
                <w:szCs w:val="18"/>
                <w:lang w:val="en-GB" w:eastAsia="en-GB"/>
              </w:rPr>
            </w:pPr>
            <w:r w:rsidRPr="00037C61">
              <w:rPr>
                <w:rFonts w:eastAsia="Times New Roman" w:cs="Arial"/>
                <w:color w:val="FFFFFF"/>
                <w:sz w:val="18"/>
                <w:szCs w:val="18"/>
                <w:lang w:val="en-GB" w:eastAsia="en-GB"/>
              </w:rPr>
              <w:t>Recovery - recycling</w:t>
            </w:r>
          </w:p>
        </w:tc>
      </w:tr>
      <w:tr w:rsidR="00B27BDC" w:rsidRPr="00037C61" w14:paraId="77719380" w14:textId="77777777" w:rsidTr="005E084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42699D8" w14:textId="7A5F73E2" w:rsidR="00B27BDC" w:rsidRPr="00037C61" w:rsidRDefault="00B27BDC" w:rsidP="00B27BDC">
            <w:pPr>
              <w:jc w:val="left"/>
              <w:rPr>
                <w:rFonts w:eastAsia="Times New Roman" w:cs="Arial"/>
                <w:sz w:val="18"/>
                <w:szCs w:val="18"/>
                <w:lang w:val="en-GB" w:eastAsia="en-GB"/>
              </w:rPr>
            </w:pPr>
            <w:r w:rsidRPr="00037C61">
              <w:rPr>
                <w:rFonts w:eastAsia="Times New Roman" w:cs="Arial"/>
                <w:sz w:val="18"/>
                <w:szCs w:val="18"/>
                <w:lang w:val="en-GB" w:eastAsia="en-GB"/>
              </w:rPr>
              <w:t xml:space="preserve">EU 27 countries </w:t>
            </w:r>
          </w:p>
        </w:tc>
        <w:tc>
          <w:tcPr>
            <w:tcW w:w="1462" w:type="dxa"/>
            <w:noWrap/>
            <w:hideMark/>
          </w:tcPr>
          <w:p w14:paraId="17E8D1A8"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5,076</w:t>
            </w:r>
          </w:p>
        </w:tc>
        <w:tc>
          <w:tcPr>
            <w:tcW w:w="1159" w:type="dxa"/>
            <w:noWrap/>
            <w:hideMark/>
          </w:tcPr>
          <w:p w14:paraId="30161090"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670</w:t>
            </w:r>
          </w:p>
        </w:tc>
        <w:tc>
          <w:tcPr>
            <w:tcW w:w="1206" w:type="dxa"/>
            <w:noWrap/>
            <w:hideMark/>
          </w:tcPr>
          <w:p w14:paraId="598621E7"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3,347</w:t>
            </w:r>
          </w:p>
        </w:tc>
        <w:tc>
          <w:tcPr>
            <w:tcW w:w="1426" w:type="dxa"/>
            <w:noWrap/>
            <w:hideMark/>
          </w:tcPr>
          <w:p w14:paraId="09CF8099" w14:textId="39C5CE4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46,776.22 </w:t>
            </w:r>
          </w:p>
        </w:tc>
        <w:tc>
          <w:tcPr>
            <w:tcW w:w="1125" w:type="dxa"/>
            <w:noWrap/>
            <w:hideMark/>
          </w:tcPr>
          <w:p w14:paraId="788533B6"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34,517</w:t>
            </w:r>
          </w:p>
        </w:tc>
        <w:tc>
          <w:tcPr>
            <w:tcW w:w="1134" w:type="dxa"/>
            <w:noWrap/>
            <w:hideMark/>
          </w:tcPr>
          <w:p w14:paraId="291DCDEC"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30,308</w:t>
            </w:r>
          </w:p>
        </w:tc>
      </w:tr>
      <w:tr w:rsidR="00981D6C" w:rsidRPr="00037C61" w14:paraId="04A81D37" w14:textId="77777777" w:rsidTr="00426050">
        <w:trPr>
          <w:trHeight w:val="27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5B347B40" w14:textId="77777777" w:rsidR="00B27BDC" w:rsidRPr="00037C61" w:rsidRDefault="00B27BDC" w:rsidP="00B27BDC">
            <w:pPr>
              <w:jc w:val="left"/>
              <w:rPr>
                <w:rFonts w:eastAsia="Times New Roman" w:cs="Arial"/>
                <w:sz w:val="18"/>
                <w:szCs w:val="18"/>
                <w:lang w:val="en-GB" w:eastAsia="en-GB"/>
              </w:rPr>
            </w:pPr>
            <w:r w:rsidRPr="00037C61">
              <w:rPr>
                <w:rFonts w:eastAsia="Times New Roman" w:cs="Arial"/>
                <w:sz w:val="18"/>
                <w:szCs w:val="18"/>
                <w:lang w:val="en-GB" w:eastAsia="en-GB"/>
              </w:rPr>
              <w:t>Hungary</w:t>
            </w:r>
          </w:p>
        </w:tc>
        <w:tc>
          <w:tcPr>
            <w:tcW w:w="1462" w:type="dxa"/>
            <w:shd w:val="clear" w:color="auto" w:fill="FBD1D2" w:themeFill="accent3" w:themeFillTint="33"/>
            <w:noWrap/>
            <w:hideMark/>
          </w:tcPr>
          <w:p w14:paraId="076939DE"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105</w:t>
            </w:r>
          </w:p>
        </w:tc>
        <w:tc>
          <w:tcPr>
            <w:tcW w:w="1159" w:type="dxa"/>
            <w:shd w:val="clear" w:color="auto" w:fill="FBD1D2" w:themeFill="accent3" w:themeFillTint="33"/>
            <w:noWrap/>
            <w:hideMark/>
          </w:tcPr>
          <w:p w14:paraId="56D70452"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12</w:t>
            </w:r>
          </w:p>
        </w:tc>
        <w:tc>
          <w:tcPr>
            <w:tcW w:w="1206" w:type="dxa"/>
            <w:shd w:val="clear" w:color="auto" w:fill="FBD1D2" w:themeFill="accent3" w:themeFillTint="33"/>
            <w:noWrap/>
            <w:hideMark/>
          </w:tcPr>
          <w:p w14:paraId="11CD99E1"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28</w:t>
            </w:r>
          </w:p>
        </w:tc>
        <w:tc>
          <w:tcPr>
            <w:tcW w:w="1426" w:type="dxa"/>
            <w:shd w:val="clear" w:color="auto" w:fill="FBD1D2" w:themeFill="accent3" w:themeFillTint="33"/>
            <w:noWrap/>
            <w:hideMark/>
          </w:tcPr>
          <w:p w14:paraId="17950948" w14:textId="071EB9D6"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71,379.61 </w:t>
            </w:r>
          </w:p>
        </w:tc>
        <w:tc>
          <w:tcPr>
            <w:tcW w:w="1125" w:type="dxa"/>
            <w:shd w:val="clear" w:color="auto" w:fill="FBD1D2" w:themeFill="accent3" w:themeFillTint="33"/>
            <w:noWrap/>
            <w:hideMark/>
          </w:tcPr>
          <w:p w14:paraId="4B91E001"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841</w:t>
            </w:r>
          </w:p>
        </w:tc>
        <w:tc>
          <w:tcPr>
            <w:tcW w:w="1134" w:type="dxa"/>
            <w:shd w:val="clear" w:color="auto" w:fill="FBD1D2" w:themeFill="accent3" w:themeFillTint="33"/>
            <w:noWrap/>
            <w:hideMark/>
          </w:tcPr>
          <w:p w14:paraId="364B5FD4"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782</w:t>
            </w:r>
          </w:p>
        </w:tc>
      </w:tr>
      <w:tr w:rsidR="00981D6C" w:rsidRPr="00037C61" w14:paraId="458AE506" w14:textId="77777777" w:rsidTr="0042605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40756840" w14:textId="77777777" w:rsidR="00B27BDC" w:rsidRPr="00037C61" w:rsidRDefault="00B27BDC" w:rsidP="005E0849">
            <w:pPr>
              <w:ind w:left="175"/>
              <w:jc w:val="left"/>
              <w:rPr>
                <w:rFonts w:eastAsia="Times New Roman" w:cs="Arial"/>
                <w:sz w:val="18"/>
                <w:szCs w:val="18"/>
                <w:lang w:val="en-GB" w:eastAsia="en-GB"/>
              </w:rPr>
            </w:pPr>
            <w:r w:rsidRPr="00037C61">
              <w:rPr>
                <w:rFonts w:eastAsia="Times New Roman" w:cs="Arial"/>
                <w:sz w:val="18"/>
                <w:szCs w:val="18"/>
                <w:lang w:val="en-GB" w:eastAsia="en-GB"/>
              </w:rPr>
              <w:t>Észak-Alföld</w:t>
            </w:r>
          </w:p>
        </w:tc>
        <w:tc>
          <w:tcPr>
            <w:tcW w:w="1462" w:type="dxa"/>
            <w:shd w:val="clear" w:color="auto" w:fill="FBD1D2" w:themeFill="accent3" w:themeFillTint="33"/>
            <w:noWrap/>
            <w:hideMark/>
          </w:tcPr>
          <w:p w14:paraId="732D2B99"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17</w:t>
            </w:r>
          </w:p>
        </w:tc>
        <w:tc>
          <w:tcPr>
            <w:tcW w:w="1159" w:type="dxa"/>
            <w:shd w:val="clear" w:color="auto" w:fill="FBD1D2" w:themeFill="accent3" w:themeFillTint="33"/>
            <w:noWrap/>
            <w:hideMark/>
          </w:tcPr>
          <w:p w14:paraId="2922E6C4"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0</w:t>
            </w:r>
          </w:p>
        </w:tc>
        <w:tc>
          <w:tcPr>
            <w:tcW w:w="1206" w:type="dxa"/>
            <w:shd w:val="clear" w:color="auto" w:fill="FBD1D2" w:themeFill="accent3" w:themeFillTint="33"/>
            <w:noWrap/>
            <w:hideMark/>
          </w:tcPr>
          <w:p w14:paraId="3AFBAC4B"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4</w:t>
            </w:r>
          </w:p>
        </w:tc>
        <w:tc>
          <w:tcPr>
            <w:tcW w:w="1426" w:type="dxa"/>
            <w:shd w:val="clear" w:color="auto" w:fill="FBD1D2" w:themeFill="accent3" w:themeFillTint="33"/>
            <w:noWrap/>
            <w:hideMark/>
          </w:tcPr>
          <w:p w14:paraId="640D90D6" w14:textId="6DD1F66D"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38,320.25 </w:t>
            </w:r>
          </w:p>
        </w:tc>
        <w:tc>
          <w:tcPr>
            <w:tcW w:w="1125" w:type="dxa"/>
            <w:shd w:val="clear" w:color="auto" w:fill="FBD1D2" w:themeFill="accent3" w:themeFillTint="33"/>
            <w:noWrap/>
            <w:hideMark/>
          </w:tcPr>
          <w:p w14:paraId="777A488A"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128</w:t>
            </w:r>
          </w:p>
        </w:tc>
        <w:tc>
          <w:tcPr>
            <w:tcW w:w="1134" w:type="dxa"/>
            <w:shd w:val="clear" w:color="auto" w:fill="FBD1D2" w:themeFill="accent3" w:themeFillTint="33"/>
            <w:noWrap/>
            <w:hideMark/>
          </w:tcPr>
          <w:p w14:paraId="293DDE6E"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122</w:t>
            </w:r>
          </w:p>
        </w:tc>
      </w:tr>
      <w:tr w:rsidR="00981D6C" w:rsidRPr="00037C61" w14:paraId="7ED1429A" w14:textId="77777777" w:rsidTr="00426050">
        <w:trPr>
          <w:trHeight w:val="278"/>
        </w:trPr>
        <w:tc>
          <w:tcPr>
            <w:cnfStyle w:val="001000000000" w:firstRow="0" w:lastRow="0" w:firstColumn="1" w:lastColumn="0" w:oddVBand="0" w:evenVBand="0" w:oddHBand="0" w:evenHBand="0" w:firstRowFirstColumn="0" w:firstRowLastColumn="0" w:lastRowFirstColumn="0" w:lastRowLastColumn="0"/>
            <w:tcW w:w="1555" w:type="dxa"/>
            <w:shd w:val="clear" w:color="auto" w:fill="FBD1D2" w:themeFill="accent3" w:themeFillTint="33"/>
            <w:noWrap/>
            <w:hideMark/>
          </w:tcPr>
          <w:p w14:paraId="7C80E075" w14:textId="77777777" w:rsidR="00B27BDC" w:rsidRPr="00037C61" w:rsidRDefault="00B27BDC" w:rsidP="005E0849">
            <w:pPr>
              <w:ind w:left="175"/>
              <w:jc w:val="left"/>
              <w:rPr>
                <w:rFonts w:eastAsia="Times New Roman" w:cs="Arial"/>
                <w:sz w:val="18"/>
                <w:szCs w:val="18"/>
                <w:lang w:val="en-GB" w:eastAsia="en-GB"/>
              </w:rPr>
            </w:pPr>
            <w:r w:rsidRPr="00037C61">
              <w:rPr>
                <w:rFonts w:eastAsia="Times New Roman" w:cs="Arial"/>
                <w:sz w:val="18"/>
                <w:szCs w:val="18"/>
                <w:lang w:val="en-GB" w:eastAsia="en-GB"/>
              </w:rPr>
              <w:lastRenderedPageBreak/>
              <w:t>Dél-Alföld</w:t>
            </w:r>
          </w:p>
        </w:tc>
        <w:tc>
          <w:tcPr>
            <w:tcW w:w="1462" w:type="dxa"/>
            <w:shd w:val="clear" w:color="auto" w:fill="FBD1D2" w:themeFill="accent3" w:themeFillTint="33"/>
            <w:noWrap/>
            <w:hideMark/>
          </w:tcPr>
          <w:p w14:paraId="772FDB11"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10</w:t>
            </w:r>
          </w:p>
        </w:tc>
        <w:tc>
          <w:tcPr>
            <w:tcW w:w="1159" w:type="dxa"/>
            <w:shd w:val="clear" w:color="auto" w:fill="FBD1D2" w:themeFill="accent3" w:themeFillTint="33"/>
            <w:noWrap/>
            <w:hideMark/>
          </w:tcPr>
          <w:p w14:paraId="0B3E7BD6"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0</w:t>
            </w:r>
          </w:p>
        </w:tc>
        <w:tc>
          <w:tcPr>
            <w:tcW w:w="1206" w:type="dxa"/>
            <w:shd w:val="clear" w:color="auto" w:fill="FBD1D2" w:themeFill="accent3" w:themeFillTint="33"/>
            <w:noWrap/>
            <w:hideMark/>
          </w:tcPr>
          <w:p w14:paraId="772173FE"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w:t>
            </w:r>
          </w:p>
        </w:tc>
        <w:tc>
          <w:tcPr>
            <w:tcW w:w="1426" w:type="dxa"/>
            <w:shd w:val="clear" w:color="auto" w:fill="FBD1D2" w:themeFill="accent3" w:themeFillTint="33"/>
            <w:noWrap/>
            <w:hideMark/>
          </w:tcPr>
          <w:p w14:paraId="596BD165" w14:textId="12577A59"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12,897.00 </w:t>
            </w:r>
          </w:p>
        </w:tc>
        <w:tc>
          <w:tcPr>
            <w:tcW w:w="1125" w:type="dxa"/>
            <w:shd w:val="clear" w:color="auto" w:fill="FBD1D2" w:themeFill="accent3" w:themeFillTint="33"/>
            <w:noWrap/>
            <w:hideMark/>
          </w:tcPr>
          <w:p w14:paraId="184D039C"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138</w:t>
            </w:r>
          </w:p>
        </w:tc>
        <w:tc>
          <w:tcPr>
            <w:tcW w:w="1134" w:type="dxa"/>
            <w:shd w:val="clear" w:color="auto" w:fill="FBD1D2" w:themeFill="accent3" w:themeFillTint="33"/>
            <w:noWrap/>
            <w:hideMark/>
          </w:tcPr>
          <w:p w14:paraId="5D902B12"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130</w:t>
            </w:r>
          </w:p>
        </w:tc>
      </w:tr>
      <w:tr w:rsidR="00981D6C" w:rsidRPr="00037C61" w14:paraId="3716B67E" w14:textId="77777777" w:rsidTr="0042605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3CF511D2" w14:textId="77777777" w:rsidR="00B27BDC" w:rsidRPr="00037C61" w:rsidRDefault="00B27BDC" w:rsidP="00B27BDC">
            <w:pPr>
              <w:jc w:val="left"/>
              <w:rPr>
                <w:rFonts w:eastAsia="Times New Roman" w:cs="Arial"/>
                <w:sz w:val="18"/>
                <w:szCs w:val="18"/>
                <w:lang w:val="en-GB" w:eastAsia="en-GB"/>
              </w:rPr>
            </w:pPr>
            <w:r w:rsidRPr="00037C61">
              <w:rPr>
                <w:rFonts w:eastAsia="Times New Roman" w:cs="Arial"/>
                <w:sz w:val="18"/>
                <w:szCs w:val="18"/>
                <w:lang w:val="en-GB" w:eastAsia="en-GB"/>
              </w:rPr>
              <w:t>Romania</w:t>
            </w:r>
          </w:p>
        </w:tc>
        <w:tc>
          <w:tcPr>
            <w:tcW w:w="1462" w:type="dxa"/>
            <w:shd w:val="clear" w:color="auto" w:fill="EAEDF6" w:themeFill="accent2" w:themeFillTint="33"/>
            <w:noWrap/>
            <w:hideMark/>
          </w:tcPr>
          <w:p w14:paraId="20B97324"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108</w:t>
            </w:r>
          </w:p>
        </w:tc>
        <w:tc>
          <w:tcPr>
            <w:tcW w:w="1159" w:type="dxa"/>
            <w:shd w:val="clear" w:color="auto" w:fill="EAEDF6" w:themeFill="accent2" w:themeFillTint="33"/>
            <w:noWrap/>
            <w:hideMark/>
          </w:tcPr>
          <w:p w14:paraId="0CF18C48"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19</w:t>
            </w:r>
          </w:p>
        </w:tc>
        <w:tc>
          <w:tcPr>
            <w:tcW w:w="1206" w:type="dxa"/>
            <w:shd w:val="clear" w:color="auto" w:fill="EAEDF6" w:themeFill="accent2" w:themeFillTint="33"/>
            <w:noWrap/>
            <w:hideMark/>
          </w:tcPr>
          <w:p w14:paraId="299F5ECE"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253</w:t>
            </w:r>
          </w:p>
        </w:tc>
        <w:tc>
          <w:tcPr>
            <w:tcW w:w="1426" w:type="dxa"/>
            <w:shd w:val="clear" w:color="auto" w:fill="EAEDF6" w:themeFill="accent2" w:themeFillTint="33"/>
            <w:noWrap/>
            <w:hideMark/>
          </w:tcPr>
          <w:p w14:paraId="6204C499" w14:textId="549DB004"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24,466.69 </w:t>
            </w:r>
          </w:p>
        </w:tc>
        <w:tc>
          <w:tcPr>
            <w:tcW w:w="1125" w:type="dxa"/>
            <w:shd w:val="clear" w:color="auto" w:fill="EAEDF6" w:themeFill="accent2" w:themeFillTint="33"/>
            <w:noWrap/>
            <w:hideMark/>
          </w:tcPr>
          <w:p w14:paraId="6BF71186"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305</w:t>
            </w:r>
          </w:p>
        </w:tc>
        <w:tc>
          <w:tcPr>
            <w:tcW w:w="1134" w:type="dxa"/>
            <w:shd w:val="clear" w:color="auto" w:fill="EAEDF6" w:themeFill="accent2" w:themeFillTint="33"/>
            <w:noWrap/>
            <w:hideMark/>
          </w:tcPr>
          <w:p w14:paraId="006829C2"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157</w:t>
            </w:r>
          </w:p>
        </w:tc>
      </w:tr>
      <w:tr w:rsidR="00981D6C" w:rsidRPr="00037C61" w14:paraId="15433AB3" w14:textId="77777777" w:rsidTr="00426050">
        <w:trPr>
          <w:trHeight w:val="27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7D63D065" w14:textId="77777777" w:rsidR="00B27BDC" w:rsidRPr="00037C61" w:rsidRDefault="00B27BDC" w:rsidP="005E0849">
            <w:pPr>
              <w:ind w:left="175"/>
              <w:jc w:val="left"/>
              <w:rPr>
                <w:rFonts w:eastAsia="Times New Roman" w:cs="Arial"/>
                <w:sz w:val="18"/>
                <w:szCs w:val="18"/>
                <w:lang w:val="en-GB" w:eastAsia="en-GB"/>
              </w:rPr>
            </w:pPr>
            <w:r w:rsidRPr="00037C61">
              <w:rPr>
                <w:rFonts w:eastAsia="Times New Roman" w:cs="Arial"/>
                <w:sz w:val="18"/>
                <w:szCs w:val="18"/>
                <w:lang w:val="en-GB" w:eastAsia="en-GB"/>
              </w:rPr>
              <w:t>Nord-Vest</w:t>
            </w:r>
          </w:p>
        </w:tc>
        <w:tc>
          <w:tcPr>
            <w:tcW w:w="1462" w:type="dxa"/>
            <w:shd w:val="clear" w:color="auto" w:fill="EAEDF6" w:themeFill="accent2" w:themeFillTint="33"/>
            <w:noWrap/>
            <w:hideMark/>
          </w:tcPr>
          <w:p w14:paraId="793EABFF"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15</w:t>
            </w:r>
          </w:p>
        </w:tc>
        <w:tc>
          <w:tcPr>
            <w:tcW w:w="1159" w:type="dxa"/>
            <w:shd w:val="clear" w:color="auto" w:fill="EAEDF6" w:themeFill="accent2" w:themeFillTint="33"/>
            <w:noWrap/>
            <w:hideMark/>
          </w:tcPr>
          <w:p w14:paraId="22B1E5AE"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w:t>
            </w:r>
          </w:p>
        </w:tc>
        <w:tc>
          <w:tcPr>
            <w:tcW w:w="1206" w:type="dxa"/>
            <w:shd w:val="clear" w:color="auto" w:fill="EAEDF6" w:themeFill="accent2" w:themeFillTint="33"/>
            <w:noWrap/>
            <w:hideMark/>
          </w:tcPr>
          <w:p w14:paraId="1DC51942"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56</w:t>
            </w:r>
          </w:p>
        </w:tc>
        <w:tc>
          <w:tcPr>
            <w:tcW w:w="1426" w:type="dxa"/>
            <w:shd w:val="clear" w:color="auto" w:fill="EAEDF6" w:themeFill="accent2" w:themeFillTint="33"/>
            <w:noWrap/>
            <w:hideMark/>
          </w:tcPr>
          <w:p w14:paraId="2D66B2AC" w14:textId="17D7B0EA"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9,830.95 </w:t>
            </w:r>
          </w:p>
        </w:tc>
        <w:tc>
          <w:tcPr>
            <w:tcW w:w="1125" w:type="dxa"/>
            <w:shd w:val="clear" w:color="auto" w:fill="EAEDF6" w:themeFill="accent2" w:themeFillTint="33"/>
            <w:noWrap/>
            <w:hideMark/>
          </w:tcPr>
          <w:p w14:paraId="57E14514"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43</w:t>
            </w:r>
          </w:p>
        </w:tc>
        <w:tc>
          <w:tcPr>
            <w:tcW w:w="1134" w:type="dxa"/>
            <w:shd w:val="clear" w:color="auto" w:fill="EAEDF6" w:themeFill="accent2" w:themeFillTint="33"/>
            <w:noWrap/>
            <w:hideMark/>
          </w:tcPr>
          <w:p w14:paraId="7823ECE0" w14:textId="77777777" w:rsidR="00B27BDC" w:rsidRPr="00037C61" w:rsidRDefault="00B27BDC" w:rsidP="00B27BDC">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19</w:t>
            </w:r>
          </w:p>
        </w:tc>
      </w:tr>
      <w:tr w:rsidR="00981D6C" w:rsidRPr="00037C61" w14:paraId="12CCF6EC" w14:textId="77777777" w:rsidTr="0042605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555" w:type="dxa"/>
            <w:shd w:val="clear" w:color="auto" w:fill="EAEDF6" w:themeFill="accent2" w:themeFillTint="33"/>
            <w:noWrap/>
            <w:hideMark/>
          </w:tcPr>
          <w:p w14:paraId="4F2F991A" w14:textId="77777777" w:rsidR="00B27BDC" w:rsidRPr="00037C61" w:rsidRDefault="00B27BDC" w:rsidP="005E0849">
            <w:pPr>
              <w:ind w:left="175"/>
              <w:jc w:val="left"/>
              <w:rPr>
                <w:rFonts w:eastAsia="Times New Roman" w:cs="Arial"/>
                <w:sz w:val="18"/>
                <w:szCs w:val="18"/>
                <w:lang w:val="en-GB" w:eastAsia="en-GB"/>
              </w:rPr>
            </w:pPr>
            <w:r w:rsidRPr="00037C61">
              <w:rPr>
                <w:rFonts w:eastAsia="Times New Roman" w:cs="Arial"/>
                <w:sz w:val="18"/>
                <w:szCs w:val="18"/>
                <w:lang w:val="en-GB" w:eastAsia="en-GB"/>
              </w:rPr>
              <w:t>Vest</w:t>
            </w:r>
          </w:p>
        </w:tc>
        <w:tc>
          <w:tcPr>
            <w:tcW w:w="1462" w:type="dxa"/>
            <w:shd w:val="clear" w:color="auto" w:fill="EAEDF6" w:themeFill="accent2" w:themeFillTint="33"/>
            <w:noWrap/>
            <w:hideMark/>
          </w:tcPr>
          <w:p w14:paraId="70115D7F"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8</w:t>
            </w:r>
          </w:p>
        </w:tc>
        <w:tc>
          <w:tcPr>
            <w:tcW w:w="1159" w:type="dxa"/>
            <w:shd w:val="clear" w:color="auto" w:fill="EAEDF6" w:themeFill="accent2" w:themeFillTint="33"/>
            <w:noWrap/>
            <w:hideMark/>
          </w:tcPr>
          <w:p w14:paraId="69F57FD1"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w:t>
            </w:r>
          </w:p>
        </w:tc>
        <w:tc>
          <w:tcPr>
            <w:tcW w:w="1206" w:type="dxa"/>
            <w:shd w:val="clear" w:color="auto" w:fill="EAEDF6" w:themeFill="accent2" w:themeFillTint="33"/>
            <w:noWrap/>
            <w:hideMark/>
          </w:tcPr>
          <w:p w14:paraId="0A3551D7"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18</w:t>
            </w:r>
          </w:p>
        </w:tc>
        <w:tc>
          <w:tcPr>
            <w:tcW w:w="1426" w:type="dxa"/>
            <w:shd w:val="clear" w:color="auto" w:fill="EAEDF6" w:themeFill="accent2" w:themeFillTint="33"/>
            <w:noWrap/>
            <w:hideMark/>
          </w:tcPr>
          <w:p w14:paraId="3A916193" w14:textId="588A22D4"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 xml:space="preserve"> 22,088.00 </w:t>
            </w:r>
          </w:p>
        </w:tc>
        <w:tc>
          <w:tcPr>
            <w:tcW w:w="1125" w:type="dxa"/>
            <w:shd w:val="clear" w:color="auto" w:fill="EAEDF6" w:themeFill="accent2" w:themeFillTint="33"/>
            <w:noWrap/>
            <w:hideMark/>
          </w:tcPr>
          <w:p w14:paraId="76590E47"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26</w:t>
            </w:r>
          </w:p>
        </w:tc>
        <w:tc>
          <w:tcPr>
            <w:tcW w:w="1134" w:type="dxa"/>
            <w:shd w:val="clear" w:color="auto" w:fill="EAEDF6" w:themeFill="accent2" w:themeFillTint="33"/>
            <w:noWrap/>
            <w:hideMark/>
          </w:tcPr>
          <w:p w14:paraId="5185BDBE" w14:textId="77777777" w:rsidR="00B27BDC" w:rsidRPr="00037C61" w:rsidRDefault="00B27BDC" w:rsidP="00B27BDC">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val="en-GB" w:eastAsia="en-GB"/>
              </w:rPr>
            </w:pPr>
            <w:r w:rsidRPr="00037C61">
              <w:rPr>
                <w:rFonts w:eastAsia="Times New Roman" w:cs="Arial"/>
                <w:sz w:val="18"/>
                <w:szCs w:val="18"/>
                <w:lang w:val="en-GB" w:eastAsia="en-GB"/>
              </w:rPr>
              <w:t>17</w:t>
            </w:r>
          </w:p>
        </w:tc>
      </w:tr>
    </w:tbl>
    <w:p w14:paraId="0E18E4C2" w14:textId="7AB6DF64" w:rsidR="00B27BDC" w:rsidRPr="00037C61" w:rsidRDefault="00B27BDC" w:rsidP="005E0849">
      <w:pPr>
        <w:pStyle w:val="Caption"/>
        <w:keepNext/>
        <w:jc w:val="left"/>
        <w:rPr>
          <w:lang w:val="en-GB"/>
        </w:rPr>
      </w:pPr>
      <w:r w:rsidRPr="00037C61">
        <w:rPr>
          <w:lang w:val="en-GB"/>
        </w:rPr>
        <w:t>Source: Eurostat [env_wasfac]</w:t>
      </w:r>
    </w:p>
    <w:p w14:paraId="59318F85" w14:textId="77777777" w:rsidR="00FD45D9" w:rsidRPr="00037C61" w:rsidRDefault="00FD45D9" w:rsidP="00B27BDC">
      <w:pPr>
        <w:rPr>
          <w:lang w:val="en-GB"/>
        </w:rPr>
      </w:pPr>
    </w:p>
    <w:p w14:paraId="108A2672" w14:textId="35857926" w:rsidR="00B27BDC" w:rsidRPr="00037C61" w:rsidRDefault="00B27BDC" w:rsidP="00B27BDC">
      <w:pPr>
        <w:rPr>
          <w:lang w:val="en-GB"/>
        </w:rPr>
      </w:pPr>
      <w:r w:rsidRPr="00037C61">
        <w:rPr>
          <w:lang w:val="en-GB"/>
        </w:rPr>
        <w:t xml:space="preserve">Overall, </w:t>
      </w:r>
      <w:r w:rsidR="00FD45D9" w:rsidRPr="00037C61">
        <w:rPr>
          <w:lang w:val="en-GB"/>
        </w:rPr>
        <w:t xml:space="preserve">the four regions which contain the PA have 22.6% (Romania) and 31.6% (Hungary) of the total recycling infrastructures at national level. While the </w:t>
      </w:r>
      <w:r w:rsidR="00FD45D9" w:rsidRPr="00037C61">
        <w:rPr>
          <w:b/>
          <w:bCs/>
          <w:lang w:val="en-GB"/>
        </w:rPr>
        <w:t xml:space="preserve">recycling infrastructure is more developed at Hungarian regions’ level </w:t>
      </w:r>
      <w:r w:rsidR="00FD45D9" w:rsidRPr="00037C61">
        <w:rPr>
          <w:lang w:val="en-GB"/>
        </w:rPr>
        <w:t xml:space="preserve">(in facility numbers), Romania has </w:t>
      </w:r>
      <w:r w:rsidR="00FD45D9" w:rsidRPr="00037C61">
        <w:rPr>
          <w:b/>
          <w:bCs/>
          <w:lang w:val="en-GB"/>
        </w:rPr>
        <w:t xml:space="preserve">considerably </w:t>
      </w:r>
      <w:r w:rsidR="00426050" w:rsidRPr="00037C61">
        <w:rPr>
          <w:b/>
          <w:bCs/>
          <w:lang w:val="en-GB"/>
        </w:rPr>
        <w:t xml:space="preserve">better developed </w:t>
      </w:r>
      <w:r w:rsidR="00FD45D9" w:rsidRPr="00037C61">
        <w:rPr>
          <w:b/>
          <w:bCs/>
          <w:lang w:val="en-GB"/>
        </w:rPr>
        <w:t>energy recovery infrastructure</w:t>
      </w:r>
      <w:r w:rsidR="00FD45D9" w:rsidRPr="00037C61">
        <w:rPr>
          <w:lang w:val="en-GB"/>
        </w:rPr>
        <w:t xml:space="preserve"> (74 facilities, versus only 5 in the Hungarian regions), enabling </w:t>
      </w:r>
      <w:r w:rsidR="00426050" w:rsidRPr="00037C61">
        <w:rPr>
          <w:lang w:val="en-GB"/>
        </w:rPr>
        <w:t xml:space="preserve">the regions West and North-West to recover 948,117 tonnes of waste annually for energy, as opposed to 166,178 tonnes/year in Észak-Alföld and Dél-Alföld. The facilities in the Észak-Alföld region have a higher individual capacity compared especially to Nord-Vest, where the units are higher in number but  lower in capacity. </w:t>
      </w:r>
      <w:bookmarkStart w:id="710" w:name="_Hlk54882488"/>
      <w:bookmarkEnd w:id="710"/>
    </w:p>
    <w:p w14:paraId="54A31D86" w14:textId="1C7576C8" w:rsidR="00426050" w:rsidRPr="00037C61" w:rsidRDefault="00426050" w:rsidP="00426050">
      <w:pPr>
        <w:pStyle w:val="InterregROHUBullet1"/>
        <w:keepNext/>
        <w:numPr>
          <w:ilvl w:val="0"/>
          <w:numId w:val="0"/>
        </w:numPr>
        <w:spacing w:after="0"/>
      </w:pPr>
    </w:p>
    <w:p w14:paraId="270AC696" w14:textId="598F8443" w:rsidR="00EA5E72" w:rsidRPr="00037C61" w:rsidRDefault="00EA5E72" w:rsidP="00EA5E72">
      <w:pPr>
        <w:pStyle w:val="Caption"/>
        <w:keepNext/>
        <w:jc w:val="both"/>
        <w:rPr>
          <w:lang w:val="en-GB"/>
        </w:rPr>
      </w:pPr>
      <w:bookmarkStart w:id="711" w:name="_Toc6461104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92</w:t>
      </w:r>
      <w:r w:rsidR="00412697">
        <w:rPr>
          <w:lang w:val="en-GB"/>
        </w:rPr>
        <w:fldChar w:fldCharType="end"/>
      </w:r>
      <w:r w:rsidRPr="00037C61">
        <w:rPr>
          <w:lang w:val="en-GB"/>
        </w:rPr>
        <w:t xml:space="preserve"> - Recycling of MSW in Romania and Hungary and important policy initiatives</w:t>
      </w:r>
      <w:bookmarkEnd w:id="711"/>
    </w:p>
    <w:p w14:paraId="726131AA" w14:textId="1DC795EA" w:rsidR="00426050" w:rsidRPr="00037C61" w:rsidRDefault="00426050" w:rsidP="00426050">
      <w:pPr>
        <w:pStyle w:val="Caption"/>
        <w:jc w:val="both"/>
        <w:rPr>
          <w:lang w:val="en-GB"/>
        </w:rPr>
      </w:pPr>
      <w:r w:rsidRPr="00037C61">
        <w:rPr>
          <w:noProof/>
          <w:lang w:val="ro-RO" w:eastAsia="ro-RO"/>
        </w:rPr>
        <mc:AlternateContent>
          <mc:Choice Requires="wpg">
            <w:drawing>
              <wp:inline distT="0" distB="0" distL="0" distR="0" wp14:anchorId="6A46C273" wp14:editId="381BCC42">
                <wp:extent cx="5611495" cy="1813560"/>
                <wp:effectExtent l="0" t="0" r="8255" b="0"/>
                <wp:docPr id="799357054" name="Group 799357054"/>
                <wp:cNvGraphicFramePr/>
                <a:graphic xmlns:a="http://schemas.openxmlformats.org/drawingml/2006/main">
                  <a:graphicData uri="http://schemas.microsoft.com/office/word/2010/wordprocessingGroup">
                    <wpg:wgp>
                      <wpg:cNvGrpSpPr/>
                      <wpg:grpSpPr>
                        <a:xfrm>
                          <a:off x="0" y="0"/>
                          <a:ext cx="5611495" cy="1813560"/>
                          <a:chOff x="0" y="0"/>
                          <a:chExt cx="5611495" cy="1813560"/>
                        </a:xfrm>
                      </wpg:grpSpPr>
                      <wpg:grpSp>
                        <wpg:cNvPr id="799357052" name="Group 799357052"/>
                        <wpg:cNvGrpSpPr/>
                        <wpg:grpSpPr>
                          <a:xfrm>
                            <a:off x="0" y="234950"/>
                            <a:ext cx="5611495" cy="1578610"/>
                            <a:chOff x="0" y="0"/>
                            <a:chExt cx="4370161" cy="1229814"/>
                          </a:xfrm>
                        </wpg:grpSpPr>
                        <pic:pic xmlns:pic="http://schemas.openxmlformats.org/drawingml/2006/picture">
                          <pic:nvPicPr>
                            <pic:cNvPr id="799357051" name="Picture 799357051" descr="Graphical user interface, text, application&#10;&#10;Description automatically generated"/>
                            <pic:cNvPicPr>
                              <a:picLocks noChangeAspect="1"/>
                            </pic:cNvPicPr>
                          </pic:nvPicPr>
                          <pic:blipFill rotWithShape="1">
                            <a:blip r:embed="rId189" cstate="print">
                              <a:extLst>
                                <a:ext uri="{28A0092B-C50C-407E-A947-70E740481C1C}">
                                  <a14:useLocalDpi xmlns:a14="http://schemas.microsoft.com/office/drawing/2010/main" val="0"/>
                                </a:ext>
                              </a:extLst>
                            </a:blip>
                            <a:srcRect l="2710" t="7803" r="29533" b="7901"/>
                            <a:stretch/>
                          </pic:blipFill>
                          <pic:spPr bwMode="auto">
                            <a:xfrm>
                              <a:off x="0" y="54429"/>
                              <a:ext cx="1904365" cy="1175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9357042" name="Picture 799357042" descr="Graphical user interface, application&#10;&#10;Description automatically generated"/>
                            <pic:cNvPicPr>
                              <a:picLocks noChangeAspect="1"/>
                            </pic:cNvPicPr>
                          </pic:nvPicPr>
                          <pic:blipFill rotWithShape="1">
                            <a:blip r:embed="rId190" cstate="print">
                              <a:extLst>
                                <a:ext uri="{28A0092B-C50C-407E-A947-70E740481C1C}">
                                  <a14:useLocalDpi xmlns:a14="http://schemas.microsoft.com/office/drawing/2010/main" val="0"/>
                                </a:ext>
                              </a:extLst>
                            </a:blip>
                            <a:srcRect l="4337" t="2326" r="3915" b="10101"/>
                            <a:stretch/>
                          </pic:blipFill>
                          <pic:spPr bwMode="auto">
                            <a:xfrm>
                              <a:off x="1953986" y="0"/>
                              <a:ext cx="2416175" cy="1229360"/>
                            </a:xfrm>
                            <a:prstGeom prst="rect">
                              <a:avLst/>
                            </a:prstGeom>
                            <a:ln>
                              <a:noFill/>
                            </a:ln>
                            <a:extLst>
                              <a:ext uri="{53640926-AAD7-44D8-BBD7-CCE9431645EC}">
                                <a14:shadowObscured xmlns:a14="http://schemas.microsoft.com/office/drawing/2010/main"/>
                              </a:ext>
                            </a:extLst>
                          </pic:spPr>
                        </pic:pic>
                      </wpg:grpSp>
                      <wps:wsp>
                        <wps:cNvPr id="217" name="Text Box 2"/>
                        <wps:cNvSpPr txBox="1">
                          <a:spLocks noChangeArrowheads="1"/>
                        </wps:cNvSpPr>
                        <wps:spPr bwMode="auto">
                          <a:xfrm>
                            <a:off x="215900" y="6350"/>
                            <a:ext cx="806450" cy="254000"/>
                          </a:xfrm>
                          <a:prstGeom prst="rect">
                            <a:avLst/>
                          </a:prstGeom>
                          <a:solidFill>
                            <a:srgbClr val="FFFFFF"/>
                          </a:solidFill>
                          <a:ln w="9525">
                            <a:noFill/>
                            <a:miter lim="800000"/>
                            <a:headEnd/>
                            <a:tailEnd/>
                          </a:ln>
                        </wps:spPr>
                        <wps:txbx>
                          <w:txbxContent>
                            <w:p w14:paraId="0C066F22" w14:textId="102DA0C6" w:rsidR="00944B4A" w:rsidRDefault="00944B4A" w:rsidP="005E0849">
                              <w:pPr>
                                <w:spacing w:after="0"/>
                              </w:pPr>
                              <w:r>
                                <w:t>ROMANIA</w:t>
                              </w:r>
                            </w:p>
                          </w:txbxContent>
                        </wps:txbx>
                        <wps:bodyPr rot="0" vert="horz" wrap="square" lIns="91440" tIns="45720" rIns="91440" bIns="45720" anchor="t" anchorCtr="0">
                          <a:noAutofit/>
                        </wps:bodyPr>
                      </wps:wsp>
                      <wps:wsp>
                        <wps:cNvPr id="799357053" name="Text Box 2"/>
                        <wps:cNvSpPr txBox="1">
                          <a:spLocks noChangeArrowheads="1"/>
                        </wps:cNvSpPr>
                        <wps:spPr bwMode="auto">
                          <a:xfrm>
                            <a:off x="2660650" y="0"/>
                            <a:ext cx="806450" cy="254000"/>
                          </a:xfrm>
                          <a:prstGeom prst="rect">
                            <a:avLst/>
                          </a:prstGeom>
                          <a:solidFill>
                            <a:srgbClr val="FFFFFF"/>
                          </a:solidFill>
                          <a:ln w="9525">
                            <a:noFill/>
                            <a:miter lim="800000"/>
                            <a:headEnd/>
                            <a:tailEnd/>
                          </a:ln>
                        </wps:spPr>
                        <wps:txbx>
                          <w:txbxContent>
                            <w:p w14:paraId="1EFEC09B" w14:textId="54214A09" w:rsidR="00944B4A" w:rsidRPr="005E0849" w:rsidRDefault="00944B4A" w:rsidP="005E0849">
                              <w:pPr>
                                <w:spacing w:after="0"/>
                                <w:rPr>
                                  <w:lang w:val="ro-RO"/>
                                </w:rPr>
                              </w:pPr>
                              <w:r>
                                <w:rPr>
                                  <w:lang w:val="ro-RO"/>
                                </w:rPr>
                                <w:t>HUNGARY</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46C273" id="Group 799357054" o:spid="_x0000_s1042" style="width:441.85pt;height:142.8pt;mso-position-horizontal-relative:char;mso-position-vertical-relative:line" coordsize="56114,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&#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">
                <v:group id="Group 799357052" o:spid="_x0000_s1043" style="position:absolute;top:2349;width:56114;height:15786" coordsize="43701,1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9357051" o:spid="_x0000_s1044" type="#_x0000_t75" alt="Graphical user interface, text, application&#10;&#10;Description automatically generated" style="position:absolute;top:544;width:19043;height:11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">
                    <v:imagedata r:id="rId191" o:title="Graphical user interface, text, application&#10;&#10;Description automatically generated" croptop="5114f" cropbottom="5178f" cropleft="1776f" cropright="19355f"/>
                  </v:shape>
                  <v:shape id="Picture 799357042" o:spid="_x0000_s1045" type="#_x0000_t75" alt="Graphical user interface, application&#10;&#10;Description automatically generated" style="position:absolute;left:19539;width:24162;height:1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">
                    <v:imagedata r:id="rId192" o:title="Graphical user interface, application&#10;&#10;Description automatically generated" croptop="1524f" cropbottom="6620f" cropleft="2842f" cropright="2566f"/>
                  </v:shape>
                </v:group>
                <v:shapetype id="_x0000_t202" coordsize="21600,21600" o:spt="202" path="m,l,21600r21600,l21600,xe">
                  <v:stroke joinstyle="miter"/>
                  <v:path gradientshapeok="t" o:connecttype="rect"/>
                </v:shapetype>
                <v:shape id="_x0000_s1046" type="#_x0000_t202" style="position:absolute;left:2159;top:63;width:806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0C066F22" w14:textId="102DA0C6" w:rsidR="00944B4A" w:rsidRDefault="00944B4A" w:rsidP="005E0849">
                        <w:pPr>
                          <w:spacing w:after="0"/>
                        </w:pPr>
                        <w:r>
                          <w:t>ROMANIA</w:t>
                        </w:r>
                      </w:p>
                    </w:txbxContent>
                  </v:textbox>
                </v:shape>
                <v:shape id="_x0000_s1047" type="#_x0000_t202" style="position:absolute;left:26606;width:806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" stroked="f">
                  <v:textbox>
                    <w:txbxContent>
                      <w:p w14:paraId="1EFEC09B" w14:textId="54214A09" w:rsidR="00944B4A" w:rsidRPr="005E0849" w:rsidRDefault="00944B4A" w:rsidP="005E0849">
                        <w:pPr>
                          <w:spacing w:after="0"/>
                          <w:rPr>
                            <w:lang w:val="ro-RO"/>
                          </w:rPr>
                        </w:pPr>
                        <w:r>
                          <w:rPr>
                            <w:lang w:val="ro-RO"/>
                          </w:rPr>
                          <w:t>HUNGARY</w:t>
                        </w:r>
                      </w:p>
                    </w:txbxContent>
                  </v:textbox>
                </v:shape>
                <w10:anchorlock/>
              </v:group>
            </w:pict>
          </mc:Fallback>
        </mc:AlternateContent>
      </w:r>
      <w:r w:rsidRPr="00037C61">
        <w:rPr>
          <w:lang w:val="en-GB"/>
        </w:rPr>
        <w:t xml:space="preserve">Source: Municipal waste management in Romania, by European Environment Agency (EEA) - </w:t>
      </w:r>
      <w:hyperlink r:id="rId193" w:history="1">
        <w:r w:rsidRPr="00037C61">
          <w:rPr>
            <w:rStyle w:val="Hyperlink"/>
            <w:lang w:val="en-GB"/>
          </w:rPr>
          <w:t>https://www.eea.europa.eu/publications/managing-municipal-solid-waste/romania-municipal-waste-management/view</w:t>
        </w:r>
      </w:hyperlink>
    </w:p>
    <w:p w14:paraId="6416C266" w14:textId="77777777" w:rsidR="0032601C" w:rsidRPr="00037C61" w:rsidRDefault="00C528B2" w:rsidP="0032601C">
      <w:pPr>
        <w:rPr>
          <w:rFonts w:cs="Calibri"/>
          <w:b/>
          <w:lang w:val="en-GB"/>
        </w:rPr>
      </w:pPr>
      <w:r w:rsidRPr="00037C61">
        <w:rPr>
          <w:rFonts w:cs="Calibri"/>
          <w:noProof/>
          <w:lang w:val="ro-RO" w:eastAsia="ro-RO"/>
        </w:rPr>
        <w:lastRenderedPageBreak/>
        <w:drawing>
          <wp:anchor distT="0" distB="0" distL="114300" distR="114300" simplePos="0" relativeHeight="251674112" behindDoc="0" locked="0" layoutInCell="1" allowOverlap="1" wp14:anchorId="65B7ECC8" wp14:editId="1D77E37C">
            <wp:simplePos x="0" y="0"/>
            <wp:positionH relativeFrom="margin">
              <wp:align>right</wp:align>
            </wp:positionH>
            <wp:positionV relativeFrom="paragraph">
              <wp:posOffset>257810</wp:posOffset>
            </wp:positionV>
            <wp:extent cx="3596640" cy="2865015"/>
            <wp:effectExtent l="0" t="0" r="3810" b="0"/>
            <wp:wrapSquare wrapText="bothSides"/>
            <wp:docPr id="1791879765" name="Picture 17918797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79765" name="Screenshot 2020-09-28 at 21.19.47.png"/>
                    <pic:cNvPicPr/>
                  </pic:nvPicPr>
                  <pic:blipFill rotWithShape="1">
                    <a:blip r:embed="rId194" cstate="print">
                      <a:extLst>
                        <a:ext uri="{28A0092B-C50C-407E-A947-70E740481C1C}">
                          <a14:useLocalDpi xmlns:a14="http://schemas.microsoft.com/office/drawing/2010/main" val="0"/>
                        </a:ext>
                      </a:extLst>
                    </a:blip>
                    <a:srcRect/>
                    <a:stretch/>
                  </pic:blipFill>
                  <pic:spPr bwMode="auto">
                    <a:xfrm>
                      <a:off x="0" y="0"/>
                      <a:ext cx="3596640" cy="2865015"/>
                    </a:xfrm>
                    <a:prstGeom prst="rect">
                      <a:avLst/>
                    </a:prstGeom>
                    <a:ln>
                      <a:noFill/>
                    </a:ln>
                    <a:extLst>
                      <a:ext uri="{53640926-AAD7-44D8-BBD7-CCE9431645EC}">
                        <a14:shadowObscured xmlns:a14="http://schemas.microsoft.com/office/drawing/2010/main"/>
                      </a:ext>
                    </a:extLst>
                  </pic:spPr>
                </pic:pic>
              </a:graphicData>
            </a:graphic>
          </wp:anchor>
        </w:drawing>
      </w:r>
    </w:p>
    <w:p w14:paraId="19BC2182" w14:textId="692FA696" w:rsidR="00C528B2" w:rsidRPr="00037C61" w:rsidRDefault="00426050" w:rsidP="0032601C">
      <w:pPr>
        <w:rPr>
          <w:rFonts w:cs="Calibri"/>
          <w:i/>
          <w:iCs/>
          <w:sz w:val="18"/>
          <w:szCs w:val="18"/>
          <w:lang w:val="en-GB"/>
        </w:rPr>
      </w:pPr>
      <w:r w:rsidRPr="00037C61">
        <w:rPr>
          <w:rFonts w:cs="Calibri"/>
          <w:b/>
          <w:lang w:val="en-GB"/>
        </w:rPr>
        <w:t>Regarding municipal waste</w:t>
      </w:r>
      <w:r w:rsidRPr="00037C61">
        <w:rPr>
          <w:rFonts w:cs="Calibri"/>
          <w:lang w:val="en-GB"/>
        </w:rPr>
        <w:t xml:space="preserve">, </w:t>
      </w:r>
      <w:r w:rsidR="00070EEE" w:rsidRPr="00037C61">
        <w:rPr>
          <w:rFonts w:cs="Calibri"/>
          <w:lang w:val="en-GB"/>
        </w:rPr>
        <w:t xml:space="preserve">at </w:t>
      </w:r>
      <w:r w:rsidR="00FB0745" w:rsidRPr="00037C61">
        <w:rPr>
          <w:rFonts w:cs="Calibri"/>
          <w:lang w:val="en-GB"/>
        </w:rPr>
        <w:t xml:space="preserve">the country level, in both countries, the situation </w:t>
      </w:r>
      <w:r w:rsidRPr="00037C61">
        <w:rPr>
          <w:rFonts w:cs="Calibri"/>
          <w:lang w:val="en-GB"/>
        </w:rPr>
        <w:t xml:space="preserve">shows Hungary as </w:t>
      </w:r>
      <w:r w:rsidR="006A4D3C" w:rsidRPr="00037C61">
        <w:rPr>
          <w:rFonts w:cs="Calibri"/>
          <w:lang w:val="en-GB"/>
        </w:rPr>
        <w:t xml:space="preserve">a </w:t>
      </w:r>
      <w:r w:rsidRPr="00037C61">
        <w:rPr>
          <w:rFonts w:cs="Calibri"/>
          <w:lang w:val="en-GB"/>
        </w:rPr>
        <w:t>middle-performing</w:t>
      </w:r>
      <w:r w:rsidR="006A4D3C" w:rsidRPr="00037C61">
        <w:rPr>
          <w:rFonts w:cs="Calibri"/>
          <w:lang w:val="en-GB"/>
        </w:rPr>
        <w:t xml:space="preserve"> country</w:t>
      </w:r>
      <w:r w:rsidRPr="00037C61">
        <w:rPr>
          <w:rFonts w:cs="Calibri"/>
          <w:lang w:val="en-GB"/>
        </w:rPr>
        <w:t xml:space="preserve"> (with an important surge in recycling rate between 2004-2017), and Romania as an outlier among the European Union countries, with a very low recycling rate</w:t>
      </w:r>
      <w:r w:rsidR="006A4D3C" w:rsidRPr="00037C61">
        <w:rPr>
          <w:rFonts w:cs="Calibri"/>
          <w:lang w:val="en-GB"/>
        </w:rPr>
        <w:t xml:space="preserve">. </w:t>
      </w:r>
    </w:p>
    <w:p w14:paraId="27D2AC55" w14:textId="628B5B25" w:rsidR="006B184D" w:rsidRPr="00037C61" w:rsidRDefault="006B184D" w:rsidP="005E0849">
      <w:pPr>
        <w:pStyle w:val="InterregROHUBullet1"/>
        <w:numPr>
          <w:ilvl w:val="0"/>
          <w:numId w:val="0"/>
        </w:numPr>
      </w:pPr>
    </w:p>
    <w:p w14:paraId="537309EA" w14:textId="71D1D2DB" w:rsidR="00FB0745" w:rsidRPr="00037C61" w:rsidRDefault="006B184D">
      <w:pPr>
        <w:pStyle w:val="Caption"/>
        <w:jc w:val="both"/>
        <w:rPr>
          <w:rFonts w:cs="Calibri"/>
          <w:lang w:val="en-GB"/>
        </w:rPr>
      </w:pPr>
      <w:bookmarkStart w:id="712" w:name="_Toc6461104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93</w:t>
      </w:r>
      <w:r w:rsidR="00412697">
        <w:rPr>
          <w:lang w:val="en-GB"/>
        </w:rPr>
        <w:fldChar w:fldCharType="end"/>
      </w:r>
      <w:r w:rsidRPr="00037C61">
        <w:rPr>
          <w:lang w:val="en-GB"/>
        </w:rPr>
        <w:t xml:space="preserve"> - Percentage of recycled municipal waste in European countries, 2004/2017 comparison</w:t>
      </w:r>
      <w:bookmarkEnd w:id="712"/>
    </w:p>
    <w:p w14:paraId="7F504AE4" w14:textId="73FF5BD6" w:rsidR="00FB0745" w:rsidRPr="00037C61" w:rsidRDefault="00FB0745">
      <w:pPr>
        <w:pStyle w:val="Caption"/>
        <w:jc w:val="both"/>
        <w:rPr>
          <w:lang w:val="en-GB"/>
        </w:rPr>
      </w:pPr>
      <w:r w:rsidRPr="00037C61">
        <w:rPr>
          <w:lang w:val="en-GB"/>
        </w:rPr>
        <w:t xml:space="preserve">Source: The European </w:t>
      </w:r>
      <w:r w:rsidR="00343FC0" w:rsidRPr="00037C61">
        <w:rPr>
          <w:lang w:val="en-GB"/>
        </w:rPr>
        <w:t>E</w:t>
      </w:r>
      <w:r w:rsidRPr="00037C61">
        <w:rPr>
          <w:lang w:val="en-GB"/>
        </w:rPr>
        <w:t xml:space="preserve">nvironment </w:t>
      </w:r>
      <w:r w:rsidR="00343FC0" w:rsidRPr="00037C61">
        <w:rPr>
          <w:lang w:val="en-GB"/>
        </w:rPr>
        <w:t xml:space="preserve">Agency </w:t>
      </w:r>
      <w:r w:rsidRPr="00037C61">
        <w:rPr>
          <w:lang w:val="en-GB"/>
        </w:rPr>
        <w:t xml:space="preserve">— </w:t>
      </w:r>
      <w:r w:rsidR="00343FC0" w:rsidRPr="00037C61">
        <w:rPr>
          <w:lang w:val="en-GB"/>
        </w:rPr>
        <w:t>S</w:t>
      </w:r>
      <w:r w:rsidRPr="00037C61">
        <w:rPr>
          <w:lang w:val="en-GB"/>
        </w:rPr>
        <w:t xml:space="preserve">tate and outlook 2020 </w:t>
      </w:r>
      <w:r w:rsidR="00343FC0" w:rsidRPr="00037C61">
        <w:rPr>
          <w:lang w:val="en-GB"/>
        </w:rPr>
        <w:t>(</w:t>
      </w:r>
      <w:r w:rsidR="006B184D" w:rsidRPr="00037C61">
        <w:rPr>
          <w:lang w:val="en-GB"/>
        </w:rPr>
        <w:t>2019</w:t>
      </w:r>
      <w:r w:rsidR="00343FC0" w:rsidRPr="00037C61">
        <w:rPr>
          <w:lang w:val="en-GB"/>
        </w:rPr>
        <w:t>)</w:t>
      </w:r>
    </w:p>
    <w:p w14:paraId="2673199A" w14:textId="7387CDCA" w:rsidR="00822536" w:rsidRPr="00037C61" w:rsidRDefault="00822536" w:rsidP="00822536">
      <w:pPr>
        <w:rPr>
          <w:lang w:val="en-GB"/>
        </w:rPr>
      </w:pPr>
    </w:p>
    <w:p w14:paraId="3BEEBFB6" w14:textId="22F0D85C" w:rsidR="006A4D3C" w:rsidRPr="00037C61" w:rsidRDefault="006A4D3C" w:rsidP="006A4D3C">
      <w:pPr>
        <w:pStyle w:val="InterregROHUBullet1"/>
        <w:numPr>
          <w:ilvl w:val="0"/>
          <w:numId w:val="0"/>
        </w:numPr>
        <w:rPr>
          <w:rFonts w:cs="Calibri"/>
        </w:rPr>
      </w:pPr>
      <w:r w:rsidRPr="00037C61">
        <w:rPr>
          <w:rFonts w:cs="Calibri"/>
        </w:rPr>
        <w:t xml:space="preserve">The recycling rate at country level, in 2017, is calculated as the percentage of municipal waste generated that is recycled, composted and anaerobically digested, and it might also include preparing for reuse. Data shows a global image of the improvement registered on both sides of the border, extending the trend to CBC PA also. </w:t>
      </w:r>
    </w:p>
    <w:p w14:paraId="74170BB6" w14:textId="13A25849" w:rsidR="006A4D3C" w:rsidRPr="00037C61" w:rsidRDefault="006A4D3C" w:rsidP="005E0849">
      <w:pPr>
        <w:pStyle w:val="InterregROHUBullet1"/>
        <w:numPr>
          <w:ilvl w:val="0"/>
          <w:numId w:val="0"/>
        </w:numPr>
      </w:pPr>
      <w:r w:rsidRPr="00037C61">
        <w:rPr>
          <w:rFonts w:cs="Calibri"/>
        </w:rPr>
        <w:t xml:space="preserve">Nevertheless, the </w:t>
      </w:r>
      <w:r w:rsidRPr="00037C61">
        <w:t>Environmental Implementation Review (EIR 2019) shows waste management remains a</w:t>
      </w:r>
      <w:r w:rsidRPr="00037C61">
        <w:rPr>
          <w:bCs w:val="0"/>
        </w:rPr>
        <w:t xml:space="preserve"> key challenge for Romania. </w:t>
      </w:r>
      <w:r w:rsidR="00C528B2" w:rsidRPr="00037C61">
        <w:t xml:space="preserve">In December 2017, Romania adopted its national waste management plan. </w:t>
      </w:r>
      <w:r w:rsidRPr="00037C61">
        <w:t>The country’s performance continues to be characterised by</w:t>
      </w:r>
      <w:r w:rsidRPr="00037C61">
        <w:rPr>
          <w:bCs w:val="0"/>
        </w:rPr>
        <w:t xml:space="preserve"> very low recycling of municipal waste</w:t>
      </w:r>
      <w:r w:rsidRPr="00037C61">
        <w:t xml:space="preserve"> (14 %, including 7 % material recycling and 7 % composting) and very high landfilling rates. In Hungary, although slowly rising, the recycling rate of municipal waste is still only 35 %, which includes a composting rate of only 8 % of municipal waste generated. </w:t>
      </w:r>
      <w:r w:rsidR="0F44CBE9" w:rsidRPr="00037C61">
        <w:t xml:space="preserve">The </w:t>
      </w:r>
      <w:r w:rsidR="3643863C" w:rsidRPr="00037C61">
        <w:t>f</w:t>
      </w:r>
      <w:r w:rsidRPr="00037C61">
        <w:t>igure</w:t>
      </w:r>
      <w:r w:rsidR="46CFE568" w:rsidRPr="00037C61">
        <w:t>s</w:t>
      </w:r>
      <w:r w:rsidRPr="00037C61">
        <w:t xml:space="preserve"> </w:t>
      </w:r>
      <w:r w:rsidR="73570FFA" w:rsidRPr="00037C61">
        <w:t xml:space="preserve">in both countries </w:t>
      </w:r>
      <w:r w:rsidR="1737E7B1" w:rsidRPr="00037C61">
        <w:t>are</w:t>
      </w:r>
      <w:r w:rsidRPr="00037C61">
        <w:t xml:space="preserve"> </w:t>
      </w:r>
      <w:r w:rsidRPr="00037C61">
        <w:rPr>
          <w:b/>
        </w:rPr>
        <w:t xml:space="preserve"> </w:t>
      </w:r>
      <w:r w:rsidRPr="00037C61">
        <w:t xml:space="preserve">well below the EU average of around 46%. </w:t>
      </w:r>
    </w:p>
    <w:p w14:paraId="33294B2A" w14:textId="19931791" w:rsidR="006A4D3C" w:rsidRPr="00037C61" w:rsidRDefault="006A4D3C" w:rsidP="005E0849">
      <w:pPr>
        <w:pStyle w:val="Caption"/>
        <w:keepNext/>
        <w:jc w:val="both"/>
        <w:rPr>
          <w:lang w:val="en-GB"/>
        </w:rPr>
      </w:pPr>
      <w:bookmarkStart w:id="713" w:name="_Toc6461104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94</w:t>
      </w:r>
      <w:r w:rsidR="00412697">
        <w:rPr>
          <w:lang w:val="en-GB"/>
        </w:rPr>
        <w:fldChar w:fldCharType="end"/>
      </w:r>
      <w:r w:rsidRPr="00037C61">
        <w:rPr>
          <w:lang w:val="en-GB"/>
        </w:rPr>
        <w:t xml:space="preserve"> - Municipal waste (generated per capita) by treatment in Romania and Hungary, 2010-2017</w:t>
      </w:r>
      <w:bookmarkEnd w:id="713"/>
    </w:p>
    <w:p w14:paraId="6AA37C04" w14:textId="20FD4433" w:rsidR="006A4D3C" w:rsidRPr="00037C61" w:rsidRDefault="006A4D3C" w:rsidP="005E0849">
      <w:pPr>
        <w:pStyle w:val="InterregROHUBullet1"/>
        <w:keepNext/>
        <w:numPr>
          <w:ilvl w:val="0"/>
          <w:numId w:val="0"/>
        </w:numPr>
      </w:pPr>
      <w:r w:rsidRPr="00037C61">
        <w:rPr>
          <w:rFonts w:cs="Calibri"/>
          <w:noProof/>
          <w:lang w:val="ro-RO" w:eastAsia="ro-RO"/>
        </w:rPr>
        <mc:AlternateContent>
          <mc:Choice Requires="wpg">
            <w:drawing>
              <wp:inline distT="0" distB="0" distL="0" distR="0" wp14:anchorId="74B593B6" wp14:editId="6723C44B">
                <wp:extent cx="5419885" cy="2264735"/>
                <wp:effectExtent l="0" t="0" r="9525" b="2540"/>
                <wp:docPr id="71" name="Group 71"/>
                <wp:cNvGraphicFramePr/>
                <a:graphic xmlns:a="http://schemas.openxmlformats.org/drawingml/2006/main">
                  <a:graphicData uri="http://schemas.microsoft.com/office/word/2010/wordprocessingGroup">
                    <wpg:wgp>
                      <wpg:cNvGrpSpPr/>
                      <wpg:grpSpPr>
                        <a:xfrm>
                          <a:off x="0" y="0"/>
                          <a:ext cx="5419885" cy="2264735"/>
                          <a:chOff x="0" y="0"/>
                          <a:chExt cx="5364480" cy="2439670"/>
                        </a:xfrm>
                      </wpg:grpSpPr>
                      <pic:pic xmlns:pic="http://schemas.openxmlformats.org/drawingml/2006/picture">
                        <pic:nvPicPr>
                          <pic:cNvPr id="74" name="Picture 74"/>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152400"/>
                            <a:ext cx="2667000" cy="2287270"/>
                          </a:xfrm>
                          <a:prstGeom prst="rect">
                            <a:avLst/>
                          </a:prstGeom>
                        </pic:spPr>
                      </pic:pic>
                      <pic:pic xmlns:pic="http://schemas.openxmlformats.org/drawingml/2006/picture">
                        <pic:nvPicPr>
                          <pic:cNvPr id="81" name="Picture 81"/>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2712720" y="220980"/>
                            <a:ext cx="2651760" cy="2217420"/>
                          </a:xfrm>
                          <a:prstGeom prst="rect">
                            <a:avLst/>
                          </a:prstGeom>
                        </pic:spPr>
                      </pic:pic>
                      <wps:wsp>
                        <wps:cNvPr id="83" name="Text Box 2"/>
                        <wps:cNvSpPr txBox="1">
                          <a:spLocks noChangeArrowheads="1"/>
                        </wps:cNvSpPr>
                        <wps:spPr bwMode="auto">
                          <a:xfrm>
                            <a:off x="312420" y="0"/>
                            <a:ext cx="806450" cy="254000"/>
                          </a:xfrm>
                          <a:prstGeom prst="rect">
                            <a:avLst/>
                          </a:prstGeom>
                          <a:solidFill>
                            <a:srgbClr val="FFFFFF"/>
                          </a:solidFill>
                          <a:ln w="9525">
                            <a:noFill/>
                            <a:miter lim="800000"/>
                            <a:headEnd/>
                            <a:tailEnd/>
                          </a:ln>
                        </wps:spPr>
                        <wps:txbx>
                          <w:txbxContent>
                            <w:p w14:paraId="714055DD" w14:textId="77777777" w:rsidR="00944B4A" w:rsidRPr="00FE1853" w:rsidRDefault="00944B4A" w:rsidP="006A4D3C">
                              <w:pPr>
                                <w:spacing w:after="0"/>
                                <w:rPr>
                                  <w:b/>
                                  <w:bCs/>
                                </w:rPr>
                              </w:pPr>
                              <w:r w:rsidRPr="00FE1853">
                                <w:rPr>
                                  <w:b/>
                                  <w:bCs/>
                                </w:rPr>
                                <w:t>ROMANIA</w:t>
                              </w:r>
                            </w:p>
                          </w:txbxContent>
                        </wps:txbx>
                        <wps:bodyPr rot="0" vert="horz" wrap="square" lIns="91440" tIns="45720" rIns="91440" bIns="45720" anchor="t" anchorCtr="0">
                          <a:noAutofit/>
                        </wps:bodyPr>
                      </wps:wsp>
                      <wps:wsp>
                        <wps:cNvPr id="84" name="Text Box 2"/>
                        <wps:cNvSpPr txBox="1">
                          <a:spLocks noChangeArrowheads="1"/>
                        </wps:cNvSpPr>
                        <wps:spPr bwMode="auto">
                          <a:xfrm>
                            <a:off x="2956560" y="0"/>
                            <a:ext cx="806450" cy="254000"/>
                          </a:xfrm>
                          <a:prstGeom prst="rect">
                            <a:avLst/>
                          </a:prstGeom>
                          <a:solidFill>
                            <a:srgbClr val="FFFFFF"/>
                          </a:solidFill>
                          <a:ln w="9525">
                            <a:noFill/>
                            <a:miter lim="800000"/>
                            <a:headEnd/>
                            <a:tailEnd/>
                          </a:ln>
                        </wps:spPr>
                        <wps:txbx>
                          <w:txbxContent>
                            <w:p w14:paraId="29A66401" w14:textId="77777777" w:rsidR="00944B4A" w:rsidRPr="00FE1853" w:rsidRDefault="00944B4A" w:rsidP="006A4D3C">
                              <w:pPr>
                                <w:spacing w:after="0"/>
                                <w:rPr>
                                  <w:b/>
                                  <w:bCs/>
                                  <w:lang w:val="ro-RO"/>
                                </w:rPr>
                              </w:pPr>
                              <w:r w:rsidRPr="00FE1853">
                                <w:rPr>
                                  <w:b/>
                                  <w:bCs/>
                                  <w:lang w:val="ro-RO"/>
                                </w:rPr>
                                <w:t>HUNGARY</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4B593B6" id="Group 71" o:spid="_x0000_s1048" style="width:426.75pt;height:178.35pt;mso-position-horizontal-relative:char;mso-position-vertical-relative:line" coordsize="53644,24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">
                <v:shape id="Picture 74" o:spid="_x0000_s1049" type="#_x0000_t75" style="position:absolute;top:1524;width:26670;height:22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">
                  <v:imagedata r:id="rId197" o:title=""/>
                </v:shape>
                <v:shape id="Picture 81" o:spid="_x0000_s1050" type="#_x0000_t75" style="position:absolute;left:27127;top:2209;width:26517;height:2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">
                  <v:imagedata r:id="rId198" o:title=""/>
                </v:shape>
                <v:shape id="_x0000_s1051" type="#_x0000_t202" style="position:absolute;left:3124;width:806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" stroked="f">
                  <v:textbox>
                    <w:txbxContent>
                      <w:p w14:paraId="714055DD" w14:textId="77777777" w:rsidR="00944B4A" w:rsidRPr="00FE1853" w:rsidRDefault="00944B4A" w:rsidP="006A4D3C">
                        <w:pPr>
                          <w:spacing w:after="0"/>
                          <w:rPr>
                            <w:b/>
                            <w:bCs/>
                          </w:rPr>
                        </w:pPr>
                        <w:r w:rsidRPr="00FE1853">
                          <w:rPr>
                            <w:b/>
                            <w:bCs/>
                          </w:rPr>
                          <w:t>ROMANIA</w:t>
                        </w:r>
                      </w:p>
                    </w:txbxContent>
                  </v:textbox>
                </v:shape>
                <v:shape id="_x0000_s1052" type="#_x0000_t202" style="position:absolute;left:29565;width:806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" stroked="f">
                  <v:textbox>
                    <w:txbxContent>
                      <w:p w14:paraId="29A66401" w14:textId="77777777" w:rsidR="00944B4A" w:rsidRPr="00FE1853" w:rsidRDefault="00944B4A" w:rsidP="006A4D3C">
                        <w:pPr>
                          <w:spacing w:after="0"/>
                          <w:rPr>
                            <w:b/>
                            <w:bCs/>
                            <w:lang w:val="ro-RO"/>
                          </w:rPr>
                        </w:pPr>
                        <w:r w:rsidRPr="00FE1853">
                          <w:rPr>
                            <w:b/>
                            <w:bCs/>
                            <w:lang w:val="ro-RO"/>
                          </w:rPr>
                          <w:t>HUNGARY</w:t>
                        </w:r>
                      </w:p>
                    </w:txbxContent>
                  </v:textbox>
                </v:shape>
                <w10:anchorlock/>
              </v:group>
            </w:pict>
          </mc:Fallback>
        </mc:AlternateContent>
      </w:r>
    </w:p>
    <w:p w14:paraId="5C1686D8" w14:textId="07BB6A11" w:rsidR="006A4D3C" w:rsidRPr="00037C61" w:rsidRDefault="006A4D3C" w:rsidP="0032601C">
      <w:pPr>
        <w:pStyle w:val="Caption"/>
        <w:keepNext/>
        <w:jc w:val="left"/>
        <w:rPr>
          <w:lang w:val="en-GB"/>
        </w:rPr>
      </w:pPr>
      <w:r w:rsidRPr="00037C61">
        <w:rPr>
          <w:lang w:val="en-GB"/>
        </w:rPr>
        <w:t>Source: EC, The EU Environmental Implementation Review 2019</w:t>
      </w:r>
      <w:r w:rsidR="00C528B2" w:rsidRPr="00037C61">
        <w:rPr>
          <w:lang w:val="en-GB"/>
        </w:rPr>
        <w:t>, Country Reports for Romania</w:t>
      </w:r>
      <w:r w:rsidRPr="00037C61">
        <w:rPr>
          <w:lang w:val="en-GB"/>
        </w:rPr>
        <w:t xml:space="preserve"> </w:t>
      </w:r>
      <w:hyperlink r:id="rId199" w:history="1">
        <w:r w:rsidRPr="00037C61">
          <w:rPr>
            <w:lang w:val="en-GB"/>
          </w:rPr>
          <w:t>https://ec.europa.eu/environment/eir/pdf/report_ro_en.pdf</w:t>
        </w:r>
      </w:hyperlink>
      <w:r w:rsidRPr="00037C61">
        <w:rPr>
          <w:lang w:val="en-GB"/>
        </w:rPr>
        <w:t xml:space="preserve"> and </w:t>
      </w:r>
      <w:r w:rsidR="00C528B2" w:rsidRPr="00037C61">
        <w:rPr>
          <w:lang w:val="en-GB"/>
        </w:rPr>
        <w:t xml:space="preserve"> Hungary </w:t>
      </w:r>
      <w:hyperlink r:id="rId200" w:history="1">
        <w:r w:rsidR="00C528B2" w:rsidRPr="00037C61">
          <w:rPr>
            <w:lang w:val="en-GB"/>
          </w:rPr>
          <w:t>https://ec.europa.eu/environment/eir/pdf/report_hu_en.pdf</w:t>
        </w:r>
      </w:hyperlink>
      <w:r w:rsidRPr="00037C61">
        <w:rPr>
          <w:lang w:val="en-GB"/>
        </w:rPr>
        <w:t xml:space="preserve"> </w:t>
      </w:r>
    </w:p>
    <w:p w14:paraId="3BE0BAAF" w14:textId="77777777" w:rsidR="00C528B2" w:rsidRPr="00037C61" w:rsidRDefault="00C528B2" w:rsidP="005E0849">
      <w:pPr>
        <w:rPr>
          <w:lang w:val="en-GB"/>
        </w:rPr>
      </w:pPr>
    </w:p>
    <w:p w14:paraId="15DA68A1" w14:textId="3CAE0EA4" w:rsidR="006A4D3C" w:rsidRPr="00037C61" w:rsidRDefault="006A4D3C" w:rsidP="005E0849">
      <w:pPr>
        <w:pStyle w:val="InterregROHUBullet1"/>
        <w:numPr>
          <w:ilvl w:val="0"/>
          <w:numId w:val="0"/>
        </w:numPr>
      </w:pPr>
      <w:r w:rsidRPr="00037C61">
        <w:lastRenderedPageBreak/>
        <w:t xml:space="preserve">In 2017, the municipal waste generation per capita in Romania was 272 kg, a 18 kg increase from 2013 but still considerably below the EU average of around 487 kg. In Hungary, a similar increase to 385 kg per capita in 2017 shows that the country is </w:t>
      </w:r>
      <w:r w:rsidRPr="00037C61">
        <w:rPr>
          <w:b/>
        </w:rPr>
        <w:t>still below the EU average</w:t>
      </w:r>
      <w:r w:rsidR="00C528B2" w:rsidRPr="00037C61">
        <w:rPr>
          <w:b/>
          <w:bCs w:val="0"/>
        </w:rPr>
        <w:t xml:space="preserve"> </w:t>
      </w:r>
      <w:r w:rsidR="00C528B2" w:rsidRPr="00037C61">
        <w:rPr>
          <w:bCs w:val="0"/>
        </w:rPr>
        <w:t xml:space="preserve">– a positive aspect for the PA, </w:t>
      </w:r>
      <w:r w:rsidR="00C528B2" w:rsidRPr="00037C61">
        <w:t xml:space="preserve">which can leapfrog ahead in the reduce-reuse-recycle approach of circular economy. </w:t>
      </w:r>
    </w:p>
    <w:p w14:paraId="64EBDAC5" w14:textId="44960A8E" w:rsidR="00C528B2" w:rsidRPr="00037C61" w:rsidRDefault="00C528B2" w:rsidP="74CEAA85">
      <w:pPr>
        <w:rPr>
          <w:lang w:val="en-GB"/>
        </w:rPr>
      </w:pPr>
      <w:r w:rsidRPr="00037C61">
        <w:rPr>
          <w:lang w:val="en-GB"/>
        </w:rPr>
        <w:t>Waste generated represents</w:t>
      </w:r>
      <w:r w:rsidR="5B5B86ED" w:rsidRPr="00037C61">
        <w:rPr>
          <w:lang w:val="en-GB"/>
        </w:rPr>
        <w:t xml:space="preserve"> a problem to deal with on long term, but also as a resource</w:t>
      </w:r>
      <w:r w:rsidRPr="00037C61">
        <w:rPr>
          <w:lang w:val="en-GB"/>
        </w:rPr>
        <w:t>. A</w:t>
      </w:r>
      <w:r w:rsidR="5B5B86ED" w:rsidRPr="00037C61">
        <w:rPr>
          <w:lang w:val="en-GB"/>
        </w:rPr>
        <w:t xml:space="preserve">t European level there are advanced countries from the perspective point of view, which already developed national plans/ strategies for realising circular economy interventions (plan A). Others are in the process of developing the same type of strategic documents (plan B) and others have a national resource efficiency strategy or action plan (plan C). </w:t>
      </w:r>
      <w:r w:rsidR="00FB0745" w:rsidRPr="00037C61">
        <w:rPr>
          <w:lang w:val="en-GB"/>
        </w:rPr>
        <w:t xml:space="preserve">Hungary and also Romania, are on their own way to target this kind of planification, in order to better deal the concept of </w:t>
      </w:r>
      <w:r w:rsidR="00FB0745" w:rsidRPr="00037C61">
        <w:rPr>
          <w:b/>
          <w:bCs/>
          <w:lang w:val="en-GB"/>
        </w:rPr>
        <w:t>circular economy strategy.</w:t>
      </w:r>
    </w:p>
    <w:p w14:paraId="71CF1C73" w14:textId="1C0E79FE" w:rsidR="00C528B2" w:rsidRPr="00037C61" w:rsidRDefault="00863FF5">
      <w:pPr>
        <w:rPr>
          <w:lang w:val="en-GB"/>
        </w:rPr>
      </w:pPr>
      <w:r w:rsidRPr="00037C61">
        <w:rPr>
          <w:noProof/>
          <w:lang w:val="ro-RO" w:eastAsia="ro-RO"/>
        </w:rPr>
        <w:drawing>
          <wp:anchor distT="0" distB="0" distL="114300" distR="114300" simplePos="0" relativeHeight="251675136" behindDoc="0" locked="0" layoutInCell="1" allowOverlap="1" wp14:anchorId="7D6D1ED0" wp14:editId="7AF1E5BC">
            <wp:simplePos x="0" y="0"/>
            <wp:positionH relativeFrom="margin">
              <wp:posOffset>3348990</wp:posOffset>
            </wp:positionH>
            <wp:positionV relativeFrom="paragraph">
              <wp:posOffset>252730</wp:posOffset>
            </wp:positionV>
            <wp:extent cx="2734945" cy="2498090"/>
            <wp:effectExtent l="0" t="0" r="8255"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val="0"/>
                        </a:ext>
                      </a:extLst>
                    </a:blip>
                    <a:srcRect t="10151"/>
                    <a:stretch/>
                  </pic:blipFill>
                  <pic:spPr bwMode="auto">
                    <a:xfrm>
                      <a:off x="0" y="0"/>
                      <a:ext cx="2734945" cy="2498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28B2" w:rsidRPr="00037C61">
        <w:rPr>
          <w:lang w:val="en-GB"/>
        </w:rPr>
        <w:t>According to the EIR 2019 country reports, Hungary’s fourth (2015-2020) national environmental programme is a strategic six-year plan for environmental and nature protection which can represent a good starting point for the transition</w:t>
      </w:r>
      <w:r w:rsidR="00C528B2" w:rsidRPr="00037C61">
        <w:rPr>
          <w:b/>
          <w:bCs/>
          <w:lang w:val="en-GB"/>
        </w:rPr>
        <w:t xml:space="preserve"> </w:t>
      </w:r>
      <w:r w:rsidR="00C528B2" w:rsidRPr="00037C61">
        <w:rPr>
          <w:lang w:val="en-GB"/>
        </w:rPr>
        <w:t>towards a circular economy</w:t>
      </w:r>
      <w:r w:rsidR="00C528B2" w:rsidRPr="00037C61">
        <w:rPr>
          <w:b/>
          <w:bCs/>
          <w:lang w:val="en-GB"/>
        </w:rPr>
        <w:t>.</w:t>
      </w:r>
      <w:r w:rsidR="00C528B2" w:rsidRPr="00037C61">
        <w:rPr>
          <w:lang w:val="en-GB"/>
        </w:rPr>
        <w:t xml:space="preserve"> Hungary is above the EU average on the number of people employed in the circular economy (1.93 % of total employment in 2016 compared to an EU average of 1.73 %). In Romania, the transition to circular economy is more complex, with the sector remaining underdeveloped in spite of high potential in this area, as evaluated by the European Commission (2019). </w:t>
      </w:r>
      <w:r w:rsidR="00A57E58" w:rsidRPr="00037C61">
        <w:rPr>
          <w:b/>
          <w:bCs/>
          <w:lang w:val="en-GB"/>
        </w:rPr>
        <w:t>Eco-innovation is low</w:t>
      </w:r>
      <w:r w:rsidR="00A57E58" w:rsidRPr="00037C61">
        <w:rPr>
          <w:lang w:val="en-GB"/>
        </w:rPr>
        <w:t xml:space="preserve"> in </w:t>
      </w:r>
      <w:bookmarkStart w:id="714" w:name="_Hlk54882703"/>
      <w:r w:rsidR="00A57E58" w:rsidRPr="00037C61">
        <w:rPr>
          <w:lang w:val="en-GB"/>
        </w:rPr>
        <w:t>both Romania (ranked 23rd) and Hungary (ranked 24th at EU level)</w:t>
      </w:r>
      <w:bookmarkEnd w:id="714"/>
      <w:r w:rsidR="00A57E58" w:rsidRPr="00037C61">
        <w:rPr>
          <w:lang w:val="en-GB"/>
        </w:rPr>
        <w:t xml:space="preserve">. </w:t>
      </w:r>
    </w:p>
    <w:p w14:paraId="05E5CAEA" w14:textId="3AFBE0D4" w:rsidR="00863FF5" w:rsidRPr="00037C61" w:rsidRDefault="00863FF5" w:rsidP="005E0849">
      <w:pPr>
        <w:pStyle w:val="Caption"/>
        <w:keepNext/>
        <w:jc w:val="left"/>
        <w:rPr>
          <w:lang w:val="en-GB"/>
        </w:rPr>
      </w:pPr>
      <w:bookmarkStart w:id="715" w:name="_Toc6461104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95</w:t>
      </w:r>
      <w:r w:rsidR="00412697">
        <w:rPr>
          <w:lang w:val="en-GB"/>
        </w:rPr>
        <w:fldChar w:fldCharType="end"/>
      </w:r>
      <w:r w:rsidRPr="00037C61">
        <w:rPr>
          <w:lang w:val="en-GB"/>
        </w:rPr>
        <w:t xml:space="preserve"> - Eco-innovation index (2017) for Romania and Hungary</w:t>
      </w:r>
      <w:bookmarkEnd w:id="715"/>
    </w:p>
    <w:p w14:paraId="5BA61912" w14:textId="77777777" w:rsidR="00863FF5" w:rsidRPr="00037C61" w:rsidRDefault="00863FF5" w:rsidP="005E0849">
      <w:pPr>
        <w:pStyle w:val="Caption"/>
        <w:keepNext/>
        <w:jc w:val="left"/>
        <w:rPr>
          <w:lang w:val="en-GB"/>
        </w:rPr>
      </w:pPr>
      <w:r w:rsidRPr="00037C61">
        <w:rPr>
          <w:lang w:val="en-GB"/>
        </w:rPr>
        <w:t xml:space="preserve">Source: EC, The EU Environmental Implementation Review 2019, Country Reports for Romania and Hungary  </w:t>
      </w:r>
    </w:p>
    <w:p w14:paraId="382D1ED0" w14:textId="77777777" w:rsidR="00A57E58" w:rsidRPr="00037C61" w:rsidRDefault="00A57E58">
      <w:pPr>
        <w:rPr>
          <w:lang w:val="en-GB"/>
        </w:rPr>
      </w:pPr>
    </w:p>
    <w:p w14:paraId="1456C618" w14:textId="0D540FEE" w:rsidR="00343FC0" w:rsidRPr="00037C61" w:rsidRDefault="00343FC0" w:rsidP="00343FC0">
      <w:pPr>
        <w:rPr>
          <w:lang w:val="en-GB"/>
        </w:rPr>
      </w:pPr>
    </w:p>
    <w:p w14:paraId="146859FC" w14:textId="2B16CB83" w:rsidR="00FB0745" w:rsidRPr="00037C61" w:rsidRDefault="005D1208" w:rsidP="005E0849">
      <w:pPr>
        <w:pStyle w:val="Heading3"/>
        <w:rPr>
          <w:rFonts w:cs="Calibri"/>
        </w:rPr>
      </w:pPr>
      <w:r w:rsidRPr="00037C61">
        <w:lastRenderedPageBreak/>
        <w:t xml:space="preserve"> </w:t>
      </w:r>
      <w:bookmarkStart w:id="716" w:name="_Toc64619548"/>
      <w:r w:rsidRPr="00037C61">
        <w:t>Renewable energy</w:t>
      </w:r>
      <w:bookmarkEnd w:id="716"/>
    </w:p>
    <w:p w14:paraId="0250E354" w14:textId="248A1EDB" w:rsidR="00FB0745" w:rsidRPr="00037C61" w:rsidRDefault="005D1208" w:rsidP="00FB0745">
      <w:pPr>
        <w:spacing w:before="100" w:beforeAutospacing="1" w:after="100" w:afterAutospacing="1"/>
        <w:rPr>
          <w:rFonts w:cs="Calibri"/>
          <w:lang w:val="en-GB"/>
        </w:rPr>
      </w:pPr>
      <w:r w:rsidRPr="00037C61">
        <w:rPr>
          <w:noProof/>
          <w:lang w:val="ro-RO" w:eastAsia="ro-RO"/>
        </w:rPr>
        <w:drawing>
          <wp:anchor distT="0" distB="0" distL="114300" distR="114300" simplePos="0" relativeHeight="251663872" behindDoc="0" locked="0" layoutInCell="1" allowOverlap="1" wp14:anchorId="10FAC2FC" wp14:editId="2484364C">
            <wp:simplePos x="0" y="0"/>
            <wp:positionH relativeFrom="margin">
              <wp:posOffset>2326005</wp:posOffset>
            </wp:positionH>
            <wp:positionV relativeFrom="paragraph">
              <wp:posOffset>186690</wp:posOffset>
            </wp:positionV>
            <wp:extent cx="3436620" cy="3284855"/>
            <wp:effectExtent l="0" t="0" r="0" b="0"/>
            <wp:wrapSquare wrapText="bothSides"/>
            <wp:docPr id="1791879758" name="Picture 179187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58"/>
                    <pic:cNvPicPr/>
                  </pic:nvPicPr>
                  <pic:blipFill>
                    <a:blip r:embed="rId202">
                      <a:extLst>
                        <a:ext uri="{28A0092B-C50C-407E-A947-70E740481C1C}">
                          <a14:useLocalDpi xmlns:a14="http://schemas.microsoft.com/office/drawing/2010/main"/>
                        </a:ext>
                      </a:extLst>
                    </a:blip>
                    <a:stretch>
                      <a:fillRect/>
                    </a:stretch>
                  </pic:blipFill>
                  <pic:spPr>
                    <a:xfrm>
                      <a:off x="0" y="0"/>
                      <a:ext cx="3436620" cy="3284855"/>
                    </a:xfrm>
                    <a:prstGeom prst="rect">
                      <a:avLst/>
                    </a:prstGeom>
                  </pic:spPr>
                </pic:pic>
              </a:graphicData>
            </a:graphic>
            <wp14:sizeRelH relativeFrom="margin">
              <wp14:pctWidth>0</wp14:pctWidth>
            </wp14:sizeRelH>
            <wp14:sizeRelV relativeFrom="margin">
              <wp14:pctHeight>0</wp14:pctHeight>
            </wp14:sizeRelV>
          </wp:anchor>
        </w:drawing>
      </w:r>
      <w:r w:rsidR="00FB0745" w:rsidRPr="00037C61">
        <w:rPr>
          <w:rFonts w:cs="Calibri"/>
          <w:lang w:val="en-GB"/>
        </w:rPr>
        <w:t>We present the aspects related on density use of renewable energy in relation with the term of exploitation, based on ESPON data and on each kind of renewable energy.</w:t>
      </w:r>
    </w:p>
    <w:p w14:paraId="4670981C" w14:textId="4F3D1006" w:rsidR="00E042E6" w:rsidRPr="00037C61" w:rsidRDefault="006D3793" w:rsidP="00DB31C0">
      <w:pPr>
        <w:spacing w:before="100" w:beforeAutospacing="1" w:after="100" w:afterAutospacing="1"/>
        <w:rPr>
          <w:rFonts w:cs="Calibri"/>
          <w:i/>
          <w:iCs/>
          <w:sz w:val="18"/>
          <w:szCs w:val="18"/>
          <w:lang w:val="en-GB"/>
        </w:rPr>
      </w:pPr>
      <w:r w:rsidRPr="00037C61">
        <w:rPr>
          <w:noProof/>
          <w:lang w:val="ro-RO" w:eastAsia="ro-RO"/>
        </w:rPr>
        <mc:AlternateContent>
          <mc:Choice Requires="wps">
            <w:drawing>
              <wp:anchor distT="0" distB="0" distL="114300" distR="114300" simplePos="0" relativeHeight="251664896" behindDoc="0" locked="0" layoutInCell="1" allowOverlap="1" wp14:anchorId="04FE7AB3" wp14:editId="15C378B2">
                <wp:simplePos x="0" y="0"/>
                <wp:positionH relativeFrom="margin">
                  <wp:align>right</wp:align>
                </wp:positionH>
                <wp:positionV relativeFrom="paragraph">
                  <wp:posOffset>2234181</wp:posOffset>
                </wp:positionV>
                <wp:extent cx="3310890" cy="635"/>
                <wp:effectExtent l="0" t="0" r="3810" b="6985"/>
                <wp:wrapSquare wrapText="bothSides"/>
                <wp:docPr id="799357031" name="Text Box 799357031"/>
                <wp:cNvGraphicFramePr/>
                <a:graphic xmlns:a="http://schemas.openxmlformats.org/drawingml/2006/main">
                  <a:graphicData uri="http://schemas.microsoft.com/office/word/2010/wordprocessingShape">
                    <wps:wsp>
                      <wps:cNvSpPr txBox="1"/>
                      <wps:spPr>
                        <a:xfrm>
                          <a:off x="0" y="0"/>
                          <a:ext cx="3310890" cy="635"/>
                        </a:xfrm>
                        <a:prstGeom prst="rect">
                          <a:avLst/>
                        </a:prstGeom>
                        <a:solidFill>
                          <a:prstClr val="white"/>
                        </a:solidFill>
                        <a:ln>
                          <a:noFill/>
                        </a:ln>
                      </wps:spPr>
                      <wps:txbx>
                        <w:txbxContent>
                          <w:p w14:paraId="23C8E303" w14:textId="646353A7" w:rsidR="00944B4A" w:rsidRPr="005E0849" w:rsidRDefault="00944B4A" w:rsidP="006D3793">
                            <w:pPr>
                              <w:pStyle w:val="Caption"/>
                              <w:jc w:val="left"/>
                              <w:rPr>
                                <w:lang w:val="en-GB"/>
                              </w:rPr>
                            </w:pPr>
                            <w:bookmarkStart w:id="717" w:name="_Toc64611044"/>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96</w:t>
                            </w:r>
                            <w:r>
                              <w:rPr>
                                <w:lang w:val="en-GB"/>
                              </w:rPr>
                              <w:fldChar w:fldCharType="end"/>
                            </w:r>
                            <w:r w:rsidRPr="005E0849">
                              <w:rPr>
                                <w:lang w:val="en-GB"/>
                              </w:rPr>
                              <w:t xml:space="preserve"> - Solar Energy, installed capacity in 2012, MW/km2</w:t>
                            </w:r>
                            <w:bookmarkEnd w:id="717"/>
                          </w:p>
                          <w:p w14:paraId="2A85C747" w14:textId="0C4D01C3" w:rsidR="00944B4A" w:rsidRPr="00DB31C0" w:rsidRDefault="00944B4A" w:rsidP="006D3793">
                            <w:pPr>
                              <w:pStyle w:val="Caption"/>
                              <w:jc w:val="left"/>
                              <w:rPr>
                                <w:lang w:val="en-GB"/>
                              </w:rPr>
                            </w:pPr>
                            <w:r w:rsidRPr="0007064A">
                              <w:rPr>
                                <w:lang w:val="en-GB"/>
                              </w:rPr>
                              <w:t>Source: Territories and low-carbon economy (ESPON Locate)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FE7AB3" id="Text Box 799357031" o:spid="_x0000_s1053" type="#_x0000_t202" style="position:absolute;left:0;text-align:left;margin-left:209.5pt;margin-top:175.9pt;width:260.7pt;height:.05pt;z-index:25166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" stroked="f">
                <v:textbox style="mso-fit-shape-to-text:t" inset="0,0,0,0">
                  <w:txbxContent>
                    <w:p w14:paraId="23C8E303" w14:textId="646353A7" w:rsidR="00944B4A" w:rsidRPr="005E0849" w:rsidRDefault="00944B4A" w:rsidP="006D3793">
                      <w:pPr>
                        <w:pStyle w:val="Didascalia"/>
                        <w:jc w:val="left"/>
                        <w:rPr>
                          <w:lang w:val="en-GB"/>
                        </w:rPr>
                      </w:pPr>
                      <w:bookmarkStart w:id="772" w:name="_Toc64611044"/>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96</w:t>
                      </w:r>
                      <w:r>
                        <w:rPr>
                          <w:lang w:val="en-GB"/>
                        </w:rPr>
                        <w:fldChar w:fldCharType="end"/>
                      </w:r>
                      <w:r w:rsidRPr="005E0849">
                        <w:rPr>
                          <w:lang w:val="en-GB"/>
                        </w:rPr>
                        <w:t xml:space="preserve"> - Solar Energy, installed capacity in 2012, MW/km2</w:t>
                      </w:r>
                      <w:bookmarkEnd w:id="772"/>
                    </w:p>
                    <w:p w14:paraId="2A85C747" w14:textId="0C4D01C3" w:rsidR="00944B4A" w:rsidRPr="00DB31C0" w:rsidRDefault="00944B4A" w:rsidP="006D3793">
                      <w:pPr>
                        <w:pStyle w:val="Didascalia"/>
                        <w:jc w:val="left"/>
                        <w:rPr>
                          <w:lang w:val="en-GB"/>
                        </w:rPr>
                      </w:pPr>
                      <w:r w:rsidRPr="0007064A">
                        <w:rPr>
                          <w:lang w:val="en-GB"/>
                        </w:rPr>
                        <w:t>Source: Territories and low-carbon economy (ESPON Locate)</w:t>
                      </w:r>
                    </w:p>
                  </w:txbxContent>
                </v:textbox>
                <w10:wrap type="square" anchorx="margin"/>
              </v:shape>
            </w:pict>
          </mc:Fallback>
        </mc:AlternateContent>
      </w:r>
      <w:r w:rsidR="00E042E6" w:rsidRPr="00037C61">
        <w:rPr>
          <w:rFonts w:cs="Calibri"/>
          <w:b/>
          <w:bCs/>
          <w:lang w:val="en-GB"/>
        </w:rPr>
        <w:t xml:space="preserve">With respect to solar power exploitation, </w:t>
      </w:r>
      <w:r w:rsidR="00E042E6" w:rsidRPr="00037C61">
        <w:rPr>
          <w:rFonts w:cs="Calibri"/>
          <w:lang w:val="en-GB"/>
        </w:rPr>
        <w:t>w</w:t>
      </w:r>
      <w:r w:rsidR="00FB0745" w:rsidRPr="00037C61">
        <w:rPr>
          <w:rFonts w:cs="Calibri"/>
          <w:lang w:val="en-GB"/>
        </w:rPr>
        <w:t xml:space="preserve">hile in 2002 installed capacity for solar power was low compared to 2012, values are today very different. Countries with technology and specific policies to promote solar power installations reached a considerable increase in capacity (e.g. Spain, Greece, Italy, Belgium, Germany and others). These effects also determine the development of solar power exploitation rate between 2002 and 2012, which is shown </w:t>
      </w:r>
      <w:r w:rsidR="005D1208" w:rsidRPr="00037C61">
        <w:rPr>
          <w:rFonts w:cs="Calibri"/>
          <w:lang w:val="en-GB"/>
        </w:rPr>
        <w:t>on the right</w:t>
      </w:r>
      <w:r w:rsidR="00FB0745" w:rsidRPr="00037C61">
        <w:rPr>
          <w:rFonts w:cs="Calibri"/>
          <w:lang w:val="en-GB"/>
        </w:rPr>
        <w:t>. However, in CBC area, even the potential is high, because of the reduced interventions, the solar energy generated is situated between 0-28 MW/km</w:t>
      </w:r>
      <w:r w:rsidR="24EA8FB4" w:rsidRPr="00037C61">
        <w:rPr>
          <w:rFonts w:cs="Calibri"/>
          <w:lang w:val="en-GB"/>
        </w:rPr>
        <w:t>22</w:t>
      </w:r>
      <w:r w:rsidR="00FB0745" w:rsidRPr="00037C61">
        <w:rPr>
          <w:rFonts w:cs="Calibri"/>
          <w:lang w:val="en-GB"/>
        </w:rPr>
        <w:t>.</w:t>
      </w:r>
      <w:r w:rsidR="00DB31C0" w:rsidRPr="00037C61">
        <w:rPr>
          <w:rFonts w:cs="Calibri"/>
          <w:lang w:val="en-GB"/>
        </w:rPr>
        <w:t xml:space="preserve"> </w:t>
      </w:r>
    </w:p>
    <w:p w14:paraId="11A5E969" w14:textId="7EEAB658" w:rsidR="00DB31C0" w:rsidRPr="00037C61" w:rsidRDefault="006D3793" w:rsidP="005E0849">
      <w:pPr>
        <w:spacing w:before="100" w:beforeAutospacing="1" w:after="100" w:afterAutospacing="1"/>
        <w:rPr>
          <w:lang w:val="en-GB"/>
        </w:rPr>
      </w:pPr>
      <w:r w:rsidRPr="00037C61">
        <w:rPr>
          <w:noProof/>
          <w:lang w:val="ro-RO" w:eastAsia="ro-RO"/>
        </w:rPr>
        <w:drawing>
          <wp:anchor distT="0" distB="0" distL="114300" distR="114300" simplePos="0" relativeHeight="251694592" behindDoc="0" locked="0" layoutInCell="1" allowOverlap="1" wp14:anchorId="5F847554" wp14:editId="4BAE3889">
            <wp:simplePos x="0" y="0"/>
            <wp:positionH relativeFrom="margin">
              <wp:posOffset>2452060</wp:posOffset>
            </wp:positionH>
            <wp:positionV relativeFrom="paragraph">
              <wp:posOffset>9111</wp:posOffset>
            </wp:positionV>
            <wp:extent cx="3280410" cy="2943225"/>
            <wp:effectExtent l="0" t="0" r="0" b="9525"/>
            <wp:wrapSquare wrapText="bothSides"/>
            <wp:docPr id="1915240270" name="Picture 191524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60"/>
                    <pic:cNvPicPr/>
                  </pic:nvPicPr>
                  <pic:blipFill rotWithShape="1">
                    <a:blip r:embed="rId203" cstate="screen">
                      <a:extLst>
                        <a:ext uri="{28A0092B-C50C-407E-A947-70E740481C1C}">
                          <a14:useLocalDpi xmlns:a14="http://schemas.microsoft.com/office/drawing/2010/main"/>
                        </a:ext>
                      </a:extLst>
                    </a:blip>
                    <a:srcRect/>
                    <a:stretch/>
                  </pic:blipFill>
                  <pic:spPr bwMode="auto">
                    <a:xfrm>
                      <a:off x="0" y="0"/>
                      <a:ext cx="3280410" cy="2943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6446A0E8" w:rsidRPr="00037C61">
        <w:rPr>
          <w:rFonts w:cs="Calibri"/>
          <w:lang w:val="en-GB"/>
        </w:rPr>
        <w:t xml:space="preserve">The investments done </w:t>
      </w:r>
      <w:r w:rsidR="6446A0E8" w:rsidRPr="00037C61">
        <w:rPr>
          <w:b/>
          <w:bCs/>
          <w:lang w:val="en-GB"/>
        </w:rPr>
        <w:t>in the field of large hydropower</w:t>
      </w:r>
      <w:r w:rsidR="6446A0E8" w:rsidRPr="00037C61">
        <w:rPr>
          <w:rFonts w:cs="Calibri"/>
          <w:lang w:val="en-GB"/>
        </w:rPr>
        <w:t xml:space="preserve"> between 2002-2012, increased eve</w:t>
      </w:r>
      <w:r w:rsidR="269283EC" w:rsidRPr="00037C61">
        <w:rPr>
          <w:rFonts w:cs="Calibri"/>
          <w:lang w:val="en-GB"/>
        </w:rPr>
        <w:t>n</w:t>
      </w:r>
      <w:r w:rsidR="6446A0E8" w:rsidRPr="00037C61">
        <w:rPr>
          <w:rFonts w:cs="Calibri"/>
          <w:lang w:val="en-GB"/>
        </w:rPr>
        <w:t xml:space="preserve"> in CBC area, which has a low potential, in Csongrád-Csanád and Timișoara NUTS3 with a rate of 20%-40%. In the other NUTS3 from CBC area, the rate remained low, between 0%-20%.</w:t>
      </w:r>
    </w:p>
    <w:p w14:paraId="5E8BABC9" w14:textId="5D92B703" w:rsidR="00DB31C0" w:rsidRPr="00037C61" w:rsidRDefault="00DB31C0" w:rsidP="00715B98">
      <w:pPr>
        <w:keepNext/>
        <w:spacing w:after="0"/>
        <w:rPr>
          <w:lang w:val="en-GB"/>
        </w:rPr>
      </w:pPr>
    </w:p>
    <w:p w14:paraId="6083E812" w14:textId="2848B9F9" w:rsidR="005D1208" w:rsidRPr="00037C61" w:rsidRDefault="005D1208" w:rsidP="00715B98">
      <w:pPr>
        <w:keepNext/>
        <w:spacing w:after="0"/>
        <w:rPr>
          <w:lang w:val="en-GB"/>
        </w:rPr>
      </w:pPr>
    </w:p>
    <w:p w14:paraId="091359C1" w14:textId="4D964914" w:rsidR="005D1208" w:rsidRPr="00037C61" w:rsidRDefault="005D1208" w:rsidP="00715B98">
      <w:pPr>
        <w:keepNext/>
        <w:spacing w:after="0"/>
        <w:rPr>
          <w:lang w:val="en-GB"/>
        </w:rPr>
      </w:pPr>
    </w:p>
    <w:p w14:paraId="197E6E97" w14:textId="77777777" w:rsidR="005D1208" w:rsidRPr="00037C61" w:rsidRDefault="005D1208" w:rsidP="00715B98">
      <w:pPr>
        <w:keepNext/>
        <w:spacing w:after="0"/>
        <w:rPr>
          <w:lang w:val="en-GB"/>
        </w:rPr>
      </w:pPr>
    </w:p>
    <w:p w14:paraId="2350F335" w14:textId="79076872" w:rsidR="005D1208" w:rsidRPr="00037C61" w:rsidRDefault="005D1208" w:rsidP="00715B98">
      <w:pPr>
        <w:keepNext/>
        <w:spacing w:after="0"/>
        <w:rPr>
          <w:lang w:val="en-GB"/>
        </w:rPr>
      </w:pPr>
    </w:p>
    <w:p w14:paraId="4D861F3A" w14:textId="6BED05F8" w:rsidR="005D1208" w:rsidRPr="00037C61" w:rsidRDefault="005D1208" w:rsidP="005D1208">
      <w:pPr>
        <w:pStyle w:val="Caption"/>
        <w:jc w:val="both"/>
        <w:rPr>
          <w:rFonts w:cs="Calibri"/>
          <w:lang w:val="en-GB"/>
        </w:rPr>
      </w:pPr>
      <w:bookmarkStart w:id="718" w:name="_Toc6461104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97</w:t>
      </w:r>
      <w:r w:rsidR="00412697">
        <w:rPr>
          <w:lang w:val="en-GB"/>
        </w:rPr>
        <w:fldChar w:fldCharType="end"/>
      </w:r>
      <w:r w:rsidRPr="00037C61">
        <w:rPr>
          <w:lang w:val="en-GB"/>
        </w:rPr>
        <w:t xml:space="preserve"> - Large hydro power exploitation rate 2012</w:t>
      </w:r>
      <w:bookmarkEnd w:id="718"/>
    </w:p>
    <w:p w14:paraId="2D68CB37" w14:textId="77777777" w:rsidR="005D1208" w:rsidRPr="00037C61" w:rsidRDefault="005D1208" w:rsidP="005D1208">
      <w:pPr>
        <w:pStyle w:val="Caption"/>
        <w:jc w:val="both"/>
        <w:rPr>
          <w:i w:val="0"/>
          <w:lang w:val="en-GB"/>
        </w:rPr>
      </w:pPr>
      <w:r w:rsidRPr="00037C61">
        <w:rPr>
          <w:lang w:val="en-GB"/>
        </w:rPr>
        <w:t>Source: Territories and low-carbon economy (ESPON Locate)</w:t>
      </w:r>
    </w:p>
    <w:p w14:paraId="2C3ECBB6" w14:textId="77777777" w:rsidR="005D1208" w:rsidRPr="00037C61" w:rsidRDefault="005D1208" w:rsidP="00715B98">
      <w:pPr>
        <w:keepNext/>
        <w:spacing w:after="0"/>
        <w:rPr>
          <w:lang w:val="en-GB"/>
        </w:rPr>
      </w:pPr>
    </w:p>
    <w:p w14:paraId="1ED4C5CD" w14:textId="13920545" w:rsidR="00FB0745" w:rsidRPr="00037C61" w:rsidRDefault="005D1208" w:rsidP="00FB0745">
      <w:pPr>
        <w:spacing w:before="100" w:beforeAutospacing="1" w:after="100" w:afterAutospacing="1"/>
        <w:rPr>
          <w:rFonts w:cs="Calibri"/>
          <w:lang w:val="en-GB"/>
        </w:rPr>
      </w:pPr>
      <w:r w:rsidRPr="00037C61">
        <w:rPr>
          <w:rFonts w:cs="Calibri"/>
          <w:lang w:val="en-GB"/>
        </w:rPr>
        <w:t>Investments achieved</w:t>
      </w:r>
      <w:r w:rsidR="00070EEE" w:rsidRPr="00037C61">
        <w:rPr>
          <w:rFonts w:cs="Calibri"/>
          <w:lang w:val="en-GB"/>
        </w:rPr>
        <w:t xml:space="preserve"> </w:t>
      </w:r>
      <w:r w:rsidR="00FB0745" w:rsidRPr="00037C61">
        <w:rPr>
          <w:rFonts w:cs="Calibri"/>
          <w:lang w:val="en-GB"/>
        </w:rPr>
        <w:t xml:space="preserve">in </w:t>
      </w:r>
      <w:r w:rsidRPr="00037C61">
        <w:rPr>
          <w:rFonts w:cs="Calibri"/>
          <w:lang w:val="en-GB"/>
        </w:rPr>
        <w:t xml:space="preserve">the </w:t>
      </w:r>
      <w:r w:rsidR="00FB0745" w:rsidRPr="00037C61">
        <w:rPr>
          <w:rFonts w:cs="Calibri"/>
          <w:lang w:val="en-GB"/>
        </w:rPr>
        <w:t>renewable energy field</w:t>
      </w:r>
      <w:r w:rsidRPr="00037C61">
        <w:rPr>
          <w:rFonts w:cs="Calibri"/>
          <w:lang w:val="en-GB"/>
        </w:rPr>
        <w:t xml:space="preserve"> in both the Romanian as well as Hungarian sides of the PA </w:t>
      </w:r>
      <w:r w:rsidR="00FB0745" w:rsidRPr="00037C61">
        <w:rPr>
          <w:rFonts w:cs="Calibri"/>
          <w:lang w:val="en-GB"/>
        </w:rPr>
        <w:t xml:space="preserve">are not even </w:t>
      </w:r>
      <w:r w:rsidR="00A425F2" w:rsidRPr="00037C61">
        <w:rPr>
          <w:rFonts w:cs="Calibri"/>
          <w:lang w:val="en-GB"/>
        </w:rPr>
        <w:t xml:space="preserve">closing in on </w:t>
      </w:r>
      <w:r w:rsidR="00FB0745" w:rsidRPr="00037C61">
        <w:rPr>
          <w:rFonts w:cs="Calibri"/>
          <w:lang w:val="en-GB"/>
        </w:rPr>
        <w:t>the potential of the CBC area and natural resources should be exploited. The reason of the lack of investments in renewable energy in general is limited investments in technology, needed to develop energy systems.</w:t>
      </w:r>
    </w:p>
    <w:p w14:paraId="5AF60DEA" w14:textId="62DCEBE6" w:rsidR="005D1208" w:rsidRPr="00037C61" w:rsidRDefault="005D1208" w:rsidP="005E0849">
      <w:pPr>
        <w:spacing w:before="100" w:beforeAutospacing="1" w:after="0"/>
        <w:rPr>
          <w:rFonts w:cs="Calibri"/>
          <w:lang w:val="en-GB"/>
        </w:rPr>
      </w:pPr>
      <w:r w:rsidRPr="00037C61">
        <w:rPr>
          <w:rFonts w:cs="Calibri"/>
          <w:lang w:val="en-GB"/>
        </w:rPr>
        <w:lastRenderedPageBreak/>
        <w:t xml:space="preserve">However, in closing, an essential development is represented by the European Green Deal and the 2030 Climate and Energy Framework, which set as key targets for 2030: </w:t>
      </w:r>
    </w:p>
    <w:p w14:paraId="503F5802" w14:textId="77777777" w:rsidR="005D1208" w:rsidRPr="00037C61" w:rsidRDefault="005D1208" w:rsidP="005E0849">
      <w:pPr>
        <w:pStyle w:val="InterregROHUBullet1"/>
        <w:spacing w:after="0"/>
        <w:ind w:left="567" w:hanging="425"/>
      </w:pPr>
      <w:r w:rsidRPr="00037C61">
        <w:t>At least 40% cuts in greenhouse gas emissions (from 1990 levels)</w:t>
      </w:r>
    </w:p>
    <w:p w14:paraId="29201AF9" w14:textId="77777777" w:rsidR="005D1208" w:rsidRPr="00037C61" w:rsidRDefault="005D1208" w:rsidP="005E0849">
      <w:pPr>
        <w:pStyle w:val="InterregROHUBullet1"/>
        <w:spacing w:after="0"/>
        <w:ind w:left="567" w:hanging="425"/>
      </w:pPr>
      <w:r w:rsidRPr="00037C61">
        <w:t>At least 32% share for renewable energy</w:t>
      </w:r>
    </w:p>
    <w:p w14:paraId="5052CBD1" w14:textId="33335E14" w:rsidR="005D1208" w:rsidRPr="00037C61" w:rsidRDefault="005D1208" w:rsidP="005D1208">
      <w:pPr>
        <w:pStyle w:val="InterregROHUBullet1"/>
        <w:ind w:left="567" w:hanging="425"/>
      </w:pPr>
      <w:r w:rsidRPr="00037C61">
        <w:t>At least 32.5% improvement in energy efficiency</w:t>
      </w:r>
    </w:p>
    <w:p w14:paraId="54ACE9F9" w14:textId="51ECD0CB" w:rsidR="005D1208" w:rsidRPr="00037C61" w:rsidRDefault="005D1208" w:rsidP="005D1208">
      <w:pPr>
        <w:pStyle w:val="InterregROHUBullet1"/>
        <w:numPr>
          <w:ilvl w:val="0"/>
          <w:numId w:val="0"/>
        </w:numPr>
      </w:pPr>
      <w:r w:rsidRPr="00037C61">
        <w:t>This is a significantly ambitious plan in the context of the overall aim to reduce the G</w:t>
      </w:r>
      <w:r w:rsidR="37DFD140" w:rsidRPr="00037C61">
        <w:t>H</w:t>
      </w:r>
      <w:r w:rsidRPr="00037C61">
        <w:t xml:space="preserve">G emissions by 2030 with at least 55% compared to 1990. According to the </w:t>
      </w:r>
      <w:r w:rsidRPr="00037C61">
        <w:rPr>
          <w:b/>
        </w:rPr>
        <w:t>Romanian 2021-2030 Integrated National Energy and Climate Plan</w:t>
      </w:r>
      <w:r w:rsidRPr="00037C61">
        <w:t xml:space="preserve">, the national target for 2030 is set to </w:t>
      </w:r>
      <w:r w:rsidRPr="00037C61">
        <w:rPr>
          <w:b/>
        </w:rPr>
        <w:t>30.7% of RES share</w:t>
      </w:r>
      <w:r w:rsidRPr="00037C61">
        <w:t xml:space="preserve"> in the final energy consumption. </w:t>
      </w:r>
      <w:r w:rsidRPr="00037C61">
        <w:rPr>
          <w:b/>
        </w:rPr>
        <w:t>Hungary</w:t>
      </w:r>
      <w:r w:rsidR="009D7E40" w:rsidRPr="00037C61">
        <w:rPr>
          <w:b/>
        </w:rPr>
        <w:t>, through the National Energy and Climate Plan,</w:t>
      </w:r>
      <w:r w:rsidR="009D7E40" w:rsidRPr="00037C61">
        <w:t xml:space="preserve"> </w:t>
      </w:r>
      <w:r w:rsidRPr="00037C61">
        <w:t xml:space="preserve">plans to increase the share of renewable energy sources to </w:t>
      </w:r>
      <w:r w:rsidRPr="00037C61">
        <w:rPr>
          <w:b/>
        </w:rPr>
        <w:t>at least 21 % within gross final energy consumption</w:t>
      </w:r>
      <w:r w:rsidRPr="00037C61">
        <w:t xml:space="preserve">. Within the heating and cooling </w:t>
      </w:r>
      <w:r w:rsidR="009D7E40" w:rsidRPr="00037C61">
        <w:t>sector,</w:t>
      </w:r>
      <w:r w:rsidRPr="00037C61">
        <w:t xml:space="preserve"> the share of renewable energy – with additional measures – may approximate 30 % in 2030</w:t>
      </w:r>
      <w:r w:rsidR="009D7E40" w:rsidRPr="00037C61">
        <w:t xml:space="preserve"> (Ministry of Innovation and Technology, 2020). Both these ambitions leverage strongly on the development of alternative energy streams and the valorization of oftentimes common territorial assets, which can be supported through cooperation.  </w:t>
      </w:r>
    </w:p>
    <w:p w14:paraId="286ED227" w14:textId="77777777" w:rsidR="005F68EE" w:rsidRPr="00037C61" w:rsidRDefault="005F68EE" w:rsidP="005F68EE">
      <w:pPr>
        <w:pStyle w:val="Heading4"/>
        <w:rPr>
          <w:rFonts w:cs="Calibri"/>
          <w:lang w:val="en-GB"/>
        </w:rPr>
      </w:pPr>
      <w:r w:rsidRPr="00037C61">
        <w:rPr>
          <w:lang w:val="en-GB"/>
        </w:rPr>
        <w:t>Resources</w:t>
      </w:r>
      <w:r w:rsidRPr="00037C61">
        <w:rPr>
          <w:rFonts w:cs="Calibri"/>
          <w:lang w:val="en-GB"/>
        </w:rPr>
        <w:t xml:space="preserve"> and potential for cooperation in the renewable energy sector </w:t>
      </w:r>
      <w:r w:rsidRPr="00037C61">
        <w:rPr>
          <w:lang w:val="en-GB"/>
        </w:rPr>
        <w:t xml:space="preserve"> </w:t>
      </w:r>
    </w:p>
    <w:p w14:paraId="3E80EA66" w14:textId="67E2AFA4" w:rsidR="005F68EE" w:rsidRPr="00037C61" w:rsidRDefault="005D64A2" w:rsidP="005F68EE">
      <w:pPr>
        <w:spacing w:before="100" w:beforeAutospacing="1" w:after="100" w:afterAutospacing="1"/>
        <w:rPr>
          <w:rFonts w:cs="Calibri"/>
          <w:i/>
          <w:iCs/>
          <w:sz w:val="20"/>
          <w:szCs w:val="20"/>
          <w:lang w:val="en-GB"/>
        </w:rPr>
      </w:pPr>
      <w:r w:rsidRPr="00037C61">
        <w:rPr>
          <w:rFonts w:cs="Calibri"/>
          <w:lang w:val="en-GB"/>
        </w:rPr>
        <w:t xml:space="preserve">Underground water resources having a temperature of 60-100°C at 2,000m in depth are sufficient for geothermal district heating grids, which makes geothermal energy a potential additional heating option across most of Europe. However, higher temperatures yield a better energy potential, and the PA represents one of the more attractive regions in Europe for geothermal resources, with temperatures  </w:t>
      </w:r>
      <w:r w:rsidR="005F68EE" w:rsidRPr="00037C61">
        <w:rPr>
          <w:rFonts w:cs="Calibri"/>
          <w:lang w:val="en-GB"/>
        </w:rPr>
        <w:t>registering between 100-120°C.</w:t>
      </w:r>
    </w:p>
    <w:p w14:paraId="72AD28CA" w14:textId="1BA9C2C9" w:rsidR="005F68EE" w:rsidRPr="00037C61" w:rsidRDefault="005F68EE" w:rsidP="005F68EE">
      <w:pPr>
        <w:keepNext/>
        <w:rPr>
          <w:lang w:val="en-GB"/>
        </w:rPr>
      </w:pPr>
      <w:r w:rsidRPr="00037C61">
        <w:rPr>
          <w:noProof/>
          <w:lang w:val="ro-RO" w:eastAsia="ro-RO"/>
        </w:rPr>
        <w:drawing>
          <wp:inline distT="0" distB="0" distL="0" distR="0" wp14:anchorId="54A2A370" wp14:editId="6ABD57C3">
            <wp:extent cx="5667154" cy="3370107"/>
            <wp:effectExtent l="0" t="0" r="0" b="1905"/>
            <wp:docPr id="176" name="Picture 176" descr="page89image13131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pic:nvPicPr>
                  <pic:blipFill>
                    <a:blip r:embed="rId204">
                      <a:extLst>
                        <a:ext uri="{28A0092B-C50C-407E-A947-70E740481C1C}">
                          <a14:useLocalDpi xmlns:a14="http://schemas.microsoft.com/office/drawing/2010/main"/>
                        </a:ext>
                      </a:extLst>
                    </a:blip>
                    <a:stretch>
                      <a:fillRect/>
                    </a:stretch>
                  </pic:blipFill>
                  <pic:spPr>
                    <a:xfrm>
                      <a:off x="0" y="0"/>
                      <a:ext cx="5667154" cy="3370107"/>
                    </a:xfrm>
                    <a:prstGeom prst="rect">
                      <a:avLst/>
                    </a:prstGeom>
                  </pic:spPr>
                </pic:pic>
              </a:graphicData>
            </a:graphic>
          </wp:inline>
        </w:drawing>
      </w:r>
    </w:p>
    <w:p w14:paraId="7802B023" w14:textId="7F0AFCF1" w:rsidR="005F68EE" w:rsidRPr="00037C61" w:rsidRDefault="005F68EE" w:rsidP="005F68EE">
      <w:pPr>
        <w:pStyle w:val="Caption"/>
        <w:jc w:val="both"/>
        <w:rPr>
          <w:lang w:val="en-GB"/>
        </w:rPr>
      </w:pPr>
      <w:bookmarkStart w:id="719" w:name="_Toc6461104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98</w:t>
      </w:r>
      <w:r w:rsidR="00412697">
        <w:rPr>
          <w:lang w:val="en-GB"/>
        </w:rPr>
        <w:fldChar w:fldCharType="end"/>
      </w:r>
      <w:r w:rsidRPr="00037C61">
        <w:rPr>
          <w:lang w:val="en-GB"/>
        </w:rPr>
        <w:t xml:space="preserve"> - Model temperature at 2.000 m depth</w:t>
      </w:r>
      <w:bookmarkEnd w:id="719"/>
    </w:p>
    <w:p w14:paraId="1A2C1824" w14:textId="77777777" w:rsidR="005F68EE" w:rsidRPr="00037C61" w:rsidRDefault="005F68EE" w:rsidP="005F68EE">
      <w:pPr>
        <w:pStyle w:val="Caption"/>
        <w:jc w:val="both"/>
        <w:rPr>
          <w:rFonts w:cs="Calibri"/>
          <w:lang w:val="en-GB"/>
        </w:rPr>
      </w:pPr>
      <w:r w:rsidRPr="00037C61">
        <w:rPr>
          <w:lang w:val="en-GB"/>
        </w:rPr>
        <w:t>Source: Territories and low-carbon economy (ESPON Locate)</w:t>
      </w:r>
    </w:p>
    <w:p w14:paraId="28A6E66F" w14:textId="71C58913" w:rsidR="005F68EE" w:rsidRPr="00037C61" w:rsidRDefault="005F68EE" w:rsidP="005F68EE">
      <w:pPr>
        <w:rPr>
          <w:lang w:val="en-GB"/>
        </w:rPr>
      </w:pPr>
      <w:r w:rsidRPr="00037C61">
        <w:rPr>
          <w:noProof/>
          <w:lang w:val="ro-RO" w:eastAsia="ro-RO"/>
        </w:rPr>
        <w:lastRenderedPageBreak/>
        <w:drawing>
          <wp:anchor distT="0" distB="0" distL="114300" distR="114300" simplePos="0" relativeHeight="251679232" behindDoc="0" locked="0" layoutInCell="1" allowOverlap="1" wp14:anchorId="01527B2E" wp14:editId="63F4DA6B">
            <wp:simplePos x="0" y="0"/>
            <wp:positionH relativeFrom="margin">
              <wp:posOffset>2381885</wp:posOffset>
            </wp:positionH>
            <wp:positionV relativeFrom="paragraph">
              <wp:posOffset>31750</wp:posOffset>
            </wp:positionV>
            <wp:extent cx="3345815" cy="2797175"/>
            <wp:effectExtent l="0" t="0" r="6985" b="3175"/>
            <wp:wrapSquare wrapText="bothSides"/>
            <wp:docPr id="177" name="Picture 177" descr="page90image1315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49"/>
                    <pic:cNvPicPr/>
                  </pic:nvPicPr>
                  <pic:blipFill rotWithShape="1">
                    <a:blip r:embed="rId205" cstate="print">
                      <a:extLst>
                        <a:ext uri="{28A0092B-C50C-407E-A947-70E740481C1C}">
                          <a14:useLocalDpi xmlns:a14="http://schemas.microsoft.com/office/drawing/2010/main"/>
                        </a:ext>
                      </a:extLst>
                    </a:blip>
                    <a:srcRect/>
                    <a:stretch/>
                  </pic:blipFill>
                  <pic:spPr bwMode="auto">
                    <a:xfrm>
                      <a:off x="0" y="0"/>
                      <a:ext cx="3345815" cy="279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1BA125" w14:textId="6396A182" w:rsidR="005F68EE" w:rsidRPr="00037C61" w:rsidRDefault="005F68EE" w:rsidP="005F68EE">
      <w:pPr>
        <w:pStyle w:val="Caption"/>
        <w:jc w:val="both"/>
        <w:rPr>
          <w:rFonts w:cs="Calibri"/>
          <w:lang w:val="en-GB"/>
        </w:rPr>
      </w:pPr>
      <w:bookmarkStart w:id="720" w:name="_Toc6461104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99</w:t>
      </w:r>
      <w:r w:rsidR="00412697">
        <w:rPr>
          <w:lang w:val="en-GB"/>
        </w:rPr>
        <w:fldChar w:fldCharType="end"/>
      </w:r>
      <w:r w:rsidRPr="00037C61">
        <w:rPr>
          <w:lang w:val="en-GB"/>
        </w:rPr>
        <w:t xml:space="preserve"> - Total potential of geothermal district heating in ktoe thermal</w:t>
      </w:r>
      <w:bookmarkEnd w:id="720"/>
    </w:p>
    <w:p w14:paraId="1301F338" w14:textId="77777777" w:rsidR="005F68EE" w:rsidRPr="00037C61" w:rsidRDefault="086A48B6" w:rsidP="005F68EE">
      <w:pPr>
        <w:pStyle w:val="Caption"/>
        <w:jc w:val="both"/>
        <w:rPr>
          <w:lang w:val="en-GB"/>
        </w:rPr>
      </w:pPr>
      <w:r w:rsidRPr="00037C61">
        <w:rPr>
          <w:lang w:val="en-GB"/>
        </w:rPr>
        <w:t>Source: Territories and low-carbon economy (ESPON Locate)</w:t>
      </w:r>
    </w:p>
    <w:p w14:paraId="0FF6E249" w14:textId="2D9920DC" w:rsidR="086A48B6" w:rsidRPr="00037C61" w:rsidRDefault="086A48B6" w:rsidP="086A48B6">
      <w:pPr>
        <w:rPr>
          <w:lang w:val="en-GB"/>
        </w:rPr>
      </w:pPr>
    </w:p>
    <w:p w14:paraId="3FFC281C" w14:textId="77777777" w:rsidR="086A48B6" w:rsidRPr="00037C61" w:rsidRDefault="086A48B6" w:rsidP="086A48B6">
      <w:pPr>
        <w:pStyle w:val="InterregROHUBullet1"/>
        <w:numPr>
          <w:ilvl w:val="0"/>
          <w:numId w:val="0"/>
        </w:numPr>
        <w:rPr>
          <w:rFonts w:cs="Calibri"/>
        </w:rPr>
      </w:pPr>
      <w:r w:rsidRPr="00037C61">
        <w:rPr>
          <w:rFonts w:cs="Calibri"/>
        </w:rPr>
        <w:t>In particular, the following values are observed in the PA: 93-171ktoe in Békés, Satu Mare, Arad and 171-1932ktoe in the other NUTS3 of CBC border.</w:t>
      </w:r>
    </w:p>
    <w:p w14:paraId="1E73BBD8" w14:textId="6CE42EB6" w:rsidR="086A48B6" w:rsidRPr="00037C61" w:rsidRDefault="086A48B6" w:rsidP="086A48B6">
      <w:pPr>
        <w:pStyle w:val="InterregROHUBullet1"/>
        <w:numPr>
          <w:ilvl w:val="0"/>
          <w:numId w:val="0"/>
        </w:numPr>
      </w:pPr>
      <w:r w:rsidRPr="00037C61">
        <w:rPr>
          <w:rFonts w:cs="Calibri"/>
        </w:rPr>
        <w:t>Consequently, basic conditions for developing a strong geothermal energy sector are fulfilled.</w:t>
      </w:r>
    </w:p>
    <w:p w14:paraId="6E2EF938" w14:textId="77777777" w:rsidR="00DC0371" w:rsidRPr="00037C61" w:rsidRDefault="00DC0371" w:rsidP="086A48B6">
      <w:pPr>
        <w:spacing w:line="257" w:lineRule="auto"/>
        <w:rPr>
          <w:rFonts w:eastAsia="Calibri" w:cs="Calibri"/>
          <w:lang w:val="en-GB"/>
        </w:rPr>
      </w:pPr>
    </w:p>
    <w:p w14:paraId="054EF09D" w14:textId="1B1BD847" w:rsidR="086A48B6" w:rsidRPr="00037C61" w:rsidRDefault="086A48B6" w:rsidP="086A48B6">
      <w:pPr>
        <w:spacing w:line="257" w:lineRule="auto"/>
        <w:rPr>
          <w:lang w:val="en-GB"/>
        </w:rPr>
      </w:pPr>
      <w:r w:rsidRPr="00037C61">
        <w:rPr>
          <w:rFonts w:eastAsia="Calibri" w:cs="Calibri"/>
          <w:lang w:val="en-GB"/>
        </w:rPr>
        <w:t xml:space="preserve">According to </w:t>
      </w:r>
      <w:r w:rsidRPr="00037C61">
        <w:rPr>
          <w:rFonts w:eastAsia="Calibri" w:cs="Calibri"/>
          <w:i/>
          <w:iCs/>
          <w:lang w:val="en-GB"/>
        </w:rPr>
        <w:t xml:space="preserve">ETC Energy Projects – Assessing the Contribution of European Territorial Cooperation to EU Energy Policy, </w:t>
      </w:r>
      <w:r w:rsidRPr="00037C61">
        <w:rPr>
          <w:rFonts w:eastAsia="Calibri" w:cs="Calibri"/>
          <w:lang w:val="en-GB"/>
        </w:rPr>
        <w:t>there is a pressing need to speed up implementation of sustainable energy solutions, in order to achieve European Union energy targets. The document affirms that it is important at this stage to move from exchanging good practices to implementing them, and from gathering knowledge to applying it. ETC energy projects have made and will continue to make an important contribution to European energy policy, in particular in removing non-technological, non-cost barriers to a wider renewable energy deployment, and enhanced measures to reduce energy consumption. However, the next generation of ETC energy projects should be strongly encouraged to move from exchanging good practices to implementing them, and from gathering knowledge to applying it. This view is supported by the requirements of the 2014-2020 programme:</w:t>
      </w:r>
    </w:p>
    <w:p w14:paraId="72E4FDCE" w14:textId="5730DDC6" w:rsidR="086A48B6" w:rsidRPr="00037C61" w:rsidRDefault="086A48B6" w:rsidP="086A48B6">
      <w:pPr>
        <w:spacing w:line="257" w:lineRule="auto"/>
        <w:rPr>
          <w:lang w:val="en-GB"/>
        </w:rPr>
      </w:pPr>
      <w:r w:rsidRPr="00037C61">
        <w:rPr>
          <w:rFonts w:eastAsia="Calibri" w:cs="Calibri"/>
          <w:lang w:val="en-GB"/>
        </w:rPr>
        <w:t>– thematic concentration, meaning that programmes must concentrate funding on a limited number of programme specific objectives</w:t>
      </w:r>
    </w:p>
    <w:p w14:paraId="16B14404" w14:textId="6A111915" w:rsidR="086A48B6" w:rsidRPr="00037C61" w:rsidRDefault="086A48B6" w:rsidP="086A48B6">
      <w:pPr>
        <w:spacing w:line="257" w:lineRule="auto"/>
        <w:rPr>
          <w:lang w:val="en-GB"/>
        </w:rPr>
      </w:pPr>
      <w:r w:rsidRPr="00037C61">
        <w:rPr>
          <w:rFonts w:eastAsia="Calibri" w:cs="Calibri"/>
          <w:lang w:val="en-GB"/>
        </w:rPr>
        <w:t>– result-orientation, meaning that programmes must define envisaged results and commit to corresponding targets regarding the attainment of these results and progress towards them, whereas ‘result’ is understood as the change that the programme makes in the programme territory.</w:t>
      </w:r>
    </w:p>
    <w:p w14:paraId="7292082A" w14:textId="31999CE9" w:rsidR="086A48B6" w:rsidRPr="00037C61" w:rsidRDefault="086A48B6" w:rsidP="086A48B6">
      <w:pPr>
        <w:spacing w:line="257" w:lineRule="auto"/>
        <w:rPr>
          <w:lang w:val="en-GB"/>
        </w:rPr>
      </w:pPr>
      <w:r w:rsidRPr="00037C61">
        <w:rPr>
          <w:rFonts w:eastAsia="Calibri" w:cs="Calibri"/>
          <w:lang w:val="en-GB"/>
        </w:rPr>
        <w:t xml:space="preserve">As concerns the PA, a very important resource is the geothermal energy as energy stored in the form of heat below the earth’s surface. </w:t>
      </w:r>
      <w:r w:rsidRPr="00037C61">
        <w:rPr>
          <w:rFonts w:eastAsia="Calibri" w:cs="Calibri"/>
          <w:i/>
          <w:iCs/>
          <w:lang w:val="en-GB"/>
        </w:rPr>
        <w:t>This heat originates mainly from heat released due to the radioactive decay of minerals, and to some extent from the earth’s hot core which dates back to the planet’s formation (</w:t>
      </w:r>
      <w:r w:rsidRPr="00037C61">
        <w:rPr>
          <w:rFonts w:eastAsia="Calibri" w:cs="Calibri"/>
          <w:lang w:val="en-GB"/>
        </w:rPr>
        <w:t>Source:</w:t>
      </w:r>
      <w:r w:rsidRPr="00037C61">
        <w:rPr>
          <w:rFonts w:eastAsia="Calibri" w:cs="Calibri"/>
          <w:i/>
          <w:iCs/>
          <w:lang w:val="en-GB"/>
        </w:rPr>
        <w:t xml:space="preserve"> ETC Energy Projects). </w:t>
      </w:r>
    </w:p>
    <w:p w14:paraId="153A6F2D" w14:textId="7DC7D800" w:rsidR="00DC0371" w:rsidRPr="00037C61" w:rsidRDefault="086A48B6" w:rsidP="00DC0371">
      <w:pPr>
        <w:spacing w:line="257" w:lineRule="auto"/>
        <w:rPr>
          <w:lang w:val="en-GB"/>
        </w:rPr>
      </w:pPr>
      <w:r w:rsidRPr="00037C61">
        <w:rPr>
          <w:rFonts w:eastAsia="Calibri" w:cs="Calibri"/>
          <w:lang w:val="en-GB"/>
        </w:rPr>
        <w:t xml:space="preserve">There have been attempts to study the feasibility of cross-border cooperation in this field (ex. SzSzB-SM-Geo project). There is great untapped potential and examples across EU of cross-border projects in this field (according to </w:t>
      </w:r>
      <w:r w:rsidRPr="00037C61">
        <w:rPr>
          <w:rFonts w:eastAsia="Calibri" w:cs="Calibri"/>
          <w:i/>
          <w:iCs/>
          <w:lang w:val="en-GB"/>
        </w:rPr>
        <w:t>ETC Energy Projects</w:t>
      </w:r>
      <w:r w:rsidRPr="00037C61">
        <w:rPr>
          <w:rFonts w:eastAsia="Calibri" w:cs="Calibri"/>
          <w:lang w:val="en-GB"/>
        </w:rPr>
        <w:t>). There are 23 projects (out of 400 total analyzed projects) dealing with geothermal energy across Europe. Out of these, some have also small-scale pilot investments. Geothermal sources are considered a strong cross-border asset, still not fully exploited</w:t>
      </w:r>
    </w:p>
    <w:p w14:paraId="3C3FDAB2" w14:textId="5A470632" w:rsidR="005F68EE" w:rsidRPr="00037C61" w:rsidRDefault="005F68EE" w:rsidP="005F68EE">
      <w:pPr>
        <w:pStyle w:val="NormalWeb"/>
        <w:rPr>
          <w:rFonts w:ascii="Calibri" w:hAnsi="Calibri" w:cs="Calibri"/>
          <w:sz w:val="22"/>
          <w:szCs w:val="22"/>
          <w:lang w:val="en-GB"/>
        </w:rPr>
      </w:pPr>
      <w:r w:rsidRPr="00037C61">
        <w:rPr>
          <w:b/>
          <w:bCs/>
          <w:noProof/>
          <w:lang w:val="ro-RO" w:eastAsia="ro-RO"/>
        </w:rPr>
        <w:lastRenderedPageBreak/>
        <w:drawing>
          <wp:anchor distT="0" distB="0" distL="114300" distR="114300" simplePos="0" relativeHeight="251680256" behindDoc="0" locked="0" layoutInCell="1" allowOverlap="1" wp14:anchorId="0D314FAA" wp14:editId="2289ED7F">
            <wp:simplePos x="0" y="0"/>
            <wp:positionH relativeFrom="margin">
              <wp:posOffset>1663065</wp:posOffset>
            </wp:positionH>
            <wp:positionV relativeFrom="paragraph">
              <wp:posOffset>126365</wp:posOffset>
            </wp:positionV>
            <wp:extent cx="4064000" cy="3397885"/>
            <wp:effectExtent l="0" t="0" r="1270" b="0"/>
            <wp:wrapSquare wrapText="bothSides"/>
            <wp:docPr id="799357032" name="Picture 799357032" descr="page88image408597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63"/>
                    <pic:cNvPicPr/>
                  </pic:nvPicPr>
                  <pic:blipFill rotWithShape="1">
                    <a:blip r:embed="rId206" cstate="print">
                      <a:extLst>
                        <a:ext uri="{28A0092B-C50C-407E-A947-70E740481C1C}">
                          <a14:useLocalDpi xmlns:a14="http://schemas.microsoft.com/office/drawing/2010/main"/>
                        </a:ext>
                      </a:extLst>
                    </a:blip>
                    <a:srcRect/>
                    <a:stretch/>
                  </pic:blipFill>
                  <pic:spPr bwMode="auto">
                    <a:xfrm>
                      <a:off x="0" y="0"/>
                      <a:ext cx="4064000" cy="3397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7C61">
        <w:rPr>
          <w:rFonts w:ascii="Calibri" w:hAnsi="Calibri" w:cs="Calibri"/>
          <w:b/>
          <w:bCs/>
          <w:sz w:val="22"/>
          <w:szCs w:val="22"/>
          <w:lang w:val="en-GB"/>
        </w:rPr>
        <w:t>The biomass energy</w:t>
      </w:r>
      <w:r w:rsidRPr="00037C61">
        <w:rPr>
          <w:rFonts w:ascii="Calibri" w:hAnsi="Calibri" w:cs="Calibri"/>
          <w:sz w:val="22"/>
          <w:szCs w:val="22"/>
          <w:lang w:val="en-GB"/>
        </w:rPr>
        <w:t xml:space="preserve"> can be obtained from forest products and forests residues, crops and organic wastes. As it is shown in the bellow map, on CBC Programme area the highest potential is between 0,20-0,34 GWh/km</w:t>
      </w:r>
      <w:r w:rsidRPr="00037C61">
        <w:rPr>
          <w:rFonts w:ascii="Calibri" w:hAnsi="Calibri" w:cs="Calibri"/>
          <w:sz w:val="22"/>
          <w:szCs w:val="22"/>
          <w:vertAlign w:val="superscript"/>
          <w:lang w:val="en-GB"/>
        </w:rPr>
        <w:t>2</w:t>
      </w:r>
      <w:r w:rsidRPr="00037C61">
        <w:rPr>
          <w:rFonts w:ascii="Calibri" w:hAnsi="Calibri" w:cs="Calibri"/>
          <w:sz w:val="22"/>
          <w:szCs w:val="22"/>
          <w:lang w:val="en-GB"/>
        </w:rPr>
        <w:t xml:space="preserve"> in Hajdú-Bihar, Oradea and Arad and between 0,09-0,20 GWh/km</w:t>
      </w:r>
      <w:r w:rsidRPr="00037C61">
        <w:rPr>
          <w:rFonts w:ascii="Calibri" w:hAnsi="Calibri" w:cs="Calibri"/>
          <w:sz w:val="22"/>
          <w:szCs w:val="22"/>
          <w:vertAlign w:val="superscript"/>
          <w:lang w:val="en-GB"/>
        </w:rPr>
        <w:t>2</w:t>
      </w:r>
      <w:r w:rsidRPr="00037C61">
        <w:rPr>
          <w:rFonts w:ascii="Calibri" w:hAnsi="Calibri" w:cs="Calibri"/>
          <w:sz w:val="22"/>
          <w:szCs w:val="22"/>
          <w:lang w:val="en-GB"/>
        </w:rPr>
        <w:t xml:space="preserve"> in Szabolcs-Szatmár-Bereg, Csongrád-Csanád. In Békés the biomass potential is between 0,00-0,09 GWh/km</w:t>
      </w:r>
      <w:r w:rsidRPr="00037C61">
        <w:rPr>
          <w:rFonts w:ascii="Calibri" w:hAnsi="Calibri" w:cs="Calibri"/>
          <w:sz w:val="22"/>
          <w:szCs w:val="22"/>
          <w:vertAlign w:val="superscript"/>
          <w:lang w:val="en-GB"/>
        </w:rPr>
        <w:t>2</w:t>
      </w:r>
      <w:r w:rsidRPr="00037C61">
        <w:rPr>
          <w:rFonts w:ascii="Calibri" w:hAnsi="Calibri" w:cs="Calibri"/>
          <w:sz w:val="22"/>
          <w:szCs w:val="22"/>
          <w:lang w:val="en-GB"/>
        </w:rPr>
        <w:t>.</w:t>
      </w:r>
    </w:p>
    <w:p w14:paraId="78B5B4D4" w14:textId="77777777" w:rsidR="005F68EE" w:rsidRPr="00037C61" w:rsidRDefault="005F68EE" w:rsidP="005F68EE">
      <w:pPr>
        <w:keepNext/>
        <w:spacing w:before="240" w:after="0"/>
        <w:rPr>
          <w:lang w:val="en-GB"/>
        </w:rPr>
      </w:pPr>
    </w:p>
    <w:p w14:paraId="6DE724DF" w14:textId="24BEF116" w:rsidR="005F68EE" w:rsidRPr="00037C61" w:rsidRDefault="005F68EE" w:rsidP="005F68EE">
      <w:pPr>
        <w:pStyle w:val="Caption"/>
        <w:jc w:val="both"/>
        <w:rPr>
          <w:lang w:val="en-GB"/>
        </w:rPr>
      </w:pPr>
      <w:bookmarkStart w:id="721" w:name="_Toc6461104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100</w:t>
      </w:r>
      <w:r w:rsidR="00412697">
        <w:rPr>
          <w:lang w:val="en-GB"/>
        </w:rPr>
        <w:fldChar w:fldCharType="end"/>
      </w:r>
      <w:r w:rsidRPr="00037C61">
        <w:rPr>
          <w:lang w:val="en-GB"/>
        </w:rPr>
        <w:t xml:space="preserve"> - Primary energy potential of biodegradable wastes and biogas</w:t>
      </w:r>
      <w:bookmarkEnd w:id="721"/>
    </w:p>
    <w:p w14:paraId="577E6297" w14:textId="77777777" w:rsidR="005F68EE" w:rsidRPr="00037C61" w:rsidRDefault="005F68EE" w:rsidP="005F68EE">
      <w:pPr>
        <w:pStyle w:val="NormalWeb"/>
        <w:spacing w:before="0" w:beforeAutospacing="0"/>
        <w:rPr>
          <w:rFonts w:ascii="Calibri" w:eastAsiaTheme="minorHAnsi" w:hAnsi="Calibri" w:cstheme="minorBidi"/>
          <w:i/>
          <w:iCs/>
          <w:noProof/>
          <w:color w:val="012751" w:themeColor="text2"/>
          <w:sz w:val="18"/>
          <w:szCs w:val="18"/>
          <w:lang w:val="en-GB"/>
        </w:rPr>
      </w:pPr>
      <w:r w:rsidRPr="00037C61">
        <w:rPr>
          <w:rFonts w:ascii="Calibri" w:eastAsiaTheme="minorHAnsi" w:hAnsi="Calibri" w:cstheme="minorBidi"/>
          <w:i/>
          <w:iCs/>
          <w:noProof/>
          <w:color w:val="012751" w:themeColor="text2"/>
          <w:sz w:val="18"/>
          <w:szCs w:val="18"/>
          <w:lang w:val="en-GB"/>
        </w:rPr>
        <w:t>Source: Territories and low-carbon economy (ESPON Locate)</w:t>
      </w:r>
    </w:p>
    <w:p w14:paraId="26992422" w14:textId="2AF4FD11" w:rsidR="005F68EE" w:rsidRPr="00037C61" w:rsidRDefault="005F68EE" w:rsidP="74CEAA85">
      <w:pPr>
        <w:spacing w:before="100" w:beforeAutospacing="1" w:after="100" w:afterAutospacing="1"/>
        <w:rPr>
          <w:rFonts w:cs="Calibri"/>
          <w:lang w:val="en-GB"/>
        </w:rPr>
      </w:pPr>
      <w:r w:rsidRPr="00037C61">
        <w:rPr>
          <w:noProof/>
          <w:lang w:val="ro-RO" w:eastAsia="ro-RO"/>
        </w:rPr>
        <w:drawing>
          <wp:anchor distT="0" distB="0" distL="114300" distR="114300" simplePos="0" relativeHeight="251681280" behindDoc="0" locked="0" layoutInCell="1" allowOverlap="1" wp14:anchorId="59FC2951" wp14:editId="3B2881A1">
            <wp:simplePos x="0" y="0"/>
            <wp:positionH relativeFrom="margin">
              <wp:align>left</wp:align>
            </wp:positionH>
            <wp:positionV relativeFrom="paragraph">
              <wp:posOffset>51253</wp:posOffset>
            </wp:positionV>
            <wp:extent cx="3768090" cy="3145790"/>
            <wp:effectExtent l="0" t="0" r="3810" b="0"/>
            <wp:wrapSquare wrapText="bothSides"/>
            <wp:docPr id="178" name="Picture 178" descr="page71image13619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53"/>
                    <pic:cNvPicPr/>
                  </pic:nvPicPr>
                  <pic:blipFill rotWithShape="1">
                    <a:blip r:embed="rId207" cstate="print">
                      <a:extLst>
                        <a:ext uri="{28A0092B-C50C-407E-A947-70E740481C1C}">
                          <a14:useLocalDpi xmlns:a14="http://schemas.microsoft.com/office/drawing/2010/main"/>
                        </a:ext>
                      </a:extLst>
                    </a:blip>
                    <a:srcRect/>
                    <a:stretch/>
                  </pic:blipFill>
                  <pic:spPr bwMode="auto">
                    <a:xfrm>
                      <a:off x="0" y="0"/>
                      <a:ext cx="3768090" cy="3145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7C61">
        <w:rPr>
          <w:b/>
          <w:bCs/>
          <w:lang w:val="en-GB"/>
        </w:rPr>
        <w:t>Wind energy</w:t>
      </w:r>
      <w:r w:rsidRPr="00037C61">
        <w:rPr>
          <w:rFonts w:cs="Calibri"/>
          <w:lang w:val="en-GB"/>
        </w:rPr>
        <w:t xml:space="preserve"> developed to an affordable renewable electricity source over the past decades. Nevertheless, the cost of electricity from wind farms depends strongly on local conditions and wind speeds, so as it is shown, we can see that in CBC area we cannot talk about a potential in real terms, because it is not a windy area.</w:t>
      </w:r>
    </w:p>
    <w:p w14:paraId="5C0BE7B2" w14:textId="77777777" w:rsidR="005F68EE" w:rsidRPr="00037C61" w:rsidRDefault="005F68EE" w:rsidP="005F68EE">
      <w:pPr>
        <w:spacing w:before="100" w:beforeAutospacing="1" w:after="100" w:afterAutospacing="1"/>
        <w:rPr>
          <w:lang w:val="en-GB"/>
        </w:rPr>
      </w:pPr>
    </w:p>
    <w:p w14:paraId="4FC46C1C" w14:textId="4C33B24E" w:rsidR="005F68EE" w:rsidRPr="00037C61" w:rsidRDefault="005F68EE" w:rsidP="005F68EE">
      <w:pPr>
        <w:pStyle w:val="Caption"/>
        <w:jc w:val="both"/>
        <w:rPr>
          <w:rFonts w:cs="Calibri"/>
          <w:lang w:val="en-GB"/>
        </w:rPr>
      </w:pPr>
      <w:bookmarkStart w:id="722" w:name="_Toc6461104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101</w:t>
      </w:r>
      <w:r w:rsidR="00412697">
        <w:rPr>
          <w:lang w:val="en-GB"/>
        </w:rPr>
        <w:fldChar w:fldCharType="end"/>
      </w:r>
      <w:r w:rsidRPr="00037C61">
        <w:rPr>
          <w:lang w:val="en-GB"/>
        </w:rPr>
        <w:t xml:space="preserve"> - Wind onshore energy potential, MWh per km2</w:t>
      </w:r>
      <w:bookmarkEnd w:id="722"/>
    </w:p>
    <w:p w14:paraId="3D743CD9" w14:textId="75BBC658" w:rsidR="005F68EE" w:rsidRPr="00037C61" w:rsidRDefault="005F68EE" w:rsidP="005F68EE">
      <w:pPr>
        <w:pStyle w:val="Caption"/>
        <w:jc w:val="both"/>
        <w:rPr>
          <w:lang w:val="en-GB"/>
        </w:rPr>
      </w:pPr>
      <w:r w:rsidRPr="00037C61">
        <w:rPr>
          <w:lang w:val="en-GB"/>
        </w:rPr>
        <w:t xml:space="preserve">Source: Territories and low-carbon economy (ESPON Locate) </w:t>
      </w:r>
    </w:p>
    <w:p w14:paraId="3FB5115C" w14:textId="2067C5C6" w:rsidR="006D3793" w:rsidRPr="00037C61" w:rsidRDefault="006D3793" w:rsidP="006D3793">
      <w:pPr>
        <w:rPr>
          <w:lang w:val="en-GB"/>
        </w:rPr>
      </w:pPr>
    </w:p>
    <w:p w14:paraId="481AFE1E" w14:textId="4E939FC9" w:rsidR="006D3793" w:rsidRPr="00037C61" w:rsidRDefault="006D3793" w:rsidP="006D3793">
      <w:pPr>
        <w:rPr>
          <w:lang w:val="en-GB"/>
        </w:rPr>
      </w:pPr>
    </w:p>
    <w:p w14:paraId="1065C886" w14:textId="2BCA82BD" w:rsidR="006D3793" w:rsidRPr="00037C61" w:rsidRDefault="006D3793" w:rsidP="006D3793">
      <w:pPr>
        <w:rPr>
          <w:lang w:val="en-GB"/>
        </w:rPr>
      </w:pPr>
    </w:p>
    <w:p w14:paraId="13066022" w14:textId="77777777" w:rsidR="006D3793" w:rsidRPr="00037C61" w:rsidRDefault="006D3793" w:rsidP="006D3793">
      <w:pPr>
        <w:rPr>
          <w:lang w:val="en-GB"/>
        </w:rPr>
      </w:pPr>
    </w:p>
    <w:p w14:paraId="2F4F2008" w14:textId="30D7C5D0" w:rsidR="005F68EE" w:rsidRPr="00037C61" w:rsidRDefault="006D3793" w:rsidP="005F68EE">
      <w:pPr>
        <w:spacing w:before="100" w:beforeAutospacing="1" w:after="100" w:afterAutospacing="1"/>
        <w:rPr>
          <w:rFonts w:cs="Calibri"/>
          <w:i/>
          <w:iCs/>
          <w:sz w:val="18"/>
          <w:szCs w:val="18"/>
          <w:lang w:val="en-GB"/>
        </w:rPr>
      </w:pPr>
      <w:r w:rsidRPr="00037C61">
        <w:rPr>
          <w:noProof/>
          <w:lang w:val="ro-RO" w:eastAsia="ro-RO"/>
        </w:rPr>
        <w:lastRenderedPageBreak/>
        <w:drawing>
          <wp:anchor distT="0" distB="0" distL="114300" distR="114300" simplePos="0" relativeHeight="251701760" behindDoc="0" locked="0" layoutInCell="1" allowOverlap="1" wp14:anchorId="12B1E897" wp14:editId="2EF08203">
            <wp:simplePos x="0" y="0"/>
            <wp:positionH relativeFrom="margin">
              <wp:align>left</wp:align>
            </wp:positionH>
            <wp:positionV relativeFrom="paragraph">
              <wp:posOffset>113119</wp:posOffset>
            </wp:positionV>
            <wp:extent cx="3699510" cy="3094990"/>
            <wp:effectExtent l="0" t="0" r="0" b="0"/>
            <wp:wrapSquare wrapText="bothSides"/>
            <wp:docPr id="179" name="Picture 179" descr="page76image15899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57"/>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3703062" cy="3097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68EE" w:rsidRPr="00037C61">
        <w:rPr>
          <w:b/>
          <w:bCs/>
          <w:lang w:val="en-GB"/>
        </w:rPr>
        <w:t>Solar energy</w:t>
      </w:r>
      <w:r w:rsidR="005F68EE" w:rsidRPr="00037C61">
        <w:rPr>
          <w:rFonts w:cs="Calibri"/>
          <w:lang w:val="en-GB"/>
        </w:rPr>
        <w:t xml:space="preserve"> developed even faster than wind energy between in the 2000s and 2010s. Similar to Wind, the cost of electricity from solar installations also depend strongly on local conditions. The potential is displayed in potential electricity harvest per area, without showing the investment necessary to exploit the potential, and is between the next intervals: 375-697</w:t>
      </w:r>
      <w:r w:rsidR="005F68EE" w:rsidRPr="00037C61">
        <w:rPr>
          <w:lang w:val="en-GB"/>
        </w:rPr>
        <w:t xml:space="preserve"> </w:t>
      </w:r>
      <w:r w:rsidR="005F68EE" w:rsidRPr="00037C61">
        <w:rPr>
          <w:rFonts w:cs="Calibri"/>
          <w:lang w:val="en-GB"/>
        </w:rPr>
        <w:t>MWh/km</w:t>
      </w:r>
      <w:r w:rsidR="005F68EE" w:rsidRPr="00037C61">
        <w:rPr>
          <w:rFonts w:cs="Calibri"/>
          <w:vertAlign w:val="superscript"/>
          <w:lang w:val="en-GB"/>
        </w:rPr>
        <w:t>2</w:t>
      </w:r>
      <w:r w:rsidR="005F68EE" w:rsidRPr="00037C61">
        <w:rPr>
          <w:rFonts w:cs="Calibri"/>
          <w:lang w:val="en-GB"/>
        </w:rPr>
        <w:t xml:space="preserve"> in Hajdú-Bihar, Csongrád-Csanád, Békés and Timiș NUTS3 and 220-375 MWh/km</w:t>
      </w:r>
      <w:r w:rsidR="005F68EE" w:rsidRPr="00037C61">
        <w:rPr>
          <w:rFonts w:cs="Calibri"/>
          <w:vertAlign w:val="superscript"/>
          <w:lang w:val="en-GB"/>
        </w:rPr>
        <w:t>2</w:t>
      </w:r>
      <w:r w:rsidR="005F68EE" w:rsidRPr="00037C61">
        <w:rPr>
          <w:rFonts w:cs="Calibri"/>
          <w:lang w:val="en-GB"/>
        </w:rPr>
        <w:t xml:space="preserve"> in Szabolcs-Szatmár-Bereg, Satu Mare, Oradea and Arad NUTS3.</w:t>
      </w:r>
    </w:p>
    <w:p w14:paraId="74C34D72" w14:textId="764C47F4" w:rsidR="005F68EE" w:rsidRPr="00037C61" w:rsidRDefault="005F68EE" w:rsidP="005F68EE">
      <w:pPr>
        <w:pStyle w:val="Caption"/>
        <w:jc w:val="both"/>
        <w:rPr>
          <w:rFonts w:cs="Calibri"/>
          <w:lang w:val="en-GB"/>
        </w:rPr>
      </w:pPr>
      <w:bookmarkStart w:id="723" w:name="_Toc6461105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102</w:t>
      </w:r>
      <w:r w:rsidR="00412697">
        <w:rPr>
          <w:lang w:val="en-GB"/>
        </w:rPr>
        <w:fldChar w:fldCharType="end"/>
      </w:r>
      <w:r w:rsidRPr="00037C61">
        <w:rPr>
          <w:lang w:val="en-GB"/>
        </w:rPr>
        <w:t xml:space="preserve"> - Solar energy potential, MWh/km2</w:t>
      </w:r>
      <w:bookmarkEnd w:id="723"/>
    </w:p>
    <w:p w14:paraId="037EF42C" w14:textId="77777777" w:rsidR="005F68EE" w:rsidRPr="00037C61" w:rsidRDefault="005F68EE" w:rsidP="005F68EE">
      <w:pPr>
        <w:pStyle w:val="Caption"/>
        <w:jc w:val="both"/>
        <w:rPr>
          <w:i w:val="0"/>
          <w:lang w:val="en-GB"/>
        </w:rPr>
      </w:pPr>
      <w:r w:rsidRPr="00037C61">
        <w:rPr>
          <w:lang w:val="en-GB"/>
        </w:rPr>
        <w:t xml:space="preserve">Source: Territories and low-carbon economy </w:t>
      </w:r>
    </w:p>
    <w:p w14:paraId="3869E2DF" w14:textId="77777777" w:rsidR="005F68EE" w:rsidRPr="00037C61" w:rsidRDefault="005F68EE" w:rsidP="005F68EE">
      <w:pPr>
        <w:spacing w:after="0"/>
        <w:rPr>
          <w:lang w:val="en-GB"/>
        </w:rPr>
      </w:pPr>
    </w:p>
    <w:p w14:paraId="51316944" w14:textId="77777777" w:rsidR="005F68EE" w:rsidRPr="00037C61" w:rsidRDefault="005F68EE" w:rsidP="005F68EE">
      <w:pPr>
        <w:spacing w:after="0"/>
        <w:rPr>
          <w:lang w:val="en-GB"/>
        </w:rPr>
      </w:pPr>
      <w:r w:rsidRPr="00037C61">
        <w:rPr>
          <w:lang w:val="en-GB"/>
        </w:rPr>
        <w:t xml:space="preserve">According to the Global Solar Atlas, the cooperation PA has </w:t>
      </w:r>
      <w:bookmarkStart w:id="724" w:name="_Hlk54883186"/>
      <w:r w:rsidRPr="00037C61">
        <w:rPr>
          <w:lang w:val="en-GB"/>
        </w:rPr>
        <w:t xml:space="preserve">a </w:t>
      </w:r>
      <w:r w:rsidRPr="00037C61">
        <w:rPr>
          <w:b/>
          <w:bCs/>
          <w:lang w:val="en-GB"/>
        </w:rPr>
        <w:t>high photovoltaic energy potential</w:t>
      </w:r>
      <w:r w:rsidRPr="00037C61">
        <w:rPr>
          <w:lang w:val="en-GB"/>
        </w:rPr>
        <w:t>, in the 3.30-3.51 kWh/kWp per day, with circa two thirds of the territory being suitable for installation of photovoltaic production (Csongrád-Csanád, Békés, Timiș, partly Arad, Bihor and Hajdu-Bihar).</w:t>
      </w:r>
    </w:p>
    <w:bookmarkEnd w:id="724"/>
    <w:p w14:paraId="6FA030E3" w14:textId="4ADBB341" w:rsidR="005F68EE" w:rsidRPr="00037C61" w:rsidRDefault="005F68EE" w:rsidP="005F68EE">
      <w:pPr>
        <w:keepNext/>
        <w:spacing w:after="0"/>
        <w:rPr>
          <w:lang w:val="en-GB"/>
        </w:rPr>
      </w:pPr>
      <w:r w:rsidRPr="00037C61">
        <w:rPr>
          <w:noProof/>
          <w:lang w:val="ro-RO" w:eastAsia="ro-RO"/>
        </w:rPr>
        <w:drawing>
          <wp:inline distT="0" distB="0" distL="0" distR="0" wp14:anchorId="568BB5F3" wp14:editId="3EE7B79C">
            <wp:extent cx="5677786" cy="3008894"/>
            <wp:effectExtent l="0" t="0" r="0" b="127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74"/>
                    <pic:cNvPicPr/>
                  </pic:nvPicPr>
                  <pic:blipFill rotWithShape="1">
                    <a:blip r:embed="rId209" cstate="print">
                      <a:extLst>
                        <a:ext uri="{28A0092B-C50C-407E-A947-70E740481C1C}">
                          <a14:useLocalDpi xmlns:a14="http://schemas.microsoft.com/office/drawing/2010/main"/>
                        </a:ext>
                      </a:extLst>
                    </a:blip>
                    <a:srcRect/>
                    <a:stretch/>
                  </pic:blipFill>
                  <pic:spPr bwMode="auto">
                    <a:xfrm>
                      <a:off x="0" y="0"/>
                      <a:ext cx="5711738" cy="3026887"/>
                    </a:xfrm>
                    <a:prstGeom prst="rect">
                      <a:avLst/>
                    </a:prstGeom>
                    <a:ln>
                      <a:noFill/>
                    </a:ln>
                    <a:extLst>
                      <a:ext uri="{53640926-AAD7-44D8-BBD7-CCE9431645EC}">
                        <a14:shadowObscured xmlns:a14="http://schemas.microsoft.com/office/drawing/2010/main"/>
                      </a:ext>
                    </a:extLst>
                  </pic:spPr>
                </pic:pic>
              </a:graphicData>
            </a:graphic>
          </wp:inline>
        </w:drawing>
      </w:r>
    </w:p>
    <w:p w14:paraId="6F8076D6" w14:textId="677151E0" w:rsidR="005F68EE" w:rsidRPr="00037C61" w:rsidRDefault="005F68EE" w:rsidP="005F68EE">
      <w:pPr>
        <w:pStyle w:val="Caption"/>
        <w:jc w:val="both"/>
        <w:rPr>
          <w:lang w:val="en-GB"/>
        </w:rPr>
      </w:pPr>
      <w:bookmarkStart w:id="725" w:name="_Toc6461105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103</w:t>
      </w:r>
      <w:r w:rsidR="00412697">
        <w:rPr>
          <w:lang w:val="en-GB"/>
        </w:rPr>
        <w:fldChar w:fldCharType="end"/>
      </w:r>
      <w:r w:rsidRPr="00037C61">
        <w:rPr>
          <w:lang w:val="en-GB"/>
        </w:rPr>
        <w:t xml:space="preserve"> - Photovoltaic potential of the cooperation PA</w:t>
      </w:r>
      <w:bookmarkEnd w:id="725"/>
    </w:p>
    <w:p w14:paraId="2E5BF20B" w14:textId="77777777" w:rsidR="005F68EE" w:rsidRPr="00037C61" w:rsidRDefault="005F68EE" w:rsidP="005F68EE">
      <w:pPr>
        <w:pStyle w:val="Caption"/>
        <w:jc w:val="both"/>
        <w:rPr>
          <w:i w:val="0"/>
          <w:lang w:val="en-GB"/>
        </w:rPr>
      </w:pPr>
      <w:r w:rsidRPr="00037C61">
        <w:rPr>
          <w:lang w:val="en-GB"/>
        </w:rPr>
        <w:t>Source: Global Solar Atlas, globalsolaratlas.info</w:t>
      </w:r>
    </w:p>
    <w:p w14:paraId="1861650B" w14:textId="34CB7A93" w:rsidR="005F68EE" w:rsidRPr="00037C61" w:rsidRDefault="005F68EE" w:rsidP="43A5E8BA">
      <w:pPr>
        <w:spacing w:before="100" w:beforeAutospacing="1" w:after="100" w:afterAutospacing="1"/>
        <w:rPr>
          <w:rFonts w:cs="Calibri"/>
          <w:lang w:val="en-GB"/>
        </w:rPr>
      </w:pPr>
      <w:r w:rsidRPr="00037C61">
        <w:rPr>
          <w:rFonts w:cs="Calibri"/>
          <w:lang w:val="en-GB"/>
        </w:rPr>
        <w:t xml:space="preserve">In what concerns </w:t>
      </w:r>
      <w:r w:rsidRPr="00037C61">
        <w:rPr>
          <w:b/>
          <w:bCs/>
          <w:lang w:val="en-GB"/>
        </w:rPr>
        <w:t>hydropower</w:t>
      </w:r>
      <w:r w:rsidRPr="00037C61">
        <w:rPr>
          <w:rFonts w:cs="Calibri"/>
          <w:lang w:val="en-GB"/>
        </w:rPr>
        <w:t xml:space="preserve">, the overall potential had been distributed on the different streams. The streams had been divided in large and small rivers/streams to distribute the small and large hydro potential accordingly. Using this approach, it is possible to also distinguish between small and large </w:t>
      </w:r>
      <w:r w:rsidRPr="00037C61">
        <w:rPr>
          <w:rFonts w:cs="Calibri"/>
          <w:lang w:val="en-GB"/>
        </w:rPr>
        <w:lastRenderedPageBreak/>
        <w:t xml:space="preserve">hydro. While large hydropower (&gt;10 MW) is used in Europe to a high extent, the potential of small </w:t>
      </w:r>
      <w:r w:rsidRPr="00037C61">
        <w:rPr>
          <w:noProof/>
          <w:lang w:val="ro-RO" w:eastAsia="ro-RO"/>
        </w:rPr>
        <w:drawing>
          <wp:anchor distT="0" distB="0" distL="114300" distR="114300" simplePos="0" relativeHeight="251682304" behindDoc="0" locked="0" layoutInCell="1" allowOverlap="1" wp14:anchorId="72C25AA4" wp14:editId="5A7BB343">
            <wp:simplePos x="0" y="0"/>
            <wp:positionH relativeFrom="margin">
              <wp:align>right</wp:align>
            </wp:positionH>
            <wp:positionV relativeFrom="paragraph">
              <wp:posOffset>44178</wp:posOffset>
            </wp:positionV>
            <wp:extent cx="3635375" cy="3473450"/>
            <wp:effectExtent l="0" t="0" r="3175" b="0"/>
            <wp:wrapSquare wrapText="bothSides"/>
            <wp:docPr id="181" name="Picture 181" descr="page80image409572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59"/>
                    <pic:cNvPicPr/>
                  </pic:nvPicPr>
                  <pic:blipFill>
                    <a:blip r:embed="rId210" cstate="print">
                      <a:extLst>
                        <a:ext uri="{28A0092B-C50C-407E-A947-70E740481C1C}">
                          <a14:useLocalDpi xmlns:a14="http://schemas.microsoft.com/office/drawing/2010/main"/>
                        </a:ext>
                      </a:extLst>
                    </a:blip>
                    <a:stretch>
                      <a:fillRect/>
                    </a:stretch>
                  </pic:blipFill>
                  <pic:spPr>
                    <a:xfrm>
                      <a:off x="0" y="0"/>
                      <a:ext cx="3635375" cy="3473450"/>
                    </a:xfrm>
                    <a:prstGeom prst="rect">
                      <a:avLst/>
                    </a:prstGeom>
                  </pic:spPr>
                </pic:pic>
              </a:graphicData>
            </a:graphic>
            <wp14:sizeRelH relativeFrom="margin">
              <wp14:pctWidth>0</wp14:pctWidth>
            </wp14:sizeRelH>
            <wp14:sizeRelV relativeFrom="margin">
              <wp14:pctHeight>0</wp14:pctHeight>
            </wp14:sizeRelV>
          </wp:anchor>
        </w:drawing>
      </w:r>
      <w:r w:rsidRPr="00037C61">
        <w:rPr>
          <w:rFonts w:cs="Calibri"/>
          <w:lang w:val="en-GB"/>
        </w:rPr>
        <w:t xml:space="preserve">hydropower (&lt;10 MW) remains untapped in various European regions. </w:t>
      </w:r>
    </w:p>
    <w:p w14:paraId="6B6E10B0" w14:textId="77777777" w:rsidR="005F68EE" w:rsidRPr="00037C61" w:rsidRDefault="005F68EE" w:rsidP="005F68EE">
      <w:pPr>
        <w:spacing w:before="100" w:beforeAutospacing="1" w:after="100" w:afterAutospacing="1"/>
        <w:rPr>
          <w:lang w:val="en-GB"/>
        </w:rPr>
      </w:pPr>
      <w:r w:rsidRPr="00037C61">
        <w:rPr>
          <w:b/>
          <w:lang w:val="en-GB"/>
        </w:rPr>
        <w:t>Large Hydro power potential</w:t>
      </w:r>
      <w:r w:rsidRPr="00037C61">
        <w:rPr>
          <w:rFonts w:cs="Calibri"/>
          <w:lang w:val="en-GB"/>
        </w:rPr>
        <w:t xml:space="preserve"> estimations often differ from each other. However, the potential in the CBC area is very low on both sides of the border, so the figures have no relevance (in the bellow representation are between 0 and 1370 GWh.</w:t>
      </w:r>
    </w:p>
    <w:p w14:paraId="78832AE4" w14:textId="015EF07F" w:rsidR="005F68EE" w:rsidRPr="00037C61" w:rsidRDefault="005F68EE" w:rsidP="005F68EE">
      <w:pPr>
        <w:pStyle w:val="Caption"/>
        <w:jc w:val="both"/>
        <w:rPr>
          <w:lang w:val="en-GB"/>
        </w:rPr>
      </w:pPr>
      <w:bookmarkStart w:id="726" w:name="_Toc6461105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104</w:t>
      </w:r>
      <w:r w:rsidR="00412697">
        <w:rPr>
          <w:lang w:val="en-GB"/>
        </w:rPr>
        <w:fldChar w:fldCharType="end"/>
      </w:r>
      <w:r w:rsidRPr="00037C61">
        <w:rPr>
          <w:lang w:val="en-GB"/>
        </w:rPr>
        <w:t xml:space="preserve"> - Large hydropower, potential for electricity generation (GWh, 2017)</w:t>
      </w:r>
      <w:bookmarkEnd w:id="726"/>
      <w:r w:rsidRPr="00037C61">
        <w:rPr>
          <w:lang w:val="en-GB"/>
        </w:rPr>
        <w:t xml:space="preserve"> </w:t>
      </w:r>
    </w:p>
    <w:p w14:paraId="5B116FE0" w14:textId="77777777" w:rsidR="005F68EE" w:rsidRPr="00037C61" w:rsidRDefault="005F68EE" w:rsidP="005F68EE">
      <w:pPr>
        <w:pStyle w:val="Caption"/>
        <w:jc w:val="both"/>
        <w:rPr>
          <w:i w:val="0"/>
          <w:lang w:val="en-GB"/>
        </w:rPr>
      </w:pPr>
      <w:r w:rsidRPr="00037C61">
        <w:rPr>
          <w:lang w:val="en-GB"/>
        </w:rPr>
        <w:t>Source: Territories and low-carbon economy (ESPON Locate),</w:t>
      </w:r>
    </w:p>
    <w:p w14:paraId="46FDD8BD" w14:textId="77777777" w:rsidR="005F68EE" w:rsidRPr="00037C61" w:rsidRDefault="005F68EE" w:rsidP="005F68EE">
      <w:pPr>
        <w:pStyle w:val="Caption"/>
        <w:jc w:val="both"/>
        <w:rPr>
          <w:lang w:val="en-GB"/>
        </w:rPr>
      </w:pPr>
    </w:p>
    <w:p w14:paraId="1370A7E0" w14:textId="77777777" w:rsidR="005F68EE" w:rsidRPr="00037C61" w:rsidRDefault="005F68EE" w:rsidP="005F68EE">
      <w:pPr>
        <w:rPr>
          <w:rFonts w:cs="Calibri"/>
          <w:b/>
          <w:bCs/>
          <w:lang w:val="en-GB"/>
        </w:rPr>
      </w:pPr>
      <w:r w:rsidRPr="00037C61">
        <w:rPr>
          <w:rFonts w:cs="Calibri"/>
          <w:lang w:val="en-GB"/>
        </w:rPr>
        <w:t xml:space="preserve">Discarding wind and large hydropower energy, which both record an insignificant potential in the programme area, and allotting points on the scale of 0-3 for minimal to high RES valorisation potential, the following counties present a higher RES index: Szabolcs-Szatmár-Bereg, Hajdú-Bihar and Bihor, in the northern part, and Csongrád-Csanád and Timiș in the south:  </w:t>
      </w:r>
    </w:p>
    <w:p w14:paraId="63E4EE5A" w14:textId="323CDDC0" w:rsidR="005F68EE" w:rsidRPr="00037C61" w:rsidRDefault="005F68EE" w:rsidP="005F68EE">
      <w:pPr>
        <w:pStyle w:val="Caption"/>
        <w:keepNext/>
        <w:jc w:val="left"/>
        <w:rPr>
          <w:lang w:val="en-GB"/>
        </w:rPr>
      </w:pPr>
      <w:bookmarkStart w:id="727" w:name="_Toc58237652"/>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30</w:t>
      </w:r>
      <w:r w:rsidRPr="00037C61">
        <w:rPr>
          <w:lang w:val="en-GB"/>
        </w:rPr>
        <w:fldChar w:fldCharType="end"/>
      </w:r>
      <w:r w:rsidRPr="00037C61">
        <w:rPr>
          <w:lang w:val="en-GB"/>
        </w:rPr>
        <w:t xml:space="preserve"> - Presence of RES potential in the programme area counties</w:t>
      </w:r>
      <w:bookmarkEnd w:id="727"/>
    </w:p>
    <w:tbl>
      <w:tblPr>
        <w:tblW w:w="9204" w:type="dxa"/>
        <w:tblLook w:val="04A0" w:firstRow="1" w:lastRow="0" w:firstColumn="1" w:lastColumn="0" w:noHBand="0" w:noVBand="1"/>
      </w:tblPr>
      <w:tblGrid>
        <w:gridCol w:w="1975"/>
        <w:gridCol w:w="2044"/>
        <w:gridCol w:w="1925"/>
        <w:gridCol w:w="1418"/>
        <w:gridCol w:w="1842"/>
      </w:tblGrid>
      <w:tr w:rsidR="005F68EE" w:rsidRPr="00037C61" w14:paraId="26B29173" w14:textId="77777777" w:rsidTr="006344A9">
        <w:trPr>
          <w:trHeight w:val="354"/>
        </w:trPr>
        <w:tc>
          <w:tcPr>
            <w:tcW w:w="1975" w:type="dxa"/>
            <w:tcBorders>
              <w:top w:val="single" w:sz="8" w:space="0" w:color="034FA3"/>
              <w:left w:val="single" w:sz="8" w:space="0" w:color="034FA3"/>
              <w:bottom w:val="nil"/>
              <w:right w:val="nil"/>
            </w:tcBorders>
            <w:shd w:val="clear" w:color="000000" w:fill="034FA3"/>
            <w:vAlign w:val="center"/>
            <w:hideMark/>
          </w:tcPr>
          <w:p w14:paraId="6098D274" w14:textId="77777777" w:rsidR="005F68EE" w:rsidRPr="00037C61" w:rsidRDefault="005F68EE" w:rsidP="006344A9">
            <w:pPr>
              <w:spacing w:after="0" w:line="240" w:lineRule="auto"/>
              <w:jc w:val="left"/>
              <w:rPr>
                <w:rFonts w:eastAsia="Times New Roman" w:cs="Calibri"/>
                <w:b/>
                <w:bCs/>
                <w:color w:val="FFFFFF"/>
                <w:lang w:val="en-GB" w:eastAsia="en-GB"/>
              </w:rPr>
            </w:pPr>
            <w:r w:rsidRPr="00037C61">
              <w:rPr>
                <w:rFonts w:eastAsia="Times New Roman" w:cs="Calibri"/>
                <w:b/>
                <w:bCs/>
                <w:color w:val="FFFFFF"/>
                <w:lang w:val="en-GB" w:eastAsia="en-GB"/>
              </w:rPr>
              <w:t>Counties</w:t>
            </w:r>
          </w:p>
        </w:tc>
        <w:tc>
          <w:tcPr>
            <w:tcW w:w="2044" w:type="dxa"/>
            <w:tcBorders>
              <w:top w:val="single" w:sz="8" w:space="0" w:color="034FA3"/>
              <w:left w:val="nil"/>
              <w:bottom w:val="nil"/>
              <w:right w:val="nil"/>
            </w:tcBorders>
            <w:shd w:val="clear" w:color="000000" w:fill="034FA3"/>
            <w:vAlign w:val="center"/>
            <w:hideMark/>
          </w:tcPr>
          <w:p w14:paraId="61CE8B39" w14:textId="77777777" w:rsidR="005F68EE" w:rsidRPr="00037C61" w:rsidRDefault="005F68EE" w:rsidP="006344A9">
            <w:pPr>
              <w:spacing w:after="0" w:line="240" w:lineRule="auto"/>
              <w:jc w:val="center"/>
              <w:rPr>
                <w:rFonts w:eastAsia="Times New Roman" w:cs="Calibri"/>
                <w:b/>
                <w:bCs/>
                <w:color w:val="FFFFFF"/>
                <w:lang w:val="en-GB" w:eastAsia="en-GB"/>
              </w:rPr>
            </w:pPr>
            <w:r w:rsidRPr="00037C61">
              <w:rPr>
                <w:rFonts w:eastAsia="Times New Roman" w:cs="Calibri"/>
                <w:b/>
                <w:bCs/>
                <w:color w:val="FFFFFF"/>
                <w:lang w:val="en-GB" w:eastAsia="en-GB"/>
              </w:rPr>
              <w:t>Geothermal district heating potential</w:t>
            </w:r>
          </w:p>
        </w:tc>
        <w:tc>
          <w:tcPr>
            <w:tcW w:w="1925" w:type="dxa"/>
            <w:tcBorders>
              <w:top w:val="single" w:sz="8" w:space="0" w:color="034FA3"/>
              <w:left w:val="nil"/>
              <w:bottom w:val="nil"/>
              <w:right w:val="nil"/>
            </w:tcBorders>
            <w:shd w:val="clear" w:color="000000" w:fill="034FA3"/>
            <w:vAlign w:val="center"/>
            <w:hideMark/>
          </w:tcPr>
          <w:p w14:paraId="4BBFF6CD" w14:textId="77777777" w:rsidR="005F68EE" w:rsidRPr="00037C61" w:rsidRDefault="005F68EE" w:rsidP="006344A9">
            <w:pPr>
              <w:spacing w:after="0" w:line="240" w:lineRule="auto"/>
              <w:jc w:val="center"/>
              <w:rPr>
                <w:rFonts w:eastAsia="Times New Roman" w:cs="Calibri"/>
                <w:b/>
                <w:bCs/>
                <w:color w:val="FFFFFF"/>
                <w:lang w:val="en-GB" w:eastAsia="en-GB"/>
              </w:rPr>
            </w:pPr>
            <w:r w:rsidRPr="00037C61">
              <w:rPr>
                <w:rFonts w:eastAsia="Times New Roman" w:cs="Calibri"/>
                <w:b/>
                <w:bCs/>
                <w:color w:val="FFFFFF"/>
                <w:lang w:val="en-GB" w:eastAsia="en-GB"/>
              </w:rPr>
              <w:t>Energy potential of biodegradable wastes</w:t>
            </w:r>
          </w:p>
        </w:tc>
        <w:tc>
          <w:tcPr>
            <w:tcW w:w="1418" w:type="dxa"/>
            <w:tcBorders>
              <w:top w:val="single" w:sz="8" w:space="0" w:color="034FA3"/>
              <w:left w:val="nil"/>
              <w:bottom w:val="nil"/>
              <w:right w:val="nil"/>
            </w:tcBorders>
            <w:shd w:val="clear" w:color="000000" w:fill="034FA3"/>
            <w:vAlign w:val="center"/>
            <w:hideMark/>
          </w:tcPr>
          <w:p w14:paraId="1E6C024C" w14:textId="77777777" w:rsidR="005F68EE" w:rsidRPr="00037C61" w:rsidRDefault="005F68EE" w:rsidP="006344A9">
            <w:pPr>
              <w:spacing w:after="0" w:line="240" w:lineRule="auto"/>
              <w:jc w:val="center"/>
              <w:rPr>
                <w:rFonts w:eastAsia="Times New Roman" w:cs="Calibri"/>
                <w:b/>
                <w:bCs/>
                <w:color w:val="FFFFFF"/>
                <w:lang w:val="en-GB" w:eastAsia="en-GB"/>
              </w:rPr>
            </w:pPr>
            <w:r w:rsidRPr="00037C61">
              <w:rPr>
                <w:rFonts w:eastAsia="Times New Roman" w:cs="Calibri"/>
                <w:b/>
                <w:bCs/>
                <w:color w:val="FFFFFF"/>
                <w:lang w:val="en-GB" w:eastAsia="en-GB"/>
              </w:rPr>
              <w:t>Solar energy potential</w:t>
            </w:r>
          </w:p>
        </w:tc>
        <w:tc>
          <w:tcPr>
            <w:tcW w:w="1842" w:type="dxa"/>
            <w:tcBorders>
              <w:top w:val="nil"/>
              <w:left w:val="nil"/>
              <w:bottom w:val="nil"/>
              <w:right w:val="nil"/>
            </w:tcBorders>
            <w:shd w:val="clear" w:color="000000" w:fill="034FA3"/>
            <w:vAlign w:val="center"/>
            <w:hideMark/>
          </w:tcPr>
          <w:p w14:paraId="30A0DFB3" w14:textId="77777777" w:rsidR="005F68EE" w:rsidRPr="00037C61" w:rsidRDefault="005F68EE" w:rsidP="006344A9">
            <w:pPr>
              <w:spacing w:after="0" w:line="240" w:lineRule="auto"/>
              <w:jc w:val="center"/>
              <w:rPr>
                <w:rFonts w:eastAsia="Times New Roman" w:cs="Calibri"/>
                <w:b/>
                <w:bCs/>
                <w:color w:val="FFFFFF"/>
                <w:lang w:val="en-GB" w:eastAsia="en-GB"/>
              </w:rPr>
            </w:pPr>
            <w:r w:rsidRPr="00037C61">
              <w:rPr>
                <w:rFonts w:eastAsia="Times New Roman" w:cs="Calibri"/>
                <w:b/>
                <w:bCs/>
                <w:color w:val="FFFFFF"/>
                <w:lang w:val="en-GB" w:eastAsia="en-GB"/>
              </w:rPr>
              <w:t xml:space="preserve">Total RES index </w:t>
            </w:r>
          </w:p>
        </w:tc>
      </w:tr>
      <w:tr w:rsidR="00A50E7E" w:rsidRPr="00037C61" w14:paraId="3597D637" w14:textId="77777777" w:rsidTr="006344A9">
        <w:trPr>
          <w:trHeight w:val="180"/>
        </w:trPr>
        <w:tc>
          <w:tcPr>
            <w:tcW w:w="1975" w:type="dxa"/>
            <w:tcBorders>
              <w:top w:val="single" w:sz="8" w:space="0" w:color="034FA3"/>
              <w:left w:val="single" w:sz="8" w:space="0" w:color="034FA3"/>
              <w:bottom w:val="single" w:sz="8" w:space="0" w:color="034FA3"/>
              <w:right w:val="nil"/>
            </w:tcBorders>
            <w:shd w:val="clear" w:color="000000" w:fill="FFFFFF"/>
            <w:vAlign w:val="center"/>
            <w:hideMark/>
          </w:tcPr>
          <w:p w14:paraId="2B829DD4" w14:textId="77777777" w:rsidR="00A50E7E" w:rsidRPr="00037C61" w:rsidRDefault="00A50E7E" w:rsidP="00A50E7E">
            <w:pPr>
              <w:spacing w:after="0" w:line="240" w:lineRule="auto"/>
              <w:jc w:val="left"/>
              <w:rPr>
                <w:rFonts w:ascii="Arial" w:eastAsia="Times New Roman" w:hAnsi="Arial" w:cs="Arial"/>
                <w:b/>
                <w:bCs/>
                <w:color w:val="000000"/>
                <w:sz w:val="20"/>
                <w:szCs w:val="20"/>
                <w:lang w:val="en-GB" w:eastAsia="en-GB"/>
              </w:rPr>
            </w:pPr>
            <w:r w:rsidRPr="00037C61">
              <w:rPr>
                <w:rFonts w:ascii="Arial" w:eastAsia="Times New Roman" w:hAnsi="Arial" w:cs="Arial"/>
                <w:b/>
                <w:bCs/>
                <w:color w:val="000000"/>
                <w:sz w:val="20"/>
                <w:szCs w:val="20"/>
                <w:lang w:val="en-GB" w:eastAsia="en-GB"/>
              </w:rPr>
              <w:t>Hajdú-Bihar</w:t>
            </w:r>
          </w:p>
        </w:tc>
        <w:tc>
          <w:tcPr>
            <w:tcW w:w="2044" w:type="dxa"/>
            <w:tcBorders>
              <w:top w:val="single" w:sz="8" w:space="0" w:color="034FA3"/>
              <w:left w:val="nil"/>
              <w:bottom w:val="single" w:sz="8" w:space="0" w:color="034FA3"/>
              <w:right w:val="nil"/>
            </w:tcBorders>
            <w:shd w:val="clear" w:color="auto" w:fill="auto"/>
            <w:vAlign w:val="center"/>
            <w:hideMark/>
          </w:tcPr>
          <w:p w14:paraId="4CED9892"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3</w:t>
            </w:r>
          </w:p>
        </w:tc>
        <w:tc>
          <w:tcPr>
            <w:tcW w:w="1925" w:type="dxa"/>
            <w:tcBorders>
              <w:top w:val="single" w:sz="8" w:space="0" w:color="034FA3"/>
              <w:left w:val="nil"/>
              <w:bottom w:val="single" w:sz="8" w:space="0" w:color="034FA3"/>
              <w:right w:val="nil"/>
            </w:tcBorders>
            <w:shd w:val="clear" w:color="auto" w:fill="auto"/>
            <w:vAlign w:val="center"/>
            <w:hideMark/>
          </w:tcPr>
          <w:p w14:paraId="5202E89D"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0</w:t>
            </w:r>
          </w:p>
        </w:tc>
        <w:tc>
          <w:tcPr>
            <w:tcW w:w="1418" w:type="dxa"/>
            <w:tcBorders>
              <w:top w:val="single" w:sz="8" w:space="0" w:color="034FA3"/>
              <w:left w:val="nil"/>
              <w:bottom w:val="single" w:sz="8" w:space="0" w:color="034FA3"/>
              <w:right w:val="nil"/>
            </w:tcBorders>
            <w:shd w:val="clear" w:color="auto" w:fill="auto"/>
            <w:vAlign w:val="center"/>
            <w:hideMark/>
          </w:tcPr>
          <w:p w14:paraId="54A2A520"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842" w:type="dxa"/>
            <w:tcBorders>
              <w:top w:val="single" w:sz="8" w:space="0" w:color="034FA3"/>
              <w:left w:val="nil"/>
              <w:bottom w:val="single" w:sz="8" w:space="0" w:color="034FA3"/>
              <w:right w:val="nil"/>
            </w:tcBorders>
            <w:shd w:val="clear" w:color="auto" w:fill="auto"/>
            <w:vAlign w:val="center"/>
            <w:hideMark/>
          </w:tcPr>
          <w:p w14:paraId="7EA5B182" w14:textId="6413EFA2"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1.67</w:t>
            </w:r>
          </w:p>
        </w:tc>
      </w:tr>
      <w:tr w:rsidR="00A50E7E" w:rsidRPr="00037C61" w14:paraId="313BC435" w14:textId="77777777" w:rsidTr="006344A9">
        <w:trPr>
          <w:trHeight w:val="180"/>
        </w:trPr>
        <w:tc>
          <w:tcPr>
            <w:tcW w:w="1975" w:type="dxa"/>
            <w:tcBorders>
              <w:top w:val="nil"/>
              <w:left w:val="single" w:sz="8" w:space="0" w:color="034FA3"/>
              <w:bottom w:val="nil"/>
              <w:right w:val="nil"/>
            </w:tcBorders>
            <w:shd w:val="clear" w:color="000000" w:fill="FFFFFF"/>
            <w:vAlign w:val="center"/>
            <w:hideMark/>
          </w:tcPr>
          <w:p w14:paraId="1D01DDEA" w14:textId="77777777" w:rsidR="00A50E7E" w:rsidRPr="00037C61" w:rsidRDefault="00A50E7E" w:rsidP="00A50E7E">
            <w:pPr>
              <w:spacing w:after="0" w:line="240" w:lineRule="auto"/>
              <w:jc w:val="left"/>
              <w:rPr>
                <w:rFonts w:ascii="Arial" w:eastAsia="Times New Roman" w:hAnsi="Arial" w:cs="Arial"/>
                <w:b/>
                <w:bCs/>
                <w:color w:val="000000"/>
                <w:sz w:val="20"/>
                <w:szCs w:val="20"/>
                <w:lang w:val="en-GB" w:eastAsia="en-GB"/>
              </w:rPr>
            </w:pPr>
            <w:r w:rsidRPr="00037C61">
              <w:rPr>
                <w:rFonts w:ascii="Arial" w:eastAsia="Times New Roman" w:hAnsi="Arial" w:cs="Arial"/>
                <w:b/>
                <w:bCs/>
                <w:color w:val="000000"/>
                <w:sz w:val="20"/>
                <w:szCs w:val="20"/>
                <w:lang w:val="en-GB" w:eastAsia="en-GB"/>
              </w:rPr>
              <w:t>Szabolcs-Szatmár-Bereg</w:t>
            </w:r>
          </w:p>
        </w:tc>
        <w:tc>
          <w:tcPr>
            <w:tcW w:w="2044" w:type="dxa"/>
            <w:tcBorders>
              <w:top w:val="nil"/>
              <w:left w:val="nil"/>
              <w:bottom w:val="nil"/>
              <w:right w:val="nil"/>
            </w:tcBorders>
            <w:shd w:val="clear" w:color="auto" w:fill="auto"/>
            <w:vAlign w:val="center"/>
            <w:hideMark/>
          </w:tcPr>
          <w:p w14:paraId="6BAB1CFE"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3</w:t>
            </w:r>
          </w:p>
        </w:tc>
        <w:tc>
          <w:tcPr>
            <w:tcW w:w="1925" w:type="dxa"/>
            <w:tcBorders>
              <w:top w:val="nil"/>
              <w:left w:val="nil"/>
              <w:bottom w:val="nil"/>
              <w:right w:val="nil"/>
            </w:tcBorders>
            <w:shd w:val="clear" w:color="auto" w:fill="auto"/>
            <w:vAlign w:val="center"/>
            <w:hideMark/>
          </w:tcPr>
          <w:p w14:paraId="1E8424F3"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418" w:type="dxa"/>
            <w:tcBorders>
              <w:top w:val="nil"/>
              <w:left w:val="nil"/>
              <w:bottom w:val="nil"/>
              <w:right w:val="nil"/>
            </w:tcBorders>
            <w:shd w:val="clear" w:color="auto" w:fill="auto"/>
            <w:vAlign w:val="center"/>
            <w:hideMark/>
          </w:tcPr>
          <w:p w14:paraId="4E8A4EAD"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842" w:type="dxa"/>
            <w:tcBorders>
              <w:top w:val="nil"/>
              <w:left w:val="nil"/>
              <w:bottom w:val="single" w:sz="8" w:space="0" w:color="034FA3"/>
              <w:right w:val="nil"/>
            </w:tcBorders>
            <w:shd w:val="clear" w:color="auto" w:fill="auto"/>
            <w:vAlign w:val="center"/>
            <w:hideMark/>
          </w:tcPr>
          <w:p w14:paraId="2AF918DE" w14:textId="6BDCF9DF"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1.67</w:t>
            </w:r>
          </w:p>
        </w:tc>
      </w:tr>
      <w:tr w:rsidR="00A50E7E" w:rsidRPr="00037C61" w14:paraId="541A64C4" w14:textId="77777777" w:rsidTr="006344A9">
        <w:trPr>
          <w:trHeight w:val="180"/>
        </w:trPr>
        <w:tc>
          <w:tcPr>
            <w:tcW w:w="1975" w:type="dxa"/>
            <w:tcBorders>
              <w:top w:val="single" w:sz="8" w:space="0" w:color="034FA3"/>
              <w:left w:val="single" w:sz="8" w:space="0" w:color="034FA3"/>
              <w:bottom w:val="single" w:sz="8" w:space="0" w:color="034FA3"/>
              <w:right w:val="nil"/>
            </w:tcBorders>
            <w:shd w:val="clear" w:color="000000" w:fill="FFFFFF"/>
            <w:vAlign w:val="center"/>
            <w:hideMark/>
          </w:tcPr>
          <w:p w14:paraId="5CE2EAA3" w14:textId="77777777" w:rsidR="00A50E7E" w:rsidRPr="00037C61" w:rsidRDefault="00A50E7E" w:rsidP="00A50E7E">
            <w:pPr>
              <w:spacing w:after="0" w:line="240" w:lineRule="auto"/>
              <w:jc w:val="left"/>
              <w:rPr>
                <w:rFonts w:ascii="Arial" w:eastAsia="Times New Roman" w:hAnsi="Arial" w:cs="Arial"/>
                <w:color w:val="000000"/>
                <w:sz w:val="20"/>
                <w:szCs w:val="20"/>
                <w:lang w:val="en-GB" w:eastAsia="en-GB"/>
              </w:rPr>
            </w:pPr>
            <w:r w:rsidRPr="00037C61">
              <w:rPr>
                <w:rFonts w:ascii="Arial" w:eastAsia="Times New Roman" w:hAnsi="Arial" w:cs="Arial"/>
                <w:color w:val="000000"/>
                <w:sz w:val="20"/>
                <w:szCs w:val="20"/>
                <w:lang w:val="en-GB" w:eastAsia="en-GB"/>
              </w:rPr>
              <w:t>Békés</w:t>
            </w:r>
          </w:p>
        </w:tc>
        <w:tc>
          <w:tcPr>
            <w:tcW w:w="2044" w:type="dxa"/>
            <w:tcBorders>
              <w:top w:val="single" w:sz="8" w:space="0" w:color="034FA3"/>
              <w:left w:val="nil"/>
              <w:bottom w:val="single" w:sz="8" w:space="0" w:color="034FA3"/>
              <w:right w:val="nil"/>
            </w:tcBorders>
            <w:shd w:val="clear" w:color="auto" w:fill="auto"/>
            <w:vAlign w:val="center"/>
            <w:hideMark/>
          </w:tcPr>
          <w:p w14:paraId="085050B3"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925" w:type="dxa"/>
            <w:tcBorders>
              <w:top w:val="single" w:sz="8" w:space="0" w:color="034FA3"/>
              <w:left w:val="nil"/>
              <w:bottom w:val="single" w:sz="8" w:space="0" w:color="034FA3"/>
              <w:right w:val="nil"/>
            </w:tcBorders>
            <w:shd w:val="clear" w:color="auto" w:fill="auto"/>
            <w:vAlign w:val="center"/>
            <w:hideMark/>
          </w:tcPr>
          <w:p w14:paraId="0C34A292"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0</w:t>
            </w:r>
          </w:p>
        </w:tc>
        <w:tc>
          <w:tcPr>
            <w:tcW w:w="1418" w:type="dxa"/>
            <w:tcBorders>
              <w:top w:val="single" w:sz="8" w:space="0" w:color="034FA3"/>
              <w:left w:val="nil"/>
              <w:bottom w:val="single" w:sz="8" w:space="0" w:color="034FA3"/>
              <w:right w:val="nil"/>
            </w:tcBorders>
            <w:shd w:val="clear" w:color="auto" w:fill="auto"/>
            <w:vAlign w:val="center"/>
            <w:hideMark/>
          </w:tcPr>
          <w:p w14:paraId="5A4D6FB6"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842" w:type="dxa"/>
            <w:tcBorders>
              <w:top w:val="nil"/>
              <w:left w:val="nil"/>
              <w:bottom w:val="single" w:sz="8" w:space="0" w:color="034FA3"/>
              <w:right w:val="nil"/>
            </w:tcBorders>
            <w:shd w:val="clear" w:color="auto" w:fill="auto"/>
            <w:vAlign w:val="center"/>
            <w:hideMark/>
          </w:tcPr>
          <w:p w14:paraId="67C38D8E" w14:textId="176AC445"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1.33</w:t>
            </w:r>
          </w:p>
        </w:tc>
      </w:tr>
      <w:tr w:rsidR="00A50E7E" w:rsidRPr="00037C61" w14:paraId="7BB1E213" w14:textId="77777777" w:rsidTr="006344A9">
        <w:trPr>
          <w:trHeight w:val="180"/>
        </w:trPr>
        <w:tc>
          <w:tcPr>
            <w:tcW w:w="1975" w:type="dxa"/>
            <w:tcBorders>
              <w:top w:val="nil"/>
              <w:left w:val="single" w:sz="8" w:space="0" w:color="034FA3"/>
              <w:bottom w:val="nil"/>
              <w:right w:val="nil"/>
            </w:tcBorders>
            <w:shd w:val="clear" w:color="000000" w:fill="FFFFFF"/>
            <w:vAlign w:val="center"/>
            <w:hideMark/>
          </w:tcPr>
          <w:p w14:paraId="1398876D" w14:textId="77777777" w:rsidR="00A50E7E" w:rsidRPr="00037C61" w:rsidRDefault="00A50E7E" w:rsidP="00A50E7E">
            <w:pPr>
              <w:spacing w:after="0" w:line="240" w:lineRule="auto"/>
              <w:jc w:val="left"/>
              <w:rPr>
                <w:rFonts w:ascii="Arial" w:eastAsia="Times New Roman" w:hAnsi="Arial" w:cs="Arial"/>
                <w:b/>
                <w:bCs/>
                <w:color w:val="000000"/>
                <w:sz w:val="20"/>
                <w:szCs w:val="20"/>
                <w:lang w:val="en-GB" w:eastAsia="en-GB"/>
              </w:rPr>
            </w:pPr>
            <w:r w:rsidRPr="00037C61">
              <w:rPr>
                <w:rFonts w:ascii="Arial" w:eastAsia="Times New Roman" w:hAnsi="Arial" w:cs="Arial"/>
                <w:b/>
                <w:bCs/>
                <w:color w:val="000000"/>
                <w:sz w:val="20"/>
                <w:szCs w:val="20"/>
                <w:lang w:val="en-GB" w:eastAsia="en-GB"/>
              </w:rPr>
              <w:t>Csongrád-Csanád</w:t>
            </w:r>
          </w:p>
        </w:tc>
        <w:tc>
          <w:tcPr>
            <w:tcW w:w="2044" w:type="dxa"/>
            <w:tcBorders>
              <w:top w:val="nil"/>
              <w:left w:val="nil"/>
              <w:bottom w:val="nil"/>
              <w:right w:val="nil"/>
            </w:tcBorders>
            <w:shd w:val="clear" w:color="auto" w:fill="auto"/>
            <w:vAlign w:val="center"/>
            <w:hideMark/>
          </w:tcPr>
          <w:p w14:paraId="5D901A5E"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3</w:t>
            </w:r>
          </w:p>
        </w:tc>
        <w:tc>
          <w:tcPr>
            <w:tcW w:w="1925" w:type="dxa"/>
            <w:tcBorders>
              <w:top w:val="nil"/>
              <w:left w:val="nil"/>
              <w:bottom w:val="nil"/>
              <w:right w:val="nil"/>
            </w:tcBorders>
            <w:shd w:val="clear" w:color="auto" w:fill="auto"/>
            <w:vAlign w:val="center"/>
            <w:hideMark/>
          </w:tcPr>
          <w:p w14:paraId="7C5063B5"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0</w:t>
            </w:r>
          </w:p>
        </w:tc>
        <w:tc>
          <w:tcPr>
            <w:tcW w:w="1418" w:type="dxa"/>
            <w:tcBorders>
              <w:top w:val="nil"/>
              <w:left w:val="nil"/>
              <w:bottom w:val="nil"/>
              <w:right w:val="nil"/>
            </w:tcBorders>
            <w:shd w:val="clear" w:color="auto" w:fill="auto"/>
            <w:vAlign w:val="center"/>
            <w:hideMark/>
          </w:tcPr>
          <w:p w14:paraId="330E159C"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842" w:type="dxa"/>
            <w:tcBorders>
              <w:top w:val="nil"/>
              <w:left w:val="nil"/>
              <w:bottom w:val="single" w:sz="8" w:space="0" w:color="034FA3"/>
              <w:right w:val="nil"/>
            </w:tcBorders>
            <w:shd w:val="clear" w:color="auto" w:fill="auto"/>
            <w:vAlign w:val="center"/>
            <w:hideMark/>
          </w:tcPr>
          <w:p w14:paraId="3E5FC914" w14:textId="75F8400A"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1.67</w:t>
            </w:r>
          </w:p>
        </w:tc>
      </w:tr>
      <w:tr w:rsidR="00A50E7E" w:rsidRPr="00037C61" w14:paraId="31E798A4" w14:textId="77777777" w:rsidTr="006344A9">
        <w:trPr>
          <w:trHeight w:val="180"/>
        </w:trPr>
        <w:tc>
          <w:tcPr>
            <w:tcW w:w="1975" w:type="dxa"/>
            <w:tcBorders>
              <w:top w:val="single" w:sz="8" w:space="0" w:color="034FA3"/>
              <w:left w:val="single" w:sz="8" w:space="0" w:color="034FA3"/>
              <w:bottom w:val="single" w:sz="8" w:space="0" w:color="034FA3"/>
              <w:right w:val="nil"/>
            </w:tcBorders>
            <w:shd w:val="clear" w:color="000000" w:fill="FFFFFF"/>
            <w:vAlign w:val="center"/>
            <w:hideMark/>
          </w:tcPr>
          <w:p w14:paraId="723ADCA0" w14:textId="77777777" w:rsidR="00A50E7E" w:rsidRPr="00037C61" w:rsidRDefault="00A50E7E" w:rsidP="00A50E7E">
            <w:pPr>
              <w:spacing w:after="0" w:line="240" w:lineRule="auto"/>
              <w:jc w:val="left"/>
              <w:rPr>
                <w:rFonts w:ascii="Arial" w:eastAsia="Times New Roman" w:hAnsi="Arial" w:cs="Arial"/>
                <w:b/>
                <w:bCs/>
                <w:color w:val="000000"/>
                <w:sz w:val="20"/>
                <w:szCs w:val="20"/>
                <w:lang w:val="en-GB" w:eastAsia="en-GB"/>
              </w:rPr>
            </w:pPr>
            <w:r w:rsidRPr="00037C61">
              <w:rPr>
                <w:rFonts w:ascii="Arial" w:eastAsia="Times New Roman" w:hAnsi="Arial" w:cs="Arial"/>
                <w:b/>
                <w:bCs/>
                <w:color w:val="000000"/>
                <w:sz w:val="20"/>
                <w:szCs w:val="20"/>
                <w:lang w:val="en-GB" w:eastAsia="en-GB"/>
              </w:rPr>
              <w:t>Bihor</w:t>
            </w:r>
          </w:p>
        </w:tc>
        <w:tc>
          <w:tcPr>
            <w:tcW w:w="2044" w:type="dxa"/>
            <w:tcBorders>
              <w:top w:val="single" w:sz="8" w:space="0" w:color="034FA3"/>
              <w:left w:val="nil"/>
              <w:bottom w:val="single" w:sz="8" w:space="0" w:color="034FA3"/>
              <w:right w:val="nil"/>
            </w:tcBorders>
            <w:shd w:val="clear" w:color="auto" w:fill="auto"/>
            <w:vAlign w:val="center"/>
            <w:hideMark/>
          </w:tcPr>
          <w:p w14:paraId="572ECB5A"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3</w:t>
            </w:r>
          </w:p>
        </w:tc>
        <w:tc>
          <w:tcPr>
            <w:tcW w:w="1925" w:type="dxa"/>
            <w:tcBorders>
              <w:top w:val="single" w:sz="8" w:space="0" w:color="034FA3"/>
              <w:left w:val="nil"/>
              <w:bottom w:val="single" w:sz="8" w:space="0" w:color="034FA3"/>
              <w:right w:val="nil"/>
            </w:tcBorders>
            <w:shd w:val="clear" w:color="auto" w:fill="auto"/>
            <w:vAlign w:val="center"/>
            <w:hideMark/>
          </w:tcPr>
          <w:p w14:paraId="393C24D2"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418" w:type="dxa"/>
            <w:tcBorders>
              <w:top w:val="single" w:sz="8" w:space="0" w:color="034FA3"/>
              <w:left w:val="nil"/>
              <w:bottom w:val="single" w:sz="8" w:space="0" w:color="034FA3"/>
              <w:right w:val="nil"/>
            </w:tcBorders>
            <w:shd w:val="clear" w:color="auto" w:fill="auto"/>
            <w:vAlign w:val="center"/>
            <w:hideMark/>
          </w:tcPr>
          <w:p w14:paraId="535D600F"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842" w:type="dxa"/>
            <w:tcBorders>
              <w:top w:val="nil"/>
              <w:left w:val="nil"/>
              <w:bottom w:val="single" w:sz="8" w:space="0" w:color="034FA3"/>
              <w:right w:val="nil"/>
            </w:tcBorders>
            <w:shd w:val="clear" w:color="auto" w:fill="auto"/>
            <w:vAlign w:val="center"/>
            <w:hideMark/>
          </w:tcPr>
          <w:p w14:paraId="403AFC23" w14:textId="4FBDA995"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1.67</w:t>
            </w:r>
          </w:p>
        </w:tc>
      </w:tr>
      <w:tr w:rsidR="00A50E7E" w:rsidRPr="00037C61" w14:paraId="7508218D" w14:textId="77777777" w:rsidTr="006344A9">
        <w:trPr>
          <w:trHeight w:val="180"/>
        </w:trPr>
        <w:tc>
          <w:tcPr>
            <w:tcW w:w="1975" w:type="dxa"/>
            <w:tcBorders>
              <w:top w:val="nil"/>
              <w:left w:val="single" w:sz="8" w:space="0" w:color="034FA3"/>
              <w:bottom w:val="nil"/>
              <w:right w:val="nil"/>
            </w:tcBorders>
            <w:shd w:val="clear" w:color="000000" w:fill="FFFFFF"/>
            <w:vAlign w:val="center"/>
            <w:hideMark/>
          </w:tcPr>
          <w:p w14:paraId="1CD7A1D3" w14:textId="77777777" w:rsidR="00A50E7E" w:rsidRPr="00037C61" w:rsidRDefault="00A50E7E" w:rsidP="00A50E7E">
            <w:pPr>
              <w:spacing w:after="0" w:line="240" w:lineRule="auto"/>
              <w:jc w:val="left"/>
              <w:rPr>
                <w:rFonts w:ascii="Arial" w:eastAsia="Times New Roman" w:hAnsi="Arial" w:cs="Arial"/>
                <w:color w:val="000000"/>
                <w:sz w:val="20"/>
                <w:szCs w:val="20"/>
                <w:lang w:val="en-GB" w:eastAsia="en-GB"/>
              </w:rPr>
            </w:pPr>
            <w:r w:rsidRPr="00037C61">
              <w:rPr>
                <w:rFonts w:ascii="Arial" w:eastAsia="Times New Roman" w:hAnsi="Arial" w:cs="Arial"/>
                <w:color w:val="000000"/>
                <w:sz w:val="20"/>
                <w:szCs w:val="20"/>
                <w:lang w:val="en-GB" w:eastAsia="en-GB"/>
              </w:rPr>
              <w:t>Satu Mare</w:t>
            </w:r>
          </w:p>
        </w:tc>
        <w:tc>
          <w:tcPr>
            <w:tcW w:w="2044" w:type="dxa"/>
            <w:tcBorders>
              <w:top w:val="nil"/>
              <w:left w:val="nil"/>
              <w:bottom w:val="nil"/>
              <w:right w:val="nil"/>
            </w:tcBorders>
            <w:shd w:val="clear" w:color="auto" w:fill="auto"/>
            <w:vAlign w:val="center"/>
            <w:hideMark/>
          </w:tcPr>
          <w:p w14:paraId="1767D1C1"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925" w:type="dxa"/>
            <w:tcBorders>
              <w:top w:val="nil"/>
              <w:left w:val="nil"/>
              <w:bottom w:val="nil"/>
              <w:right w:val="nil"/>
            </w:tcBorders>
            <w:shd w:val="clear" w:color="auto" w:fill="auto"/>
            <w:vAlign w:val="center"/>
            <w:hideMark/>
          </w:tcPr>
          <w:p w14:paraId="04E69223"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0</w:t>
            </w:r>
          </w:p>
        </w:tc>
        <w:tc>
          <w:tcPr>
            <w:tcW w:w="1418" w:type="dxa"/>
            <w:tcBorders>
              <w:top w:val="nil"/>
              <w:left w:val="nil"/>
              <w:bottom w:val="nil"/>
              <w:right w:val="nil"/>
            </w:tcBorders>
            <w:shd w:val="clear" w:color="auto" w:fill="auto"/>
            <w:vAlign w:val="center"/>
            <w:hideMark/>
          </w:tcPr>
          <w:p w14:paraId="1C8104F6"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842" w:type="dxa"/>
            <w:tcBorders>
              <w:top w:val="nil"/>
              <w:left w:val="nil"/>
              <w:bottom w:val="single" w:sz="8" w:space="0" w:color="034FA3"/>
              <w:right w:val="nil"/>
            </w:tcBorders>
            <w:shd w:val="clear" w:color="auto" w:fill="auto"/>
            <w:vAlign w:val="center"/>
            <w:hideMark/>
          </w:tcPr>
          <w:p w14:paraId="1CA80658" w14:textId="3A1F8CF9"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1.00</w:t>
            </w:r>
          </w:p>
        </w:tc>
      </w:tr>
      <w:tr w:rsidR="00A50E7E" w:rsidRPr="00037C61" w14:paraId="751474D3" w14:textId="77777777" w:rsidTr="006344A9">
        <w:trPr>
          <w:trHeight w:val="180"/>
        </w:trPr>
        <w:tc>
          <w:tcPr>
            <w:tcW w:w="1975" w:type="dxa"/>
            <w:tcBorders>
              <w:top w:val="single" w:sz="8" w:space="0" w:color="034FA3"/>
              <w:left w:val="single" w:sz="8" w:space="0" w:color="034FA3"/>
              <w:bottom w:val="single" w:sz="8" w:space="0" w:color="034FA3"/>
              <w:right w:val="nil"/>
            </w:tcBorders>
            <w:shd w:val="clear" w:color="000000" w:fill="FFFFFF"/>
            <w:vAlign w:val="center"/>
            <w:hideMark/>
          </w:tcPr>
          <w:p w14:paraId="53FC1848" w14:textId="77777777" w:rsidR="00A50E7E" w:rsidRPr="00037C61" w:rsidRDefault="00A50E7E" w:rsidP="00A50E7E">
            <w:pPr>
              <w:spacing w:after="0" w:line="240" w:lineRule="auto"/>
              <w:jc w:val="left"/>
              <w:rPr>
                <w:rFonts w:ascii="Arial" w:eastAsia="Times New Roman" w:hAnsi="Arial" w:cs="Arial"/>
                <w:color w:val="000000"/>
                <w:sz w:val="20"/>
                <w:szCs w:val="20"/>
                <w:lang w:val="en-GB" w:eastAsia="en-GB"/>
              </w:rPr>
            </w:pPr>
            <w:r w:rsidRPr="00037C61">
              <w:rPr>
                <w:rFonts w:ascii="Arial" w:eastAsia="Times New Roman" w:hAnsi="Arial" w:cs="Arial"/>
                <w:color w:val="000000"/>
                <w:sz w:val="20"/>
                <w:szCs w:val="20"/>
                <w:lang w:val="en-GB" w:eastAsia="en-GB"/>
              </w:rPr>
              <w:t>Arad</w:t>
            </w:r>
          </w:p>
        </w:tc>
        <w:tc>
          <w:tcPr>
            <w:tcW w:w="2044" w:type="dxa"/>
            <w:tcBorders>
              <w:top w:val="single" w:sz="8" w:space="0" w:color="034FA3"/>
              <w:left w:val="nil"/>
              <w:bottom w:val="single" w:sz="8" w:space="0" w:color="034FA3"/>
              <w:right w:val="nil"/>
            </w:tcBorders>
            <w:shd w:val="clear" w:color="auto" w:fill="auto"/>
            <w:vAlign w:val="center"/>
            <w:hideMark/>
          </w:tcPr>
          <w:p w14:paraId="093C57F4"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925" w:type="dxa"/>
            <w:tcBorders>
              <w:top w:val="single" w:sz="8" w:space="0" w:color="034FA3"/>
              <w:left w:val="nil"/>
              <w:bottom w:val="single" w:sz="8" w:space="0" w:color="034FA3"/>
              <w:right w:val="nil"/>
            </w:tcBorders>
            <w:shd w:val="clear" w:color="auto" w:fill="auto"/>
            <w:vAlign w:val="center"/>
            <w:hideMark/>
          </w:tcPr>
          <w:p w14:paraId="6B06DE4A"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418" w:type="dxa"/>
            <w:tcBorders>
              <w:top w:val="single" w:sz="8" w:space="0" w:color="034FA3"/>
              <w:left w:val="nil"/>
              <w:bottom w:val="single" w:sz="8" w:space="0" w:color="034FA3"/>
              <w:right w:val="nil"/>
            </w:tcBorders>
            <w:shd w:val="clear" w:color="auto" w:fill="auto"/>
            <w:vAlign w:val="center"/>
            <w:hideMark/>
          </w:tcPr>
          <w:p w14:paraId="018AB4FF"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1</w:t>
            </w:r>
          </w:p>
        </w:tc>
        <w:tc>
          <w:tcPr>
            <w:tcW w:w="1842" w:type="dxa"/>
            <w:tcBorders>
              <w:top w:val="nil"/>
              <w:left w:val="nil"/>
              <w:bottom w:val="single" w:sz="8" w:space="0" w:color="034FA3"/>
              <w:right w:val="nil"/>
            </w:tcBorders>
            <w:shd w:val="clear" w:color="auto" w:fill="auto"/>
            <w:vAlign w:val="center"/>
            <w:hideMark/>
          </w:tcPr>
          <w:p w14:paraId="414E54B5" w14:textId="6770101C"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1.33</w:t>
            </w:r>
          </w:p>
        </w:tc>
      </w:tr>
      <w:tr w:rsidR="00A50E7E" w:rsidRPr="00037C61" w14:paraId="32BAA572" w14:textId="77777777" w:rsidTr="006344A9">
        <w:trPr>
          <w:trHeight w:val="180"/>
        </w:trPr>
        <w:tc>
          <w:tcPr>
            <w:tcW w:w="1975" w:type="dxa"/>
            <w:tcBorders>
              <w:top w:val="nil"/>
              <w:left w:val="single" w:sz="8" w:space="0" w:color="034FA3"/>
              <w:bottom w:val="single" w:sz="8" w:space="0" w:color="034FA3"/>
              <w:right w:val="nil"/>
            </w:tcBorders>
            <w:shd w:val="clear" w:color="000000" w:fill="FFFFFF"/>
            <w:vAlign w:val="center"/>
            <w:hideMark/>
          </w:tcPr>
          <w:p w14:paraId="2CD2BC7D" w14:textId="77777777" w:rsidR="00A50E7E" w:rsidRPr="00037C61" w:rsidRDefault="00A50E7E" w:rsidP="00A50E7E">
            <w:pPr>
              <w:spacing w:after="0" w:line="240" w:lineRule="auto"/>
              <w:jc w:val="left"/>
              <w:rPr>
                <w:rFonts w:ascii="Arial" w:eastAsia="Times New Roman" w:hAnsi="Arial" w:cs="Arial"/>
                <w:b/>
                <w:bCs/>
                <w:color w:val="000000"/>
                <w:sz w:val="20"/>
                <w:szCs w:val="20"/>
                <w:lang w:val="en-GB" w:eastAsia="en-GB"/>
              </w:rPr>
            </w:pPr>
            <w:r w:rsidRPr="00037C61">
              <w:rPr>
                <w:rFonts w:ascii="Arial" w:eastAsia="Times New Roman" w:hAnsi="Arial" w:cs="Arial"/>
                <w:b/>
                <w:bCs/>
                <w:color w:val="000000"/>
                <w:sz w:val="20"/>
                <w:szCs w:val="20"/>
                <w:lang w:val="en-GB" w:eastAsia="en-GB"/>
              </w:rPr>
              <w:t>Timiș</w:t>
            </w:r>
          </w:p>
        </w:tc>
        <w:tc>
          <w:tcPr>
            <w:tcW w:w="2044" w:type="dxa"/>
            <w:tcBorders>
              <w:top w:val="nil"/>
              <w:left w:val="nil"/>
              <w:bottom w:val="single" w:sz="8" w:space="0" w:color="034FA3"/>
              <w:right w:val="nil"/>
            </w:tcBorders>
            <w:shd w:val="clear" w:color="auto" w:fill="auto"/>
            <w:vAlign w:val="center"/>
            <w:hideMark/>
          </w:tcPr>
          <w:p w14:paraId="2B95C860"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3</w:t>
            </w:r>
          </w:p>
        </w:tc>
        <w:tc>
          <w:tcPr>
            <w:tcW w:w="1925" w:type="dxa"/>
            <w:tcBorders>
              <w:top w:val="nil"/>
              <w:left w:val="nil"/>
              <w:bottom w:val="single" w:sz="8" w:space="0" w:color="034FA3"/>
              <w:right w:val="nil"/>
            </w:tcBorders>
            <w:shd w:val="clear" w:color="auto" w:fill="auto"/>
            <w:vAlign w:val="center"/>
            <w:hideMark/>
          </w:tcPr>
          <w:p w14:paraId="2C34D0DC"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0</w:t>
            </w:r>
          </w:p>
        </w:tc>
        <w:tc>
          <w:tcPr>
            <w:tcW w:w="1418" w:type="dxa"/>
            <w:tcBorders>
              <w:top w:val="nil"/>
              <w:left w:val="nil"/>
              <w:bottom w:val="single" w:sz="8" w:space="0" w:color="034FA3"/>
              <w:right w:val="nil"/>
            </w:tcBorders>
            <w:shd w:val="clear" w:color="auto" w:fill="auto"/>
            <w:vAlign w:val="center"/>
            <w:hideMark/>
          </w:tcPr>
          <w:p w14:paraId="013D546E" w14:textId="77777777" w:rsidR="00A50E7E" w:rsidRPr="00037C61" w:rsidRDefault="00A50E7E" w:rsidP="00A50E7E">
            <w:pPr>
              <w:spacing w:after="0" w:line="240" w:lineRule="auto"/>
              <w:jc w:val="center"/>
              <w:rPr>
                <w:rFonts w:eastAsia="Times New Roman" w:cs="Calibri"/>
                <w:color w:val="000000"/>
                <w:lang w:val="en-GB" w:eastAsia="en-GB"/>
              </w:rPr>
            </w:pPr>
            <w:r w:rsidRPr="00037C61">
              <w:rPr>
                <w:rFonts w:eastAsia="Times New Roman" w:cs="Calibri"/>
                <w:color w:val="000000"/>
                <w:lang w:val="en-GB" w:eastAsia="en-GB"/>
              </w:rPr>
              <w:t>2</w:t>
            </w:r>
          </w:p>
        </w:tc>
        <w:tc>
          <w:tcPr>
            <w:tcW w:w="1842" w:type="dxa"/>
            <w:tcBorders>
              <w:top w:val="nil"/>
              <w:left w:val="nil"/>
              <w:bottom w:val="single" w:sz="8" w:space="0" w:color="034FA3"/>
              <w:right w:val="nil"/>
            </w:tcBorders>
            <w:shd w:val="clear" w:color="auto" w:fill="auto"/>
            <w:vAlign w:val="center"/>
            <w:hideMark/>
          </w:tcPr>
          <w:p w14:paraId="28DC9E89" w14:textId="5E2BCA39" w:rsidR="00A50E7E" w:rsidRPr="00AB1C19" w:rsidRDefault="00A50E7E" w:rsidP="00A50E7E">
            <w:pPr>
              <w:spacing w:after="0" w:line="240" w:lineRule="auto"/>
              <w:jc w:val="center"/>
              <w:rPr>
                <w:rFonts w:eastAsia="Times New Roman" w:cs="Calibri"/>
                <w:color w:val="FF0000"/>
                <w:highlight w:val="yellow"/>
                <w:lang w:val="en-GB" w:eastAsia="en-GB"/>
              </w:rPr>
            </w:pPr>
            <w:r>
              <w:rPr>
                <w:rFonts w:cs="Calibri"/>
                <w:color w:val="FF0000"/>
              </w:rPr>
              <w:t>1.67</w:t>
            </w:r>
          </w:p>
        </w:tc>
      </w:tr>
    </w:tbl>
    <w:p w14:paraId="3D69C3D1" w14:textId="77777777" w:rsidR="005F68EE" w:rsidRPr="00037C61" w:rsidRDefault="005F68EE" w:rsidP="005F68EE">
      <w:pPr>
        <w:rPr>
          <w:rFonts w:cs="Calibri"/>
          <w:b/>
          <w:bCs/>
          <w:lang w:val="en-GB"/>
        </w:rPr>
      </w:pPr>
    </w:p>
    <w:p w14:paraId="1D8A105E" w14:textId="77777777" w:rsidR="005F68EE" w:rsidRPr="00037C61" w:rsidRDefault="005F68EE" w:rsidP="005F68EE">
      <w:pPr>
        <w:rPr>
          <w:rFonts w:cs="Calibri"/>
          <w:b/>
          <w:bCs/>
          <w:lang w:val="en-GB"/>
        </w:rPr>
      </w:pPr>
      <w:r w:rsidRPr="00037C61">
        <w:rPr>
          <w:rFonts w:cs="Calibri"/>
          <w:lang w:val="en-GB"/>
        </w:rPr>
        <w:t>The</w:t>
      </w:r>
      <w:r w:rsidRPr="00037C61">
        <w:rPr>
          <w:rFonts w:cs="Calibri"/>
          <w:b/>
          <w:bCs/>
          <w:lang w:val="en-GB"/>
        </w:rPr>
        <w:t xml:space="preserve"> renewable energy is a great field to develop in the PA</w:t>
      </w:r>
      <w:r w:rsidRPr="00037C61">
        <w:rPr>
          <w:rFonts w:cs="Calibri"/>
          <w:lang w:val="en-GB"/>
        </w:rPr>
        <w:t xml:space="preserve">: the need is there from both population and industry point of view, and the potential is also there, at least </w:t>
      </w:r>
      <w:r w:rsidRPr="00037C61">
        <w:rPr>
          <w:rFonts w:cs="Calibri"/>
          <w:b/>
          <w:bCs/>
          <w:lang w:val="en-GB"/>
        </w:rPr>
        <w:t xml:space="preserve">if we are talking about biomass energy, geothermal energy, and solar energy.  </w:t>
      </w:r>
    </w:p>
    <w:p w14:paraId="41CB1EF1" w14:textId="77777777" w:rsidR="005F68EE" w:rsidRPr="00037C61" w:rsidRDefault="005F68EE" w:rsidP="005E0849">
      <w:pPr>
        <w:pStyle w:val="InterregROHUBullet1"/>
        <w:numPr>
          <w:ilvl w:val="0"/>
          <w:numId w:val="0"/>
        </w:numPr>
      </w:pPr>
    </w:p>
    <w:p w14:paraId="7CA8C479" w14:textId="46C175F4" w:rsidR="00230FC4" w:rsidRPr="00037C61" w:rsidRDefault="00230FC4" w:rsidP="00230FC4">
      <w:pPr>
        <w:spacing w:before="100" w:beforeAutospacing="1" w:after="100" w:afterAutospacing="1"/>
        <w:rPr>
          <w:rFonts w:cs="Calibri"/>
          <w:lang w:val="en-GB"/>
        </w:rPr>
      </w:pPr>
      <w:r w:rsidRPr="00037C61">
        <w:rPr>
          <w:rFonts w:cs="Calibri"/>
          <w:lang w:val="en-GB"/>
        </w:rPr>
        <w:br w:type="page"/>
      </w:r>
    </w:p>
    <w:p w14:paraId="63B5136D" w14:textId="05ED4930" w:rsidR="00FB0745" w:rsidRPr="00037C61" w:rsidRDefault="00FB0745" w:rsidP="0007064A">
      <w:pPr>
        <w:pStyle w:val="Heading3"/>
      </w:pPr>
      <w:bookmarkStart w:id="728" w:name="_Toc50359117"/>
      <w:bookmarkStart w:id="729" w:name="_Toc53137211"/>
      <w:bookmarkStart w:id="730" w:name="_Toc50723339"/>
      <w:bookmarkStart w:id="731" w:name="_Toc64619549"/>
      <w:r w:rsidRPr="00037C61">
        <w:lastRenderedPageBreak/>
        <w:t xml:space="preserve">Natural </w:t>
      </w:r>
      <w:bookmarkEnd w:id="728"/>
      <w:bookmarkEnd w:id="729"/>
      <w:bookmarkEnd w:id="730"/>
      <w:r w:rsidR="005F68EE" w:rsidRPr="00037C61">
        <w:t>heritage</w:t>
      </w:r>
      <w:bookmarkEnd w:id="731"/>
    </w:p>
    <w:p w14:paraId="162579A4" w14:textId="77777777" w:rsidR="00230FC4" w:rsidRPr="00037C61" w:rsidRDefault="00230FC4" w:rsidP="00715B98">
      <w:pPr>
        <w:rPr>
          <w:lang w:val="en-GB"/>
        </w:rPr>
      </w:pPr>
    </w:p>
    <w:p w14:paraId="5AE6C185" w14:textId="77777777" w:rsidR="00DB31C0" w:rsidRPr="00037C61" w:rsidRDefault="52230E0C" w:rsidP="00FB0745">
      <w:pPr>
        <w:pStyle w:val="InterregROHUBullet1"/>
        <w:numPr>
          <w:ilvl w:val="0"/>
          <w:numId w:val="0"/>
        </w:numPr>
        <w:rPr>
          <w:rFonts w:cs="Calibri"/>
          <w:b/>
        </w:rPr>
      </w:pPr>
      <w:r w:rsidRPr="00037C61">
        <w:rPr>
          <w:rFonts w:cs="Calibri"/>
          <w:b/>
        </w:rPr>
        <w:t xml:space="preserve">In CBC PA, there is </w:t>
      </w:r>
      <w:r w:rsidR="00DB31C0" w:rsidRPr="00037C61">
        <w:rPr>
          <w:rFonts w:cs="Calibri"/>
          <w:b/>
        </w:rPr>
        <w:t xml:space="preserve">a significant natural heritage which can be continuously and sustainably developed. </w:t>
      </w:r>
    </w:p>
    <w:p w14:paraId="26E33612" w14:textId="0FC4D99A" w:rsidR="00E34A60" w:rsidRPr="0007064A" w:rsidRDefault="00E34A60" w:rsidP="00E34A60">
      <w:pPr>
        <w:pStyle w:val="ListParagraph"/>
        <w:numPr>
          <w:ilvl w:val="0"/>
          <w:numId w:val="8"/>
        </w:numPr>
        <w:spacing w:after="0"/>
        <w:rPr>
          <w:lang w:val="en-GB"/>
        </w:rPr>
      </w:pPr>
      <w:r w:rsidRPr="0007064A">
        <w:rPr>
          <w:b/>
          <w:bCs/>
          <w:lang w:val="en-GB"/>
        </w:rPr>
        <w:t>Bihor County</w:t>
      </w:r>
      <w:r w:rsidRPr="0007064A">
        <w:rPr>
          <w:lang w:val="en-GB"/>
        </w:rPr>
        <w:t xml:space="preserve"> </w:t>
      </w:r>
      <w:r>
        <w:rPr>
          <w:lang w:val="en-GB"/>
        </w:rPr>
        <w:t>is characterised by the</w:t>
      </w:r>
      <w:r w:rsidRPr="0007064A">
        <w:rPr>
          <w:lang w:val="en-GB"/>
        </w:rPr>
        <w:t xml:space="preserve"> karst and biodiversity of the Apuseni Mountains, the spa resources exploited at Băile Felix and 1 Mai and beyond, </w:t>
      </w:r>
      <w:r>
        <w:rPr>
          <w:lang w:val="en-GB"/>
        </w:rPr>
        <w:t xml:space="preserve">Stâna de Vale Resort, many caves (including the Bear Cave), </w:t>
      </w:r>
      <w:r w:rsidRPr="0007064A">
        <w:rPr>
          <w:lang w:val="en-GB"/>
        </w:rPr>
        <w:t>allow</w:t>
      </w:r>
      <w:r>
        <w:rPr>
          <w:lang w:val="en-GB"/>
        </w:rPr>
        <w:t>ing</w:t>
      </w:r>
      <w:r w:rsidRPr="0007064A">
        <w:rPr>
          <w:lang w:val="en-GB"/>
        </w:rPr>
        <w:t>a varied panel of tourist activities</w:t>
      </w:r>
      <w:r w:rsidRPr="0007064A">
        <w:rPr>
          <w:vertAlign w:val="superscript"/>
          <w:lang w:val="en-GB"/>
        </w:rPr>
        <w:footnoteReference w:id="32"/>
      </w:r>
      <w:r w:rsidRPr="0007064A">
        <w:rPr>
          <w:lang w:val="en-GB"/>
        </w:rPr>
        <w:t xml:space="preserve">. </w:t>
      </w:r>
    </w:p>
    <w:p w14:paraId="759E12D9" w14:textId="2CB3DDF9" w:rsidR="00E34A60" w:rsidRPr="0007064A" w:rsidRDefault="00E34A60" w:rsidP="00E34A60">
      <w:pPr>
        <w:pStyle w:val="ListParagraph"/>
        <w:numPr>
          <w:ilvl w:val="0"/>
          <w:numId w:val="8"/>
        </w:numPr>
        <w:spacing w:after="0"/>
        <w:rPr>
          <w:lang w:val="en-GB"/>
        </w:rPr>
      </w:pPr>
      <w:r w:rsidRPr="0007064A">
        <w:rPr>
          <w:b/>
          <w:bCs/>
          <w:lang w:val="en-GB"/>
        </w:rPr>
        <w:t>Satu Mare</w:t>
      </w:r>
      <w:r w:rsidRPr="0007064A">
        <w:rPr>
          <w:lang w:val="en-GB"/>
        </w:rPr>
        <w:t xml:space="preserve"> boasts natural landscapes, Ţara Oaşului (northeast region of the county, including the town of Negreşti-Oaş</w:t>
      </w:r>
      <w:r w:rsidR="008C7BDE">
        <w:rPr>
          <w:lang w:val="en-GB"/>
        </w:rPr>
        <w:t xml:space="preserve"> and the Oaș Mountains</w:t>
      </w:r>
      <w:r w:rsidRPr="0007064A">
        <w:rPr>
          <w:lang w:val="en-GB"/>
        </w:rPr>
        <w:t>), Ţara Codrului (eastern region of the county, including the town of Ardud), “Schwabia” or “Tara Şvabilor” (southwestern region of the county</w:t>
      </w:r>
      <w:r w:rsidR="008C7BDE">
        <w:rPr>
          <w:lang w:val="en-GB"/>
        </w:rPr>
        <w:t>)</w:t>
      </w:r>
      <w:r w:rsidRPr="0007064A">
        <w:rPr>
          <w:vertAlign w:val="superscript"/>
          <w:lang w:val="en-GB"/>
        </w:rPr>
        <w:footnoteReference w:id="33"/>
      </w:r>
      <w:r w:rsidRPr="0007064A">
        <w:rPr>
          <w:lang w:val="en-GB"/>
        </w:rPr>
        <w:t xml:space="preserve">, </w:t>
      </w:r>
      <w:r w:rsidR="008C7BDE">
        <w:rPr>
          <w:lang w:val="en-GB"/>
        </w:rPr>
        <w:t>the Tășnad Resort;</w:t>
      </w:r>
    </w:p>
    <w:p w14:paraId="4C460585" w14:textId="0B57516F" w:rsidR="00E34A60" w:rsidRPr="0007064A" w:rsidRDefault="00E34A60" w:rsidP="00E34A60">
      <w:pPr>
        <w:pStyle w:val="ListParagraph"/>
        <w:numPr>
          <w:ilvl w:val="0"/>
          <w:numId w:val="8"/>
        </w:numPr>
        <w:spacing w:after="0"/>
        <w:rPr>
          <w:lang w:val="en-GB"/>
        </w:rPr>
      </w:pPr>
      <w:r w:rsidRPr="0007064A">
        <w:rPr>
          <w:lang w:val="en-GB"/>
        </w:rPr>
        <w:t xml:space="preserve">In </w:t>
      </w:r>
      <w:r w:rsidRPr="0007064A">
        <w:rPr>
          <w:b/>
          <w:bCs/>
          <w:lang w:val="en-GB"/>
        </w:rPr>
        <w:t xml:space="preserve">Arad </w:t>
      </w:r>
      <w:r w:rsidRPr="0007064A">
        <w:rPr>
          <w:lang w:val="en-GB"/>
        </w:rPr>
        <w:t>the atractions are Valea Muresului, Valea Crisului Alb, Codru-Moma mountain area, Arad vineyard, thermal pools, Lunca Muresului, Arad Municipality (Faleza Mureş, Neptun Swimming Pool)</w:t>
      </w:r>
      <w:r w:rsidRPr="0007064A">
        <w:rPr>
          <w:vertAlign w:val="superscript"/>
          <w:lang w:val="en-GB"/>
        </w:rPr>
        <w:footnoteReference w:id="34"/>
      </w:r>
      <w:r w:rsidRPr="0007064A">
        <w:rPr>
          <w:lang w:val="en-GB"/>
        </w:rPr>
        <w:t>; there are natural protected areas, watermills, etc.</w:t>
      </w:r>
    </w:p>
    <w:p w14:paraId="354E8E5E" w14:textId="7759B30E" w:rsidR="00E34A60" w:rsidRPr="00DB74BF" w:rsidRDefault="00E34A60" w:rsidP="00DB74BF">
      <w:pPr>
        <w:pStyle w:val="ListParagraph"/>
        <w:numPr>
          <w:ilvl w:val="0"/>
          <w:numId w:val="8"/>
        </w:numPr>
        <w:rPr>
          <w:lang w:val="en-GB"/>
        </w:rPr>
      </w:pPr>
      <w:r w:rsidRPr="008C7BDE">
        <w:rPr>
          <w:b/>
          <w:bCs/>
          <w:lang w:val="en-GB"/>
        </w:rPr>
        <w:t>Timiș</w:t>
      </w:r>
      <w:r w:rsidRPr="5CA115F1">
        <w:rPr>
          <w:b/>
          <w:bCs/>
          <w:vertAlign w:val="superscript"/>
        </w:rPr>
        <w:footnoteReference w:id="35"/>
      </w:r>
      <w:r w:rsidRPr="008C7BDE">
        <w:rPr>
          <w:lang w:val="en-GB"/>
        </w:rPr>
        <w:t xml:space="preserve"> offers </w:t>
      </w:r>
      <w:r w:rsidR="008C7BDE" w:rsidRPr="008C7BDE">
        <w:rPr>
          <w:lang w:val="en-GB"/>
        </w:rPr>
        <w:t xml:space="preserve">a rich natural heritage in the form of the Poiana Ruscă Mountains, the Surduc Lake area, the Satchinez swamps ornithological </w:t>
      </w:r>
      <w:r w:rsidR="008C7BDE">
        <w:rPr>
          <w:lang w:val="en-GB"/>
        </w:rPr>
        <w:t>reservation</w:t>
      </w:r>
      <w:r w:rsidR="008C7BDE" w:rsidRPr="008C7BDE">
        <w:rPr>
          <w:lang w:val="en-GB"/>
        </w:rPr>
        <w:t>;</w:t>
      </w:r>
    </w:p>
    <w:p w14:paraId="21B877D4" w14:textId="283519A9" w:rsidR="00E34A60" w:rsidRPr="0007064A" w:rsidRDefault="00E34A60" w:rsidP="00E34A60">
      <w:pPr>
        <w:pStyle w:val="ListParagraph"/>
        <w:numPr>
          <w:ilvl w:val="0"/>
          <w:numId w:val="8"/>
        </w:numPr>
        <w:spacing w:after="0"/>
        <w:rPr>
          <w:lang w:val="en-GB"/>
        </w:rPr>
      </w:pPr>
      <w:r w:rsidRPr="0007064A">
        <w:rPr>
          <w:b/>
          <w:bCs/>
          <w:lang w:val="en-GB"/>
        </w:rPr>
        <w:t>In Békés</w:t>
      </w:r>
      <w:r w:rsidRPr="5CA115F1">
        <w:rPr>
          <w:b/>
          <w:bCs/>
          <w:vertAlign w:val="superscript"/>
          <w:lang w:val="en-GB"/>
        </w:rPr>
        <w:footnoteReference w:id="36"/>
      </w:r>
      <w:r w:rsidRPr="0007064A">
        <w:rPr>
          <w:lang w:val="en-GB"/>
        </w:rPr>
        <w:t xml:space="preserve"> the attractions are </w:t>
      </w:r>
      <w:r w:rsidR="008C7BDE">
        <w:rPr>
          <w:lang w:val="en-GB"/>
        </w:rPr>
        <w:t xml:space="preserve">the </w:t>
      </w:r>
      <w:r w:rsidR="008C7BDE" w:rsidRPr="008C7BDE">
        <w:rPr>
          <w:lang w:val="en-GB"/>
        </w:rPr>
        <w:t>Körös-Maros National Park</w:t>
      </w:r>
      <w:r w:rsidR="008C7BDE">
        <w:rPr>
          <w:lang w:val="en-GB"/>
        </w:rPr>
        <w:t xml:space="preserve">, </w:t>
      </w:r>
      <w:r w:rsidRPr="0007064A">
        <w:rPr>
          <w:lang w:val="en-GB"/>
        </w:rPr>
        <w:t>Fekete, Fehér and Kettős-Körös rivers, spa in Gyula, aquatic tours in Dánfok</w:t>
      </w:r>
      <w:r w:rsidR="008C7BDE">
        <w:rPr>
          <w:lang w:val="en-GB"/>
        </w:rPr>
        <w:t xml:space="preserve">, </w:t>
      </w:r>
      <w:r w:rsidR="008C7BDE" w:rsidRPr="008C7BDE">
        <w:rPr>
          <w:lang w:val="en-GB"/>
        </w:rPr>
        <w:t>Mályvádi forests and floodplain forests of the Körös rivers</w:t>
      </w:r>
      <w:r w:rsidR="008C7BDE">
        <w:rPr>
          <w:lang w:val="en-GB"/>
        </w:rPr>
        <w:t xml:space="preserve">; </w:t>
      </w:r>
    </w:p>
    <w:p w14:paraId="3CD9C506" w14:textId="2E7794A7" w:rsidR="00E34A60" w:rsidRPr="008C7BDE" w:rsidRDefault="008C7BDE" w:rsidP="008C7BDE">
      <w:pPr>
        <w:pStyle w:val="ListParagraph"/>
        <w:numPr>
          <w:ilvl w:val="0"/>
          <w:numId w:val="8"/>
        </w:numPr>
        <w:spacing w:after="0"/>
        <w:rPr>
          <w:lang w:val="en-GB"/>
        </w:rPr>
      </w:pPr>
      <w:r w:rsidRPr="008C7BDE">
        <w:rPr>
          <w:b/>
          <w:bCs/>
          <w:lang w:val="en-GB"/>
        </w:rPr>
        <w:t xml:space="preserve">Csongrád-Csanád </w:t>
      </w:r>
      <w:r w:rsidR="00E34A60" w:rsidRPr="008C7BDE">
        <w:rPr>
          <w:lang w:val="en-GB"/>
        </w:rPr>
        <w:t>has plenty of protected monuments (e.g. in Szeged, Hódmezővásárhely, Csongrád), water activities along Tisza rivers</w:t>
      </w:r>
      <w:r w:rsidR="00E34A60" w:rsidRPr="0007064A">
        <w:rPr>
          <w:vertAlign w:val="superscript"/>
          <w:lang w:val="en-GB"/>
        </w:rPr>
        <w:footnoteReference w:id="37"/>
      </w:r>
      <w:r w:rsidR="00E34A60" w:rsidRPr="008C7BDE">
        <w:rPr>
          <w:lang w:val="en-GB"/>
        </w:rPr>
        <w:t xml:space="preserve">, </w:t>
      </w:r>
      <w:r w:rsidRPr="008C7BDE">
        <w:rPr>
          <w:lang w:val="en-GB"/>
        </w:rPr>
        <w:t>the Mártély Landscape Protection Area</w:t>
      </w:r>
      <w:r>
        <w:rPr>
          <w:lang w:val="en-GB"/>
        </w:rPr>
        <w:t xml:space="preserve"> and </w:t>
      </w:r>
      <w:r w:rsidRPr="008C7BDE">
        <w:rPr>
          <w:lang w:val="en-GB"/>
        </w:rPr>
        <w:t>Montág-puszta</w:t>
      </w:r>
      <w:r>
        <w:rPr>
          <w:lang w:val="en-GB"/>
        </w:rPr>
        <w:t xml:space="preserve"> Ramsar sites, etc. </w:t>
      </w:r>
    </w:p>
    <w:p w14:paraId="09685C30" w14:textId="77777777" w:rsidR="00E34A60" w:rsidRPr="0007064A" w:rsidRDefault="00E34A60" w:rsidP="00E34A60">
      <w:pPr>
        <w:pStyle w:val="ListParagraph"/>
        <w:numPr>
          <w:ilvl w:val="0"/>
          <w:numId w:val="8"/>
        </w:numPr>
        <w:spacing w:after="0"/>
        <w:rPr>
          <w:lang w:val="en-GB"/>
        </w:rPr>
      </w:pPr>
      <w:r w:rsidRPr="0007064A">
        <w:rPr>
          <w:b/>
          <w:bCs/>
          <w:lang w:val="en-GB"/>
        </w:rPr>
        <w:t>Hajdú-Bihar</w:t>
      </w:r>
      <w:r w:rsidRPr="0007064A">
        <w:rPr>
          <w:lang w:val="en-GB"/>
        </w:rPr>
        <w:t xml:space="preserve"> welcomes the tourists with relief, hydrography, landscape, karst areas, protected areas from Hortobagy National Park (in Hajdú-Bihar), the largest spa </w:t>
      </w:r>
      <w:r>
        <w:rPr>
          <w:lang w:val="en-GB"/>
        </w:rPr>
        <w:t xml:space="preserve">complex </w:t>
      </w:r>
      <w:r w:rsidRPr="0007064A">
        <w:rPr>
          <w:lang w:val="en-GB"/>
        </w:rPr>
        <w:t>in Europe</w:t>
      </w:r>
      <w:r>
        <w:rPr>
          <w:rStyle w:val="FootnoteReference"/>
          <w:lang w:val="en-GB"/>
        </w:rPr>
        <w:footnoteReference w:id="38"/>
      </w:r>
      <w:r w:rsidRPr="0007064A">
        <w:rPr>
          <w:lang w:val="en-GB"/>
        </w:rPr>
        <w:t xml:space="preserve"> (Hajdúszoboszló), churches, bridges, etc.</w:t>
      </w:r>
    </w:p>
    <w:p w14:paraId="03A54B39" w14:textId="5295FE47" w:rsidR="00E34A60" w:rsidRPr="0007064A" w:rsidRDefault="00E34A60" w:rsidP="00E34A60">
      <w:pPr>
        <w:pStyle w:val="ListParagraph"/>
        <w:numPr>
          <w:ilvl w:val="0"/>
          <w:numId w:val="8"/>
        </w:numPr>
        <w:rPr>
          <w:lang w:val="en-GB"/>
        </w:rPr>
      </w:pPr>
      <w:r w:rsidRPr="52230E0C">
        <w:rPr>
          <w:lang w:val="en-GB"/>
        </w:rPr>
        <w:t xml:space="preserve">Through </w:t>
      </w:r>
      <w:r w:rsidRPr="52230E0C">
        <w:rPr>
          <w:b/>
          <w:bCs/>
          <w:lang w:val="en-GB"/>
        </w:rPr>
        <w:t>Szabolcs-Szatmár-Bereg</w:t>
      </w:r>
      <w:r w:rsidRPr="52230E0C">
        <w:rPr>
          <w:lang w:val="en-GB"/>
        </w:rPr>
        <w:t xml:space="preserve"> is passing </w:t>
      </w:r>
      <w:r w:rsidR="008C7BDE">
        <w:rPr>
          <w:lang w:val="en-GB"/>
        </w:rPr>
        <w:t xml:space="preserve">the </w:t>
      </w:r>
      <w:r w:rsidRPr="52230E0C">
        <w:rPr>
          <w:lang w:val="en-GB"/>
        </w:rPr>
        <w:t>Tisza River</w:t>
      </w:r>
      <w:r w:rsidR="008C7BDE">
        <w:rPr>
          <w:lang w:val="en-GB"/>
        </w:rPr>
        <w:t xml:space="preserve">, with the </w:t>
      </w:r>
      <w:r w:rsidR="008C7BDE" w:rsidRPr="008C7BDE">
        <w:rPr>
          <w:lang w:val="en-GB"/>
        </w:rPr>
        <w:t>Upper Tisza (Felsö-Tisza)</w:t>
      </w:r>
      <w:r w:rsidR="008C7BDE">
        <w:rPr>
          <w:lang w:val="en-GB"/>
        </w:rPr>
        <w:t xml:space="preserve"> Ramsar Site, in addition to touristi</w:t>
      </w:r>
      <w:r w:rsidR="00E42A3A">
        <w:rPr>
          <w:lang w:val="en-GB"/>
        </w:rPr>
        <w:t xml:space="preserve">c heritage in </w:t>
      </w:r>
      <w:r w:rsidRPr="52230E0C">
        <w:rPr>
          <w:lang w:val="en-GB"/>
        </w:rPr>
        <w:t xml:space="preserve">Sóstó </w:t>
      </w:r>
      <w:r w:rsidR="00E42A3A">
        <w:rPr>
          <w:lang w:val="en-GB"/>
        </w:rPr>
        <w:t xml:space="preserve">area </w:t>
      </w:r>
      <w:r w:rsidRPr="52230E0C">
        <w:rPr>
          <w:lang w:val="en-GB"/>
        </w:rPr>
        <w:t>(Salty Lake)</w:t>
      </w:r>
      <w:r w:rsidR="00DE7D07">
        <w:rPr>
          <w:rStyle w:val="FootnoteReference"/>
          <w:lang w:val="en-GB"/>
        </w:rPr>
        <w:footnoteReference w:id="39"/>
      </w:r>
      <w:r w:rsidRPr="52230E0C">
        <w:rPr>
          <w:lang w:val="en-GB"/>
        </w:rPr>
        <w:t>, Vaja nature reserve, etc.</w:t>
      </w:r>
    </w:p>
    <w:p w14:paraId="0E3E1BDD" w14:textId="2F81CBDC" w:rsidR="00FB0745" w:rsidRPr="00037C61" w:rsidRDefault="00DB31C0" w:rsidP="005E0849">
      <w:pPr>
        <w:pStyle w:val="InterregROHUBullet1"/>
        <w:numPr>
          <w:ilvl w:val="0"/>
          <w:numId w:val="0"/>
        </w:numPr>
      </w:pPr>
      <w:r w:rsidRPr="00037C61">
        <w:rPr>
          <w:rFonts w:cs="Calibri"/>
          <w:b/>
        </w:rPr>
        <w:t xml:space="preserve">On the Hungarian side, there is a </w:t>
      </w:r>
      <w:bookmarkStart w:id="732" w:name="_Hlk54883466"/>
      <w:r w:rsidRPr="00037C61">
        <w:rPr>
          <w:rFonts w:cs="Calibri"/>
          <w:b/>
        </w:rPr>
        <w:t xml:space="preserve">UNESCO world Heritage site, </w:t>
      </w:r>
      <w:r w:rsidR="52230E0C" w:rsidRPr="00037C61">
        <w:rPr>
          <w:rFonts w:cs="Calibri"/>
          <w:b/>
        </w:rPr>
        <w:t xml:space="preserve">Hortobágy National Park </w:t>
      </w:r>
      <w:bookmarkEnd w:id="732"/>
      <w:r w:rsidR="52230E0C" w:rsidRPr="00037C61">
        <w:rPr>
          <w:rFonts w:cs="Calibri"/>
          <w:b/>
        </w:rPr>
        <w:t xml:space="preserve">- the Puszta, </w:t>
      </w:r>
      <w:r w:rsidR="00EF6779" w:rsidRPr="00037C61">
        <w:rPr>
          <w:rFonts w:cs="Calibri"/>
          <w:b/>
        </w:rPr>
        <w:t xml:space="preserve">and the </w:t>
      </w:r>
      <w:r w:rsidR="52230E0C" w:rsidRPr="00037C61">
        <w:rPr>
          <w:rFonts w:cs="Calibri"/>
          <w:b/>
        </w:rPr>
        <w:t xml:space="preserve">Körös-Maros National Park, </w:t>
      </w:r>
      <w:r w:rsidRPr="00037C61">
        <w:rPr>
          <w:rFonts w:cs="Calibri"/>
          <w:bCs w:val="0"/>
        </w:rPr>
        <w:t xml:space="preserve">located in Békés county. </w:t>
      </w:r>
    </w:p>
    <w:p w14:paraId="38EA1540" w14:textId="77777777" w:rsidR="00230FC4" w:rsidRPr="00037C61" w:rsidRDefault="00230FC4" w:rsidP="00715B98">
      <w:pPr>
        <w:rPr>
          <w:lang w:val="en-GB"/>
        </w:rPr>
      </w:pPr>
    </w:p>
    <w:p w14:paraId="7042A246" w14:textId="0946FC0C" w:rsidR="00FB0745" w:rsidRPr="00037C61" w:rsidRDefault="52230E0C" w:rsidP="00FB0745">
      <w:pPr>
        <w:pStyle w:val="InterregROHUBullet1"/>
        <w:numPr>
          <w:ilvl w:val="0"/>
          <w:numId w:val="0"/>
        </w:numPr>
        <w:rPr>
          <w:rFonts w:cs="Calibri"/>
          <w:b/>
        </w:rPr>
      </w:pPr>
      <w:r w:rsidRPr="00037C61">
        <w:rPr>
          <w:rFonts w:cs="Calibri"/>
        </w:rPr>
        <w:lastRenderedPageBreak/>
        <w:t xml:space="preserve">In the CBC PA, </w:t>
      </w:r>
      <w:r w:rsidR="00DB31C0" w:rsidRPr="00037C61">
        <w:rPr>
          <w:rFonts w:cs="Calibri"/>
        </w:rPr>
        <w:t xml:space="preserve">on the Romanian side, </w:t>
      </w:r>
      <w:r w:rsidRPr="00037C61">
        <w:rPr>
          <w:rFonts w:cs="Calibri"/>
        </w:rPr>
        <w:t xml:space="preserve">there is no UNESCO monuments, but </w:t>
      </w:r>
      <w:r w:rsidRPr="00037C61">
        <w:rPr>
          <w:rFonts w:cs="Calibri"/>
          <w:b/>
        </w:rPr>
        <w:t xml:space="preserve">there are several protected </w:t>
      </w:r>
      <w:r w:rsidRPr="006508E7">
        <w:rPr>
          <w:rFonts w:cs="Calibri"/>
          <w:b/>
        </w:rPr>
        <w:t>areas</w:t>
      </w:r>
      <w:r w:rsidR="00A50E7E" w:rsidRPr="006508E7">
        <w:t xml:space="preserve"> designated under the national law, corresponding with the IUCN system</w:t>
      </w:r>
      <w:r w:rsidRPr="006508E7">
        <w:rPr>
          <w:rFonts w:cs="Calibri"/>
          <w:b/>
        </w:rPr>
        <w:t>:</w:t>
      </w:r>
    </w:p>
    <w:p w14:paraId="49342EA8" w14:textId="0CF09AD9" w:rsidR="00FB0745" w:rsidRPr="00037C61" w:rsidRDefault="00DB31C0" w:rsidP="005E0849">
      <w:pPr>
        <w:pStyle w:val="InterregROHUBullet1"/>
        <w:spacing w:after="0"/>
        <w:ind w:left="567"/>
      </w:pPr>
      <w:r w:rsidRPr="00037C61">
        <w:t xml:space="preserve">The Apuseni Nature Park (Parcul Natural Apuseni) </w:t>
      </w:r>
    </w:p>
    <w:p w14:paraId="24023284" w14:textId="380CA4ED" w:rsidR="00DB31C0" w:rsidRPr="00037C61" w:rsidRDefault="00DB31C0" w:rsidP="005E0849">
      <w:pPr>
        <w:pStyle w:val="InterregROHUBullet1"/>
        <w:spacing w:after="0"/>
        <w:ind w:left="567"/>
      </w:pPr>
      <w:r w:rsidRPr="00037C61">
        <w:t xml:space="preserve">The little delta from Câmpia Crișurilor – The Cefa nature Park </w:t>
      </w:r>
    </w:p>
    <w:p w14:paraId="3582A837" w14:textId="058472B5" w:rsidR="00012BD7" w:rsidRPr="00037C61" w:rsidRDefault="00BD7D8B" w:rsidP="005E0849">
      <w:pPr>
        <w:pStyle w:val="InterregROHUBullet1"/>
        <w:ind w:left="567"/>
      </w:pPr>
      <w:r w:rsidRPr="00037C61">
        <w:t xml:space="preserve">The </w:t>
      </w:r>
      <w:r w:rsidR="00A50E7E">
        <w:t xml:space="preserve">Ramsar site </w:t>
      </w:r>
      <w:r w:rsidRPr="00037C61">
        <w:t>Mureș Floodplain Natural Park –</w:t>
      </w:r>
      <w:r w:rsidRPr="00DB74BF">
        <w:t xml:space="preserve">Lower </w:t>
      </w:r>
      <w:r w:rsidR="00A50E7E" w:rsidRPr="00DB74BF">
        <w:t xml:space="preserve">Mureș </w:t>
      </w:r>
      <w:r w:rsidRPr="00DB74BF">
        <w:t>Floodplain</w:t>
      </w:r>
      <w:r w:rsidRPr="00037C61">
        <w:rPr>
          <w:bCs w:val="0"/>
        </w:rPr>
        <w:t xml:space="preserve"> </w:t>
      </w:r>
    </w:p>
    <w:p w14:paraId="30B505D9" w14:textId="12ECCD37" w:rsidR="00FB0745" w:rsidRPr="00037C61" w:rsidRDefault="52230E0C" w:rsidP="52230E0C">
      <w:pPr>
        <w:pStyle w:val="InterregROHUBullet1"/>
        <w:numPr>
          <w:ilvl w:val="0"/>
          <w:numId w:val="0"/>
        </w:numPr>
        <w:spacing w:after="200" w:line="276" w:lineRule="auto"/>
        <w:rPr>
          <w:rFonts w:cs="Calibri"/>
          <w:b/>
          <w:color w:val="0070C0"/>
        </w:rPr>
      </w:pPr>
      <w:r w:rsidRPr="00037C61">
        <w:rPr>
          <w:rFonts w:cs="Calibri"/>
        </w:rPr>
        <w:t xml:space="preserve">Nature and human habitats are </w:t>
      </w:r>
      <w:r w:rsidR="009D7E40" w:rsidRPr="00037C61">
        <w:rPr>
          <w:rFonts w:cs="Calibri"/>
        </w:rPr>
        <w:t>of high value</w:t>
      </w:r>
      <w:r w:rsidRPr="00037C61">
        <w:rPr>
          <w:rFonts w:cs="Calibri"/>
        </w:rPr>
        <w:t xml:space="preserve"> on both sides of the border in CBC PA</w:t>
      </w:r>
      <w:r w:rsidR="00384947" w:rsidRPr="00037C61">
        <w:rPr>
          <w:rFonts w:cs="Calibri"/>
        </w:rPr>
        <w:t>, and</w:t>
      </w:r>
      <w:bookmarkStart w:id="733" w:name="_Hlk54883759"/>
      <w:r w:rsidR="00384947" w:rsidRPr="00037C61">
        <w:rPr>
          <w:rFonts w:cs="Calibri"/>
        </w:rPr>
        <w:t xml:space="preserve"> natural areas are very well represented across the whole programming area, covering between 14.63% (Timiș) and 47.29% (Hajdu-Bihar) of the surface of the counties</w:t>
      </w:r>
      <w:r w:rsidRPr="00037C61">
        <w:rPr>
          <w:rFonts w:cs="Calibri"/>
        </w:rPr>
        <w:t xml:space="preserve">. </w:t>
      </w:r>
      <w:bookmarkEnd w:id="733"/>
    </w:p>
    <w:p w14:paraId="52A498DB" w14:textId="4531312B" w:rsidR="00230FC4" w:rsidRPr="00037C61" w:rsidRDefault="30EED610" w:rsidP="00715B98">
      <w:pPr>
        <w:pStyle w:val="Caption"/>
        <w:keepNext/>
        <w:jc w:val="left"/>
        <w:rPr>
          <w:lang w:val="en-GB"/>
        </w:rPr>
      </w:pPr>
      <w:bookmarkStart w:id="734" w:name="_Toc58237653"/>
      <w:r w:rsidRPr="00037C61">
        <w:rPr>
          <w:lang w:val="en-GB"/>
        </w:rPr>
        <w:t xml:space="preserve">Table </w:t>
      </w:r>
      <w:r w:rsidR="52230E0C" w:rsidRPr="00037C61">
        <w:rPr>
          <w:lang w:val="en-GB"/>
        </w:rPr>
        <w:fldChar w:fldCharType="begin"/>
      </w:r>
      <w:r w:rsidR="52230E0C" w:rsidRPr="00037C61">
        <w:rPr>
          <w:lang w:val="en-GB"/>
        </w:rPr>
        <w:instrText xml:space="preserve"> SEQ Table \* ARABIC </w:instrText>
      </w:r>
      <w:r w:rsidR="52230E0C" w:rsidRPr="00037C61">
        <w:rPr>
          <w:lang w:val="en-GB"/>
        </w:rPr>
        <w:fldChar w:fldCharType="separate"/>
      </w:r>
      <w:r w:rsidR="005A7BD8">
        <w:rPr>
          <w:noProof/>
          <w:lang w:val="en-GB"/>
        </w:rPr>
        <w:t>31</w:t>
      </w:r>
      <w:r w:rsidR="52230E0C" w:rsidRPr="00037C61">
        <w:rPr>
          <w:lang w:val="en-GB"/>
        </w:rPr>
        <w:fldChar w:fldCharType="end"/>
      </w:r>
      <w:r w:rsidRPr="00037C61">
        <w:rPr>
          <w:lang w:val="en-GB"/>
        </w:rPr>
        <w:t xml:space="preserve"> - Natura 2000 areas in the cooperation PA</w:t>
      </w:r>
      <w:bookmarkEnd w:id="734"/>
    </w:p>
    <w:tbl>
      <w:tblPr>
        <w:tblStyle w:val="ListTable3-Accent11"/>
        <w:tblW w:w="9751" w:type="dxa"/>
        <w:tblLayout w:type="fixed"/>
        <w:tblLook w:val="04A0" w:firstRow="1" w:lastRow="0" w:firstColumn="1" w:lastColumn="0" w:noHBand="0" w:noVBand="1"/>
      </w:tblPr>
      <w:tblGrid>
        <w:gridCol w:w="2405"/>
        <w:gridCol w:w="918"/>
        <w:gridCol w:w="918"/>
        <w:gridCol w:w="918"/>
        <w:gridCol w:w="919"/>
        <w:gridCol w:w="918"/>
        <w:gridCol w:w="918"/>
        <w:gridCol w:w="918"/>
        <w:gridCol w:w="919"/>
      </w:tblGrid>
      <w:tr w:rsidR="009D7E40" w:rsidRPr="00944B4A" w14:paraId="45BD59D7" w14:textId="77777777" w:rsidTr="00DB74BF">
        <w:trPr>
          <w:cnfStyle w:val="100000000000" w:firstRow="1" w:lastRow="0" w:firstColumn="0" w:lastColumn="0" w:oddVBand="0" w:evenVBand="0" w:oddHBand="0" w:evenHBand="0" w:firstRowFirstColumn="0" w:firstRowLastColumn="0" w:lastRowFirstColumn="0" w:lastRowLastColumn="0"/>
          <w:trHeight w:val="399"/>
        </w:trPr>
        <w:tc>
          <w:tcPr>
            <w:cnfStyle w:val="001000000100" w:firstRow="0" w:lastRow="0" w:firstColumn="1" w:lastColumn="0" w:oddVBand="0" w:evenVBand="0" w:oddHBand="0" w:evenHBand="0" w:firstRowFirstColumn="1" w:firstRowLastColumn="0" w:lastRowFirstColumn="0" w:lastRowLastColumn="0"/>
            <w:tcW w:w="9751" w:type="dxa"/>
            <w:gridSpan w:val="9"/>
            <w:noWrap/>
            <w:hideMark/>
          </w:tcPr>
          <w:p w14:paraId="53E650FA" w14:textId="29E50032" w:rsidR="009D7E40" w:rsidRPr="00037C61" w:rsidRDefault="009D7E40">
            <w:pPr>
              <w:jc w:val="center"/>
              <w:rPr>
                <w:sz w:val="20"/>
                <w:lang w:val="en-GB"/>
              </w:rPr>
            </w:pPr>
            <w:r w:rsidRPr="00037C61">
              <w:rPr>
                <w:sz w:val="20"/>
                <w:lang w:val="en-GB"/>
              </w:rPr>
              <w:t xml:space="preserve">NATURA 2000 </w:t>
            </w:r>
            <w:r w:rsidR="00B762C8">
              <w:rPr>
                <w:sz w:val="20"/>
                <w:lang w:val="en-GB"/>
              </w:rPr>
              <w:t xml:space="preserve">areas in the </w:t>
            </w:r>
            <w:r w:rsidRPr="00037C61">
              <w:rPr>
                <w:sz w:val="20"/>
                <w:lang w:val="en-GB"/>
              </w:rPr>
              <w:t xml:space="preserve">PA, </w:t>
            </w:r>
            <w:r w:rsidR="00B762C8">
              <w:rPr>
                <w:sz w:val="20"/>
                <w:lang w:val="en-GB"/>
              </w:rPr>
              <w:t>in</w:t>
            </w:r>
            <w:r w:rsidRPr="00037C61">
              <w:rPr>
                <w:sz w:val="20"/>
                <w:lang w:val="en-GB"/>
              </w:rPr>
              <w:t xml:space="preserve"> km2 and percentage of territorial coverage  </w:t>
            </w:r>
          </w:p>
        </w:tc>
      </w:tr>
      <w:tr w:rsidR="00884A59" w:rsidRPr="00037C61" w14:paraId="6C6E217B" w14:textId="77777777" w:rsidTr="009D7E40">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405" w:type="dxa"/>
            <w:shd w:val="clear" w:color="auto" w:fill="034FA3" w:themeFill="accent1"/>
            <w:hideMark/>
          </w:tcPr>
          <w:p w14:paraId="0C2C70D7" w14:textId="77777777" w:rsidR="00FB0745" w:rsidRPr="00037C61" w:rsidRDefault="00FB0745" w:rsidP="00FB0745">
            <w:pPr>
              <w:jc w:val="center"/>
              <w:rPr>
                <w:b w:val="0"/>
                <w:color w:val="FFFFFF" w:themeColor="background1"/>
                <w:sz w:val="20"/>
                <w:lang w:val="en-GB"/>
              </w:rPr>
            </w:pPr>
          </w:p>
        </w:tc>
        <w:tc>
          <w:tcPr>
            <w:tcW w:w="918" w:type="dxa"/>
            <w:shd w:val="clear" w:color="auto" w:fill="034FA3" w:themeFill="accent1"/>
            <w:noWrap/>
            <w:hideMark/>
          </w:tcPr>
          <w:p w14:paraId="1FF19284" w14:textId="77777777" w:rsidR="00FB0745" w:rsidRPr="00037C61" w:rsidRDefault="00FB0745"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Hajdú-Bihar</w:t>
            </w:r>
          </w:p>
        </w:tc>
        <w:tc>
          <w:tcPr>
            <w:tcW w:w="918" w:type="dxa"/>
            <w:shd w:val="clear" w:color="auto" w:fill="034FA3" w:themeFill="accent1"/>
            <w:noWrap/>
            <w:hideMark/>
          </w:tcPr>
          <w:p w14:paraId="118EA474" w14:textId="77777777" w:rsidR="00FB0745" w:rsidRPr="00037C61" w:rsidRDefault="00FB0745"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Szabolcs-Szatmár-Bereg</w:t>
            </w:r>
          </w:p>
        </w:tc>
        <w:tc>
          <w:tcPr>
            <w:tcW w:w="918" w:type="dxa"/>
            <w:shd w:val="clear" w:color="auto" w:fill="034FA3" w:themeFill="accent1"/>
            <w:noWrap/>
            <w:hideMark/>
          </w:tcPr>
          <w:p w14:paraId="2847A918" w14:textId="77777777" w:rsidR="00FB0745" w:rsidRPr="00037C61" w:rsidRDefault="00FB0745"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Békés</w:t>
            </w:r>
          </w:p>
        </w:tc>
        <w:tc>
          <w:tcPr>
            <w:tcW w:w="919" w:type="dxa"/>
            <w:shd w:val="clear" w:color="auto" w:fill="034FA3" w:themeFill="accent1"/>
            <w:noWrap/>
            <w:hideMark/>
          </w:tcPr>
          <w:p w14:paraId="602EC4F9" w14:textId="03160FB4" w:rsidR="00FB0745" w:rsidRPr="00037C61" w:rsidRDefault="6446A0E8"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Csongrád-Csanád</w:t>
            </w:r>
          </w:p>
        </w:tc>
        <w:tc>
          <w:tcPr>
            <w:tcW w:w="918" w:type="dxa"/>
            <w:shd w:val="clear" w:color="auto" w:fill="034FA3" w:themeFill="accent1"/>
            <w:noWrap/>
            <w:hideMark/>
          </w:tcPr>
          <w:p w14:paraId="7D477AB1" w14:textId="77777777" w:rsidR="00FB0745" w:rsidRPr="00037C61" w:rsidRDefault="00FB0745"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Bihor</w:t>
            </w:r>
          </w:p>
        </w:tc>
        <w:tc>
          <w:tcPr>
            <w:tcW w:w="918" w:type="dxa"/>
            <w:shd w:val="clear" w:color="auto" w:fill="034FA3" w:themeFill="accent1"/>
            <w:noWrap/>
            <w:hideMark/>
          </w:tcPr>
          <w:p w14:paraId="3A3ACA44" w14:textId="77777777" w:rsidR="00FB0745" w:rsidRPr="00037C61" w:rsidRDefault="00FB0745"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Satu Mare</w:t>
            </w:r>
          </w:p>
        </w:tc>
        <w:tc>
          <w:tcPr>
            <w:tcW w:w="918" w:type="dxa"/>
            <w:shd w:val="clear" w:color="auto" w:fill="034FA3" w:themeFill="accent1"/>
            <w:noWrap/>
            <w:hideMark/>
          </w:tcPr>
          <w:p w14:paraId="7C6E772E" w14:textId="77777777" w:rsidR="00FB0745" w:rsidRPr="00037C61" w:rsidRDefault="00FB0745"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bCs/>
                <w:color w:val="FFFFFF" w:themeColor="background1"/>
                <w:sz w:val="18"/>
                <w:szCs w:val="20"/>
                <w:lang w:val="en-GB"/>
              </w:rPr>
              <w:t>Arad</w:t>
            </w:r>
          </w:p>
        </w:tc>
        <w:tc>
          <w:tcPr>
            <w:tcW w:w="919" w:type="dxa"/>
            <w:shd w:val="clear" w:color="auto" w:fill="034FA3" w:themeFill="accent1"/>
            <w:noWrap/>
            <w:hideMark/>
          </w:tcPr>
          <w:p w14:paraId="34DF0FCE" w14:textId="00650CEA" w:rsidR="00FB0745" w:rsidRPr="00037C61" w:rsidRDefault="008B32DD" w:rsidP="005E0849">
            <w:pPr>
              <w:ind w:left="-110"/>
              <w:jc w:val="center"/>
              <w:cnfStyle w:val="000000100000" w:firstRow="0" w:lastRow="0" w:firstColumn="0" w:lastColumn="0" w:oddVBand="0" w:evenVBand="0" w:oddHBand="1" w:evenHBand="0" w:firstRowFirstColumn="0" w:firstRowLastColumn="0" w:lastRowFirstColumn="0" w:lastRowLastColumn="0"/>
              <w:rPr>
                <w:bCs/>
                <w:color w:val="FFFFFF" w:themeColor="background1"/>
                <w:sz w:val="18"/>
                <w:szCs w:val="20"/>
                <w:lang w:val="en-GB"/>
              </w:rPr>
            </w:pPr>
            <w:r w:rsidRPr="00037C61">
              <w:rPr>
                <w:rFonts w:cs="Calibri"/>
                <w:bCs/>
                <w:color w:val="FFFFFF" w:themeColor="background1"/>
                <w:sz w:val="18"/>
                <w:szCs w:val="20"/>
                <w:lang w:val="en-GB"/>
              </w:rPr>
              <w:t>Timiș</w:t>
            </w:r>
          </w:p>
        </w:tc>
      </w:tr>
      <w:tr w:rsidR="00884A59" w:rsidRPr="00037C61" w14:paraId="7C739D40" w14:textId="77777777" w:rsidTr="6446A0E8">
        <w:trPr>
          <w:trHeight w:val="375"/>
        </w:trPr>
        <w:tc>
          <w:tcPr>
            <w:cnfStyle w:val="001000000000" w:firstRow="0" w:lastRow="0" w:firstColumn="1" w:lastColumn="0" w:oddVBand="0" w:evenVBand="0" w:oddHBand="0" w:evenHBand="0" w:firstRowFirstColumn="0" w:firstRowLastColumn="0" w:lastRowFirstColumn="0" w:lastRowLastColumn="0"/>
            <w:tcW w:w="2405" w:type="dxa"/>
            <w:hideMark/>
          </w:tcPr>
          <w:p w14:paraId="29159A74" w14:textId="77777777" w:rsidR="00FB0745" w:rsidRPr="00037C61" w:rsidRDefault="00FB0745" w:rsidP="00FB0745">
            <w:pPr>
              <w:jc w:val="center"/>
              <w:rPr>
                <w:b w:val="0"/>
                <w:bCs w:val="0"/>
                <w:color w:val="000000"/>
                <w:sz w:val="18"/>
                <w:szCs w:val="20"/>
                <w:lang w:val="en-GB"/>
              </w:rPr>
            </w:pPr>
            <w:r w:rsidRPr="00037C61">
              <w:rPr>
                <w:color w:val="000000"/>
                <w:sz w:val="18"/>
                <w:szCs w:val="20"/>
                <w:lang w:val="en-GB"/>
              </w:rPr>
              <w:t>A: SPAs (Special Protection Areas - sites designated under the Birds Directive)</w:t>
            </w:r>
          </w:p>
        </w:tc>
        <w:tc>
          <w:tcPr>
            <w:tcW w:w="918" w:type="dxa"/>
            <w:noWrap/>
            <w:hideMark/>
          </w:tcPr>
          <w:p w14:paraId="3CD32DC1" w14:textId="6A73A55F" w:rsidR="00FB0745" w:rsidRPr="00DB74BF" w:rsidRDefault="00FB0745" w:rsidP="00715B98">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1526</w:t>
            </w:r>
            <w:r w:rsidR="00B762C8" w:rsidRPr="00DB74BF">
              <w:rPr>
                <w:color w:val="000000"/>
                <w:sz w:val="18"/>
                <w:szCs w:val="20"/>
                <w:lang w:val="en-GB"/>
              </w:rPr>
              <w:t>.</w:t>
            </w:r>
            <w:r w:rsidRPr="00DB74BF">
              <w:rPr>
                <w:color w:val="000000"/>
                <w:sz w:val="18"/>
                <w:szCs w:val="20"/>
                <w:lang w:val="en-GB"/>
              </w:rPr>
              <w:t>74</w:t>
            </w:r>
          </w:p>
        </w:tc>
        <w:tc>
          <w:tcPr>
            <w:tcW w:w="918" w:type="dxa"/>
            <w:noWrap/>
            <w:hideMark/>
          </w:tcPr>
          <w:p w14:paraId="0C8F283F" w14:textId="719C22B2" w:rsidR="00FB0745" w:rsidRPr="00DB74BF"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659</w:t>
            </w:r>
            <w:r w:rsidR="00B762C8" w:rsidRPr="00DB74BF">
              <w:rPr>
                <w:color w:val="000000"/>
                <w:sz w:val="18"/>
                <w:szCs w:val="20"/>
                <w:lang w:val="en-GB"/>
              </w:rPr>
              <w:t>.</w:t>
            </w:r>
            <w:r w:rsidRPr="00DB74BF">
              <w:rPr>
                <w:color w:val="000000"/>
                <w:sz w:val="18"/>
                <w:szCs w:val="20"/>
                <w:lang w:val="en-GB"/>
              </w:rPr>
              <w:t>65</w:t>
            </w:r>
          </w:p>
        </w:tc>
        <w:tc>
          <w:tcPr>
            <w:tcW w:w="918" w:type="dxa"/>
            <w:noWrap/>
            <w:hideMark/>
          </w:tcPr>
          <w:p w14:paraId="6B07B846" w14:textId="0DEC0A2B" w:rsidR="00FB0745" w:rsidRPr="00DB74BF"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530</w:t>
            </w:r>
            <w:r w:rsidR="00B762C8" w:rsidRPr="00DB74BF">
              <w:rPr>
                <w:color w:val="000000"/>
                <w:sz w:val="18"/>
                <w:szCs w:val="20"/>
                <w:lang w:val="en-GB"/>
              </w:rPr>
              <w:t>.</w:t>
            </w:r>
            <w:r w:rsidRPr="00DB74BF">
              <w:rPr>
                <w:color w:val="000000"/>
                <w:sz w:val="18"/>
                <w:szCs w:val="20"/>
                <w:lang w:val="en-GB"/>
              </w:rPr>
              <w:t>84</w:t>
            </w:r>
          </w:p>
        </w:tc>
        <w:tc>
          <w:tcPr>
            <w:tcW w:w="919" w:type="dxa"/>
            <w:noWrap/>
            <w:hideMark/>
          </w:tcPr>
          <w:p w14:paraId="223548E5" w14:textId="334EBEB5" w:rsidR="00FB0745" w:rsidRPr="00DB74BF"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812</w:t>
            </w:r>
            <w:r w:rsidR="00B762C8" w:rsidRPr="00DB74BF">
              <w:rPr>
                <w:color w:val="000000"/>
                <w:sz w:val="18"/>
                <w:szCs w:val="20"/>
                <w:lang w:val="en-GB"/>
              </w:rPr>
              <w:t>.</w:t>
            </w:r>
            <w:r w:rsidRPr="00DB74BF">
              <w:rPr>
                <w:color w:val="000000"/>
                <w:sz w:val="18"/>
                <w:szCs w:val="20"/>
                <w:lang w:val="en-GB"/>
              </w:rPr>
              <w:t>46</w:t>
            </w:r>
          </w:p>
        </w:tc>
        <w:tc>
          <w:tcPr>
            <w:tcW w:w="918" w:type="dxa"/>
            <w:noWrap/>
            <w:hideMark/>
          </w:tcPr>
          <w:p w14:paraId="713A4F95" w14:textId="367A9074" w:rsidR="00FB0745" w:rsidRPr="00DB74BF" w:rsidRDefault="00B762C8">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934.42</w:t>
            </w:r>
          </w:p>
        </w:tc>
        <w:tc>
          <w:tcPr>
            <w:tcW w:w="918" w:type="dxa"/>
            <w:noWrap/>
            <w:hideMark/>
          </w:tcPr>
          <w:p w14:paraId="650BF186" w14:textId="367E0897" w:rsidR="00FB0745" w:rsidRPr="00DB74BF"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43</w:t>
            </w:r>
            <w:r w:rsidR="00B762C8" w:rsidRPr="00DB74BF">
              <w:rPr>
                <w:color w:val="000000"/>
                <w:sz w:val="18"/>
                <w:szCs w:val="20"/>
                <w:lang w:val="en-GB"/>
              </w:rPr>
              <w:t>3.79</w:t>
            </w:r>
          </w:p>
        </w:tc>
        <w:tc>
          <w:tcPr>
            <w:tcW w:w="918" w:type="dxa"/>
            <w:noWrap/>
            <w:hideMark/>
          </w:tcPr>
          <w:p w14:paraId="163D9F30" w14:textId="69606B53" w:rsidR="00FB0745" w:rsidRPr="00DB74BF"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1</w:t>
            </w:r>
            <w:r w:rsidR="00B762C8" w:rsidRPr="00DB74BF">
              <w:rPr>
                <w:color w:val="000000"/>
                <w:sz w:val="18"/>
                <w:szCs w:val="20"/>
                <w:lang w:val="en-GB"/>
              </w:rPr>
              <w:t>459.60</w:t>
            </w:r>
          </w:p>
        </w:tc>
        <w:tc>
          <w:tcPr>
            <w:tcW w:w="919" w:type="dxa"/>
            <w:noWrap/>
            <w:hideMark/>
          </w:tcPr>
          <w:p w14:paraId="5510B16E" w14:textId="293BFF2A" w:rsidR="00FB0745" w:rsidRPr="00DB74BF" w:rsidRDefault="006B11F9">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DB74BF">
              <w:rPr>
                <w:color w:val="000000"/>
                <w:sz w:val="18"/>
                <w:szCs w:val="20"/>
                <w:lang w:val="en-GB"/>
              </w:rPr>
              <w:t>670</w:t>
            </w:r>
            <w:r w:rsidR="00B762C8" w:rsidRPr="00DB74BF">
              <w:rPr>
                <w:color w:val="000000"/>
                <w:sz w:val="18"/>
                <w:szCs w:val="20"/>
                <w:lang w:val="en-GB"/>
              </w:rPr>
              <w:t>.</w:t>
            </w:r>
            <w:r w:rsidRPr="00DB74BF">
              <w:rPr>
                <w:color w:val="000000"/>
                <w:sz w:val="18"/>
                <w:szCs w:val="20"/>
                <w:lang w:val="en-GB"/>
              </w:rPr>
              <w:t>26</w:t>
            </w:r>
          </w:p>
        </w:tc>
      </w:tr>
      <w:tr w:rsidR="00884A59" w:rsidRPr="00037C61" w14:paraId="67562046" w14:textId="77777777" w:rsidTr="6446A0E8">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405" w:type="dxa"/>
          </w:tcPr>
          <w:p w14:paraId="7A64ADB6" w14:textId="1009A562" w:rsidR="00FB0745" w:rsidRPr="00037C61" w:rsidRDefault="00FB0745" w:rsidP="00FB0745">
            <w:pPr>
              <w:jc w:val="center"/>
              <w:rPr>
                <w:b w:val="0"/>
                <w:bCs w:val="0"/>
                <w:color w:val="000000"/>
                <w:sz w:val="18"/>
                <w:szCs w:val="20"/>
                <w:lang w:val="en-GB"/>
              </w:rPr>
            </w:pPr>
            <w:r w:rsidRPr="00037C61">
              <w:rPr>
                <w:color w:val="000000"/>
                <w:sz w:val="18"/>
                <w:szCs w:val="20"/>
                <w:lang w:val="en-GB"/>
              </w:rPr>
              <w:t>AREA (in % of total</w:t>
            </w:r>
            <w:r w:rsidR="00B762C8">
              <w:rPr>
                <w:color w:val="000000"/>
                <w:sz w:val="18"/>
                <w:szCs w:val="20"/>
                <w:lang w:val="en-GB"/>
              </w:rPr>
              <w:t xml:space="preserve"> </w:t>
            </w:r>
            <w:r w:rsidR="0029768E">
              <w:rPr>
                <w:color w:val="000000"/>
                <w:sz w:val="18"/>
                <w:szCs w:val="20"/>
                <w:lang w:val="en-GB"/>
              </w:rPr>
              <w:t>administrative unit</w:t>
            </w:r>
            <w:r w:rsidRPr="00037C61">
              <w:rPr>
                <w:color w:val="000000"/>
                <w:sz w:val="18"/>
                <w:szCs w:val="20"/>
                <w:lang w:val="en-GB"/>
              </w:rPr>
              <w:t>)</w:t>
            </w:r>
          </w:p>
        </w:tc>
        <w:tc>
          <w:tcPr>
            <w:tcW w:w="918" w:type="dxa"/>
            <w:noWrap/>
          </w:tcPr>
          <w:p w14:paraId="7A6BE6F6"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24.58%</w:t>
            </w:r>
          </w:p>
          <w:p w14:paraId="03691CED" w14:textId="790056AC"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8" w:type="dxa"/>
            <w:noWrap/>
          </w:tcPr>
          <w:p w14:paraId="7D1DA08C"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11.11%</w:t>
            </w:r>
          </w:p>
          <w:p w14:paraId="728762AC" w14:textId="096FFB63"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8" w:type="dxa"/>
            <w:noWrap/>
          </w:tcPr>
          <w:p w14:paraId="6E53A139"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9.43%</w:t>
            </w:r>
          </w:p>
          <w:p w14:paraId="4EE151A0" w14:textId="6E5F4F32"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9" w:type="dxa"/>
            <w:noWrap/>
          </w:tcPr>
          <w:p w14:paraId="4BAB3F09"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19.06%</w:t>
            </w:r>
          </w:p>
          <w:p w14:paraId="35054BC1" w14:textId="1EF85F57"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8" w:type="dxa"/>
            <w:noWrap/>
          </w:tcPr>
          <w:p w14:paraId="2FBDD425"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12.39%</w:t>
            </w:r>
          </w:p>
          <w:p w14:paraId="273802C8" w14:textId="16C8B6C0"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8" w:type="dxa"/>
            <w:noWrap/>
          </w:tcPr>
          <w:p w14:paraId="088987CE"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9.81%</w:t>
            </w:r>
          </w:p>
          <w:p w14:paraId="2ACF7A11" w14:textId="790B283C"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8" w:type="dxa"/>
            <w:noWrap/>
          </w:tcPr>
          <w:p w14:paraId="2BF03FB4"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18.84%</w:t>
            </w:r>
          </w:p>
          <w:p w14:paraId="748A959F" w14:textId="4FB1619D"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c>
          <w:tcPr>
            <w:tcW w:w="919" w:type="dxa"/>
            <w:noWrap/>
          </w:tcPr>
          <w:p w14:paraId="7A7F6629" w14:textId="77777777" w:rsidR="0029768E" w:rsidRPr="00DB74BF" w:rsidRDefault="0029768E" w:rsidP="00DB74BF">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7.71%</w:t>
            </w:r>
          </w:p>
          <w:p w14:paraId="039ADE7D" w14:textId="76244F18" w:rsidR="00FB0745" w:rsidRPr="00037C61" w:rsidRDefault="00FB0745"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p>
        </w:tc>
      </w:tr>
      <w:tr w:rsidR="00884A59" w:rsidRPr="00037C61" w14:paraId="38B27B34" w14:textId="77777777" w:rsidTr="6446A0E8">
        <w:trPr>
          <w:trHeight w:val="750"/>
        </w:trPr>
        <w:tc>
          <w:tcPr>
            <w:cnfStyle w:val="001000000000" w:firstRow="0" w:lastRow="0" w:firstColumn="1" w:lastColumn="0" w:oddVBand="0" w:evenVBand="0" w:oddHBand="0" w:evenHBand="0" w:firstRowFirstColumn="0" w:firstRowLastColumn="0" w:lastRowFirstColumn="0" w:lastRowLastColumn="0"/>
            <w:tcW w:w="2405" w:type="dxa"/>
            <w:hideMark/>
          </w:tcPr>
          <w:p w14:paraId="6E21067A" w14:textId="77777777" w:rsidR="00FB0745" w:rsidRPr="00037C61" w:rsidRDefault="00FB0745" w:rsidP="00FB0745">
            <w:pPr>
              <w:jc w:val="center"/>
              <w:rPr>
                <w:b w:val="0"/>
                <w:bCs w:val="0"/>
                <w:color w:val="000000"/>
                <w:sz w:val="18"/>
                <w:szCs w:val="20"/>
                <w:lang w:val="en-GB"/>
              </w:rPr>
            </w:pPr>
            <w:r w:rsidRPr="00037C61">
              <w:rPr>
                <w:color w:val="000000"/>
                <w:sz w:val="18"/>
                <w:szCs w:val="20"/>
                <w:lang w:val="en-GB"/>
              </w:rPr>
              <w:t>B: SCIs and SACs (Sites of Community Importance and Special Areas of Conservation - sites designated under the Habitats Directive)</w:t>
            </w:r>
          </w:p>
        </w:tc>
        <w:tc>
          <w:tcPr>
            <w:tcW w:w="918" w:type="dxa"/>
            <w:noWrap/>
            <w:hideMark/>
          </w:tcPr>
          <w:p w14:paraId="0402697D" w14:textId="68A50E2A" w:rsidR="00FB0745" w:rsidRPr="00037C61" w:rsidRDefault="00FB0745" w:rsidP="00715B98">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037C61">
              <w:rPr>
                <w:color w:val="000000"/>
                <w:sz w:val="18"/>
                <w:szCs w:val="20"/>
                <w:lang w:val="en-GB"/>
              </w:rPr>
              <w:t>1409</w:t>
            </w:r>
            <w:r w:rsidR="00B762C8">
              <w:rPr>
                <w:color w:val="000000"/>
                <w:sz w:val="18"/>
                <w:szCs w:val="20"/>
                <w:lang w:val="en-GB"/>
              </w:rPr>
              <w:t>.</w:t>
            </w:r>
            <w:r w:rsidRPr="00037C61">
              <w:rPr>
                <w:color w:val="000000"/>
                <w:sz w:val="18"/>
                <w:szCs w:val="20"/>
                <w:lang w:val="en-GB"/>
              </w:rPr>
              <w:t>90</w:t>
            </w:r>
          </w:p>
        </w:tc>
        <w:tc>
          <w:tcPr>
            <w:tcW w:w="918" w:type="dxa"/>
            <w:noWrap/>
            <w:hideMark/>
          </w:tcPr>
          <w:p w14:paraId="6B959AED" w14:textId="1F1D6296"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037C61">
              <w:rPr>
                <w:color w:val="000000"/>
                <w:sz w:val="18"/>
                <w:szCs w:val="20"/>
                <w:lang w:val="en-GB"/>
              </w:rPr>
              <w:t>593</w:t>
            </w:r>
            <w:r w:rsidR="00B762C8">
              <w:rPr>
                <w:color w:val="000000"/>
                <w:sz w:val="18"/>
                <w:szCs w:val="20"/>
                <w:lang w:val="en-GB"/>
              </w:rPr>
              <w:t>.</w:t>
            </w:r>
            <w:r w:rsidRPr="00037C61">
              <w:rPr>
                <w:color w:val="000000"/>
                <w:sz w:val="18"/>
                <w:szCs w:val="20"/>
                <w:lang w:val="en-GB"/>
              </w:rPr>
              <w:t>74</w:t>
            </w:r>
          </w:p>
        </w:tc>
        <w:tc>
          <w:tcPr>
            <w:tcW w:w="918" w:type="dxa"/>
            <w:noWrap/>
            <w:hideMark/>
          </w:tcPr>
          <w:p w14:paraId="656570FA" w14:textId="455BDB99"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037C61">
              <w:rPr>
                <w:color w:val="000000"/>
                <w:sz w:val="18"/>
                <w:szCs w:val="20"/>
                <w:lang w:val="en-GB"/>
              </w:rPr>
              <w:t>516</w:t>
            </w:r>
            <w:r w:rsidR="00B762C8">
              <w:rPr>
                <w:color w:val="000000"/>
                <w:sz w:val="18"/>
                <w:szCs w:val="20"/>
                <w:lang w:val="en-GB"/>
              </w:rPr>
              <w:t>.</w:t>
            </w:r>
            <w:r w:rsidRPr="00037C61">
              <w:rPr>
                <w:color w:val="000000"/>
                <w:sz w:val="18"/>
                <w:szCs w:val="20"/>
                <w:lang w:val="en-GB"/>
              </w:rPr>
              <w:t>10</w:t>
            </w:r>
          </w:p>
        </w:tc>
        <w:tc>
          <w:tcPr>
            <w:tcW w:w="919" w:type="dxa"/>
            <w:noWrap/>
            <w:hideMark/>
          </w:tcPr>
          <w:p w14:paraId="7FAC22D3" w14:textId="700464E1"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037C61">
              <w:rPr>
                <w:color w:val="000000"/>
                <w:sz w:val="18"/>
                <w:szCs w:val="20"/>
                <w:lang w:val="en-GB"/>
              </w:rPr>
              <w:t>563</w:t>
            </w:r>
            <w:r w:rsidR="00B762C8">
              <w:rPr>
                <w:color w:val="000000"/>
                <w:sz w:val="18"/>
                <w:szCs w:val="20"/>
                <w:lang w:val="en-GB"/>
              </w:rPr>
              <w:t>.</w:t>
            </w:r>
            <w:r w:rsidRPr="00037C61">
              <w:rPr>
                <w:color w:val="000000"/>
                <w:sz w:val="18"/>
                <w:szCs w:val="20"/>
                <w:lang w:val="en-GB"/>
              </w:rPr>
              <w:t>59</w:t>
            </w:r>
          </w:p>
        </w:tc>
        <w:tc>
          <w:tcPr>
            <w:tcW w:w="918" w:type="dxa"/>
            <w:noWrap/>
            <w:hideMark/>
          </w:tcPr>
          <w:p w14:paraId="09C0EA19" w14:textId="36B3F8A5"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037C61">
              <w:rPr>
                <w:color w:val="000000"/>
                <w:sz w:val="18"/>
                <w:szCs w:val="20"/>
                <w:lang w:val="en-GB"/>
              </w:rPr>
              <w:t>1</w:t>
            </w:r>
            <w:r w:rsidR="00B762C8">
              <w:rPr>
                <w:color w:val="000000"/>
                <w:sz w:val="18"/>
                <w:szCs w:val="20"/>
                <w:lang w:val="en-GB"/>
              </w:rPr>
              <w:t>792.39</w:t>
            </w:r>
          </w:p>
        </w:tc>
        <w:tc>
          <w:tcPr>
            <w:tcW w:w="918" w:type="dxa"/>
            <w:noWrap/>
            <w:hideMark/>
          </w:tcPr>
          <w:p w14:paraId="48E174DB" w14:textId="3156A2CA" w:rsidR="00FB0745" w:rsidRPr="00037C61" w:rsidRDefault="00B762C8">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Pr>
                <w:color w:val="000000"/>
                <w:sz w:val="18"/>
                <w:szCs w:val="20"/>
                <w:lang w:val="en-GB"/>
              </w:rPr>
              <w:t>447.31</w:t>
            </w:r>
          </w:p>
        </w:tc>
        <w:tc>
          <w:tcPr>
            <w:tcW w:w="918" w:type="dxa"/>
            <w:noWrap/>
            <w:hideMark/>
          </w:tcPr>
          <w:p w14:paraId="0C4CE31B" w14:textId="48CF10B3"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sidRPr="00037C61">
              <w:rPr>
                <w:color w:val="000000"/>
                <w:sz w:val="18"/>
                <w:szCs w:val="20"/>
                <w:lang w:val="en-GB"/>
              </w:rPr>
              <w:t>1</w:t>
            </w:r>
            <w:r w:rsidR="00B762C8" w:rsidRPr="00037C61">
              <w:rPr>
                <w:color w:val="000000"/>
                <w:sz w:val="18"/>
                <w:szCs w:val="20"/>
                <w:lang w:val="en-GB"/>
              </w:rPr>
              <w:t>5</w:t>
            </w:r>
            <w:r w:rsidR="00B762C8">
              <w:rPr>
                <w:color w:val="000000"/>
                <w:sz w:val="18"/>
                <w:szCs w:val="20"/>
                <w:lang w:val="en-GB"/>
              </w:rPr>
              <w:t>06.62</w:t>
            </w:r>
          </w:p>
        </w:tc>
        <w:tc>
          <w:tcPr>
            <w:tcW w:w="919" w:type="dxa"/>
            <w:noWrap/>
            <w:hideMark/>
          </w:tcPr>
          <w:p w14:paraId="7CB14BB6" w14:textId="4AC08076" w:rsidR="00FB0745" w:rsidRPr="00037C61" w:rsidRDefault="006B11F9">
            <w:pPr>
              <w:ind w:right="-111"/>
              <w:jc w:val="center"/>
              <w:cnfStyle w:val="000000000000" w:firstRow="0" w:lastRow="0" w:firstColumn="0" w:lastColumn="0" w:oddVBand="0" w:evenVBand="0" w:oddHBand="0" w:evenHBand="0" w:firstRowFirstColumn="0" w:firstRowLastColumn="0" w:lastRowFirstColumn="0" w:lastRowLastColumn="0"/>
              <w:rPr>
                <w:color w:val="000000"/>
                <w:sz w:val="18"/>
                <w:szCs w:val="20"/>
                <w:lang w:val="en-GB"/>
              </w:rPr>
            </w:pPr>
            <w:r>
              <w:rPr>
                <w:color w:val="000000"/>
                <w:sz w:val="18"/>
                <w:szCs w:val="20"/>
                <w:lang w:val="en-GB"/>
              </w:rPr>
              <w:t>599</w:t>
            </w:r>
            <w:r w:rsidR="00B762C8">
              <w:rPr>
                <w:color w:val="000000"/>
                <w:sz w:val="18"/>
                <w:szCs w:val="20"/>
                <w:lang w:val="en-GB"/>
              </w:rPr>
              <w:t>.</w:t>
            </w:r>
            <w:r>
              <w:rPr>
                <w:color w:val="000000"/>
                <w:sz w:val="18"/>
                <w:szCs w:val="20"/>
                <w:lang w:val="en-GB"/>
              </w:rPr>
              <w:t>39</w:t>
            </w:r>
          </w:p>
        </w:tc>
      </w:tr>
      <w:tr w:rsidR="0029768E" w:rsidRPr="00037C61" w14:paraId="1B4B4989" w14:textId="77777777" w:rsidTr="6446A0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2405" w:type="dxa"/>
          </w:tcPr>
          <w:p w14:paraId="322D5DEC" w14:textId="560D1C1D" w:rsidR="0029768E" w:rsidRPr="00037C61" w:rsidRDefault="0029768E" w:rsidP="0029768E">
            <w:pPr>
              <w:jc w:val="center"/>
              <w:rPr>
                <w:b w:val="0"/>
                <w:bCs w:val="0"/>
                <w:color w:val="000000"/>
                <w:sz w:val="18"/>
                <w:szCs w:val="20"/>
                <w:lang w:val="en-GB"/>
              </w:rPr>
            </w:pPr>
            <w:r w:rsidRPr="00037C61">
              <w:rPr>
                <w:color w:val="000000"/>
                <w:sz w:val="18"/>
                <w:szCs w:val="20"/>
                <w:lang w:val="en-GB"/>
              </w:rPr>
              <w:t>AREA (in % of total</w:t>
            </w:r>
            <w:r>
              <w:rPr>
                <w:color w:val="000000"/>
                <w:sz w:val="18"/>
                <w:szCs w:val="20"/>
                <w:lang w:val="en-GB"/>
              </w:rPr>
              <w:t xml:space="preserve"> administrative unit</w:t>
            </w:r>
            <w:r w:rsidRPr="00037C61">
              <w:rPr>
                <w:color w:val="000000"/>
                <w:sz w:val="18"/>
                <w:szCs w:val="20"/>
                <w:lang w:val="en-GB"/>
              </w:rPr>
              <w:t>)</w:t>
            </w:r>
          </w:p>
        </w:tc>
        <w:tc>
          <w:tcPr>
            <w:tcW w:w="918" w:type="dxa"/>
            <w:noWrap/>
          </w:tcPr>
          <w:p w14:paraId="1178ED05" w14:textId="329FF3A7"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22.70%</w:t>
            </w:r>
          </w:p>
        </w:tc>
        <w:tc>
          <w:tcPr>
            <w:tcW w:w="918" w:type="dxa"/>
            <w:noWrap/>
          </w:tcPr>
          <w:p w14:paraId="67299AD3" w14:textId="723359EC"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10.00%</w:t>
            </w:r>
          </w:p>
        </w:tc>
        <w:tc>
          <w:tcPr>
            <w:tcW w:w="918" w:type="dxa"/>
            <w:noWrap/>
          </w:tcPr>
          <w:p w14:paraId="422591D4" w14:textId="6B90CC0E"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9.17%</w:t>
            </w:r>
          </w:p>
        </w:tc>
        <w:tc>
          <w:tcPr>
            <w:tcW w:w="919" w:type="dxa"/>
            <w:noWrap/>
          </w:tcPr>
          <w:p w14:paraId="3658518D" w14:textId="37047D2E"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13.22%</w:t>
            </w:r>
          </w:p>
        </w:tc>
        <w:tc>
          <w:tcPr>
            <w:tcW w:w="918" w:type="dxa"/>
            <w:noWrap/>
          </w:tcPr>
          <w:p w14:paraId="753D5866" w14:textId="70DC2345"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23.77%</w:t>
            </w:r>
          </w:p>
        </w:tc>
        <w:tc>
          <w:tcPr>
            <w:tcW w:w="918" w:type="dxa"/>
            <w:noWrap/>
          </w:tcPr>
          <w:p w14:paraId="4D753A83" w14:textId="33C4FB6E"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10.12%</w:t>
            </w:r>
          </w:p>
        </w:tc>
        <w:tc>
          <w:tcPr>
            <w:tcW w:w="918" w:type="dxa"/>
            <w:noWrap/>
          </w:tcPr>
          <w:p w14:paraId="25529E5D" w14:textId="523ED4BC"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19.45%</w:t>
            </w:r>
          </w:p>
        </w:tc>
        <w:tc>
          <w:tcPr>
            <w:tcW w:w="919" w:type="dxa"/>
            <w:noWrap/>
          </w:tcPr>
          <w:p w14:paraId="6D922967" w14:textId="1C7755D8" w:rsidR="0029768E" w:rsidRPr="00037C61" w:rsidRDefault="0029768E" w:rsidP="0029768E">
            <w:pPr>
              <w:ind w:right="-111"/>
              <w:jc w:val="center"/>
              <w:cnfStyle w:val="000000100000" w:firstRow="0" w:lastRow="0" w:firstColumn="0" w:lastColumn="0" w:oddVBand="0" w:evenVBand="0" w:oddHBand="1" w:evenHBand="0" w:firstRowFirstColumn="0" w:firstRowLastColumn="0" w:lastRowFirstColumn="0" w:lastRowLastColumn="0"/>
              <w:rPr>
                <w:color w:val="000000"/>
                <w:sz w:val="18"/>
                <w:szCs w:val="20"/>
                <w:lang w:val="en-GB"/>
              </w:rPr>
            </w:pPr>
            <w:r w:rsidRPr="00DB74BF">
              <w:rPr>
                <w:color w:val="000000"/>
                <w:sz w:val="18"/>
                <w:szCs w:val="20"/>
                <w:lang w:val="en-GB"/>
              </w:rPr>
              <w:t>6.90%</w:t>
            </w:r>
          </w:p>
        </w:tc>
      </w:tr>
      <w:tr w:rsidR="00884A59" w:rsidRPr="00037C61" w14:paraId="0C6D2723" w14:textId="77777777" w:rsidTr="00DB74BF">
        <w:trPr>
          <w:trHeight w:val="210"/>
        </w:trPr>
        <w:tc>
          <w:tcPr>
            <w:cnfStyle w:val="001000000000" w:firstRow="0" w:lastRow="0" w:firstColumn="1" w:lastColumn="0" w:oddVBand="0" w:evenVBand="0" w:oddHBand="0" w:evenHBand="0" w:firstRowFirstColumn="0" w:firstRowLastColumn="0" w:lastRowFirstColumn="0" w:lastRowLastColumn="0"/>
            <w:tcW w:w="2405" w:type="dxa"/>
            <w:shd w:val="clear" w:color="auto" w:fill="EAEDF6" w:themeFill="accent2" w:themeFillTint="33"/>
            <w:noWrap/>
            <w:hideMark/>
          </w:tcPr>
          <w:p w14:paraId="284F5632" w14:textId="77777777" w:rsidR="00FB0745" w:rsidRPr="00037C61" w:rsidRDefault="00FB0745" w:rsidP="00FB0745">
            <w:pPr>
              <w:jc w:val="center"/>
              <w:rPr>
                <w:b w:val="0"/>
                <w:bCs w:val="0"/>
                <w:color w:val="000000"/>
                <w:sz w:val="18"/>
                <w:szCs w:val="20"/>
                <w:lang w:val="en-GB"/>
              </w:rPr>
            </w:pPr>
            <w:r w:rsidRPr="00037C61">
              <w:rPr>
                <w:color w:val="000000"/>
                <w:sz w:val="18"/>
                <w:szCs w:val="20"/>
                <w:lang w:val="en-GB"/>
              </w:rPr>
              <w:t>TOTAL AREA OF NATURA2000</w:t>
            </w:r>
          </w:p>
        </w:tc>
        <w:tc>
          <w:tcPr>
            <w:tcW w:w="918" w:type="dxa"/>
            <w:shd w:val="clear" w:color="auto" w:fill="EAEDF6" w:themeFill="accent2" w:themeFillTint="33"/>
            <w:noWrap/>
            <w:hideMark/>
          </w:tcPr>
          <w:p w14:paraId="06AA8C57" w14:textId="0CADDB61" w:rsidR="00FB0745" w:rsidRPr="00037C61" w:rsidRDefault="00FB0745" w:rsidP="00715B98">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037C61">
              <w:rPr>
                <w:b/>
                <w:color w:val="000000"/>
                <w:sz w:val="18"/>
                <w:szCs w:val="20"/>
                <w:lang w:val="en-GB"/>
              </w:rPr>
              <w:t>2936</w:t>
            </w:r>
            <w:r w:rsidR="00B762C8">
              <w:rPr>
                <w:b/>
                <w:color w:val="000000"/>
                <w:sz w:val="18"/>
                <w:szCs w:val="20"/>
                <w:lang w:val="en-GB"/>
              </w:rPr>
              <w:t>.</w:t>
            </w:r>
            <w:r w:rsidRPr="00037C61">
              <w:rPr>
                <w:b/>
                <w:color w:val="000000"/>
                <w:sz w:val="18"/>
                <w:szCs w:val="20"/>
                <w:lang w:val="en-GB"/>
              </w:rPr>
              <w:t>65</w:t>
            </w:r>
          </w:p>
        </w:tc>
        <w:tc>
          <w:tcPr>
            <w:tcW w:w="918" w:type="dxa"/>
            <w:shd w:val="clear" w:color="auto" w:fill="EAEDF6" w:themeFill="accent2" w:themeFillTint="33"/>
            <w:noWrap/>
            <w:hideMark/>
          </w:tcPr>
          <w:p w14:paraId="57D6A6B8" w14:textId="32A0C31A"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037C61">
              <w:rPr>
                <w:b/>
                <w:color w:val="000000"/>
                <w:sz w:val="18"/>
                <w:szCs w:val="20"/>
                <w:lang w:val="en-GB"/>
              </w:rPr>
              <w:t>1253</w:t>
            </w:r>
            <w:r w:rsidR="00B762C8">
              <w:rPr>
                <w:b/>
                <w:color w:val="000000"/>
                <w:sz w:val="18"/>
                <w:szCs w:val="20"/>
                <w:lang w:val="en-GB"/>
              </w:rPr>
              <w:t>.</w:t>
            </w:r>
            <w:r w:rsidRPr="00037C61">
              <w:rPr>
                <w:b/>
                <w:color w:val="000000"/>
                <w:sz w:val="18"/>
                <w:szCs w:val="20"/>
                <w:lang w:val="en-GB"/>
              </w:rPr>
              <w:t>39</w:t>
            </w:r>
          </w:p>
        </w:tc>
        <w:tc>
          <w:tcPr>
            <w:tcW w:w="918" w:type="dxa"/>
            <w:shd w:val="clear" w:color="auto" w:fill="EAEDF6" w:themeFill="accent2" w:themeFillTint="33"/>
            <w:noWrap/>
            <w:hideMark/>
          </w:tcPr>
          <w:p w14:paraId="60C6B4C3" w14:textId="594FC4D9"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037C61">
              <w:rPr>
                <w:b/>
                <w:color w:val="000000"/>
                <w:sz w:val="18"/>
                <w:szCs w:val="20"/>
                <w:lang w:val="en-GB"/>
              </w:rPr>
              <w:t>1046</w:t>
            </w:r>
            <w:r w:rsidR="00B762C8">
              <w:rPr>
                <w:b/>
                <w:color w:val="000000"/>
                <w:sz w:val="18"/>
                <w:szCs w:val="20"/>
                <w:lang w:val="en-GB"/>
              </w:rPr>
              <w:t>.</w:t>
            </w:r>
            <w:r w:rsidRPr="00037C61">
              <w:rPr>
                <w:b/>
                <w:color w:val="000000"/>
                <w:sz w:val="18"/>
                <w:szCs w:val="20"/>
                <w:lang w:val="en-GB"/>
              </w:rPr>
              <w:t>94</w:t>
            </w:r>
          </w:p>
        </w:tc>
        <w:tc>
          <w:tcPr>
            <w:tcW w:w="919" w:type="dxa"/>
            <w:shd w:val="clear" w:color="auto" w:fill="EAEDF6" w:themeFill="accent2" w:themeFillTint="33"/>
            <w:noWrap/>
            <w:hideMark/>
          </w:tcPr>
          <w:p w14:paraId="42118777" w14:textId="7515EBB9" w:rsidR="00FB0745" w:rsidRPr="00037C61" w:rsidRDefault="00FB0745">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037C61">
              <w:rPr>
                <w:b/>
                <w:color w:val="000000"/>
                <w:sz w:val="18"/>
                <w:szCs w:val="20"/>
                <w:lang w:val="en-GB"/>
              </w:rPr>
              <w:t>1380</w:t>
            </w:r>
            <w:r w:rsidR="00B762C8">
              <w:rPr>
                <w:b/>
                <w:color w:val="000000"/>
                <w:sz w:val="18"/>
                <w:szCs w:val="20"/>
                <w:lang w:val="en-GB"/>
              </w:rPr>
              <w:t>.</w:t>
            </w:r>
            <w:r w:rsidRPr="00037C61">
              <w:rPr>
                <w:b/>
                <w:color w:val="000000"/>
                <w:sz w:val="18"/>
                <w:szCs w:val="20"/>
                <w:lang w:val="en-GB"/>
              </w:rPr>
              <w:t>20</w:t>
            </w:r>
          </w:p>
        </w:tc>
        <w:tc>
          <w:tcPr>
            <w:tcW w:w="918" w:type="dxa"/>
            <w:shd w:val="clear" w:color="auto" w:fill="EAEDF6" w:themeFill="accent2" w:themeFillTint="33"/>
            <w:noWrap/>
            <w:hideMark/>
          </w:tcPr>
          <w:p w14:paraId="3586A5EA" w14:textId="75B64A07" w:rsidR="00FB0745" w:rsidRPr="00AC5D73" w:rsidRDefault="00FB0745">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AC5D73">
              <w:rPr>
                <w:b/>
                <w:color w:val="000000"/>
                <w:sz w:val="18"/>
                <w:szCs w:val="20"/>
                <w:lang w:val="en-GB"/>
              </w:rPr>
              <w:t>2</w:t>
            </w:r>
            <w:r w:rsidR="00B762C8" w:rsidRPr="00AC5D73">
              <w:rPr>
                <w:b/>
                <w:color w:val="000000"/>
                <w:sz w:val="18"/>
                <w:szCs w:val="20"/>
                <w:lang w:val="en-GB"/>
              </w:rPr>
              <w:t>726.50</w:t>
            </w:r>
          </w:p>
        </w:tc>
        <w:tc>
          <w:tcPr>
            <w:tcW w:w="918" w:type="dxa"/>
            <w:shd w:val="clear" w:color="auto" w:fill="EAEDF6" w:themeFill="accent2" w:themeFillTint="33"/>
            <w:noWrap/>
            <w:hideMark/>
          </w:tcPr>
          <w:p w14:paraId="0997D901" w14:textId="6D42DFAF" w:rsidR="00FB0745" w:rsidRPr="00AC5D73" w:rsidRDefault="00B762C8">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AC5D73">
              <w:rPr>
                <w:b/>
                <w:color w:val="000000"/>
                <w:sz w:val="18"/>
                <w:szCs w:val="20"/>
                <w:lang w:val="en-GB"/>
              </w:rPr>
              <w:t>881.10</w:t>
            </w:r>
          </w:p>
        </w:tc>
        <w:tc>
          <w:tcPr>
            <w:tcW w:w="918" w:type="dxa"/>
            <w:shd w:val="clear" w:color="auto" w:fill="EAEDF6" w:themeFill="accent2" w:themeFillTint="33"/>
            <w:noWrap/>
            <w:hideMark/>
          </w:tcPr>
          <w:p w14:paraId="216CAA6C" w14:textId="398C2134" w:rsidR="00FB0745" w:rsidRPr="00AC5D73" w:rsidRDefault="00B762C8">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AC5D73">
              <w:rPr>
                <w:b/>
                <w:color w:val="000000"/>
                <w:sz w:val="18"/>
                <w:szCs w:val="20"/>
                <w:lang w:val="en-GB"/>
              </w:rPr>
              <w:t>2966.23</w:t>
            </w:r>
          </w:p>
        </w:tc>
        <w:tc>
          <w:tcPr>
            <w:tcW w:w="919" w:type="dxa"/>
            <w:shd w:val="clear" w:color="auto" w:fill="EAEDF6" w:themeFill="accent2" w:themeFillTint="33"/>
            <w:noWrap/>
            <w:hideMark/>
          </w:tcPr>
          <w:p w14:paraId="60D2A768" w14:textId="4412D83A" w:rsidR="00FB0745" w:rsidRPr="00AC5D73" w:rsidRDefault="00FB0745">
            <w:pPr>
              <w:ind w:right="-111"/>
              <w:jc w:val="center"/>
              <w:cnfStyle w:val="000000000000" w:firstRow="0" w:lastRow="0" w:firstColumn="0" w:lastColumn="0" w:oddVBand="0" w:evenVBand="0" w:oddHBand="0" w:evenHBand="0" w:firstRowFirstColumn="0" w:firstRowLastColumn="0" w:lastRowFirstColumn="0" w:lastRowLastColumn="0"/>
              <w:rPr>
                <w:b/>
                <w:color w:val="000000"/>
                <w:sz w:val="18"/>
                <w:szCs w:val="20"/>
                <w:lang w:val="en-GB"/>
              </w:rPr>
            </w:pPr>
            <w:r w:rsidRPr="00AC5D73">
              <w:rPr>
                <w:b/>
                <w:color w:val="000000"/>
                <w:sz w:val="18"/>
                <w:szCs w:val="20"/>
                <w:lang w:val="en-GB"/>
              </w:rPr>
              <w:t>1</w:t>
            </w:r>
            <w:r w:rsidR="006B11F9" w:rsidRPr="00AC5D73">
              <w:rPr>
                <w:b/>
                <w:color w:val="000000"/>
                <w:sz w:val="18"/>
                <w:szCs w:val="20"/>
                <w:lang w:val="en-GB"/>
              </w:rPr>
              <w:t>26</w:t>
            </w:r>
            <w:r w:rsidR="00B762C8" w:rsidRPr="00AC5D73">
              <w:rPr>
                <w:b/>
                <w:color w:val="000000"/>
                <w:sz w:val="18"/>
                <w:szCs w:val="20"/>
                <w:lang w:val="en-GB"/>
              </w:rPr>
              <w:t>9.65</w:t>
            </w:r>
          </w:p>
        </w:tc>
      </w:tr>
      <w:tr w:rsidR="00884A59" w:rsidRPr="00037C61" w14:paraId="0F8F3315" w14:textId="77777777" w:rsidTr="00DB74BF">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405" w:type="dxa"/>
            <w:shd w:val="clear" w:color="auto" w:fill="EAEDF6" w:themeFill="accent2" w:themeFillTint="33"/>
            <w:noWrap/>
          </w:tcPr>
          <w:p w14:paraId="528321D6" w14:textId="75F073FC" w:rsidR="00FB0745" w:rsidRPr="00037C61" w:rsidRDefault="00FB0745" w:rsidP="00FB0745">
            <w:pPr>
              <w:jc w:val="center"/>
              <w:rPr>
                <w:b w:val="0"/>
                <w:bCs w:val="0"/>
                <w:color w:val="000000"/>
                <w:sz w:val="18"/>
                <w:szCs w:val="20"/>
                <w:lang w:val="en-GB"/>
              </w:rPr>
            </w:pPr>
            <w:r w:rsidRPr="00037C61">
              <w:rPr>
                <w:color w:val="000000"/>
                <w:sz w:val="18"/>
                <w:szCs w:val="20"/>
                <w:lang w:val="en-GB"/>
              </w:rPr>
              <w:t>AREA (in % of total</w:t>
            </w:r>
            <w:r w:rsidR="009D7E40" w:rsidRPr="00037C61">
              <w:rPr>
                <w:b w:val="0"/>
                <w:bCs w:val="0"/>
                <w:color w:val="000000"/>
                <w:sz w:val="18"/>
                <w:szCs w:val="20"/>
                <w:lang w:val="en-GB"/>
              </w:rPr>
              <w:t xml:space="preserve"> administrative unit area</w:t>
            </w:r>
            <w:r w:rsidRPr="00037C61">
              <w:rPr>
                <w:color w:val="000000"/>
                <w:sz w:val="18"/>
                <w:szCs w:val="20"/>
                <w:lang w:val="en-GB"/>
              </w:rPr>
              <w:t>)</w:t>
            </w:r>
          </w:p>
        </w:tc>
        <w:tc>
          <w:tcPr>
            <w:tcW w:w="918" w:type="dxa"/>
            <w:shd w:val="clear" w:color="auto" w:fill="EAEDF6" w:themeFill="accent2" w:themeFillTint="33"/>
            <w:noWrap/>
          </w:tcPr>
          <w:p w14:paraId="0BB5EA75" w14:textId="21FE02C3" w:rsidR="00FB0745" w:rsidRPr="00037C61" w:rsidRDefault="00FB0745" w:rsidP="00715B98">
            <w:pPr>
              <w:ind w:right="-111"/>
              <w:jc w:val="center"/>
              <w:cnfStyle w:val="000000100000" w:firstRow="0" w:lastRow="0" w:firstColumn="0" w:lastColumn="0" w:oddVBand="0" w:evenVBand="0" w:oddHBand="1" w:evenHBand="0" w:firstRowFirstColumn="0" w:firstRowLastColumn="0" w:lastRowFirstColumn="0" w:lastRowLastColumn="0"/>
              <w:rPr>
                <w:b/>
                <w:color w:val="000000"/>
                <w:sz w:val="18"/>
                <w:szCs w:val="20"/>
                <w:lang w:val="en-GB"/>
              </w:rPr>
            </w:pPr>
            <w:r w:rsidRPr="00037C61">
              <w:rPr>
                <w:b/>
                <w:color w:val="000000"/>
                <w:sz w:val="18"/>
                <w:szCs w:val="20"/>
                <w:lang w:val="en-GB"/>
              </w:rPr>
              <w:t>47</w:t>
            </w:r>
            <w:r w:rsidR="00B762C8">
              <w:rPr>
                <w:b/>
                <w:color w:val="000000"/>
                <w:sz w:val="18"/>
                <w:szCs w:val="20"/>
                <w:lang w:val="en-GB"/>
              </w:rPr>
              <w:t>.</w:t>
            </w:r>
            <w:r w:rsidRPr="00037C61">
              <w:rPr>
                <w:b/>
                <w:color w:val="000000"/>
                <w:sz w:val="18"/>
                <w:szCs w:val="20"/>
                <w:lang w:val="en-GB"/>
              </w:rPr>
              <w:t>29%</w:t>
            </w:r>
          </w:p>
        </w:tc>
        <w:tc>
          <w:tcPr>
            <w:tcW w:w="918" w:type="dxa"/>
            <w:shd w:val="clear" w:color="auto" w:fill="EAEDF6" w:themeFill="accent2" w:themeFillTint="33"/>
            <w:noWrap/>
          </w:tcPr>
          <w:p w14:paraId="5CF04A91" w14:textId="28BCB694" w:rsidR="00FB0745" w:rsidRPr="00037C61" w:rsidRDefault="00FB0745">
            <w:pPr>
              <w:ind w:right="-111"/>
              <w:jc w:val="center"/>
              <w:cnfStyle w:val="000000100000" w:firstRow="0" w:lastRow="0" w:firstColumn="0" w:lastColumn="0" w:oddVBand="0" w:evenVBand="0" w:oddHBand="1" w:evenHBand="0" w:firstRowFirstColumn="0" w:firstRowLastColumn="0" w:lastRowFirstColumn="0" w:lastRowLastColumn="0"/>
              <w:rPr>
                <w:b/>
                <w:color w:val="000000"/>
                <w:sz w:val="18"/>
                <w:szCs w:val="20"/>
                <w:lang w:val="en-GB"/>
              </w:rPr>
            </w:pPr>
            <w:r w:rsidRPr="00037C61">
              <w:rPr>
                <w:b/>
                <w:color w:val="000000"/>
                <w:sz w:val="18"/>
                <w:szCs w:val="20"/>
                <w:lang w:val="en-GB"/>
              </w:rPr>
              <w:t>21</w:t>
            </w:r>
            <w:r w:rsidR="00B762C8">
              <w:rPr>
                <w:b/>
                <w:color w:val="000000"/>
                <w:sz w:val="18"/>
                <w:szCs w:val="20"/>
                <w:lang w:val="en-GB"/>
              </w:rPr>
              <w:t>.</w:t>
            </w:r>
            <w:r w:rsidRPr="00037C61">
              <w:rPr>
                <w:b/>
                <w:color w:val="000000"/>
                <w:sz w:val="18"/>
                <w:szCs w:val="20"/>
                <w:lang w:val="en-GB"/>
              </w:rPr>
              <w:t>12%</w:t>
            </w:r>
          </w:p>
        </w:tc>
        <w:tc>
          <w:tcPr>
            <w:tcW w:w="918" w:type="dxa"/>
            <w:shd w:val="clear" w:color="auto" w:fill="EAEDF6" w:themeFill="accent2" w:themeFillTint="33"/>
            <w:noWrap/>
          </w:tcPr>
          <w:p w14:paraId="09698222" w14:textId="6AB50708" w:rsidR="00FB0745" w:rsidRPr="00037C61" w:rsidRDefault="00FB0745">
            <w:pPr>
              <w:ind w:right="-111"/>
              <w:jc w:val="center"/>
              <w:cnfStyle w:val="000000100000" w:firstRow="0" w:lastRow="0" w:firstColumn="0" w:lastColumn="0" w:oddVBand="0" w:evenVBand="0" w:oddHBand="1" w:evenHBand="0" w:firstRowFirstColumn="0" w:firstRowLastColumn="0" w:lastRowFirstColumn="0" w:lastRowLastColumn="0"/>
              <w:rPr>
                <w:b/>
                <w:color w:val="000000"/>
                <w:sz w:val="18"/>
                <w:szCs w:val="20"/>
                <w:lang w:val="en-GB"/>
              </w:rPr>
            </w:pPr>
            <w:r w:rsidRPr="00037C61">
              <w:rPr>
                <w:b/>
                <w:color w:val="000000"/>
                <w:sz w:val="18"/>
                <w:szCs w:val="20"/>
                <w:lang w:val="en-GB"/>
              </w:rPr>
              <w:t>18</w:t>
            </w:r>
            <w:r w:rsidR="00B762C8">
              <w:rPr>
                <w:b/>
                <w:color w:val="000000"/>
                <w:sz w:val="18"/>
                <w:szCs w:val="20"/>
                <w:lang w:val="en-GB"/>
              </w:rPr>
              <w:t>.</w:t>
            </w:r>
            <w:r w:rsidRPr="00037C61">
              <w:rPr>
                <w:b/>
                <w:color w:val="000000"/>
                <w:sz w:val="18"/>
                <w:szCs w:val="20"/>
                <w:lang w:val="en-GB"/>
              </w:rPr>
              <w:t>60%</w:t>
            </w:r>
          </w:p>
        </w:tc>
        <w:tc>
          <w:tcPr>
            <w:tcW w:w="919" w:type="dxa"/>
            <w:shd w:val="clear" w:color="auto" w:fill="EAEDF6" w:themeFill="accent2" w:themeFillTint="33"/>
            <w:noWrap/>
          </w:tcPr>
          <w:p w14:paraId="2FB20395" w14:textId="3DDBB1BF" w:rsidR="00FB0745" w:rsidRPr="00037C61" w:rsidRDefault="00FB0745">
            <w:pPr>
              <w:ind w:right="-111"/>
              <w:jc w:val="center"/>
              <w:cnfStyle w:val="000000100000" w:firstRow="0" w:lastRow="0" w:firstColumn="0" w:lastColumn="0" w:oddVBand="0" w:evenVBand="0" w:oddHBand="1" w:evenHBand="0" w:firstRowFirstColumn="0" w:firstRowLastColumn="0" w:lastRowFirstColumn="0" w:lastRowLastColumn="0"/>
              <w:rPr>
                <w:b/>
                <w:color w:val="000000"/>
                <w:sz w:val="18"/>
                <w:szCs w:val="20"/>
                <w:lang w:val="en-GB"/>
              </w:rPr>
            </w:pPr>
            <w:r w:rsidRPr="00037C61">
              <w:rPr>
                <w:b/>
                <w:color w:val="000000"/>
                <w:sz w:val="18"/>
                <w:szCs w:val="20"/>
                <w:lang w:val="en-GB"/>
              </w:rPr>
              <w:t>32</w:t>
            </w:r>
            <w:r w:rsidR="00B762C8">
              <w:rPr>
                <w:b/>
                <w:color w:val="000000"/>
                <w:sz w:val="18"/>
                <w:szCs w:val="20"/>
                <w:lang w:val="en-GB"/>
              </w:rPr>
              <w:t>.</w:t>
            </w:r>
            <w:r w:rsidRPr="00037C61">
              <w:rPr>
                <w:b/>
                <w:color w:val="000000"/>
                <w:sz w:val="18"/>
                <w:szCs w:val="20"/>
                <w:lang w:val="en-GB"/>
              </w:rPr>
              <w:t>38%</w:t>
            </w:r>
          </w:p>
        </w:tc>
        <w:tc>
          <w:tcPr>
            <w:tcW w:w="918" w:type="dxa"/>
            <w:shd w:val="clear" w:color="auto" w:fill="EAEDF6" w:themeFill="accent2" w:themeFillTint="33"/>
            <w:noWrap/>
          </w:tcPr>
          <w:p w14:paraId="5B402B91" w14:textId="18E220B1" w:rsidR="00FB0745" w:rsidRPr="00DB74BF" w:rsidRDefault="00B762C8">
            <w:pPr>
              <w:ind w:right="-111"/>
              <w:jc w:val="center"/>
              <w:cnfStyle w:val="000000100000" w:firstRow="0" w:lastRow="0" w:firstColumn="0" w:lastColumn="0" w:oddVBand="0" w:evenVBand="0" w:oddHBand="1" w:evenHBand="0" w:firstRowFirstColumn="0" w:firstRowLastColumn="0" w:lastRowFirstColumn="0" w:lastRowLastColumn="0"/>
              <w:rPr>
                <w:b/>
                <w:sz w:val="18"/>
                <w:szCs w:val="20"/>
                <w:lang w:val="en-GB"/>
              </w:rPr>
            </w:pPr>
            <w:r w:rsidRPr="00DB74BF">
              <w:rPr>
                <w:b/>
                <w:sz w:val="18"/>
                <w:szCs w:val="20"/>
                <w:lang w:val="en-GB"/>
              </w:rPr>
              <w:t>36.16%</w:t>
            </w:r>
          </w:p>
        </w:tc>
        <w:tc>
          <w:tcPr>
            <w:tcW w:w="918" w:type="dxa"/>
            <w:shd w:val="clear" w:color="auto" w:fill="EAEDF6" w:themeFill="accent2" w:themeFillTint="33"/>
            <w:noWrap/>
          </w:tcPr>
          <w:p w14:paraId="47D43B9B" w14:textId="6F31E962" w:rsidR="00FB0745" w:rsidRPr="00DB74BF" w:rsidRDefault="00B762C8">
            <w:pPr>
              <w:ind w:right="-111"/>
              <w:jc w:val="center"/>
              <w:cnfStyle w:val="000000100000" w:firstRow="0" w:lastRow="0" w:firstColumn="0" w:lastColumn="0" w:oddVBand="0" w:evenVBand="0" w:oddHBand="1" w:evenHBand="0" w:firstRowFirstColumn="0" w:firstRowLastColumn="0" w:lastRowFirstColumn="0" w:lastRowLastColumn="0"/>
              <w:rPr>
                <w:b/>
                <w:sz w:val="18"/>
                <w:szCs w:val="20"/>
                <w:lang w:val="en-GB"/>
              </w:rPr>
            </w:pPr>
            <w:r w:rsidRPr="00DB74BF">
              <w:rPr>
                <w:b/>
                <w:sz w:val="18"/>
                <w:szCs w:val="20"/>
                <w:lang w:val="en-GB"/>
              </w:rPr>
              <w:t>19.93%</w:t>
            </w:r>
          </w:p>
        </w:tc>
        <w:tc>
          <w:tcPr>
            <w:tcW w:w="918" w:type="dxa"/>
            <w:shd w:val="clear" w:color="auto" w:fill="EAEDF6" w:themeFill="accent2" w:themeFillTint="33"/>
            <w:noWrap/>
          </w:tcPr>
          <w:p w14:paraId="33FF92A9" w14:textId="033A40D1" w:rsidR="00FB0745" w:rsidRPr="00DB74BF" w:rsidRDefault="00B762C8">
            <w:pPr>
              <w:ind w:right="-111"/>
              <w:jc w:val="center"/>
              <w:cnfStyle w:val="000000100000" w:firstRow="0" w:lastRow="0" w:firstColumn="0" w:lastColumn="0" w:oddVBand="0" w:evenVBand="0" w:oddHBand="1" w:evenHBand="0" w:firstRowFirstColumn="0" w:firstRowLastColumn="0" w:lastRowFirstColumn="0" w:lastRowLastColumn="0"/>
              <w:rPr>
                <w:b/>
                <w:sz w:val="18"/>
                <w:szCs w:val="20"/>
                <w:lang w:val="en-GB"/>
              </w:rPr>
            </w:pPr>
            <w:r w:rsidRPr="00DB74BF">
              <w:rPr>
                <w:b/>
                <w:sz w:val="18"/>
                <w:szCs w:val="20"/>
                <w:lang w:val="en-GB"/>
              </w:rPr>
              <w:t>38.29%</w:t>
            </w:r>
          </w:p>
        </w:tc>
        <w:tc>
          <w:tcPr>
            <w:tcW w:w="919" w:type="dxa"/>
            <w:shd w:val="clear" w:color="auto" w:fill="EAEDF6" w:themeFill="accent2" w:themeFillTint="33"/>
            <w:noWrap/>
          </w:tcPr>
          <w:p w14:paraId="6EAA1FB4" w14:textId="3E64A92D" w:rsidR="00FB0745" w:rsidRPr="00DB74BF" w:rsidRDefault="00B762C8">
            <w:pPr>
              <w:ind w:right="-111"/>
              <w:jc w:val="center"/>
              <w:cnfStyle w:val="000000100000" w:firstRow="0" w:lastRow="0" w:firstColumn="0" w:lastColumn="0" w:oddVBand="0" w:evenVBand="0" w:oddHBand="1" w:evenHBand="0" w:firstRowFirstColumn="0" w:firstRowLastColumn="0" w:lastRowFirstColumn="0" w:lastRowLastColumn="0"/>
              <w:rPr>
                <w:b/>
                <w:sz w:val="18"/>
                <w:szCs w:val="20"/>
                <w:lang w:val="en-GB"/>
              </w:rPr>
            </w:pPr>
            <w:r w:rsidRPr="00DB74BF">
              <w:rPr>
                <w:b/>
                <w:sz w:val="18"/>
                <w:szCs w:val="20"/>
                <w:lang w:val="en-GB"/>
              </w:rPr>
              <w:t>14.61%</w:t>
            </w:r>
          </w:p>
        </w:tc>
      </w:tr>
    </w:tbl>
    <w:p w14:paraId="0CAC25FA" w14:textId="0CA75961" w:rsidR="00FB0745" w:rsidRPr="00037C61" w:rsidRDefault="00FB0745" w:rsidP="00230FC4">
      <w:pPr>
        <w:pStyle w:val="Caption"/>
        <w:keepNext/>
        <w:jc w:val="left"/>
        <w:rPr>
          <w:lang w:val="en-GB"/>
        </w:rPr>
      </w:pPr>
      <w:r w:rsidRPr="00037C61">
        <w:rPr>
          <w:lang w:val="en-GB"/>
        </w:rPr>
        <w:t>Source: INS, data for Natura 2000 areas per NUT</w:t>
      </w:r>
      <w:r w:rsidR="00A50E7E">
        <w:rPr>
          <w:lang w:val="en-GB"/>
        </w:rPr>
        <w:t>S</w:t>
      </w:r>
      <w:r w:rsidRPr="00037C61">
        <w:rPr>
          <w:lang w:val="en-GB"/>
        </w:rPr>
        <w:t xml:space="preserve">3 in 2018, </w:t>
      </w:r>
      <w:hyperlink r:id="rId211" w:history="1">
        <w:r w:rsidR="00230FC4" w:rsidRPr="00037C61">
          <w:rPr>
            <w:rStyle w:val="Hyperlink"/>
            <w:lang w:val="en-GB"/>
          </w:rPr>
          <w:t>https://ec.europa.eu/environment/nature/natura2000/index_en.htm</w:t>
        </w:r>
      </w:hyperlink>
      <w:r w:rsidR="00AC5D73">
        <w:rPr>
          <w:rStyle w:val="Hyperlink"/>
          <w:lang w:val="en-GB"/>
        </w:rPr>
        <w:t xml:space="preserve"> </w:t>
      </w:r>
      <w:r w:rsidR="00AC5D73" w:rsidRPr="00DB74BF">
        <w:rPr>
          <w:rStyle w:val="Hyperlink"/>
          <w:i w:val="0"/>
          <w:iCs w:val="0"/>
          <w:u w:val="none"/>
          <w:lang w:val="en-GB"/>
        </w:rPr>
        <w:t>and</w:t>
      </w:r>
      <w:r w:rsidR="00AC5D73">
        <w:rPr>
          <w:rStyle w:val="Hyperlink"/>
          <w:lang w:val="en-GB"/>
        </w:rPr>
        <w:t xml:space="preserve"> </w:t>
      </w:r>
      <w:hyperlink r:id="rId212" w:history="1">
        <w:r w:rsidR="00AC5D73" w:rsidRPr="001E1D47">
          <w:rPr>
            <w:rStyle w:val="Hyperlink"/>
            <w:lang w:val="en-GB"/>
          </w:rPr>
          <w:t>https://biodiversitate.mmediu.ro/rio/natura2000/stats?type=spa&amp;compute=protected_area</w:t>
        </w:r>
      </w:hyperlink>
      <w:r w:rsidR="00AC5D73">
        <w:rPr>
          <w:rStyle w:val="Hyperlink"/>
          <w:lang w:val="en-GB"/>
        </w:rPr>
        <w:t xml:space="preserve"> </w:t>
      </w:r>
    </w:p>
    <w:p w14:paraId="73412D17" w14:textId="4C5C8E3A" w:rsidR="00230FC4" w:rsidRPr="00037C61" w:rsidRDefault="00230FC4" w:rsidP="00715B98">
      <w:pPr>
        <w:rPr>
          <w:lang w:val="en-GB"/>
        </w:rPr>
      </w:pPr>
    </w:p>
    <w:p w14:paraId="04A80EC8" w14:textId="64D4865B" w:rsidR="005F68EE" w:rsidRPr="00037C61" w:rsidRDefault="005F68EE" w:rsidP="00715B98">
      <w:pPr>
        <w:rPr>
          <w:lang w:val="en-GB"/>
        </w:rPr>
      </w:pPr>
      <w:r w:rsidRPr="00037C61">
        <w:rPr>
          <w:lang w:val="en-GB"/>
        </w:rPr>
        <w:t xml:space="preserve">The largest Natura 2000 territorial coverage in the PA is recorded in Hajdú-Bihar (47.29%) and Arad (41.07%), followed by Bihor (35.05%) and Csongrád-Csanád (32.38%). While the sites on both sides of the border generally follow coherent areas along the rivers, there are disparities and interruptions caused by the border especially in the northern area of the PA – for example, ROSCI0020 Câmpia Careiului (Bihor, Satu Mare) does not have continuity at cross-border level. </w:t>
      </w:r>
      <w:r w:rsidR="00A50E7E">
        <w:rPr>
          <w:lang w:val="en-GB"/>
        </w:rPr>
        <w:t xml:space="preserve">Perimeter incoherence can pose threats to protected species, for example by failing to provide protection of migratory corridors. </w:t>
      </w:r>
    </w:p>
    <w:p w14:paraId="6BAE005B" w14:textId="07C5A7A0" w:rsidR="009D7E40" w:rsidRPr="00037C61" w:rsidRDefault="009D7E40" w:rsidP="00715B98">
      <w:pPr>
        <w:rPr>
          <w:lang w:val="en-GB"/>
        </w:rPr>
      </w:pPr>
    </w:p>
    <w:p w14:paraId="7EB26F86" w14:textId="489CAE7B" w:rsidR="00012BD7" w:rsidRPr="00037C61" w:rsidRDefault="00FB0745">
      <w:pPr>
        <w:pStyle w:val="InterregROHUBullet1"/>
        <w:keepNext/>
        <w:numPr>
          <w:ilvl w:val="0"/>
          <w:numId w:val="0"/>
        </w:numPr>
        <w:spacing w:after="0"/>
        <w:ind w:left="-142"/>
        <w:jc w:val="center"/>
      </w:pPr>
      <w:r w:rsidRPr="00037C61">
        <w:rPr>
          <w:rFonts w:cs="Calibri"/>
          <w:noProof/>
          <w:lang w:val="ro-RO" w:eastAsia="ro-RO"/>
        </w:rPr>
        <w:lastRenderedPageBreak/>
        <w:drawing>
          <wp:inline distT="0" distB="0" distL="0" distR="0" wp14:anchorId="6FCD913E" wp14:editId="5698F824">
            <wp:extent cx="5646894" cy="3691467"/>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213">
                      <a:extLst>
                        <a:ext uri="{28A0092B-C50C-407E-A947-70E740481C1C}">
                          <a14:useLocalDpi xmlns:a14="http://schemas.microsoft.com/office/drawing/2010/main"/>
                        </a:ext>
                      </a:extLst>
                    </a:blip>
                    <a:stretch>
                      <a:fillRect/>
                    </a:stretch>
                  </pic:blipFill>
                  <pic:spPr bwMode="auto">
                    <a:xfrm>
                      <a:off x="0" y="0"/>
                      <a:ext cx="5657603" cy="3698468"/>
                    </a:xfrm>
                    <a:prstGeom prst="rect">
                      <a:avLst/>
                    </a:prstGeom>
                    <a:ln>
                      <a:noFill/>
                    </a:ln>
                    <a:extLst>
                      <a:ext uri="{53640926-AAD7-44D8-BBD7-CCE9431645EC}">
                        <a14:shadowObscured xmlns:a14="http://schemas.microsoft.com/office/drawing/2010/main"/>
                      </a:ext>
                    </a:extLst>
                  </pic:spPr>
                </pic:pic>
              </a:graphicData>
            </a:graphic>
          </wp:inline>
        </w:drawing>
      </w:r>
    </w:p>
    <w:p w14:paraId="302FBAFE" w14:textId="36BAFB3D" w:rsidR="00012BD7" w:rsidRPr="00037C61" w:rsidRDefault="52230E0C">
      <w:pPr>
        <w:pStyle w:val="Caption"/>
        <w:jc w:val="left"/>
        <w:rPr>
          <w:lang w:val="en-GB"/>
        </w:rPr>
      </w:pPr>
      <w:bookmarkStart w:id="735" w:name="_Toc6461105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105</w:t>
      </w:r>
      <w:r w:rsidR="00412697">
        <w:rPr>
          <w:lang w:val="en-GB"/>
        </w:rPr>
        <w:fldChar w:fldCharType="end"/>
      </w:r>
      <w:r w:rsidRPr="00037C61">
        <w:rPr>
          <w:lang w:val="en-GB"/>
        </w:rPr>
        <w:t xml:space="preserve"> - Distribution of Natura 2000 and CDDA sites in the PA</w:t>
      </w:r>
      <w:bookmarkEnd w:id="735"/>
    </w:p>
    <w:p w14:paraId="43399454" w14:textId="7CEE3060" w:rsidR="00FB0745" w:rsidRPr="00DB74BF" w:rsidRDefault="00012BD7" w:rsidP="00012BD7">
      <w:pPr>
        <w:pStyle w:val="Caption"/>
        <w:jc w:val="left"/>
        <w:rPr>
          <w:lang w:val="fr-FR"/>
        </w:rPr>
      </w:pPr>
      <w:r w:rsidRPr="00DB74BF">
        <w:rPr>
          <w:lang w:val="fr-FR"/>
        </w:rPr>
        <w:t xml:space="preserve">Source: </w:t>
      </w:r>
      <w:hyperlink r:id="rId214" w:history="1">
        <w:r w:rsidRPr="00DB74BF">
          <w:rPr>
            <w:rStyle w:val="Hyperlink"/>
            <w:lang w:val="fr-FR"/>
          </w:rPr>
          <w:t>https://www.eea.europa.eu/data-and-maps/explore-interactive-maps/european-protected-areas-1</w:t>
        </w:r>
      </w:hyperlink>
    </w:p>
    <w:p w14:paraId="61486B07" w14:textId="7FA4EEEF" w:rsidR="00012BD7" w:rsidRPr="00DB74BF" w:rsidRDefault="00012BD7" w:rsidP="00715B98">
      <w:pPr>
        <w:rPr>
          <w:lang w:val="fr-FR"/>
        </w:rPr>
      </w:pPr>
    </w:p>
    <w:p w14:paraId="75E72442" w14:textId="08E4CFBB" w:rsidR="00E1414B" w:rsidRPr="00037C61" w:rsidRDefault="00E1414B" w:rsidP="00715B98">
      <w:pPr>
        <w:rPr>
          <w:lang w:val="en-GB"/>
        </w:rPr>
      </w:pPr>
      <w:r w:rsidRPr="00037C61">
        <w:rPr>
          <w:noProof/>
          <w:lang w:val="ro-RO" w:eastAsia="ro-RO"/>
        </w:rPr>
        <w:drawing>
          <wp:anchor distT="0" distB="0" distL="114300" distR="114300" simplePos="0" relativeHeight="251683328" behindDoc="0" locked="0" layoutInCell="1" allowOverlap="1" wp14:anchorId="07268487" wp14:editId="45745F02">
            <wp:simplePos x="0" y="0"/>
            <wp:positionH relativeFrom="column">
              <wp:posOffset>2708910</wp:posOffset>
            </wp:positionH>
            <wp:positionV relativeFrom="paragraph">
              <wp:posOffset>11430</wp:posOffset>
            </wp:positionV>
            <wp:extent cx="2934970" cy="3600450"/>
            <wp:effectExtent l="0" t="0" r="0"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34970"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44A9" w:rsidRPr="00037C61">
        <w:rPr>
          <w:lang w:val="en-GB"/>
        </w:rPr>
        <w:t xml:space="preserve">Supporting, protecting and encouraging biodiversity in the area is dependent </w:t>
      </w:r>
      <w:r w:rsidRPr="00037C61">
        <w:rPr>
          <w:lang w:val="en-GB"/>
        </w:rPr>
        <w:t xml:space="preserve">on soil quality as well, </w:t>
      </w:r>
      <w:r w:rsidR="006344A9" w:rsidRPr="00037C61">
        <w:rPr>
          <w:lang w:val="en-GB"/>
        </w:rPr>
        <w:t>a critical component for the functioning of terrestrial ecosystems</w:t>
      </w:r>
      <w:r w:rsidRPr="00037C61">
        <w:rPr>
          <w:lang w:val="en-GB"/>
        </w:rPr>
        <w:t xml:space="preserve">. </w:t>
      </w:r>
    </w:p>
    <w:p w14:paraId="63ADDF4E" w14:textId="4DE968EA" w:rsidR="006344A9" w:rsidRPr="00037C61" w:rsidRDefault="00E1414B" w:rsidP="00E1414B">
      <w:pPr>
        <w:rPr>
          <w:lang w:val="en-GB"/>
        </w:rPr>
      </w:pPr>
      <w:r w:rsidRPr="00037C61">
        <w:rPr>
          <w:lang w:val="en-GB"/>
        </w:rPr>
        <w:t xml:space="preserve">According to the EEA’s assessment of the capability of soils to host biodiversity, the soil biodiversity potential in the area is moderate, with lower potential recorded in the south (Csongrád-Csanád, Timiș) and Hajdu-Bihar, and higher in the eastern parts of the Romanian counties (Apuseni Mountains), however with significant potential to support further development of biodiversity in the border area south of Nyíregyháza, and with exceptional potential in the regions already protected by Natura 2000 classification (Hortobágy in Hungary, Dealurile Lipovei, Munții Zarandului in Romania). </w:t>
      </w:r>
    </w:p>
    <w:p w14:paraId="65AED0BB" w14:textId="77777777" w:rsidR="00E1414B" w:rsidRPr="00037C61" w:rsidRDefault="00E1414B" w:rsidP="005E0849">
      <w:pPr>
        <w:spacing w:after="0"/>
        <w:rPr>
          <w:lang w:val="en-GB"/>
        </w:rPr>
      </w:pPr>
    </w:p>
    <w:p w14:paraId="21FA95C6" w14:textId="3A80945F" w:rsidR="00E1414B" w:rsidRPr="00037C61" w:rsidRDefault="00E1414B" w:rsidP="005E0849">
      <w:pPr>
        <w:pStyle w:val="Caption"/>
        <w:jc w:val="right"/>
        <w:rPr>
          <w:lang w:val="en-GB"/>
        </w:rPr>
      </w:pPr>
      <w:bookmarkStart w:id="736" w:name="_Toc6461105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106</w:t>
      </w:r>
      <w:r w:rsidR="00412697">
        <w:rPr>
          <w:lang w:val="en-GB"/>
        </w:rPr>
        <w:fldChar w:fldCharType="end"/>
      </w:r>
      <w:r w:rsidRPr="00037C61">
        <w:rPr>
          <w:lang w:val="en-GB"/>
        </w:rPr>
        <w:t xml:space="preserve"> - Potential of soils to serve as biodiversity pool (2016)</w:t>
      </w:r>
      <w:bookmarkEnd w:id="736"/>
      <w:r w:rsidRPr="00037C61">
        <w:rPr>
          <w:lang w:val="en-GB"/>
        </w:rPr>
        <w:t xml:space="preserve"> </w:t>
      </w:r>
    </w:p>
    <w:p w14:paraId="4234FE64" w14:textId="4BB2B5F0" w:rsidR="00E1414B" w:rsidRPr="00DB74BF" w:rsidRDefault="00E1414B" w:rsidP="005E0849">
      <w:pPr>
        <w:pStyle w:val="Caption"/>
        <w:jc w:val="right"/>
        <w:rPr>
          <w:noProof/>
          <w:lang w:val="fr-FR"/>
        </w:rPr>
      </w:pPr>
      <w:r w:rsidRPr="00DB74BF">
        <w:rPr>
          <w:lang w:val="fr-FR"/>
        </w:rPr>
        <w:t>Source: EEA, https://eea.maps.arcgis.com/home/item.html?id=3e61de88ad554d019f4eaf303cf294be</w:t>
      </w:r>
    </w:p>
    <w:p w14:paraId="55805F7F" w14:textId="77777777" w:rsidR="00E1414B" w:rsidRPr="00DB74BF" w:rsidRDefault="00E1414B" w:rsidP="005E0849">
      <w:pPr>
        <w:jc w:val="right"/>
        <w:rPr>
          <w:lang w:val="fr-FR"/>
        </w:rPr>
      </w:pPr>
    </w:p>
    <w:p w14:paraId="0F11D61C" w14:textId="642252B0" w:rsidR="086A48B6" w:rsidRPr="00037C61" w:rsidRDefault="086A48B6" w:rsidP="086A48B6">
      <w:pPr>
        <w:spacing w:line="257" w:lineRule="auto"/>
        <w:rPr>
          <w:lang w:val="en-GB"/>
        </w:rPr>
      </w:pPr>
      <w:r w:rsidRPr="00037C61">
        <w:rPr>
          <w:rFonts w:eastAsiaTheme="majorEastAsia" w:cstheme="majorBidi"/>
          <w:b/>
          <w:bCs/>
          <w:color w:val="023B7A" w:themeColor="accent1" w:themeShade="BF"/>
          <w:lang w:val="en-GB"/>
        </w:rPr>
        <w:lastRenderedPageBreak/>
        <w:t>The Carpathian Chain</w:t>
      </w:r>
      <w:r w:rsidRPr="00037C61">
        <w:rPr>
          <w:rFonts w:eastAsia="Calibri" w:cs="Calibri"/>
          <w:b/>
          <w:bCs/>
          <w:lang w:val="en-GB"/>
        </w:rPr>
        <w:t xml:space="preserve"> </w:t>
      </w:r>
    </w:p>
    <w:p w14:paraId="666DFC7F" w14:textId="778207DB" w:rsidR="086A48B6" w:rsidRPr="00037C61" w:rsidRDefault="086A48B6" w:rsidP="086A48B6">
      <w:pPr>
        <w:spacing w:line="257" w:lineRule="auto"/>
        <w:rPr>
          <w:lang w:val="en-GB"/>
        </w:rPr>
      </w:pPr>
      <w:r w:rsidRPr="00037C61">
        <w:rPr>
          <w:rFonts w:eastAsia="Calibri" w:cs="Calibri"/>
          <w:lang w:val="en-GB"/>
        </w:rPr>
        <w:t>The programming area contains a relatively small (but important) share of mountain area (in the Romanian side), part of the Carpathian mountain chain. The Carpathian mountain chain is of global importance. According to the Carpathian Convention, the mountains chain represents the largest remaining old-growth forest ecosystems outside of Russia, containing a third of all European vascular plant species, having major implications in climate change phenomenon. As concerns the fauna and its apex predators, the Carpathians have over 40% of Europe’s brown bear population and over 30% of grey wolves population</w:t>
      </w:r>
    </w:p>
    <w:p w14:paraId="3F428362" w14:textId="02FC7170" w:rsidR="086A48B6" w:rsidRPr="00DB74BF" w:rsidRDefault="086A48B6" w:rsidP="086A48B6">
      <w:pPr>
        <w:rPr>
          <w:lang w:val="fr-FR"/>
        </w:rPr>
      </w:pPr>
      <w:r w:rsidRPr="00037C61">
        <w:rPr>
          <w:rFonts w:eastAsia="Calibri" w:cs="Calibri"/>
          <w:i/>
          <w:iCs/>
          <w:lang w:val="en-GB"/>
        </w:rPr>
        <w:t xml:space="preserve">They contain Europe’s largest remaining old-growth forest ecosystems outside of Russia. One-third of all European vascular plant species. Over 40 per cent of Europe’s brown bears and 30 per cent of its grey wolves. The Carpathian Convention is vital to protect these precious ecosystems. It supports the implementation of global and European policies and is the only existing instrument to address crises in the subregion in a holistic manner. It is a key tool to support wider global processes – such as the post-2020 biodiversity framework, which we must agree upon in Kunming next year and all throw our weight behind. </w:t>
      </w:r>
      <w:r w:rsidRPr="00DB74BF">
        <w:rPr>
          <w:rFonts w:eastAsia="Calibri" w:cs="Calibri"/>
          <w:lang w:val="fr-FR"/>
        </w:rPr>
        <w:t xml:space="preserve">(Source: </w:t>
      </w:r>
      <w:hyperlink r:id="rId216">
        <w:r w:rsidRPr="00DB74BF">
          <w:rPr>
            <w:rStyle w:val="Hyperlink"/>
            <w:rFonts w:eastAsia="Calibri" w:cs="Calibri"/>
            <w:color w:val="0563C1"/>
            <w:lang w:val="fr-FR"/>
          </w:rPr>
          <w:t>https://www.unenvironment.org/news-and-stories/speech/carpathian-convention-push-implementation</w:t>
        </w:r>
      </w:hyperlink>
      <w:r w:rsidRPr="00DB74BF">
        <w:rPr>
          <w:rFonts w:eastAsia="Calibri" w:cs="Calibri"/>
          <w:lang w:val="fr-FR"/>
        </w:rPr>
        <w:t>).</w:t>
      </w:r>
    </w:p>
    <w:p w14:paraId="6FD61FB6" w14:textId="492DDD61" w:rsidR="00FB0745" w:rsidRPr="00037C61" w:rsidRDefault="006344A9" w:rsidP="00715B98">
      <w:pPr>
        <w:pStyle w:val="Heading4"/>
        <w:rPr>
          <w:lang w:val="en-GB"/>
        </w:rPr>
      </w:pPr>
      <w:r w:rsidRPr="00037C61">
        <w:rPr>
          <w:lang w:val="en-GB"/>
        </w:rPr>
        <w:t>Forests</w:t>
      </w:r>
      <w:r w:rsidR="00684C29" w:rsidRPr="00037C61">
        <w:rPr>
          <w:lang w:val="en-GB"/>
        </w:rPr>
        <w:t>, deforestation</w:t>
      </w:r>
      <w:r w:rsidRPr="00037C61">
        <w:rPr>
          <w:lang w:val="en-GB"/>
        </w:rPr>
        <w:t xml:space="preserve"> and artificial </w:t>
      </w:r>
      <w:r w:rsidR="00FB0745" w:rsidRPr="00037C61">
        <w:rPr>
          <w:lang w:val="en-GB"/>
        </w:rPr>
        <w:t>reforestation surfaces</w:t>
      </w:r>
    </w:p>
    <w:p w14:paraId="216F252B" w14:textId="6176B17C" w:rsidR="00E1414B" w:rsidRPr="00037C61" w:rsidRDefault="007C13F2" w:rsidP="00E1414B">
      <w:pPr>
        <w:rPr>
          <w:lang w:val="en-GB"/>
        </w:rPr>
      </w:pPr>
      <w:r w:rsidRPr="00037C61">
        <w:rPr>
          <w:lang w:val="en-GB"/>
        </w:rPr>
        <w:t xml:space="preserve">Forest cover in the PA is relatively reduced compared to national averages (23% in Hungary and 29% in Romania), with a concentration of </w:t>
      </w:r>
      <w:r w:rsidR="00ED1DD0" w:rsidRPr="00037C61">
        <w:rPr>
          <w:lang w:val="en-GB"/>
        </w:rPr>
        <w:t xml:space="preserve">forest surfaces in Arad, Bihor and Timiș due to the favourable hill and mountain topography in the eastern part. Forest areas are also concentrated west of Debrecen in the Hungarian side, creating a high-potential landscape. Forest production capacity is assessed relatively low in the area, with higher </w:t>
      </w:r>
      <w:r w:rsidR="00684C29" w:rsidRPr="00037C61">
        <w:rPr>
          <w:lang w:val="en-GB"/>
        </w:rPr>
        <w:t xml:space="preserve">values in Arad. </w:t>
      </w:r>
      <w:r w:rsidR="00ED1DD0" w:rsidRPr="00037C61">
        <w:rPr>
          <w:lang w:val="en-GB"/>
        </w:rPr>
        <w:t xml:space="preserve"> </w:t>
      </w:r>
    </w:p>
    <w:p w14:paraId="1DFAFB60" w14:textId="21AC7411" w:rsidR="00684C29" w:rsidRPr="00037C61" w:rsidRDefault="00684C29" w:rsidP="005E0849">
      <w:pPr>
        <w:pStyle w:val="Caption"/>
        <w:keepNext/>
        <w:jc w:val="both"/>
        <w:rPr>
          <w:lang w:val="en-GB"/>
        </w:rPr>
      </w:pPr>
      <w:bookmarkStart w:id="737" w:name="_Toc6461105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107</w:t>
      </w:r>
      <w:r w:rsidR="00412697">
        <w:rPr>
          <w:lang w:val="en-GB"/>
        </w:rPr>
        <w:fldChar w:fldCharType="end"/>
      </w:r>
      <w:r w:rsidRPr="00037C61">
        <w:rPr>
          <w:lang w:val="en-GB"/>
        </w:rPr>
        <w:t xml:space="preserve"> – Estimated spatial distribution of forest biomass availability</w:t>
      </w:r>
      <w:bookmarkEnd w:id="737"/>
      <w:r w:rsidRPr="00037C61">
        <w:rPr>
          <w:lang w:val="en-GB"/>
        </w:rPr>
        <w:t xml:space="preserve"> </w:t>
      </w:r>
    </w:p>
    <w:p w14:paraId="06322FA7" w14:textId="7F92A601" w:rsidR="00ED1DD0" w:rsidRPr="00037C61" w:rsidRDefault="00ED1DD0" w:rsidP="005E0849">
      <w:pPr>
        <w:spacing w:after="0"/>
        <w:rPr>
          <w:lang w:val="en-GB"/>
        </w:rPr>
      </w:pPr>
      <w:r w:rsidRPr="00037C61">
        <w:rPr>
          <w:noProof/>
          <w:lang w:val="ro-RO" w:eastAsia="ro-RO"/>
        </w:rPr>
        <w:drawing>
          <wp:inline distT="0" distB="0" distL="0" distR="0" wp14:anchorId="14A396DA" wp14:editId="2646FB15">
            <wp:extent cx="5723257" cy="3251200"/>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217">
                      <a:extLst>
                        <a:ext uri="{28A0092B-C50C-407E-A947-70E740481C1C}">
                          <a14:useLocalDpi xmlns:a14="http://schemas.microsoft.com/office/drawing/2010/main" val="0"/>
                        </a:ext>
                      </a:extLst>
                    </a:blip>
                    <a:stretch>
                      <a:fillRect/>
                    </a:stretch>
                  </pic:blipFill>
                  <pic:spPr>
                    <a:xfrm>
                      <a:off x="0" y="0"/>
                      <a:ext cx="5723257" cy="3251200"/>
                    </a:xfrm>
                    <a:prstGeom prst="rect">
                      <a:avLst/>
                    </a:prstGeom>
                  </pic:spPr>
                </pic:pic>
              </a:graphicData>
            </a:graphic>
          </wp:inline>
        </w:drawing>
      </w:r>
    </w:p>
    <w:p w14:paraId="0B0687AB" w14:textId="091009F2" w:rsidR="00684C29" w:rsidRPr="00037C61" w:rsidRDefault="00684C29" w:rsidP="00684C29">
      <w:pPr>
        <w:pStyle w:val="Caption"/>
        <w:keepNext/>
        <w:jc w:val="both"/>
        <w:rPr>
          <w:lang w:val="en-GB"/>
        </w:rPr>
      </w:pPr>
      <w:r w:rsidRPr="00037C61">
        <w:rPr>
          <w:lang w:val="en-GB"/>
        </w:rPr>
        <w:t xml:space="preserve">Source: Verkerk, Fitzgerald and Datta (2019) </w:t>
      </w:r>
    </w:p>
    <w:p w14:paraId="362B7FCF" w14:textId="77777777" w:rsidR="00E1414B" w:rsidRPr="00037C61" w:rsidRDefault="00E1414B" w:rsidP="005E0849">
      <w:pPr>
        <w:rPr>
          <w:lang w:val="en-GB"/>
        </w:rPr>
      </w:pPr>
    </w:p>
    <w:p w14:paraId="048B813B" w14:textId="084E4241" w:rsidR="00FB0745" w:rsidRPr="00037C61" w:rsidRDefault="007C13F2" w:rsidP="00FB0745">
      <w:pPr>
        <w:pStyle w:val="InterregROHUBullet1"/>
        <w:numPr>
          <w:ilvl w:val="0"/>
          <w:numId w:val="0"/>
        </w:numPr>
        <w:spacing w:after="0"/>
        <w:rPr>
          <w:rFonts w:cs="Calibri"/>
        </w:rPr>
      </w:pPr>
      <w:r w:rsidRPr="00037C61">
        <w:rPr>
          <w:rFonts w:cs="Calibri"/>
          <w:b/>
          <w:bCs w:val="0"/>
        </w:rPr>
        <w:t>Regarding deforestation</w:t>
      </w:r>
      <w:r w:rsidRPr="00037C61">
        <w:rPr>
          <w:rFonts w:cs="Calibri"/>
        </w:rPr>
        <w:t>, i</w:t>
      </w:r>
      <w:r w:rsidR="52230E0C" w:rsidRPr="00037C61">
        <w:rPr>
          <w:rFonts w:cs="Calibri"/>
        </w:rPr>
        <w:t xml:space="preserve">n Hungary, the situations show that Szabolcs-Szatmár-Bereg is the most affected NUTS3 from CBC PA by the phenomenon, the rate of deforestation of 19% being higher than </w:t>
      </w:r>
      <w:r w:rsidR="52230E0C" w:rsidRPr="00037C61">
        <w:rPr>
          <w:rFonts w:cs="Calibri"/>
        </w:rPr>
        <w:lastRenderedPageBreak/>
        <w:t xml:space="preserve">national average of 10% between 2001 – 2019; it is followed by Hajdú-Bihar with a rate of deforestation of 18% and Csongrád-Csanád with a rate of deforestation of 15% being, both of them also being higher than national average. </w:t>
      </w:r>
      <w:r w:rsidR="00070EEE" w:rsidRPr="00037C61">
        <w:rPr>
          <w:rFonts w:cs="Calibri"/>
        </w:rPr>
        <w:t>In</w:t>
      </w:r>
      <w:r w:rsidR="52230E0C" w:rsidRPr="00037C61">
        <w:rPr>
          <w:rFonts w:cs="Calibri"/>
        </w:rPr>
        <w:t xml:space="preserve"> Békés</w:t>
      </w:r>
      <w:r w:rsidR="00070EEE" w:rsidRPr="00037C61">
        <w:rPr>
          <w:rFonts w:cs="Calibri"/>
        </w:rPr>
        <w:t>,</w:t>
      </w:r>
      <w:r w:rsidR="52230E0C" w:rsidRPr="00037C61">
        <w:rPr>
          <w:rFonts w:cs="Calibri"/>
        </w:rPr>
        <w:t xml:space="preserve"> the rate of deforestation </w:t>
      </w:r>
      <w:r w:rsidR="00070EEE" w:rsidRPr="00037C61">
        <w:rPr>
          <w:rFonts w:cs="Calibri"/>
        </w:rPr>
        <w:t xml:space="preserve">is </w:t>
      </w:r>
      <w:r w:rsidR="52230E0C" w:rsidRPr="00037C61">
        <w:rPr>
          <w:rFonts w:cs="Calibri"/>
        </w:rPr>
        <w:t>8%.</w:t>
      </w:r>
    </w:p>
    <w:p w14:paraId="1195587C" w14:textId="75979F7E" w:rsidR="00012BD7" w:rsidRPr="00037C61" w:rsidRDefault="00012BD7" w:rsidP="00FB0745">
      <w:pPr>
        <w:pStyle w:val="InterregROHUBullet1"/>
        <w:numPr>
          <w:ilvl w:val="0"/>
          <w:numId w:val="0"/>
        </w:numPr>
        <w:spacing w:after="0"/>
        <w:rPr>
          <w:rFonts w:cs="Calibri"/>
        </w:rPr>
      </w:pPr>
    </w:p>
    <w:p w14:paraId="76E96E80" w14:textId="298C8621" w:rsidR="00FB0745" w:rsidRPr="00037C61" w:rsidRDefault="00FB0745" w:rsidP="00FB0745">
      <w:pPr>
        <w:pStyle w:val="InterregROHUBullet1"/>
        <w:numPr>
          <w:ilvl w:val="0"/>
          <w:numId w:val="0"/>
        </w:numPr>
        <w:spacing w:after="0"/>
        <w:rPr>
          <w:rFonts w:cs="Calibri"/>
          <w:b/>
          <w:bCs w:val="0"/>
          <w:color w:val="0070C0"/>
        </w:rPr>
      </w:pPr>
    </w:p>
    <w:tbl>
      <w:tblPr>
        <w:tblStyle w:val="TableGridLight1"/>
        <w:tblW w:w="9816" w:type="dxa"/>
        <w:tblInd w:w="-289" w:type="dxa"/>
        <w:tblBorders>
          <w:top w:val="single" w:sz="18" w:space="0" w:color="F2F2F2" w:themeColor="background2"/>
          <w:left w:val="single" w:sz="18" w:space="0" w:color="F2F2F2" w:themeColor="background2"/>
          <w:bottom w:val="single" w:sz="18" w:space="0" w:color="F2F2F2" w:themeColor="background2"/>
          <w:right w:val="single" w:sz="18" w:space="0" w:color="F2F2F2" w:themeColor="background2"/>
          <w:insideH w:val="single" w:sz="18" w:space="0" w:color="F2F2F2" w:themeColor="background2"/>
          <w:insideV w:val="single" w:sz="18" w:space="0" w:color="F2F2F2" w:themeColor="background2"/>
        </w:tblBorders>
        <w:tblLook w:val="04A0" w:firstRow="1" w:lastRow="0" w:firstColumn="1" w:lastColumn="0" w:noHBand="0" w:noVBand="1"/>
      </w:tblPr>
      <w:tblGrid>
        <w:gridCol w:w="9816"/>
      </w:tblGrid>
      <w:tr w:rsidR="00FB0745" w:rsidRPr="00037C61" w14:paraId="0B2A9F0C" w14:textId="77777777" w:rsidTr="74CEAA85">
        <w:tc>
          <w:tcPr>
            <w:tcW w:w="9816" w:type="dxa"/>
          </w:tcPr>
          <w:p w14:paraId="35369CD0" w14:textId="7CC515AB" w:rsidR="00FB0745" w:rsidRPr="00037C61" w:rsidRDefault="00FB0745" w:rsidP="00FB0745">
            <w:pPr>
              <w:pStyle w:val="InterregROHUBullet1"/>
              <w:numPr>
                <w:ilvl w:val="0"/>
                <w:numId w:val="0"/>
              </w:numPr>
              <w:rPr>
                <w:rFonts w:cs="Calibri"/>
              </w:rPr>
            </w:pPr>
            <w:r w:rsidRPr="00037C61">
              <w:rPr>
                <w:rFonts w:cs="Calibri"/>
                <w:noProof/>
                <w:lang w:val="ro-RO" w:eastAsia="ro-RO"/>
              </w:rPr>
              <w:drawing>
                <wp:inline distT="0" distB="0" distL="0" distR="0" wp14:anchorId="13765450" wp14:editId="3861F694">
                  <wp:extent cx="2849394" cy="1773555"/>
                  <wp:effectExtent l="0" t="0" r="8255" b="0"/>
                  <wp:docPr id="1791879751" name="Picture 179187975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0-09-29 at 09.56.32.png"/>
                          <pic:cNvPicPr/>
                        </pic:nvPicPr>
                        <pic:blipFill rotWithShape="1">
                          <a:blip r:embed="rId218" cstate="print">
                            <a:extLst>
                              <a:ext uri="{28A0092B-C50C-407E-A947-70E740481C1C}">
                                <a14:useLocalDpi xmlns:a14="http://schemas.microsoft.com/office/drawing/2010/main"/>
                              </a:ext>
                            </a:extLst>
                          </a:blip>
                          <a:srcRect/>
                          <a:stretch/>
                        </pic:blipFill>
                        <pic:spPr bwMode="auto">
                          <a:xfrm>
                            <a:off x="0" y="0"/>
                            <a:ext cx="2866400" cy="1784140"/>
                          </a:xfrm>
                          <a:prstGeom prst="rect">
                            <a:avLst/>
                          </a:prstGeom>
                          <a:ln>
                            <a:noFill/>
                          </a:ln>
                          <a:extLst>
                            <a:ext uri="{53640926-AAD7-44D8-BBD7-CCE9431645EC}">
                              <a14:shadowObscured xmlns:a14="http://schemas.microsoft.com/office/drawing/2010/main"/>
                            </a:ext>
                          </a:extLst>
                        </pic:spPr>
                      </pic:pic>
                    </a:graphicData>
                  </a:graphic>
                </wp:inline>
              </w:drawing>
            </w:r>
            <w:r w:rsidR="6446A0E8" w:rsidRPr="00037C61">
              <w:rPr>
                <w:rFonts w:cs="Calibri"/>
              </w:rPr>
              <w:t xml:space="preserve"> </w:t>
            </w:r>
            <w:r w:rsidRPr="00037C61">
              <w:rPr>
                <w:noProof/>
                <w:lang w:val="ro-RO" w:eastAsia="ro-RO"/>
              </w:rPr>
              <w:drawing>
                <wp:inline distT="0" distB="0" distL="0" distR="0" wp14:anchorId="0CD24AC8" wp14:editId="213D5C17">
                  <wp:extent cx="2827020" cy="1779155"/>
                  <wp:effectExtent l="0" t="0" r="0" b="0"/>
                  <wp:docPr id="1791879776" name="Picture 179187977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76"/>
                          <pic:cNvPicPr/>
                        </pic:nvPicPr>
                        <pic:blipFill>
                          <a:blip r:embed="rId219" cstate="print">
                            <a:extLst>
                              <a:ext uri="{28A0092B-C50C-407E-A947-70E740481C1C}">
                                <a14:useLocalDpi xmlns:a14="http://schemas.microsoft.com/office/drawing/2010/main"/>
                              </a:ext>
                            </a:extLst>
                          </a:blip>
                          <a:srcRect/>
                          <a:stretch>
                            <a:fillRect/>
                          </a:stretch>
                        </pic:blipFill>
                        <pic:spPr>
                          <a:xfrm>
                            <a:off x="0" y="0"/>
                            <a:ext cx="2827020" cy="1779155"/>
                          </a:xfrm>
                          <a:prstGeom prst="rect">
                            <a:avLst/>
                          </a:prstGeom>
                        </pic:spPr>
                      </pic:pic>
                    </a:graphicData>
                  </a:graphic>
                </wp:inline>
              </w:drawing>
            </w:r>
          </w:p>
        </w:tc>
      </w:tr>
      <w:tr w:rsidR="00FB0745" w:rsidRPr="00037C61" w14:paraId="7681C6AE" w14:textId="77777777" w:rsidTr="74CEAA85">
        <w:tc>
          <w:tcPr>
            <w:tcW w:w="9816" w:type="dxa"/>
          </w:tcPr>
          <w:p w14:paraId="7D245946" w14:textId="4B2B2351" w:rsidR="00FB0745" w:rsidRPr="00037C61" w:rsidRDefault="00012BD7" w:rsidP="00FB0745">
            <w:pPr>
              <w:pStyle w:val="InterregROHUBullet1"/>
              <w:numPr>
                <w:ilvl w:val="0"/>
                <w:numId w:val="0"/>
              </w:numPr>
              <w:rPr>
                <w:rFonts w:cs="Calibri"/>
              </w:rPr>
            </w:pPr>
            <w:r w:rsidRPr="00037C61">
              <w:rPr>
                <w:noProof/>
                <w:lang w:val="ro-RO" w:eastAsia="ro-RO"/>
              </w:rPr>
              <w:drawing>
                <wp:inline distT="0" distB="0" distL="0" distR="0" wp14:anchorId="2E020D41" wp14:editId="2499CB1B">
                  <wp:extent cx="2895129" cy="1767840"/>
                  <wp:effectExtent l="0" t="0" r="635" b="3810"/>
                  <wp:docPr id="1791879777" name="Picture 179187977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77"/>
                          <pic:cNvPicPr/>
                        </pic:nvPicPr>
                        <pic:blipFill>
                          <a:blip r:embed="rId220">
                            <a:extLst>
                              <a:ext uri="{28A0092B-C50C-407E-A947-70E740481C1C}">
                                <a14:useLocalDpi xmlns:a14="http://schemas.microsoft.com/office/drawing/2010/main"/>
                              </a:ext>
                            </a:extLst>
                          </a:blip>
                          <a:stretch>
                            <a:fillRect/>
                          </a:stretch>
                        </pic:blipFill>
                        <pic:spPr>
                          <a:xfrm>
                            <a:off x="0" y="0"/>
                            <a:ext cx="2895129" cy="1767840"/>
                          </a:xfrm>
                          <a:prstGeom prst="rect">
                            <a:avLst/>
                          </a:prstGeom>
                        </pic:spPr>
                      </pic:pic>
                    </a:graphicData>
                  </a:graphic>
                </wp:inline>
              </w:drawing>
            </w:r>
            <w:r w:rsidR="6446A0E8" w:rsidRPr="00037C61">
              <w:rPr>
                <w:rFonts w:cs="Calibri"/>
              </w:rPr>
              <w:t xml:space="preserve"> </w:t>
            </w:r>
            <w:r w:rsidRPr="00037C61">
              <w:rPr>
                <w:noProof/>
                <w:lang w:val="ro-RO" w:eastAsia="ro-RO"/>
              </w:rPr>
              <w:drawing>
                <wp:inline distT="0" distB="0" distL="0" distR="0" wp14:anchorId="6F83C40B" wp14:editId="5B75B644">
                  <wp:extent cx="2865120" cy="1764194"/>
                  <wp:effectExtent l="0" t="0" r="0" b="7620"/>
                  <wp:docPr id="1791879778" name="Picture 179187977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78"/>
                          <pic:cNvPicPr/>
                        </pic:nvPicPr>
                        <pic:blipFill>
                          <a:blip r:embed="rId221">
                            <a:extLst>
                              <a:ext uri="{28A0092B-C50C-407E-A947-70E740481C1C}">
                                <a14:useLocalDpi xmlns:a14="http://schemas.microsoft.com/office/drawing/2010/main"/>
                              </a:ext>
                            </a:extLst>
                          </a:blip>
                          <a:stretch>
                            <a:fillRect/>
                          </a:stretch>
                        </pic:blipFill>
                        <pic:spPr>
                          <a:xfrm>
                            <a:off x="0" y="0"/>
                            <a:ext cx="2865120" cy="1764194"/>
                          </a:xfrm>
                          <a:prstGeom prst="rect">
                            <a:avLst/>
                          </a:prstGeom>
                        </pic:spPr>
                      </pic:pic>
                    </a:graphicData>
                  </a:graphic>
                </wp:inline>
              </w:drawing>
            </w:r>
          </w:p>
        </w:tc>
      </w:tr>
    </w:tbl>
    <w:p w14:paraId="467B0E18" w14:textId="13DF0A07" w:rsidR="00012BD7" w:rsidRPr="00037C61" w:rsidRDefault="00012BD7" w:rsidP="00715B98">
      <w:pPr>
        <w:pStyle w:val="Caption"/>
        <w:jc w:val="left"/>
        <w:rPr>
          <w:lang w:val="en-GB"/>
        </w:rPr>
      </w:pPr>
      <w:bookmarkStart w:id="738" w:name="_Toc6461105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108</w:t>
      </w:r>
      <w:r w:rsidR="00412697">
        <w:rPr>
          <w:lang w:val="en-GB"/>
        </w:rPr>
        <w:fldChar w:fldCharType="end"/>
      </w:r>
      <w:r w:rsidRPr="00037C61">
        <w:rPr>
          <w:lang w:val="en-GB"/>
        </w:rPr>
        <w:t xml:space="preserve"> - Evolution of forest areas in the Hungarian counties, 2001-2019.</w:t>
      </w:r>
      <w:bookmarkEnd w:id="738"/>
      <w:r w:rsidRPr="00037C61">
        <w:rPr>
          <w:lang w:val="en-GB"/>
        </w:rPr>
        <w:t xml:space="preserve"> </w:t>
      </w:r>
    </w:p>
    <w:p w14:paraId="6DE3BD77" w14:textId="53CBA4B8" w:rsidR="00FB0745" w:rsidRPr="00DB74BF" w:rsidRDefault="00012BD7">
      <w:pPr>
        <w:pStyle w:val="Caption"/>
        <w:jc w:val="left"/>
        <w:rPr>
          <w:rFonts w:cs="Calibri"/>
          <w:lang w:val="fr-FR"/>
        </w:rPr>
      </w:pPr>
      <w:r w:rsidRPr="00DB74BF">
        <w:rPr>
          <w:lang w:val="fr-FR"/>
        </w:rPr>
        <w:t>Source: https://www.globalforestwatch.org/dashboards/country/HUN/</w:t>
      </w:r>
    </w:p>
    <w:p w14:paraId="04B653B5" w14:textId="77777777" w:rsidR="00012BD7" w:rsidRPr="00DB74BF" w:rsidRDefault="00012BD7" w:rsidP="00FB0745">
      <w:pPr>
        <w:pStyle w:val="InterregROHUBullet1"/>
        <w:numPr>
          <w:ilvl w:val="0"/>
          <w:numId w:val="0"/>
        </w:numPr>
        <w:spacing w:after="0"/>
        <w:rPr>
          <w:rFonts w:cs="Calibri"/>
          <w:lang w:val="fr-FR"/>
        </w:rPr>
      </w:pPr>
    </w:p>
    <w:p w14:paraId="54E8797D" w14:textId="4A1DDF2B" w:rsidR="00FB0745" w:rsidRPr="00037C61" w:rsidRDefault="52230E0C" w:rsidP="74CEAA85">
      <w:pPr>
        <w:pStyle w:val="InterregROHUBullet1"/>
        <w:numPr>
          <w:ilvl w:val="0"/>
          <w:numId w:val="0"/>
        </w:numPr>
        <w:spacing w:after="0"/>
        <w:rPr>
          <w:rFonts w:cs="Calibri"/>
          <w:b/>
          <w:color w:val="0070C0"/>
        </w:rPr>
      </w:pPr>
      <w:r w:rsidRPr="00037C61">
        <w:rPr>
          <w:rFonts w:cs="Calibri"/>
        </w:rPr>
        <w:t>In Romania, the situation shows that Bihor is the most affected NUTS3 from CBC PA by the phenomenon, the rate of deforestation of 4,6% being higher than national average of 4,4% between 2001 – 2019, but both of them being at half distance th</w:t>
      </w:r>
      <w:r w:rsidR="077D61B6" w:rsidRPr="00037C61">
        <w:rPr>
          <w:rFonts w:cs="Calibri"/>
        </w:rPr>
        <w:t>a</w:t>
      </w:r>
      <w:r w:rsidRPr="00037C61">
        <w:rPr>
          <w:rFonts w:cs="Calibri"/>
        </w:rPr>
        <w:t xml:space="preserve">n the lowest figure of Hungarian NUTS3 from CBC area. </w:t>
      </w:r>
    </w:p>
    <w:tbl>
      <w:tblPr>
        <w:tblStyle w:val="TableGridLight1"/>
        <w:tblW w:w="9923" w:type="dxa"/>
        <w:tblInd w:w="-289" w:type="dxa"/>
        <w:tblBorders>
          <w:top w:val="single" w:sz="18" w:space="0" w:color="F2F2F2" w:themeColor="background2"/>
          <w:left w:val="single" w:sz="18" w:space="0" w:color="F2F2F2" w:themeColor="background2"/>
          <w:bottom w:val="single" w:sz="18" w:space="0" w:color="F2F2F2" w:themeColor="background2"/>
          <w:right w:val="single" w:sz="18" w:space="0" w:color="F2F2F2" w:themeColor="background2"/>
          <w:insideH w:val="single" w:sz="18" w:space="0" w:color="F2F2F2" w:themeColor="background2"/>
          <w:insideV w:val="single" w:sz="18" w:space="0" w:color="F2F2F2" w:themeColor="background2"/>
        </w:tblBorders>
        <w:tblLook w:val="04A0" w:firstRow="1" w:lastRow="0" w:firstColumn="1" w:lastColumn="0" w:noHBand="0" w:noVBand="1"/>
      </w:tblPr>
      <w:tblGrid>
        <w:gridCol w:w="9923"/>
      </w:tblGrid>
      <w:tr w:rsidR="00FB0745" w:rsidRPr="00037C61" w14:paraId="3836FA2B" w14:textId="77777777" w:rsidTr="74CEAA85">
        <w:tc>
          <w:tcPr>
            <w:tcW w:w="9923" w:type="dxa"/>
          </w:tcPr>
          <w:p w14:paraId="1F952847" w14:textId="30F82CD9" w:rsidR="00FB0745" w:rsidRPr="00037C61" w:rsidRDefault="00FB0745" w:rsidP="00FB0745">
            <w:pPr>
              <w:pStyle w:val="InterregROHUBullet1"/>
              <w:numPr>
                <w:ilvl w:val="0"/>
                <w:numId w:val="0"/>
              </w:numPr>
              <w:rPr>
                <w:rFonts w:cs="Calibri"/>
              </w:rPr>
            </w:pPr>
            <w:r w:rsidRPr="00037C61">
              <w:rPr>
                <w:rFonts w:cs="Calibri"/>
                <w:noProof/>
                <w:lang w:val="ro-RO" w:eastAsia="ro-RO"/>
              </w:rPr>
              <w:drawing>
                <wp:inline distT="0" distB="0" distL="0" distR="0" wp14:anchorId="7D3E0374" wp14:editId="53A685E0">
                  <wp:extent cx="2971800" cy="1917434"/>
                  <wp:effectExtent l="0" t="0" r="0" b="6985"/>
                  <wp:docPr id="1791879762" name="Picture 17918797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9-29 at 09.50.29.png"/>
                          <pic:cNvPicPr/>
                        </pic:nvPicPr>
                        <pic:blipFill rotWithShape="1">
                          <a:blip r:embed="rId222" cstate="print">
                            <a:extLst>
                              <a:ext uri="{28A0092B-C50C-407E-A947-70E740481C1C}">
                                <a14:useLocalDpi xmlns:a14="http://schemas.microsoft.com/office/drawing/2010/main"/>
                              </a:ext>
                            </a:extLst>
                          </a:blip>
                          <a:srcRect/>
                          <a:stretch/>
                        </pic:blipFill>
                        <pic:spPr bwMode="auto">
                          <a:xfrm>
                            <a:off x="0" y="0"/>
                            <a:ext cx="2981794" cy="1923882"/>
                          </a:xfrm>
                          <a:prstGeom prst="rect">
                            <a:avLst/>
                          </a:prstGeom>
                          <a:ln>
                            <a:noFill/>
                          </a:ln>
                          <a:extLst>
                            <a:ext uri="{53640926-AAD7-44D8-BBD7-CCE9431645EC}">
                              <a14:shadowObscured xmlns:a14="http://schemas.microsoft.com/office/drawing/2010/main"/>
                            </a:ext>
                          </a:extLst>
                        </pic:spPr>
                      </pic:pic>
                    </a:graphicData>
                  </a:graphic>
                </wp:inline>
              </w:drawing>
            </w:r>
            <w:r w:rsidR="6446A0E8" w:rsidRPr="00037C61">
              <w:t xml:space="preserve"> </w:t>
            </w:r>
            <w:r w:rsidRPr="00037C61">
              <w:rPr>
                <w:noProof/>
                <w:lang w:val="ro-RO" w:eastAsia="ro-RO"/>
              </w:rPr>
              <w:drawing>
                <wp:inline distT="0" distB="0" distL="0" distR="0" wp14:anchorId="47A4BD56" wp14:editId="366AC761">
                  <wp:extent cx="3101340" cy="1941252"/>
                  <wp:effectExtent l="0" t="0" r="381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79"/>
                          <pic:cNvPicPr/>
                        </pic:nvPicPr>
                        <pic:blipFill>
                          <a:blip r:embed="rId223" cstate="print">
                            <a:extLst>
                              <a:ext uri="{28A0092B-C50C-407E-A947-70E740481C1C}">
                                <a14:useLocalDpi xmlns:a14="http://schemas.microsoft.com/office/drawing/2010/main"/>
                              </a:ext>
                              <a:ext uri="{53640926-AAD7-44D8-BBD7-CCE9431645EC}">
                                <a14:shadowObscured xmlns:a14="http://schemas.microsoft.com/office/drawing/2010/main" xmlns:a16="http://schemas.microsoft.com/office/drawing/2014/main" xmlns:c="http://schemas.openxmlformats.org/drawingml/2006/chart" xmlns:w="http://schemas.openxmlformats.org/wordprocessingml/2006/main" xmlns:w10="urn:schemas-microsoft-com:office:word" xmlns:v="urn:schemas-microsoft-com:vml" xmlns:o="urn:schemas-microsoft-com:office:office" xmlns=""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a:blip>
                          <a:srcRect/>
                          <a:stretch>
                            <a:fillRect/>
                          </a:stretch>
                        </pic:blipFill>
                        <pic:spPr>
                          <a:xfrm>
                            <a:off x="0" y="0"/>
                            <a:ext cx="3101340" cy="1941252"/>
                          </a:xfrm>
                          <a:prstGeom prst="rect">
                            <a:avLst/>
                          </a:prstGeom>
                        </pic:spPr>
                      </pic:pic>
                    </a:graphicData>
                  </a:graphic>
                </wp:inline>
              </w:drawing>
            </w:r>
          </w:p>
        </w:tc>
      </w:tr>
      <w:tr w:rsidR="00FB0745" w:rsidRPr="00037C61" w14:paraId="0DF949CD" w14:textId="77777777" w:rsidTr="74CEAA85">
        <w:tc>
          <w:tcPr>
            <w:tcW w:w="9923" w:type="dxa"/>
          </w:tcPr>
          <w:p w14:paraId="30281D50" w14:textId="3AC884A4" w:rsidR="00FB0745" w:rsidRPr="00037C61" w:rsidRDefault="00FB0745" w:rsidP="00FB0745">
            <w:pPr>
              <w:pStyle w:val="InterregROHUBullet1"/>
              <w:numPr>
                <w:ilvl w:val="0"/>
                <w:numId w:val="0"/>
              </w:numPr>
              <w:rPr>
                <w:rFonts w:cs="Calibri"/>
              </w:rPr>
            </w:pPr>
            <w:r w:rsidRPr="00037C61">
              <w:rPr>
                <w:rFonts w:cs="Calibri"/>
                <w:noProof/>
                <w:lang w:val="ro-RO" w:eastAsia="ro-RO"/>
              </w:rPr>
              <w:lastRenderedPageBreak/>
              <w:drawing>
                <wp:inline distT="0" distB="0" distL="0" distR="0" wp14:anchorId="5451A2CC" wp14:editId="396FA862">
                  <wp:extent cx="3025140" cy="1832534"/>
                  <wp:effectExtent l="0" t="0" r="3810" b="0"/>
                  <wp:docPr id="1791879764" name="Picture 179187976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9-29 at 09.52.16.png"/>
                          <pic:cNvPicPr/>
                        </pic:nvPicPr>
                        <pic:blipFill rotWithShape="1">
                          <a:blip r:embed="rId224" cstate="print">
                            <a:extLst>
                              <a:ext uri="{28A0092B-C50C-407E-A947-70E740481C1C}">
                                <a14:useLocalDpi xmlns:a14="http://schemas.microsoft.com/office/drawing/2010/main"/>
                              </a:ext>
                            </a:extLst>
                          </a:blip>
                          <a:srcRect/>
                          <a:stretch/>
                        </pic:blipFill>
                        <pic:spPr bwMode="auto">
                          <a:xfrm>
                            <a:off x="0" y="0"/>
                            <a:ext cx="3037180" cy="1839827"/>
                          </a:xfrm>
                          <a:prstGeom prst="rect">
                            <a:avLst/>
                          </a:prstGeom>
                          <a:ln>
                            <a:noFill/>
                          </a:ln>
                          <a:extLst>
                            <a:ext uri="{53640926-AAD7-44D8-BBD7-CCE9431645EC}">
                              <a14:shadowObscured xmlns:a14="http://schemas.microsoft.com/office/drawing/2010/main"/>
                            </a:ext>
                          </a:extLst>
                        </pic:spPr>
                      </pic:pic>
                    </a:graphicData>
                  </a:graphic>
                </wp:inline>
              </w:drawing>
            </w:r>
            <w:r w:rsidR="6446A0E8" w:rsidRPr="00037C61">
              <w:rPr>
                <w:rFonts w:cs="Calibri"/>
              </w:rPr>
              <w:t xml:space="preserve"> </w:t>
            </w:r>
            <w:r w:rsidRPr="00037C61">
              <w:rPr>
                <w:noProof/>
                <w:lang w:val="ro-RO" w:eastAsia="ro-RO"/>
              </w:rPr>
              <w:drawing>
                <wp:inline distT="0" distB="0" distL="0" distR="0" wp14:anchorId="6A930EA3" wp14:editId="0B9B90C5">
                  <wp:extent cx="3063240" cy="1857488"/>
                  <wp:effectExtent l="0" t="0" r="3810" b="9525"/>
                  <wp:docPr id="1791879780" name="Picture 17918797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879780"/>
                          <pic:cNvPicPr/>
                        </pic:nvPicPr>
                        <pic:blipFill>
                          <a:blip r:embed="rId225" cstate="print">
                            <a:extLst>
                              <a:ext uri="{28A0092B-C50C-407E-A947-70E740481C1C}">
                                <a14:useLocalDpi xmlns:a14="http://schemas.microsoft.com/office/drawing/2010/main"/>
                              </a:ext>
                            </a:extLst>
                          </a:blip>
                          <a:srcRect/>
                          <a:stretch>
                            <a:fillRect/>
                          </a:stretch>
                        </pic:blipFill>
                        <pic:spPr>
                          <a:xfrm>
                            <a:off x="0" y="0"/>
                            <a:ext cx="3063240" cy="1857488"/>
                          </a:xfrm>
                          <a:prstGeom prst="rect">
                            <a:avLst/>
                          </a:prstGeom>
                        </pic:spPr>
                      </pic:pic>
                    </a:graphicData>
                  </a:graphic>
                </wp:inline>
              </w:drawing>
            </w:r>
          </w:p>
        </w:tc>
      </w:tr>
    </w:tbl>
    <w:p w14:paraId="678EC303" w14:textId="3C4B0324" w:rsidR="00012BD7" w:rsidRPr="00037C61" w:rsidRDefault="00012BD7" w:rsidP="00715B98">
      <w:pPr>
        <w:pStyle w:val="Caption"/>
        <w:jc w:val="left"/>
        <w:rPr>
          <w:lang w:val="en-GB"/>
        </w:rPr>
      </w:pPr>
      <w:bookmarkStart w:id="739" w:name="_Toc6461105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109</w:t>
      </w:r>
      <w:r w:rsidR="00412697">
        <w:rPr>
          <w:lang w:val="en-GB"/>
        </w:rPr>
        <w:fldChar w:fldCharType="end"/>
      </w:r>
      <w:r w:rsidRPr="00037C61">
        <w:rPr>
          <w:lang w:val="en-GB"/>
        </w:rPr>
        <w:t xml:space="preserve"> – Evolution of forest areas in the Romanian counties, 2001-2019</w:t>
      </w:r>
      <w:bookmarkEnd w:id="739"/>
    </w:p>
    <w:p w14:paraId="536FED1E" w14:textId="4D79ACC9" w:rsidR="00012BD7" w:rsidRPr="00DB74BF" w:rsidRDefault="00012BD7">
      <w:pPr>
        <w:pStyle w:val="Caption"/>
        <w:jc w:val="left"/>
        <w:rPr>
          <w:lang w:val="fr-FR"/>
        </w:rPr>
      </w:pPr>
      <w:r w:rsidRPr="00DB74BF">
        <w:rPr>
          <w:lang w:val="fr-FR"/>
        </w:rPr>
        <w:t>Source: https://www.globalforestwatch.org/dashboards/country/RO/</w:t>
      </w:r>
    </w:p>
    <w:p w14:paraId="33047859" w14:textId="4D6657F6" w:rsidR="00BF3A43" w:rsidRPr="00DB74BF" w:rsidRDefault="00BF3A43" w:rsidP="00FB0745">
      <w:pPr>
        <w:pStyle w:val="InterregROHUBullet1"/>
        <w:numPr>
          <w:ilvl w:val="0"/>
          <w:numId w:val="0"/>
        </w:numPr>
        <w:spacing w:after="0"/>
        <w:rPr>
          <w:rFonts w:cs="Calibri"/>
          <w:lang w:val="fr-FR"/>
        </w:rPr>
      </w:pPr>
    </w:p>
    <w:p w14:paraId="6924DC40" w14:textId="4DD3DAF7" w:rsidR="00FB0745" w:rsidRPr="00037C61" w:rsidRDefault="086A48B6" w:rsidP="00FB0745">
      <w:pPr>
        <w:pStyle w:val="InterregROHUBullet1"/>
        <w:numPr>
          <w:ilvl w:val="0"/>
          <w:numId w:val="0"/>
        </w:numPr>
        <w:spacing w:after="0"/>
        <w:rPr>
          <w:rFonts w:cs="Calibri"/>
        </w:rPr>
      </w:pPr>
      <w:r w:rsidRPr="00037C61">
        <w:rPr>
          <w:rFonts w:cs="Calibri"/>
        </w:rPr>
        <w:t xml:space="preserve">Concrete interventions, plans and strategies for the joint management of natural resources, including reforestation, can thus help ensure sustainable development in the area, which is currently affected by reducing levels of investments in the protection of forest resources. </w:t>
      </w:r>
    </w:p>
    <w:p w14:paraId="389F4112" w14:textId="1FCC1D90" w:rsidR="086A48B6" w:rsidRPr="00037C61" w:rsidRDefault="086A48B6" w:rsidP="086A48B6">
      <w:pPr>
        <w:pStyle w:val="InterregROHUBullet1"/>
        <w:numPr>
          <w:ilvl w:val="0"/>
          <w:numId w:val="0"/>
        </w:numPr>
        <w:spacing w:after="0"/>
        <w:ind w:left="-360"/>
        <w:rPr>
          <w:rFonts w:cs="Calibri"/>
        </w:rPr>
      </w:pPr>
    </w:p>
    <w:p w14:paraId="638060B9" w14:textId="318ED677" w:rsidR="086A48B6" w:rsidRPr="00037C61" w:rsidRDefault="086A48B6" w:rsidP="086A48B6">
      <w:pPr>
        <w:pStyle w:val="Heading4"/>
        <w:rPr>
          <w:lang w:val="en-GB"/>
        </w:rPr>
      </w:pPr>
      <w:r w:rsidRPr="00037C61">
        <w:rPr>
          <w:lang w:val="en-GB"/>
        </w:rPr>
        <w:t>Deforestation issues in the Carpathian Chains context</w:t>
      </w:r>
    </w:p>
    <w:p w14:paraId="14DE296B" w14:textId="783CB368" w:rsidR="086A48B6" w:rsidRPr="00037C61" w:rsidRDefault="086A48B6" w:rsidP="086A48B6">
      <w:pPr>
        <w:spacing w:line="257" w:lineRule="auto"/>
        <w:rPr>
          <w:lang w:val="en-GB"/>
        </w:rPr>
      </w:pPr>
      <w:r w:rsidRPr="00037C61">
        <w:rPr>
          <w:rFonts w:eastAsia="Calibri" w:cs="Calibri"/>
          <w:lang w:val="en-GB"/>
        </w:rPr>
        <w:t xml:space="preserve">As concerns international organizations with the purpose of protecting the natural environment related to the Carpathian Mountains, there is The Carpathian Convention, which has the purpose of supporting the implementation of global and European policies in a holistic manner. </w:t>
      </w:r>
      <w:r w:rsidRPr="00037C61">
        <w:rPr>
          <w:rFonts w:eastAsia="Calibri" w:cs="Calibri"/>
          <w:i/>
          <w:iCs/>
          <w:lang w:val="en-GB"/>
        </w:rPr>
        <w:t>A 2017 report from UNEP, WWF and Eurac Research was unequivocal about the threats, particularly from illegal deforestation. The old-growth forests of the Carpathians and their unique biodiversity are disappearing at alarming rates as timber is being illegally cut and transported across and beyond the borders of mountain range States. This has many consequences.</w:t>
      </w:r>
    </w:p>
    <w:p w14:paraId="29FC5B58" w14:textId="14F538FE" w:rsidR="086A48B6" w:rsidRPr="00DB74BF" w:rsidRDefault="086A48B6" w:rsidP="00DC0371">
      <w:pPr>
        <w:spacing w:line="257" w:lineRule="auto"/>
        <w:rPr>
          <w:lang w:val="fr-FR"/>
        </w:rPr>
      </w:pPr>
      <w:r w:rsidRPr="00037C61">
        <w:rPr>
          <w:rFonts w:eastAsia="Calibri" w:cs="Calibri"/>
          <w:lang w:val="en-GB"/>
        </w:rPr>
        <w:t xml:space="preserve">A threat that concerns both the environment and the PA safety is represented by illegal (and in some cases organized criminal) activities. </w:t>
      </w:r>
      <w:r w:rsidRPr="00037C61">
        <w:rPr>
          <w:rFonts w:eastAsia="Calibri" w:cs="Calibri"/>
          <w:i/>
          <w:iCs/>
          <w:lang w:val="en-GB"/>
        </w:rPr>
        <w:t>Criminal groups have no compunction in resorting to violence – intimidating and sometimes murdering the forest rangers and activists trying to stop them.</w:t>
      </w:r>
      <w:r w:rsidRPr="00037C61">
        <w:rPr>
          <w:rFonts w:eastAsia="Calibri" w:cs="Calibri"/>
          <w:lang w:val="en-GB"/>
        </w:rPr>
        <w:t xml:space="preserve"> </w:t>
      </w:r>
      <w:r w:rsidRPr="00DB74BF">
        <w:rPr>
          <w:rFonts w:eastAsia="Calibri" w:cs="Calibri"/>
          <w:lang w:val="fr-FR"/>
        </w:rPr>
        <w:t xml:space="preserve">(Source: </w:t>
      </w:r>
      <w:hyperlink r:id="rId226">
        <w:r w:rsidRPr="00DB74BF">
          <w:rPr>
            <w:rStyle w:val="Hyperlink"/>
            <w:rFonts w:eastAsia="Calibri" w:cs="Calibri"/>
            <w:color w:val="0563C1"/>
            <w:lang w:val="fr-FR"/>
          </w:rPr>
          <w:t>https://www.unenvironment.org/news-and-stories/speech/carpathian-convention-push-implementation</w:t>
        </w:r>
      </w:hyperlink>
      <w:r w:rsidRPr="00DB74BF">
        <w:rPr>
          <w:rFonts w:eastAsia="Calibri" w:cs="Calibri"/>
          <w:lang w:val="fr-FR"/>
        </w:rPr>
        <w:t>).</w:t>
      </w:r>
    </w:p>
    <w:p w14:paraId="3DF2EE14" w14:textId="275550AD" w:rsidR="00CD2A69" w:rsidRPr="00037C61" w:rsidRDefault="00CD2A69" w:rsidP="00CD2A69">
      <w:pPr>
        <w:pStyle w:val="Heading4"/>
        <w:rPr>
          <w:lang w:val="en-GB"/>
        </w:rPr>
      </w:pPr>
      <w:r w:rsidRPr="00037C61">
        <w:rPr>
          <w:lang w:val="en-GB"/>
        </w:rPr>
        <w:t xml:space="preserve">Ecosystem services </w:t>
      </w:r>
    </w:p>
    <w:p w14:paraId="0F04D20B" w14:textId="41DC88CA" w:rsidR="00CD2A69" w:rsidRPr="00037C61" w:rsidRDefault="00CD2A69" w:rsidP="005E0849">
      <w:pPr>
        <w:rPr>
          <w:lang w:val="en-GB"/>
        </w:rPr>
      </w:pPr>
      <w:r w:rsidRPr="00037C61">
        <w:rPr>
          <w:lang w:val="en-GB"/>
        </w:rPr>
        <w:t xml:space="preserve">Lastly, one other key aspect of relevance for the sustainable development of natural heritage and green infrastructure in the programming area is the capacity of the ecosystem to deliver the </w:t>
      </w:r>
      <w:r w:rsidRPr="00DB74BF">
        <w:rPr>
          <w:lang w:val="en-GB"/>
        </w:rPr>
        <w:t>four types of ecosystem services: provisioning, regulating, cultural and supporting services</w:t>
      </w:r>
      <w:r w:rsidRPr="00037C61">
        <w:rPr>
          <w:lang w:val="en-GB"/>
        </w:rPr>
        <w:t xml:space="preserve">. Overall, in the analysed territory, there is an important decline in biodiversity, especially within the agricultural territories most intensively exploited, leading to the development of an unmet demand in pollination of crops.  </w:t>
      </w:r>
    </w:p>
    <w:p w14:paraId="1CDAE29F" w14:textId="77777777" w:rsidR="00CD2A69" w:rsidRPr="00037C61" w:rsidRDefault="00CD2A69" w:rsidP="005E0849">
      <w:pPr>
        <w:keepNext/>
        <w:spacing w:after="0"/>
        <w:rPr>
          <w:lang w:val="en-GB"/>
        </w:rPr>
      </w:pPr>
      <w:r w:rsidRPr="00037C61">
        <w:rPr>
          <w:noProof/>
          <w:lang w:val="ro-RO" w:eastAsia="ro-RO"/>
        </w:rPr>
        <w:lastRenderedPageBreak/>
        <w:drawing>
          <wp:inline distT="0" distB="0" distL="0" distR="0" wp14:anchorId="4A7DC6DB" wp14:editId="5E18830E">
            <wp:extent cx="5724524" cy="3038475"/>
            <wp:effectExtent l="0" t="0" r="9525" b="9525"/>
            <wp:docPr id="799356994" name="Picture 799356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6994"/>
                    <pic:cNvPicPr/>
                  </pic:nvPicPr>
                  <pic:blipFill>
                    <a:blip r:embed="rId227">
                      <a:extLst>
                        <a:ext uri="{28A0092B-C50C-407E-A947-70E740481C1C}">
                          <a14:useLocalDpi xmlns:a14="http://schemas.microsoft.com/office/drawing/2010/main" val="0"/>
                        </a:ext>
                      </a:extLst>
                    </a:blip>
                    <a:stretch>
                      <a:fillRect/>
                    </a:stretch>
                  </pic:blipFill>
                  <pic:spPr>
                    <a:xfrm>
                      <a:off x="0" y="0"/>
                      <a:ext cx="5724524" cy="3038475"/>
                    </a:xfrm>
                    <a:prstGeom prst="rect">
                      <a:avLst/>
                    </a:prstGeom>
                  </pic:spPr>
                </pic:pic>
              </a:graphicData>
            </a:graphic>
          </wp:inline>
        </w:drawing>
      </w:r>
    </w:p>
    <w:p w14:paraId="45119126" w14:textId="3E4FFA6B" w:rsidR="00CD2A69" w:rsidRPr="00037C61" w:rsidRDefault="00CD2A69" w:rsidP="00CD2A69">
      <w:pPr>
        <w:pStyle w:val="Caption"/>
        <w:jc w:val="both"/>
        <w:rPr>
          <w:lang w:val="en-GB"/>
        </w:rPr>
      </w:pPr>
      <w:bookmarkStart w:id="740" w:name="_Toc6461105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110</w:t>
      </w:r>
      <w:r w:rsidR="00412697">
        <w:rPr>
          <w:lang w:val="en-GB"/>
        </w:rPr>
        <w:fldChar w:fldCharType="end"/>
      </w:r>
      <w:r w:rsidRPr="00037C61">
        <w:rPr>
          <w:lang w:val="en-GB"/>
        </w:rPr>
        <w:t xml:space="preserve"> - Unmet demand for crop pollination (status and change between 2000 and 2012)</w:t>
      </w:r>
      <w:bookmarkEnd w:id="740"/>
      <w:r w:rsidRPr="00037C61">
        <w:rPr>
          <w:lang w:val="en-GB"/>
        </w:rPr>
        <w:t xml:space="preserve"> </w:t>
      </w:r>
    </w:p>
    <w:p w14:paraId="0C8E1A25" w14:textId="582A21F4" w:rsidR="00CD2A69" w:rsidRPr="00037C61" w:rsidRDefault="00CD2A69" w:rsidP="00CD2A69">
      <w:pPr>
        <w:pStyle w:val="Caption"/>
        <w:jc w:val="both"/>
        <w:rPr>
          <w:lang w:val="en-GB"/>
        </w:rPr>
      </w:pPr>
      <w:r w:rsidRPr="00037C61">
        <w:rPr>
          <w:lang w:val="en-GB"/>
        </w:rPr>
        <w:t>Source: JRC- Maes et al., Mapping and Assessment of Ecosystems and their Services: An EU ecosystem assessment, 2020</w:t>
      </w:r>
    </w:p>
    <w:p w14:paraId="32E61B33" w14:textId="6942A0C0" w:rsidR="00AD0CCD" w:rsidRPr="00037C61" w:rsidRDefault="00AD0CCD" w:rsidP="005E0849">
      <w:pPr>
        <w:keepNext/>
        <w:tabs>
          <w:tab w:val="left" w:pos="1701"/>
        </w:tabs>
        <w:spacing w:after="0"/>
        <w:ind w:hanging="142"/>
        <w:rPr>
          <w:lang w:val="en-GB"/>
        </w:rPr>
      </w:pPr>
      <w:r w:rsidRPr="00037C61">
        <w:rPr>
          <w:noProof/>
          <w:lang w:val="ro-RO" w:eastAsia="ro-RO"/>
        </w:rPr>
        <w:drawing>
          <wp:anchor distT="0" distB="0" distL="114300" distR="114300" simplePos="0" relativeHeight="251686400" behindDoc="0" locked="0" layoutInCell="1" allowOverlap="1" wp14:anchorId="381B3064" wp14:editId="252F7295">
            <wp:simplePos x="0" y="0"/>
            <wp:positionH relativeFrom="column">
              <wp:posOffset>2387600</wp:posOffset>
            </wp:positionH>
            <wp:positionV relativeFrom="paragraph">
              <wp:posOffset>173990</wp:posOffset>
            </wp:positionV>
            <wp:extent cx="3401060" cy="3498215"/>
            <wp:effectExtent l="0" t="0" r="8890" b="6985"/>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8">
                      <a:extLst>
                        <a:ext uri="{28A0092B-C50C-407E-A947-70E740481C1C}">
                          <a14:useLocalDpi xmlns:a14="http://schemas.microsoft.com/office/drawing/2010/main" val="0"/>
                        </a:ext>
                      </a:extLst>
                    </a:blip>
                    <a:srcRect b="10479"/>
                    <a:stretch/>
                  </pic:blipFill>
                  <pic:spPr bwMode="auto">
                    <a:xfrm>
                      <a:off x="0" y="0"/>
                      <a:ext cx="3401060" cy="3498215"/>
                    </a:xfrm>
                    <a:prstGeom prst="rect">
                      <a:avLst/>
                    </a:prstGeom>
                    <a:noFill/>
                    <a:ln>
                      <a:noFill/>
                    </a:ln>
                    <a:extLst>
                      <a:ext uri="{53640926-AAD7-44D8-BBD7-CCE9431645EC}">
                        <a14:shadowObscured xmlns:a14="http://schemas.microsoft.com/office/drawing/2010/main"/>
                      </a:ext>
                    </a:extLst>
                  </pic:spPr>
                </pic:pic>
              </a:graphicData>
            </a:graphic>
          </wp:anchor>
        </w:drawing>
      </w:r>
    </w:p>
    <w:p w14:paraId="40AE4174" w14:textId="1B19C7A8" w:rsidR="00AD0CCD" w:rsidRPr="00037C61" w:rsidRDefault="00AD0CCD" w:rsidP="00AD0CCD">
      <w:pPr>
        <w:pStyle w:val="Caption"/>
        <w:jc w:val="both"/>
        <w:rPr>
          <w:lang w:val="en-GB"/>
        </w:rPr>
      </w:pPr>
      <w:bookmarkStart w:id="741" w:name="_Toc6461105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111</w:t>
      </w:r>
      <w:r w:rsidR="00412697">
        <w:rPr>
          <w:lang w:val="en-GB"/>
        </w:rPr>
        <w:fldChar w:fldCharType="end"/>
      </w:r>
      <w:r w:rsidRPr="00037C61">
        <w:rPr>
          <w:lang w:val="en-GB"/>
        </w:rPr>
        <w:t xml:space="preserve"> - Unmet demand for recreation of the current green infrastructure in the programme area</w:t>
      </w:r>
      <w:bookmarkEnd w:id="741"/>
    </w:p>
    <w:p w14:paraId="481F293E" w14:textId="55624537" w:rsidR="00AD0CCD" w:rsidRPr="00037C61" w:rsidRDefault="086A48B6" w:rsidP="005E0849">
      <w:pPr>
        <w:pStyle w:val="Caption"/>
        <w:jc w:val="both"/>
        <w:rPr>
          <w:lang w:val="en-GB"/>
        </w:rPr>
      </w:pPr>
      <w:r w:rsidRPr="00037C61">
        <w:rPr>
          <w:lang w:val="en-GB"/>
        </w:rPr>
        <w:t>Source: JRC- Maes et al., Mapping and Assessment of Ecosystems and their Services: An EU ecosystem assessment, 2020</w:t>
      </w:r>
    </w:p>
    <w:p w14:paraId="19333A76" w14:textId="6E8F343E" w:rsidR="086A48B6" w:rsidRPr="00037C61" w:rsidRDefault="086A48B6" w:rsidP="086A48B6">
      <w:pPr>
        <w:rPr>
          <w:lang w:val="en-GB"/>
        </w:rPr>
      </w:pPr>
    </w:p>
    <w:p w14:paraId="05942AF4" w14:textId="11CF3F65" w:rsidR="00113097" w:rsidRPr="00037C61" w:rsidRDefault="086A48B6" w:rsidP="086A48B6">
      <w:pPr>
        <w:rPr>
          <w:lang w:val="en-GB"/>
        </w:rPr>
      </w:pPr>
      <w:r w:rsidRPr="00037C61">
        <w:rPr>
          <w:lang w:val="en-GB"/>
        </w:rPr>
        <w:t>At the same time, there is still a latent potential for provision of recreation services: In the programme area, there is a higher ecosystem service demand than currently used (JRC, 2020), which may have significant impact on the quality of life of the population outside of the provision range, spanning from health effects to economic and social welfare.</w:t>
      </w:r>
    </w:p>
    <w:p w14:paraId="56BFC933" w14:textId="34D17CD5" w:rsidR="00F64F8D" w:rsidRPr="00037C61" w:rsidRDefault="00F64F8D" w:rsidP="086A48B6">
      <w:pPr>
        <w:rPr>
          <w:lang w:val="en-GB"/>
        </w:rPr>
      </w:pPr>
    </w:p>
    <w:p w14:paraId="63AED0C4" w14:textId="77777777" w:rsidR="00F64F8D" w:rsidRPr="00037C61" w:rsidRDefault="00F64F8D" w:rsidP="086A48B6">
      <w:pPr>
        <w:rPr>
          <w:lang w:val="en-GB"/>
        </w:rPr>
      </w:pPr>
    </w:p>
    <w:p w14:paraId="7385C328" w14:textId="0A024A9E" w:rsidR="00077014" w:rsidRPr="00037C61" w:rsidRDefault="00077014" w:rsidP="00286861">
      <w:pPr>
        <w:pStyle w:val="Heading3"/>
      </w:pPr>
      <w:bookmarkStart w:id="742" w:name="_Toc64619550"/>
      <w:r w:rsidRPr="00037C61">
        <w:t>Conclusions on the environmental protection and capital</w:t>
      </w:r>
      <w:bookmarkEnd w:id="742"/>
      <w:r w:rsidRPr="00037C61">
        <w:t xml:space="preserve">  </w:t>
      </w:r>
    </w:p>
    <w:p w14:paraId="6D9CC000" w14:textId="6A9DA9F8" w:rsidR="00077014" w:rsidRPr="00037C61" w:rsidRDefault="00077014" w:rsidP="00077014">
      <w:pPr>
        <w:rPr>
          <w:lang w:val="en-GB"/>
        </w:rPr>
      </w:pPr>
      <w:r w:rsidRPr="00037C61">
        <w:rPr>
          <w:lang w:val="en-GB"/>
        </w:rPr>
        <w:t xml:space="preserve">Environmental and ecosystem protection, climate change adaptation, energy transition and the low carbon economy represent vital issues at the core of the European policy for the 2030 time-horizon. Both Romania as well as Hungary have committed to ambitious targets through their respective </w:t>
      </w:r>
      <w:r w:rsidRPr="00037C61">
        <w:rPr>
          <w:b/>
          <w:bCs/>
          <w:lang w:val="en-GB"/>
        </w:rPr>
        <w:t>National Energy and Climate Plans 2030</w:t>
      </w:r>
      <w:r w:rsidRPr="00037C61">
        <w:rPr>
          <w:lang w:val="en-GB"/>
        </w:rPr>
        <w:t xml:space="preserve"> in order to reduce GhG </w:t>
      </w:r>
      <w:r w:rsidR="1AAAC854" w:rsidRPr="00037C61">
        <w:rPr>
          <w:lang w:val="en-GB"/>
        </w:rPr>
        <w:t>emissions</w:t>
      </w:r>
      <w:r w:rsidRPr="00037C61">
        <w:rPr>
          <w:lang w:val="en-GB"/>
        </w:rPr>
        <w:t xml:space="preserve">, reach RES shares of 30.7% (Romania) and at least 21% (Hungary) and to contribute to the overall European goal of reaching at least 32.5% improvement in energy efficiency by 2030. However, both countries are significantly </w:t>
      </w:r>
      <w:r w:rsidRPr="00037C61">
        <w:rPr>
          <w:lang w:val="en-GB"/>
        </w:rPr>
        <w:lastRenderedPageBreak/>
        <w:t xml:space="preserve">lagging behind Europe in what concerns several key topics such as waste and wastewater management. </w:t>
      </w:r>
      <w:r w:rsidR="003C015D" w:rsidRPr="00037C61">
        <w:rPr>
          <w:lang w:val="en-GB"/>
        </w:rPr>
        <w:t xml:space="preserve">The </w:t>
      </w:r>
      <w:r w:rsidRPr="00037C61">
        <w:rPr>
          <w:lang w:val="en-GB"/>
        </w:rPr>
        <w:t xml:space="preserve">European and national contextualisation is relevant for any subsequent PO2 action in the CBC area, and it strongly supports environmental action. </w:t>
      </w:r>
    </w:p>
    <w:p w14:paraId="317EC48D" w14:textId="77777777" w:rsidR="00077014" w:rsidRPr="00037C61" w:rsidRDefault="00077014" w:rsidP="00077014">
      <w:pPr>
        <w:rPr>
          <w:lang w:val="en-GB"/>
        </w:rPr>
      </w:pPr>
      <w:r w:rsidRPr="00037C61">
        <w:rPr>
          <w:lang w:val="en-GB"/>
        </w:rPr>
        <w:t xml:space="preserve">At programme area level, from the point of view of the natural endowments, the area is characterized by a </w:t>
      </w:r>
      <w:r w:rsidRPr="00037C61">
        <w:rPr>
          <w:b/>
          <w:bCs/>
          <w:lang w:val="en-GB"/>
        </w:rPr>
        <w:t>plain geomorphology</w:t>
      </w:r>
      <w:r w:rsidRPr="00037C61">
        <w:rPr>
          <w:lang w:val="en-GB"/>
        </w:rPr>
        <w:t xml:space="preserve"> that is favourable to settlement development and agriculture, with a </w:t>
      </w:r>
      <w:r w:rsidRPr="00037C61">
        <w:rPr>
          <w:b/>
          <w:bCs/>
          <w:lang w:val="en-GB"/>
        </w:rPr>
        <w:t>higher landform diversity</w:t>
      </w:r>
      <w:r w:rsidRPr="00037C61">
        <w:rPr>
          <w:lang w:val="en-GB"/>
        </w:rPr>
        <w:t xml:space="preserve"> in the Romanian counties, due to the existence of Oriental and Banat Carpathians as well as Apuseni Mountains as macroregional units partly covering the PA. Landscape diversity overall is moderate, but </w:t>
      </w:r>
      <w:r w:rsidRPr="00037C61">
        <w:rPr>
          <w:b/>
          <w:bCs/>
          <w:lang w:val="en-GB"/>
        </w:rPr>
        <w:t>coherent across the border</w:t>
      </w:r>
      <w:r w:rsidRPr="00037C61">
        <w:rPr>
          <w:lang w:val="en-GB"/>
        </w:rPr>
        <w:t xml:space="preserve">, which offers </w:t>
      </w:r>
      <w:r w:rsidRPr="00037C61">
        <w:rPr>
          <w:b/>
          <w:bCs/>
          <w:lang w:val="en-GB"/>
        </w:rPr>
        <w:t>no natural impediment</w:t>
      </w:r>
      <w:r w:rsidRPr="00037C61">
        <w:rPr>
          <w:lang w:val="en-GB"/>
        </w:rPr>
        <w:t xml:space="preserve"> to landscape and protected site integration. A consequence of the vast plan terrain and urbanisation is the </w:t>
      </w:r>
      <w:r w:rsidRPr="00037C61">
        <w:rPr>
          <w:b/>
          <w:bCs/>
          <w:lang w:val="en-GB"/>
        </w:rPr>
        <w:t>high degree of landscape fragmentation</w:t>
      </w:r>
      <w:r w:rsidRPr="00037C61">
        <w:rPr>
          <w:lang w:val="en-GB"/>
        </w:rPr>
        <w:t xml:space="preserve">, which albeit lower than in the western parts of Europe is still a concern in particular in the Hungarian counties, with Szabolcs-Szatmár-Bereg recording over half of the county surface as medium and highly fragmented. </w:t>
      </w:r>
    </w:p>
    <w:p w14:paraId="67471522" w14:textId="0C23F083" w:rsidR="00077014" w:rsidRPr="00037C61" w:rsidRDefault="00077014" w:rsidP="48589249">
      <w:pPr>
        <w:rPr>
          <w:lang w:val="en-GB"/>
        </w:rPr>
      </w:pPr>
      <w:r w:rsidRPr="00037C61">
        <w:rPr>
          <w:lang w:val="en-GB"/>
        </w:rPr>
        <w:t xml:space="preserve">There is a rich hydrographic network in the region, which is crossing the border between Romania and Hungary almost in its entirety, producing </w:t>
      </w:r>
      <w:r w:rsidRPr="00037C61">
        <w:rPr>
          <w:b/>
          <w:bCs/>
          <w:lang w:val="en-GB"/>
        </w:rPr>
        <w:t>contiguous riparian areas which have a high potential of joint valorisation</w:t>
      </w:r>
      <w:r w:rsidRPr="00037C61">
        <w:rPr>
          <w:lang w:val="en-GB"/>
        </w:rPr>
        <w:t>. Due to the topography and river density, the area is also one of Europe’s most prone regions to floods: High flood recurrence is recorded in Hajd</w:t>
      </w:r>
      <w:r w:rsidR="76D69C49" w:rsidRPr="00037C61">
        <w:rPr>
          <w:rFonts w:eastAsia="Calibri" w:cs="Calibri"/>
          <w:color w:val="202122"/>
          <w:sz w:val="21"/>
          <w:szCs w:val="21"/>
          <w:lang w:val="en-GB"/>
        </w:rPr>
        <w:t>ú</w:t>
      </w:r>
      <w:r w:rsidR="76D69C49" w:rsidRPr="00037C61">
        <w:rPr>
          <w:lang w:val="en-GB"/>
        </w:rPr>
        <w:t xml:space="preserve"> </w:t>
      </w:r>
      <w:r w:rsidRPr="00037C61">
        <w:rPr>
          <w:lang w:val="en-GB"/>
        </w:rPr>
        <w:t xml:space="preserve">-Bihar, Timiș, Arad, Bihor, while </w:t>
      </w:r>
      <w:r w:rsidRPr="00037C61">
        <w:rPr>
          <w:b/>
          <w:bCs/>
          <w:lang w:val="en-GB"/>
        </w:rPr>
        <w:t>very high flood recurrence is a significant risk</w:t>
      </w:r>
      <w:r w:rsidRPr="00037C61">
        <w:rPr>
          <w:lang w:val="en-GB"/>
        </w:rPr>
        <w:t xml:space="preserve"> for the two northernmost counties of Szabolcs-Szatmár-Bereg and Satu Mare. Bihor and Satu Mare have historically been the most affected by flood class 1 events. </w:t>
      </w:r>
      <w:r w:rsidRPr="00037C61">
        <w:rPr>
          <w:b/>
          <w:bCs/>
          <w:lang w:val="en-GB"/>
        </w:rPr>
        <w:t>Cross-border disasters and risk management in the area is incipient</w:t>
      </w:r>
      <w:r w:rsidRPr="00037C61">
        <w:rPr>
          <w:lang w:val="en-GB"/>
        </w:rPr>
        <w:t xml:space="preserve">; there are two ongoing flood risk management improvement projects in the area (FORMURES – Interreg ROHU; SAFETISZA – HUSKROUA), however there is still </w:t>
      </w:r>
      <w:r w:rsidRPr="00037C61">
        <w:rPr>
          <w:b/>
          <w:bCs/>
          <w:lang w:val="en-GB"/>
        </w:rPr>
        <w:t>significant room for improvement of coordination in risk management and intervention.</w:t>
      </w:r>
      <w:r w:rsidRPr="00037C61">
        <w:rPr>
          <w:lang w:val="en-GB"/>
        </w:rPr>
        <w:t xml:space="preserve"> </w:t>
      </w:r>
      <w:r w:rsidRPr="00037C61">
        <w:rPr>
          <w:b/>
          <w:bCs/>
          <w:lang w:val="en-GB"/>
        </w:rPr>
        <w:t>Earthquake risks are low</w:t>
      </w:r>
      <w:r w:rsidRPr="00037C61">
        <w:rPr>
          <w:lang w:val="en-GB"/>
        </w:rPr>
        <w:t xml:space="preserve"> in the area, with two seismic areas (in Timiș and in Satu Mare at the Romanian-Ukrainian border) which may affect the PA territories with low to mid magnitude earthquakes</w:t>
      </w:r>
      <w:r w:rsidRPr="00037C61">
        <w:rPr>
          <w:b/>
          <w:bCs/>
          <w:lang w:val="en-GB"/>
        </w:rPr>
        <w:t>. Landslide susceptibility is equally reduced</w:t>
      </w:r>
      <w:r w:rsidRPr="00037C61">
        <w:rPr>
          <w:lang w:val="en-GB"/>
        </w:rPr>
        <w:t xml:space="preserve">, throughout the whole cross-border areas (with the exception of Bihor, in the Apuseni Mountains region), with some areas prone to landslides concentrated along rivers. </w:t>
      </w:r>
    </w:p>
    <w:p w14:paraId="2D02B73C" w14:textId="310D5670" w:rsidR="00077014" w:rsidRPr="00037C61" w:rsidRDefault="00077014" w:rsidP="00077014">
      <w:pPr>
        <w:rPr>
          <w:lang w:val="en-GB"/>
        </w:rPr>
      </w:pPr>
      <w:r w:rsidRPr="00037C61">
        <w:rPr>
          <w:lang w:val="en-GB"/>
        </w:rPr>
        <w:t xml:space="preserve">With respect to the quality of environmental </w:t>
      </w:r>
      <w:r w:rsidRPr="006508E7">
        <w:rPr>
          <w:lang w:val="en-GB"/>
        </w:rPr>
        <w:t>factors, the water bodies in the Romanian PA are evaluated as being good and transitioning to „medium” towards the border. A significant amount of river sections in the Hungarian side ha</w:t>
      </w:r>
      <w:r w:rsidR="00FC74BD" w:rsidRPr="006508E7">
        <w:rPr>
          <w:lang w:val="en-GB"/>
        </w:rPr>
        <w:t>s</w:t>
      </w:r>
      <w:r w:rsidRPr="006508E7">
        <w:rPr>
          <w:lang w:val="en-GB"/>
        </w:rPr>
        <w:t xml:space="preserve"> a </w:t>
      </w:r>
      <w:r w:rsidRPr="006508E7">
        <w:rPr>
          <w:b/>
          <w:bCs/>
          <w:lang w:val="en-GB"/>
        </w:rPr>
        <w:t>quality status considered „poor” or „bad”</w:t>
      </w:r>
      <w:r w:rsidRPr="006508E7">
        <w:rPr>
          <w:lang w:val="en-GB"/>
        </w:rPr>
        <w:t xml:space="preserve"> (eg. Létai-ér, Kösely, Körös) by the EEA under parameters of the Water Framework Directive, especially around Szeged city. </w:t>
      </w:r>
      <w:r w:rsidRPr="006508E7">
        <w:rPr>
          <w:b/>
          <w:bCs/>
          <w:lang w:val="en-GB"/>
        </w:rPr>
        <w:t>Water pollution represents a vulnerability in the area</w:t>
      </w:r>
      <w:r w:rsidR="002A1356" w:rsidRPr="006508E7">
        <w:rPr>
          <w:lang w:val="en-GB"/>
        </w:rPr>
        <w:t>, especially in some areas of the Hungarian side of the border</w:t>
      </w:r>
      <w:r w:rsidRPr="006508E7">
        <w:rPr>
          <w:rFonts w:cs="Calibri"/>
          <w:lang w:val="en-GB"/>
        </w:rPr>
        <w:t xml:space="preserve"> Benchmarked against the performance of other</w:t>
      </w:r>
      <w:r w:rsidRPr="00037C61">
        <w:rPr>
          <w:rFonts w:cs="Calibri"/>
          <w:lang w:val="en-GB"/>
        </w:rPr>
        <w:t xml:space="preserve"> member states, even newer MS (such as Bulgaria), compliance is significantly lower. </w:t>
      </w:r>
      <w:r w:rsidRPr="00037C61">
        <w:rPr>
          <w:lang w:val="en-GB"/>
        </w:rPr>
        <w:t>Air pollution with particulate matter (PM2.5 and PM10), VOC and CO is affecting the Romanian counties significantly more than the Hungarian ones, with Bihor recording the highest emissions for VOC, SO2, CO2 and NOx. This imbalance is partially caused by a more prominent industrial profile of the Romanian counties (Timiș, Arad, Bihor) and by other factors such as heating practices, waste burning, or traffic in more compact cities</w:t>
      </w:r>
      <w:r w:rsidRPr="00037C61">
        <w:rPr>
          <w:b/>
          <w:bCs/>
          <w:lang w:val="en-GB"/>
        </w:rPr>
        <w:t>. There is significant potential for joint strategies to address air quality directly, as well as through changing the behavioural patterns in the PA</w:t>
      </w:r>
      <w:r w:rsidRPr="00037C61">
        <w:rPr>
          <w:lang w:val="en-GB"/>
        </w:rPr>
        <w:t xml:space="preserve">. </w:t>
      </w:r>
    </w:p>
    <w:p w14:paraId="5C3C3244" w14:textId="54337B60" w:rsidR="00077014" w:rsidRPr="00037C61" w:rsidRDefault="00077014" w:rsidP="74CEAA85">
      <w:pPr>
        <w:rPr>
          <w:lang w:val="en-GB"/>
        </w:rPr>
      </w:pPr>
      <w:r w:rsidRPr="00037C61">
        <w:rPr>
          <w:lang w:val="en-GB"/>
        </w:rPr>
        <w:t>A similar potential can be highlighted concerning waste management, which is lagging behind European targets for both countries. The recycling infrastructure is more developed</w:t>
      </w:r>
      <w:r w:rsidRPr="00037C61">
        <w:rPr>
          <w:b/>
          <w:bCs/>
          <w:lang w:val="en-GB"/>
        </w:rPr>
        <w:t xml:space="preserve"> at Hungarian regions’ level </w:t>
      </w:r>
      <w:r w:rsidRPr="00037C61">
        <w:rPr>
          <w:lang w:val="en-GB"/>
        </w:rPr>
        <w:t xml:space="preserve">(in facility numbers), but Romania has </w:t>
      </w:r>
      <w:r w:rsidRPr="00037C61">
        <w:rPr>
          <w:b/>
          <w:bCs/>
          <w:lang w:val="en-GB"/>
        </w:rPr>
        <w:t>considerably better developed energy recovery infrastructure</w:t>
      </w:r>
      <w:r w:rsidRPr="00037C61">
        <w:rPr>
          <w:lang w:val="en-GB"/>
        </w:rPr>
        <w:t xml:space="preserve"> (74 facilities, versus only 5 in the Hungarian regions), enabling the Romanian regions to recover 948,117 tonnes of waste annually for energy, almost six times more than the Hungarian NUTS 2 regions. </w:t>
      </w:r>
      <w:r w:rsidRPr="00037C61">
        <w:rPr>
          <w:b/>
          <w:bCs/>
          <w:lang w:val="en-GB"/>
        </w:rPr>
        <w:t>Very low recycling rates of municipal waste</w:t>
      </w:r>
      <w:r w:rsidRPr="00037C61">
        <w:rPr>
          <w:lang w:val="en-GB"/>
        </w:rPr>
        <w:t xml:space="preserve"> (14% in Romania, 35% in Hungary, as opposed </w:t>
      </w:r>
      <w:r w:rsidRPr="00037C61">
        <w:rPr>
          <w:lang w:val="en-GB"/>
        </w:rPr>
        <w:lastRenderedPageBreak/>
        <w:t xml:space="preserve">to EU average of 46%) represent a significant weak point hindering progress towards 2030 targets. </w:t>
      </w:r>
      <w:r w:rsidRPr="00037C61">
        <w:rPr>
          <w:b/>
          <w:bCs/>
          <w:lang w:val="en-GB"/>
        </w:rPr>
        <w:t>Steps towards the circular economy</w:t>
      </w:r>
      <w:r w:rsidRPr="00037C61">
        <w:rPr>
          <w:lang w:val="en-GB"/>
        </w:rPr>
        <w:t xml:space="preserve"> have been low in both countries, and </w:t>
      </w:r>
      <w:r w:rsidRPr="00037C61">
        <w:rPr>
          <w:b/>
          <w:bCs/>
          <w:lang w:val="en-GB"/>
        </w:rPr>
        <w:t>eco-innovation</w:t>
      </w:r>
      <w:r w:rsidRPr="00037C61">
        <w:rPr>
          <w:lang w:val="en-GB"/>
        </w:rPr>
        <w:t xml:space="preserve"> in Romania (ranked 23rd) and Hungary (ranked 24th at EU level) is equally reduced. A strong need in the PA is the right supporting policy framework and raising the awareness of companies and stakeholders of opportunities for eco-innovation, waste management, cascading value chains, etc. </w:t>
      </w:r>
      <w:r w:rsidRPr="00037C61">
        <w:rPr>
          <w:b/>
          <w:bCs/>
          <w:lang w:val="en-GB"/>
        </w:rPr>
        <w:t>Especially in the PA, there are significant potentials and complementarities supporting the development of an innovation-driven bioeconomy.</w:t>
      </w:r>
      <w:r w:rsidRPr="00037C61">
        <w:rPr>
          <w:lang w:val="en-GB"/>
        </w:rPr>
        <w:t xml:space="preserve">  </w:t>
      </w:r>
    </w:p>
    <w:p w14:paraId="0C6140C2" w14:textId="77777777" w:rsidR="00077014" w:rsidRPr="00037C61" w:rsidRDefault="00077014" w:rsidP="00077014">
      <w:pPr>
        <w:rPr>
          <w:lang w:val="en-GB"/>
        </w:rPr>
      </w:pPr>
      <w:bookmarkStart w:id="743" w:name="_Hlk54860226"/>
      <w:r w:rsidRPr="00037C61">
        <w:rPr>
          <w:lang w:val="en-GB"/>
        </w:rPr>
        <w:t xml:space="preserve">These potentials are sustained by the very concrete opportunity to use </w:t>
      </w:r>
      <w:r w:rsidRPr="00037C61">
        <w:rPr>
          <w:b/>
          <w:bCs/>
          <w:lang w:val="en-GB"/>
        </w:rPr>
        <w:t>biodegradable wastes</w:t>
      </w:r>
      <w:r w:rsidRPr="00037C61">
        <w:rPr>
          <w:lang w:val="en-GB"/>
        </w:rPr>
        <w:t xml:space="preserve"> for biomass energy, facilitating the energy transition. </w:t>
      </w:r>
      <w:r w:rsidRPr="00037C61">
        <w:rPr>
          <w:b/>
          <w:bCs/>
          <w:lang w:val="en-GB"/>
        </w:rPr>
        <w:t>High and very high potential of geothermal district heating</w:t>
      </w:r>
      <w:r w:rsidRPr="00037C61">
        <w:rPr>
          <w:lang w:val="en-GB"/>
        </w:rPr>
        <w:t xml:space="preserve"> (very high – 171-1932 ktoe – in Csongrád-Csanád, Hajdu-Bihar, Szabolcs-Szatmár-Bereg, Timiș and Bihor), with geothermal resources being a distinct endowment of the programme area. While wind energy, large hydropower and, to a degree, biomass energy, are reduced, there is still a </w:t>
      </w:r>
      <w:r w:rsidRPr="00037C61">
        <w:rPr>
          <w:b/>
          <w:bCs/>
          <w:lang w:val="en-GB"/>
        </w:rPr>
        <w:t>high photovoltaic energy potential</w:t>
      </w:r>
      <w:r w:rsidRPr="00037C61">
        <w:rPr>
          <w:lang w:val="en-GB"/>
        </w:rPr>
        <w:t>, with circa two thirds of the territory being suitable for installation of photovoltaic production (Csongrád-Csanád, Békés, Timiș, partly Arad, Bihor and Hajdu-Bihar - 3.30-3.51 kWh/kWp/day).</w:t>
      </w:r>
    </w:p>
    <w:p w14:paraId="09FE1517" w14:textId="77777777" w:rsidR="00077014" w:rsidRPr="00037C61" w:rsidRDefault="00077014" w:rsidP="00077014">
      <w:pPr>
        <w:rPr>
          <w:rFonts w:cs="Calibri"/>
          <w:lang w:val="en-GB"/>
        </w:rPr>
      </w:pPr>
      <w:r w:rsidRPr="00037C61">
        <w:rPr>
          <w:b/>
          <w:bCs/>
          <w:lang w:val="en-GB"/>
        </w:rPr>
        <w:t xml:space="preserve">Natural endowments of the programme area </w:t>
      </w:r>
      <w:r w:rsidRPr="00037C61">
        <w:rPr>
          <w:lang w:val="en-GB"/>
        </w:rPr>
        <w:t xml:space="preserve">are rich and diverse, ranging from floodplain-specific landscapes to spa heritage, natural reservations, Karst areas rich in caves, RAMSAR wetland areas, and including a </w:t>
      </w:r>
      <w:r w:rsidRPr="00037C61">
        <w:rPr>
          <w:rFonts w:cs="Calibri"/>
          <w:b/>
          <w:lang w:val="en-GB"/>
        </w:rPr>
        <w:t>UNESCO world Heritage site, Hortobágy National Park</w:t>
      </w:r>
      <w:r w:rsidRPr="00037C61">
        <w:rPr>
          <w:rFonts w:cs="Calibri"/>
          <w:bCs/>
          <w:lang w:val="en-GB"/>
        </w:rPr>
        <w:t xml:space="preserve"> (Hungary). N</w:t>
      </w:r>
      <w:r w:rsidRPr="00037C61">
        <w:rPr>
          <w:rFonts w:cs="Calibri"/>
          <w:lang w:val="en-GB"/>
        </w:rPr>
        <w:t xml:space="preserve">atural areas are very well represented across the whole programming area, with Natura 2000 sites covering between 14.63% (Timiș) and 47.29% (Hajdu-Bihar) of the surface of the counties. However, they are not always contiguous across both sides of the border, and this is an indication of a need to improve cooperation in managing the Natura 2000 sites. </w:t>
      </w:r>
    </w:p>
    <w:p w14:paraId="737BD930" w14:textId="77777777" w:rsidR="00077014" w:rsidRPr="00037C61" w:rsidRDefault="00077014" w:rsidP="00077014">
      <w:pPr>
        <w:rPr>
          <w:lang w:val="en-GB"/>
        </w:rPr>
      </w:pPr>
      <w:r w:rsidRPr="00037C61">
        <w:rPr>
          <w:rFonts w:cs="Calibri"/>
          <w:lang w:val="en-GB"/>
        </w:rPr>
        <w:t xml:space="preserve">Even though the region has a varied, but consistent natural heritage (partly due to the topography and subsequently the hydrography, crossing the border), there is no common branding or understanding of the natural potential of the region and its diverse opportunities, which may contribute to the decreasing touristic performance of the PA, with shortening of the number of nights spent in touristic accommodations. The recent Covid-19 pandemic may accentuate this decline; however, it may also represent an argument for nature-oriented tourism and rural development, as a counter-offer to the city break tourism concentrated in the big urban centers.  </w:t>
      </w:r>
    </w:p>
    <w:bookmarkEnd w:id="743"/>
    <w:p w14:paraId="0895194F" w14:textId="792E7039" w:rsidR="00113097" w:rsidRPr="00037C61" w:rsidRDefault="00113097" w:rsidP="00FB0745">
      <w:pPr>
        <w:rPr>
          <w:rFonts w:cs="Calibri"/>
          <w:b/>
          <w:bCs/>
          <w:lang w:val="en-GB"/>
        </w:rPr>
        <w:sectPr w:rsidR="00113097" w:rsidRPr="00037C61" w:rsidSect="009E4103">
          <w:pgSz w:w="11906" w:h="16838"/>
          <w:pgMar w:top="1713" w:right="1440" w:bottom="1440" w:left="1440" w:header="708" w:footer="828" w:gutter="0"/>
          <w:cols w:space="708"/>
          <w:docGrid w:linePitch="360"/>
        </w:sectPr>
      </w:pPr>
    </w:p>
    <w:p w14:paraId="24B22DBE" w14:textId="5AF88F24" w:rsidR="0007064A" w:rsidRPr="00037C61" w:rsidRDefault="0007064A" w:rsidP="00FB0745">
      <w:pPr>
        <w:rPr>
          <w:rFonts w:cs="Calibri"/>
          <w:b/>
          <w:bCs/>
          <w:lang w:val="en-GB"/>
        </w:rPr>
      </w:pPr>
    </w:p>
    <w:p w14:paraId="0C982EB3" w14:textId="48374652" w:rsidR="0007064A" w:rsidRPr="00037C61" w:rsidRDefault="0007064A" w:rsidP="0007064A">
      <w:pPr>
        <w:pStyle w:val="Heading3"/>
      </w:pPr>
      <w:bookmarkStart w:id="744" w:name="_Toc53137212"/>
      <w:bookmarkStart w:id="745" w:name="_Toc64619551"/>
      <w:r w:rsidRPr="00037C61">
        <w:t>SWOT Analysis: Environmental Capital</w:t>
      </w:r>
      <w:bookmarkEnd w:id="744"/>
      <w:bookmarkEnd w:id="745"/>
      <w:r w:rsidRPr="00037C61">
        <w:t xml:space="preserve"> </w:t>
      </w:r>
    </w:p>
    <w:tbl>
      <w:tblPr>
        <w:tblStyle w:val="ListTable3-Accent11"/>
        <w:tblW w:w="14124" w:type="dxa"/>
        <w:tblLook w:val="04A0" w:firstRow="1" w:lastRow="0" w:firstColumn="1" w:lastColumn="0" w:noHBand="0" w:noVBand="1"/>
      </w:tblPr>
      <w:tblGrid>
        <w:gridCol w:w="3217"/>
        <w:gridCol w:w="4149"/>
        <w:gridCol w:w="3969"/>
        <w:gridCol w:w="2789"/>
      </w:tblGrid>
      <w:tr w:rsidR="009E3577" w:rsidRPr="00037C61" w14:paraId="77E01DB1" w14:textId="77777777" w:rsidTr="00F75A73">
        <w:trPr>
          <w:cnfStyle w:val="100000000000" w:firstRow="1" w:lastRow="0" w:firstColumn="0" w:lastColumn="0" w:oddVBand="0" w:evenVBand="0" w:oddHBand="0" w:evenHBand="0" w:firstRowFirstColumn="0" w:firstRowLastColumn="0" w:lastRowFirstColumn="0" w:lastRowLastColumn="0"/>
          <w:trHeight w:val="436"/>
          <w:tblHeader/>
        </w:trPr>
        <w:tc>
          <w:tcPr>
            <w:cnfStyle w:val="001000000100" w:firstRow="0" w:lastRow="0" w:firstColumn="1" w:lastColumn="0" w:oddVBand="0" w:evenVBand="0" w:oddHBand="0" w:evenHBand="0" w:firstRowFirstColumn="1" w:firstRowLastColumn="0" w:lastRowFirstColumn="0" w:lastRowLastColumn="0"/>
            <w:tcW w:w="3217" w:type="dxa"/>
            <w:hideMark/>
          </w:tcPr>
          <w:p w14:paraId="4F2B0EC8" w14:textId="77777777" w:rsidR="00306C18" w:rsidRPr="00037C61" w:rsidRDefault="00306C18" w:rsidP="003711E0">
            <w:pPr>
              <w:pStyle w:val="NormalWeb"/>
              <w:spacing w:before="0" w:beforeAutospacing="0" w:after="0" w:afterAutospacing="0"/>
              <w:jc w:val="center"/>
              <w:rPr>
                <w:b w:val="0"/>
                <w:bCs w:val="0"/>
                <w:lang w:val="en-GB"/>
              </w:rPr>
            </w:pPr>
            <w:r w:rsidRPr="00037C61">
              <w:rPr>
                <w:rFonts w:ascii="Calibri" w:hAnsi="Calibri"/>
                <w:b w:val="0"/>
                <w:bCs w:val="0"/>
                <w:sz w:val="18"/>
                <w:lang w:val="en-GB"/>
              </w:rPr>
              <w:t>Strengths</w:t>
            </w:r>
          </w:p>
        </w:tc>
        <w:tc>
          <w:tcPr>
            <w:tcW w:w="4149" w:type="dxa"/>
            <w:hideMark/>
          </w:tcPr>
          <w:p w14:paraId="41E2EE44" w14:textId="77777777" w:rsidR="00306C18" w:rsidRPr="00037C61" w:rsidRDefault="00306C18" w:rsidP="003711E0">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37C61">
              <w:rPr>
                <w:rFonts w:ascii="Calibri" w:hAnsi="Calibri"/>
                <w:b w:val="0"/>
                <w:bCs w:val="0"/>
                <w:sz w:val="18"/>
                <w:lang w:val="en-GB"/>
              </w:rPr>
              <w:t>Weaknesses</w:t>
            </w:r>
          </w:p>
        </w:tc>
        <w:tc>
          <w:tcPr>
            <w:tcW w:w="3969" w:type="dxa"/>
            <w:hideMark/>
          </w:tcPr>
          <w:p w14:paraId="39DB77DA" w14:textId="77777777" w:rsidR="00306C18" w:rsidRPr="00037C61" w:rsidRDefault="00306C18" w:rsidP="003711E0">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37C61">
              <w:rPr>
                <w:rFonts w:ascii="Calibri" w:hAnsi="Calibri"/>
                <w:b w:val="0"/>
                <w:bCs w:val="0"/>
                <w:sz w:val="18"/>
                <w:lang w:val="en-GB"/>
              </w:rPr>
              <w:t>Opportunities</w:t>
            </w:r>
          </w:p>
        </w:tc>
        <w:tc>
          <w:tcPr>
            <w:tcW w:w="2789" w:type="dxa"/>
            <w:hideMark/>
          </w:tcPr>
          <w:p w14:paraId="3391B52C" w14:textId="77777777" w:rsidR="00306C18" w:rsidRPr="00037C61" w:rsidRDefault="00306C18" w:rsidP="003711E0">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37C61">
              <w:rPr>
                <w:rFonts w:ascii="Calibri" w:hAnsi="Calibri"/>
                <w:b w:val="0"/>
                <w:bCs w:val="0"/>
                <w:sz w:val="18"/>
                <w:lang w:val="en-GB"/>
              </w:rPr>
              <w:t>Threats</w:t>
            </w:r>
          </w:p>
        </w:tc>
      </w:tr>
      <w:tr w:rsidR="009E3577" w:rsidRPr="00944B4A" w14:paraId="0132E632" w14:textId="77777777" w:rsidTr="74CEAA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7" w:type="dxa"/>
            <w:hideMark/>
          </w:tcPr>
          <w:p w14:paraId="6BDFFECB" w14:textId="77777777" w:rsidR="00306C18" w:rsidRPr="00037C61" w:rsidRDefault="00306C18" w:rsidP="003711E0">
            <w:pPr>
              <w:pStyle w:val="InterregROHUBullet1"/>
              <w:ind w:left="306"/>
              <w:rPr>
                <w:b w:val="0"/>
                <w:sz w:val="20"/>
                <w:szCs w:val="20"/>
              </w:rPr>
            </w:pPr>
            <w:r w:rsidRPr="00037C61">
              <w:rPr>
                <w:b w:val="0"/>
                <w:sz w:val="20"/>
                <w:szCs w:val="20"/>
              </w:rPr>
              <w:t>A favourable topography to cross-border linkages, lacking natural barriers („green border”) and consisting predominantly of plain terrain, albeit with more diversified geomorphological features in the eastern Romanian part which have strong touristic potential.</w:t>
            </w:r>
          </w:p>
          <w:p w14:paraId="0B3E9661" w14:textId="05253A54" w:rsidR="00306C18" w:rsidRPr="00037C61" w:rsidRDefault="05531D9C" w:rsidP="003711E0">
            <w:pPr>
              <w:pStyle w:val="InterregROHUBullet1"/>
              <w:ind w:left="306"/>
              <w:rPr>
                <w:b w:val="0"/>
                <w:sz w:val="20"/>
                <w:szCs w:val="20"/>
              </w:rPr>
            </w:pPr>
            <w:r w:rsidRPr="00037C61">
              <w:rPr>
                <w:b w:val="0"/>
                <w:sz w:val="20"/>
                <w:szCs w:val="20"/>
              </w:rPr>
              <w:t>Rich hydrographic elements in the region, as shared heritage crossing the border between Hungary and Romania on the East-West direction and providing common cross-border riparian areas with diversified and valuable ecosystems.</w:t>
            </w:r>
          </w:p>
          <w:p w14:paraId="7B1BB89D" w14:textId="77777777" w:rsidR="00306C18" w:rsidRPr="00037C61" w:rsidRDefault="00306C18" w:rsidP="003711E0">
            <w:pPr>
              <w:pStyle w:val="InterregROHUBullet1"/>
              <w:ind w:left="306"/>
              <w:rPr>
                <w:b w:val="0"/>
                <w:sz w:val="20"/>
                <w:szCs w:val="20"/>
              </w:rPr>
            </w:pPr>
            <w:r w:rsidRPr="00037C61">
              <w:rPr>
                <w:b w:val="0"/>
                <w:sz w:val="20"/>
                <w:szCs w:val="20"/>
              </w:rPr>
              <w:t xml:space="preserve">Existence of important natural heritage (UNESCO site Hortobágy National Park - the Puszta, Körös-Maros National Park, Apuseni Nature Park, Cefa Nature Park, Mureș Floodplain Natural Park). </w:t>
            </w:r>
          </w:p>
          <w:p w14:paraId="718653C5" w14:textId="0326F5E0" w:rsidR="00306C18" w:rsidRPr="00037C61" w:rsidRDefault="426DA862" w:rsidP="003711E0">
            <w:pPr>
              <w:pStyle w:val="InterregROHUBullet1"/>
              <w:ind w:left="306"/>
              <w:rPr>
                <w:b w:val="0"/>
                <w:sz w:val="20"/>
                <w:szCs w:val="20"/>
              </w:rPr>
            </w:pPr>
            <w:r w:rsidRPr="00037C61">
              <w:rPr>
                <w:b w:val="0"/>
                <w:sz w:val="20"/>
                <w:szCs w:val="20"/>
              </w:rPr>
              <w:t xml:space="preserve">Good balance between natural and anthropic sites in the programme area, with Natura 2000 SPA areas covering </w:t>
            </w:r>
            <w:r w:rsidR="4B0E820C" w:rsidRPr="00037C61">
              <w:rPr>
                <w:b w:val="0"/>
                <w:sz w:val="20"/>
                <w:szCs w:val="20"/>
              </w:rPr>
              <w:t xml:space="preserve">between 14.63% (Timiș) and </w:t>
            </w:r>
            <w:r w:rsidR="4B0E820C" w:rsidRPr="00037C61">
              <w:rPr>
                <w:b w:val="0"/>
                <w:sz w:val="20"/>
                <w:szCs w:val="20"/>
              </w:rPr>
              <w:lastRenderedPageBreak/>
              <w:t>47.29% (Hajdu-Bihar) of the surface of the counties</w:t>
            </w:r>
            <w:r w:rsidR="0D5C97A7" w:rsidRPr="00037C61">
              <w:rPr>
                <w:b w:val="0"/>
                <w:sz w:val="20"/>
                <w:szCs w:val="20"/>
              </w:rPr>
              <w:t>.</w:t>
            </w:r>
          </w:p>
          <w:p w14:paraId="4948ACC5" w14:textId="77777777" w:rsidR="00306C18" w:rsidRPr="00037C61" w:rsidRDefault="00306C18" w:rsidP="003711E0">
            <w:pPr>
              <w:pStyle w:val="InterregROHUBullet1"/>
              <w:ind w:left="306"/>
              <w:rPr>
                <w:b w:val="0"/>
                <w:sz w:val="20"/>
                <w:szCs w:val="20"/>
              </w:rPr>
            </w:pPr>
            <w:r w:rsidRPr="00037C61">
              <w:rPr>
                <w:b w:val="0"/>
                <w:sz w:val="20"/>
                <w:szCs w:val="20"/>
              </w:rPr>
              <w:t>Very productive soils throughout the PA, fit for a diversified range of agriculture ranging from wheat and sorghum to cotton.</w:t>
            </w:r>
          </w:p>
          <w:p w14:paraId="0418D351" w14:textId="617E75C9" w:rsidR="00306C18" w:rsidRPr="00037C61" w:rsidRDefault="0252FC18" w:rsidP="003711E0">
            <w:pPr>
              <w:pStyle w:val="InterregROHUBullet1"/>
              <w:ind w:left="306"/>
              <w:rPr>
                <w:b w:val="0"/>
                <w:sz w:val="20"/>
                <w:szCs w:val="20"/>
              </w:rPr>
            </w:pPr>
            <w:r w:rsidRPr="00037C61">
              <w:rPr>
                <w:b w:val="0"/>
                <w:sz w:val="20"/>
                <w:szCs w:val="20"/>
              </w:rPr>
              <w:t xml:space="preserve">The entire PA has a dense distribution of thermal baths and balneary facilities and generally a </w:t>
            </w:r>
            <w:r w:rsidR="00F64F8D" w:rsidRPr="00037C61">
              <w:rPr>
                <w:b w:val="0"/>
                <w:sz w:val="20"/>
                <w:szCs w:val="20"/>
              </w:rPr>
              <w:t>geothermal easily exploitable natural resource</w:t>
            </w:r>
            <w:r w:rsidRPr="00037C61">
              <w:rPr>
                <w:b w:val="0"/>
                <w:sz w:val="20"/>
                <w:szCs w:val="20"/>
              </w:rPr>
              <w:t>.</w:t>
            </w:r>
          </w:p>
          <w:p w14:paraId="476F846C" w14:textId="77777777" w:rsidR="00306C18" w:rsidRPr="00037C61" w:rsidRDefault="00306C18" w:rsidP="003711E0">
            <w:pPr>
              <w:pStyle w:val="InterregROHUBullet1"/>
              <w:ind w:left="306"/>
              <w:rPr>
                <w:b w:val="0"/>
                <w:sz w:val="20"/>
                <w:szCs w:val="20"/>
              </w:rPr>
            </w:pPr>
            <w:r w:rsidRPr="00037C61">
              <w:rPr>
                <w:b w:val="0"/>
                <w:sz w:val="20"/>
                <w:szCs w:val="20"/>
              </w:rPr>
              <w:t xml:space="preserve">High potential for renewable energies: hydro power and solar to a degree, but also geothermal energy, with all four Hungarian counties and half the Romanian PA territory being covered by hot sedimentary aquifers. </w:t>
            </w:r>
          </w:p>
          <w:p w14:paraId="1C37ED57" w14:textId="77777777" w:rsidR="00306C18" w:rsidRPr="00037C61" w:rsidRDefault="00306C18" w:rsidP="003711E0">
            <w:pPr>
              <w:pStyle w:val="InterregROHUBullet1"/>
              <w:ind w:left="306"/>
              <w:rPr>
                <w:b w:val="0"/>
                <w:sz w:val="20"/>
                <w:szCs w:val="20"/>
              </w:rPr>
            </w:pPr>
            <w:r w:rsidRPr="00037C61">
              <w:rPr>
                <w:b w:val="0"/>
                <w:sz w:val="20"/>
                <w:szCs w:val="20"/>
              </w:rPr>
              <w:t>Air quality has significantly improved in the period 2008-2016 (EEA, 2018) especially in Romania, with generally good values for NO2, PM10 and PM2.5 annual limit values for the stations in the programme area (EEA Report 10/2019).</w:t>
            </w:r>
          </w:p>
        </w:tc>
        <w:tc>
          <w:tcPr>
            <w:tcW w:w="4149" w:type="dxa"/>
            <w:hideMark/>
          </w:tcPr>
          <w:p w14:paraId="0E0B6AC2" w14:textId="77777777"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lastRenderedPageBreak/>
              <w:t>Delineations of Natura 2000 sites, in relevant instances, do not cross the border - an aspect which makes site management difficult in lack of cooperation agreements.</w:t>
            </w:r>
          </w:p>
          <w:p w14:paraId="670B3A63" w14:textId="2BC2D699"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Significant flood risk in the PA, especially on the Mureș, Cri</w:t>
            </w:r>
            <w:r w:rsidR="009E3577" w:rsidRPr="00EF4397">
              <w:rPr>
                <w:bCs w:val="0"/>
                <w:sz w:val="20"/>
                <w:szCs w:val="20"/>
              </w:rPr>
              <w:t>ș</w:t>
            </w:r>
            <w:r w:rsidRPr="00EF4397">
              <w:rPr>
                <w:bCs w:val="0"/>
                <w:sz w:val="20"/>
                <w:szCs w:val="20"/>
              </w:rPr>
              <w:t>ul Alb and Some</w:t>
            </w:r>
            <w:r w:rsidR="009E3577" w:rsidRPr="00EF4397">
              <w:rPr>
                <w:bCs w:val="0"/>
                <w:sz w:val="20"/>
                <w:szCs w:val="20"/>
              </w:rPr>
              <w:t>ș</w:t>
            </w:r>
            <w:r w:rsidRPr="00EF4397">
              <w:rPr>
                <w:bCs w:val="0"/>
                <w:sz w:val="20"/>
                <w:szCs w:val="20"/>
              </w:rPr>
              <w:t xml:space="preserve"> rivers, which cross the PA perpendicular to the border. The occurrence of floods is very high in the </w:t>
            </w:r>
            <w:r w:rsidR="009E3577" w:rsidRPr="00EF4397">
              <w:rPr>
                <w:bCs w:val="0"/>
                <w:sz w:val="20"/>
                <w:szCs w:val="20"/>
              </w:rPr>
              <w:t>Szabolcs-Szatmár-Bereg</w:t>
            </w:r>
            <w:r w:rsidRPr="00EF4397">
              <w:rPr>
                <w:bCs w:val="0"/>
                <w:sz w:val="20"/>
                <w:szCs w:val="20"/>
              </w:rPr>
              <w:t xml:space="preserve"> - Satu Mare area, in the north.</w:t>
            </w:r>
          </w:p>
          <w:p w14:paraId="221AAA34" w14:textId="6CAF771B" w:rsidR="009E3577" w:rsidRPr="00EF4397" w:rsidRDefault="003711E0"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Mediu</w:t>
            </w:r>
            <w:r w:rsidR="009E3577" w:rsidRPr="00EF4397">
              <w:rPr>
                <w:bCs w:val="0"/>
                <w:sz w:val="20"/>
                <w:szCs w:val="20"/>
              </w:rPr>
              <w:t xml:space="preserve">m </w:t>
            </w:r>
            <w:r w:rsidRPr="00EF4397">
              <w:rPr>
                <w:bCs w:val="0"/>
                <w:sz w:val="20"/>
                <w:szCs w:val="20"/>
              </w:rPr>
              <w:t>earthquake risk in the Banat area (south) and Crisana-Maramures area (north) predominantly on the Romanian side of the border, with potential effects on the Hungarian side too.</w:t>
            </w:r>
          </w:p>
          <w:p w14:paraId="2414D541" w14:textId="003B67FC" w:rsidR="003711E0" w:rsidRPr="00EF4397" w:rsidRDefault="1297A21D" w:rsidP="009E3577">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t>Shared environmental challenges along a high number of cross-border rivers: poor and bad water river quality in the Hungarian counties (especially Csongrád-Csanád)</w:t>
            </w:r>
            <w:r w:rsidR="197A028A" w:rsidRPr="00EF4397">
              <w:rPr>
                <w:sz w:val="20"/>
                <w:szCs w:val="20"/>
              </w:rPr>
              <w:t>.</w:t>
            </w:r>
            <w:r w:rsidR="0555EF31" w:rsidRPr="00EF4397">
              <w:rPr>
                <w:sz w:val="20"/>
                <w:szCs w:val="20"/>
              </w:rPr>
              <w:t xml:space="preserve">  </w:t>
            </w:r>
          </w:p>
          <w:p w14:paraId="34CBE4B9" w14:textId="77777777"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 xml:space="preserve">Important distance-travelled for both Romania and Hungary in terms of recycled municipal waste percentage (2004-2017), but the countries are very distant from each other (from marginal / 2% to ca. 10% for Romania and from 12% to over 45% for Hungary, which is still under the EU-27 average). This is a significant regulation, </w:t>
            </w:r>
            <w:r w:rsidRPr="00EF4397">
              <w:rPr>
                <w:bCs w:val="0"/>
                <w:sz w:val="20"/>
                <w:szCs w:val="20"/>
              </w:rPr>
              <w:lastRenderedPageBreak/>
              <w:t>infrastructure and behavioural disparity in the region.</w:t>
            </w:r>
          </w:p>
          <w:p w14:paraId="0D12513F" w14:textId="0210DC42" w:rsidR="00306C18" w:rsidRPr="00EF4397" w:rsidRDefault="426DA862" w:rsidP="003711E0">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t>Land abandonment, especially on the Hungarian side, with a loss of over 18,000 hectares (in most part from Hajdu-Bihar)</w:t>
            </w:r>
            <w:r w:rsidR="232FE035" w:rsidRPr="00EF4397">
              <w:rPr>
                <w:sz w:val="20"/>
                <w:szCs w:val="20"/>
              </w:rPr>
              <w:t>.</w:t>
            </w:r>
          </w:p>
          <w:p w14:paraId="48EB22E6" w14:textId="2A00A2AB" w:rsidR="009E3577" w:rsidRPr="00EF4397" w:rsidRDefault="426DA862" w:rsidP="003711E0">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t>Significant deforestation in the Hungarian counties, with a 19% loss of forest in Szabolcs-Szatmár-Bereg between 2001-2019, 18% loss in Hajdu-Bihar and 15% in Csongrád-Csanád, three to four times higher than in the Romanian counties (where the highest deforestation rate is 4.6% in Bihor). This important issue may lead to soil erosion and increased natural risks</w:t>
            </w:r>
            <w:r w:rsidR="7699951E" w:rsidRPr="00EF4397">
              <w:rPr>
                <w:sz w:val="20"/>
                <w:szCs w:val="20"/>
              </w:rPr>
              <w:t>.</w:t>
            </w:r>
            <w:r w:rsidRPr="00EF4397">
              <w:rPr>
                <w:sz w:val="20"/>
                <w:szCs w:val="20"/>
              </w:rPr>
              <w:t xml:space="preserve"> </w:t>
            </w:r>
          </w:p>
          <w:p w14:paraId="12C38EAB" w14:textId="7A146A47" w:rsidR="00306C18" w:rsidRPr="00EF4397" w:rsidRDefault="009E3577"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 xml:space="preserve">Air pollution with particulate matter (PM2.5 and PM10), VOC and CO is affecting the Romanian counties significantly, due to an industrial profile and potentially also heating / waste burning solutions (especially relevant for PM concentrations). </w:t>
            </w:r>
          </w:p>
        </w:tc>
        <w:tc>
          <w:tcPr>
            <w:tcW w:w="3969" w:type="dxa"/>
            <w:hideMark/>
          </w:tcPr>
          <w:p w14:paraId="7344F31C" w14:textId="3284FF50" w:rsidR="00306C18" w:rsidRPr="00EF4397" w:rsidRDefault="7CE694EC" w:rsidP="003711E0">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lastRenderedPageBreak/>
              <w:t>A more robust economic instrument framework in Hungary to support the low carbon economy, which could be a best practice case for cross-border exchange in order to assist green transition in the programme area.</w:t>
            </w:r>
          </w:p>
          <w:p w14:paraId="1869A28D" w14:textId="616C5F03" w:rsidR="009E3577" w:rsidRPr="00EF4397" w:rsidRDefault="7EC4E007" w:rsidP="003711E0">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t>Ambitious national targets for RES share, energy efficiency and reduction of GhG emissions by 2030, favouring cooperation and action in the PA</w:t>
            </w:r>
            <w:r w:rsidR="404C8EE5" w:rsidRPr="00EF4397">
              <w:rPr>
                <w:sz w:val="20"/>
                <w:szCs w:val="20"/>
              </w:rPr>
              <w:t>.</w:t>
            </w:r>
          </w:p>
          <w:p w14:paraId="372F73D5" w14:textId="77777777"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Existence of structural funding for improving environmental quality and preserving landscape biodiversity, which can be used in synergy with cross-border cooperation instruments.</w:t>
            </w:r>
          </w:p>
          <w:p w14:paraId="327B7331" w14:textId="77777777"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The New European Green Deal, providing significant support to nature-based solutions, ecosystem services, energy transition, renovation, reduction of embodied energy in constructions (new materials and circularity).</w:t>
            </w:r>
          </w:p>
          <w:p w14:paraId="44FEFD36" w14:textId="77777777"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New national and European legislation which can support the reduction of GHG emissions.</w:t>
            </w:r>
          </w:p>
          <w:p w14:paraId="655A9A18" w14:textId="0191FBC9" w:rsidR="00306C18" w:rsidRPr="00EF4397" w:rsidRDefault="00306C18">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 xml:space="preserve">Opportunity to introduce demonstrated new technologies and nature-based </w:t>
            </w:r>
            <w:r w:rsidRPr="00EF4397">
              <w:rPr>
                <w:bCs w:val="0"/>
                <w:sz w:val="20"/>
                <w:szCs w:val="20"/>
              </w:rPr>
              <w:lastRenderedPageBreak/>
              <w:t>solutions for improving the environmental quality in the programme area</w:t>
            </w:r>
            <w:r w:rsidR="00077014" w:rsidRPr="00EF4397">
              <w:rPr>
                <w:bCs w:val="0"/>
                <w:sz w:val="20"/>
                <w:szCs w:val="20"/>
              </w:rPr>
              <w:t>.</w:t>
            </w:r>
          </w:p>
          <w:p w14:paraId="5FD68620" w14:textId="283BAA43" w:rsidR="00306C18" w:rsidRPr="00EF4397" w:rsidRDefault="12EBA087" w:rsidP="003711E0">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t>Romania proposed over 50 regulatory policies and measures to be implemented in the current period regarding air pollution and greenhouse gases</w:t>
            </w:r>
            <w:r w:rsidR="354FB3FF" w:rsidRPr="00EF4397">
              <w:rPr>
                <w:sz w:val="20"/>
                <w:szCs w:val="20"/>
              </w:rPr>
              <w:t>.</w:t>
            </w:r>
          </w:p>
          <w:p w14:paraId="43E459AF" w14:textId="13FF89B6" w:rsidR="00306C18" w:rsidRPr="00EF4397" w:rsidRDefault="12EBA087" w:rsidP="003711E0">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EF4397">
              <w:rPr>
                <w:sz w:val="20"/>
                <w:szCs w:val="20"/>
              </w:rPr>
              <w:t xml:space="preserve">Valorising and protecting the common natural heritage, through </w:t>
            </w:r>
            <w:r w:rsidR="05531D9C" w:rsidRPr="00EF4397">
              <w:rPr>
                <w:sz w:val="20"/>
                <w:szCs w:val="20"/>
              </w:rPr>
              <w:t xml:space="preserve">joint management and </w:t>
            </w:r>
            <w:r w:rsidRPr="00EF4397">
              <w:rPr>
                <w:sz w:val="20"/>
                <w:szCs w:val="20"/>
              </w:rPr>
              <w:t xml:space="preserve">joint actions for reforestation. </w:t>
            </w:r>
          </w:p>
          <w:p w14:paraId="2A51632B" w14:textId="0F5883BC" w:rsidR="00306C18" w:rsidRPr="00EF4397" w:rsidRDefault="009E3577" w:rsidP="00306C18">
            <w:pPr>
              <w:pStyle w:val="InterregROHUBullet1"/>
              <w:ind w:left="360"/>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Opportunity for RES and new technology adoption at</w:t>
            </w:r>
            <w:r w:rsidR="00306C18" w:rsidRPr="00EF4397">
              <w:rPr>
                <w:bCs w:val="0"/>
                <w:sz w:val="20"/>
                <w:szCs w:val="20"/>
              </w:rPr>
              <w:t xml:space="preserve"> cross-border cooperation</w:t>
            </w:r>
            <w:r w:rsidRPr="00EF4397">
              <w:rPr>
                <w:bCs w:val="0"/>
                <w:sz w:val="20"/>
                <w:szCs w:val="20"/>
              </w:rPr>
              <w:t xml:space="preserve"> level</w:t>
            </w:r>
            <w:r w:rsidR="00306C18" w:rsidRPr="00EF4397">
              <w:rPr>
                <w:bCs w:val="0"/>
                <w:sz w:val="20"/>
                <w:szCs w:val="20"/>
              </w:rPr>
              <w:t xml:space="preserve"> </w:t>
            </w:r>
            <w:r w:rsidR="00CB4E22" w:rsidRPr="00EF4397">
              <w:rPr>
                <w:bCs w:val="0"/>
                <w:sz w:val="20"/>
                <w:szCs w:val="20"/>
              </w:rPr>
              <w:t>across the whole region, and in particular</w:t>
            </w:r>
            <w:r w:rsidR="00306C18" w:rsidRPr="00EF4397">
              <w:rPr>
                <w:bCs w:val="0"/>
                <w:sz w:val="20"/>
                <w:szCs w:val="20"/>
              </w:rPr>
              <w:t xml:space="preserve"> the </w:t>
            </w:r>
            <w:r w:rsidR="00CB4E22" w:rsidRPr="00EF4397">
              <w:rPr>
                <w:bCs w:val="0"/>
                <w:sz w:val="20"/>
                <w:szCs w:val="20"/>
              </w:rPr>
              <w:t xml:space="preserve">CB </w:t>
            </w:r>
            <w:r w:rsidR="00306C18" w:rsidRPr="00EF4397">
              <w:rPr>
                <w:bCs w:val="0"/>
                <w:sz w:val="20"/>
                <w:szCs w:val="20"/>
              </w:rPr>
              <w:t>subregions of Timiș – Csongrád-Csanád and Bihor – Hajdu-Bihar - Szabolcs-Szatmár-Bereg</w:t>
            </w:r>
            <w:r w:rsidRPr="00EF4397">
              <w:rPr>
                <w:bCs w:val="0"/>
                <w:sz w:val="20"/>
                <w:szCs w:val="20"/>
              </w:rPr>
              <w:t>,</w:t>
            </w:r>
            <w:r w:rsidR="00306C18" w:rsidRPr="00EF4397">
              <w:rPr>
                <w:bCs w:val="0"/>
                <w:sz w:val="20"/>
                <w:szCs w:val="20"/>
              </w:rPr>
              <w:t xml:space="preserve"> based on the similar high renewable</w:t>
            </w:r>
            <w:r w:rsidRPr="00EF4397">
              <w:rPr>
                <w:bCs w:val="0"/>
                <w:sz w:val="20"/>
                <w:szCs w:val="20"/>
              </w:rPr>
              <w:t xml:space="preserve"> </w:t>
            </w:r>
            <w:r w:rsidR="00306C18" w:rsidRPr="00EF4397">
              <w:rPr>
                <w:bCs w:val="0"/>
                <w:sz w:val="20"/>
                <w:szCs w:val="20"/>
              </w:rPr>
              <w:t>resource potential profiles.</w:t>
            </w:r>
          </w:p>
          <w:p w14:paraId="7BAAD5C0" w14:textId="77777777" w:rsidR="00306C18" w:rsidRPr="00EF4397"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EF4397">
              <w:rPr>
                <w:bCs w:val="0"/>
                <w:sz w:val="20"/>
                <w:szCs w:val="20"/>
              </w:rPr>
              <w:t>Cooperation in the field of waste management, in support of improved recycling practices especially from the Romanian side of the border.</w:t>
            </w:r>
          </w:p>
          <w:p w14:paraId="63D7277A" w14:textId="77777777" w:rsidR="00306C18" w:rsidRPr="00EF4397" w:rsidRDefault="00306C18" w:rsidP="003711E0">
            <w:pPr>
              <w:pStyle w:val="InterregROHUBullet1"/>
              <w:numPr>
                <w:ilvl w:val="0"/>
                <w:numId w:val="0"/>
              </w:numPr>
              <w:ind w:left="306"/>
              <w:cnfStyle w:val="000000100000" w:firstRow="0" w:lastRow="0" w:firstColumn="0" w:lastColumn="0" w:oddVBand="0" w:evenVBand="0" w:oddHBand="1" w:evenHBand="0" w:firstRowFirstColumn="0" w:firstRowLastColumn="0" w:lastRowFirstColumn="0" w:lastRowLastColumn="0"/>
              <w:rPr>
                <w:bCs w:val="0"/>
                <w:sz w:val="20"/>
                <w:szCs w:val="20"/>
              </w:rPr>
            </w:pPr>
          </w:p>
        </w:tc>
        <w:tc>
          <w:tcPr>
            <w:tcW w:w="2789" w:type="dxa"/>
            <w:hideMark/>
          </w:tcPr>
          <w:p w14:paraId="50124F8E" w14:textId="77777777" w:rsidR="00306C18" w:rsidRPr="00037C61"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lastRenderedPageBreak/>
              <w:t>Potential negative impact of climate change throughout the whole programme area, with a more prominent effect (due to increased vulnerability) projected for Timișoara, Arad and Bihor, which could impact territorial cohesion. (ESPON CLIMATE, 2012).</w:t>
            </w:r>
          </w:p>
          <w:p w14:paraId="6982EB6D" w14:textId="77777777" w:rsidR="00306C18" w:rsidRPr="00037C61"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Land erosion, desertification and loss of biodiversity due to climate change and insufficient protection of biodiversity and forestry resources.</w:t>
            </w:r>
          </w:p>
          <w:p w14:paraId="5E8EA391" w14:textId="2A84906D" w:rsidR="00306C18" w:rsidRPr="00037C61"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 xml:space="preserve">Flood risks on the course of main rivers involve potential exposure to environmental disasters, due to proximity of hazard zones (eg. heavy metal pollution, open tailing ponds and mines in Maramureș). This is a very big risk and a big priority in the northern counties of Szabolcs-Szatmár-Bereg and Satu Mare, which </w:t>
            </w:r>
            <w:r w:rsidRPr="00037C61">
              <w:rPr>
                <w:bCs w:val="0"/>
                <w:sz w:val="20"/>
                <w:szCs w:val="20"/>
              </w:rPr>
              <w:lastRenderedPageBreak/>
              <w:t>present very high flooding recurrence risk, and can be tackled in a concerted manner more efficiently</w:t>
            </w:r>
            <w:r w:rsidR="00CB4E22">
              <w:rPr>
                <w:bCs w:val="0"/>
                <w:sz w:val="20"/>
                <w:szCs w:val="20"/>
              </w:rPr>
              <w:t xml:space="preserve">, </w:t>
            </w:r>
            <w:r w:rsidRPr="00037C61">
              <w:rPr>
                <w:bCs w:val="0"/>
                <w:sz w:val="20"/>
                <w:szCs w:val="20"/>
              </w:rPr>
              <w:t>cost-effectively</w:t>
            </w:r>
            <w:r w:rsidR="00CB4E22">
              <w:rPr>
                <w:bCs w:val="0"/>
                <w:sz w:val="20"/>
                <w:szCs w:val="20"/>
              </w:rPr>
              <w:t xml:space="preserve"> and sustainably, through nature-based solutions.</w:t>
            </w:r>
            <w:r w:rsidRPr="00037C61">
              <w:rPr>
                <w:bCs w:val="0"/>
                <w:sz w:val="20"/>
                <w:szCs w:val="20"/>
              </w:rPr>
              <w:t>.</w:t>
            </w:r>
          </w:p>
          <w:p w14:paraId="2125CBE4" w14:textId="33B68775" w:rsidR="00306C18" w:rsidRPr="00037C61" w:rsidRDefault="00306C18" w:rsidP="003711E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 xml:space="preserve">Fragmentation and differences in the legislation and institutional settings governing the management of protected areas may create barriers to cross-border cooperation and joint management of natural resources.  </w:t>
            </w:r>
          </w:p>
          <w:p w14:paraId="420BB7FB" w14:textId="4DDADBB3" w:rsidR="00306C18" w:rsidRPr="00037C61" w:rsidRDefault="26929AF8" w:rsidP="003711E0">
            <w:pPr>
              <w:pStyle w:val="InterregROHUBullet1"/>
              <w:numPr>
                <w:ilvl w:val="0"/>
                <w:numId w:val="0"/>
              </w:numPr>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sz w:val="20"/>
                <w:szCs w:val="20"/>
              </w:rPr>
              <w:t>There is no significant support for eco-innovation neither in Romania, nor in Hungary, with both countries lagging behind in this respect and ranked 24 and 25 respectively at EU level.</w:t>
            </w:r>
          </w:p>
          <w:p w14:paraId="569DDCF7" w14:textId="77777777" w:rsidR="00306C18" w:rsidRPr="00037C61" w:rsidRDefault="00306C18" w:rsidP="003711E0">
            <w:pPr>
              <w:pStyle w:val="InterregROHUBullet1"/>
              <w:numPr>
                <w:ilvl w:val="0"/>
                <w:numId w:val="0"/>
              </w:numPr>
              <w:ind w:left="306"/>
              <w:cnfStyle w:val="000000100000" w:firstRow="0" w:lastRow="0" w:firstColumn="0" w:lastColumn="0" w:oddVBand="0" w:evenVBand="0" w:oddHBand="1" w:evenHBand="0" w:firstRowFirstColumn="0" w:firstRowLastColumn="0" w:lastRowFirstColumn="0" w:lastRowLastColumn="0"/>
              <w:rPr>
                <w:bCs w:val="0"/>
                <w:sz w:val="20"/>
                <w:szCs w:val="20"/>
              </w:rPr>
            </w:pPr>
          </w:p>
        </w:tc>
      </w:tr>
    </w:tbl>
    <w:p w14:paraId="2420AB8A" w14:textId="47555079" w:rsidR="48589249" w:rsidRPr="00037C61" w:rsidRDefault="48589249">
      <w:pPr>
        <w:rPr>
          <w:lang w:val="en-GB"/>
        </w:rPr>
      </w:pPr>
    </w:p>
    <w:p w14:paraId="2BE6C547" w14:textId="77777777" w:rsidR="00306C18" w:rsidRPr="00037C61" w:rsidRDefault="00306C18" w:rsidP="00FB0745">
      <w:pPr>
        <w:rPr>
          <w:rFonts w:cs="Calibri"/>
          <w:b/>
          <w:bCs/>
          <w:lang w:val="en-GB"/>
        </w:rPr>
      </w:pPr>
    </w:p>
    <w:p w14:paraId="42866FB0" w14:textId="3D6D79CF" w:rsidR="00306C18" w:rsidRPr="00037C61" w:rsidRDefault="00306C18" w:rsidP="00FB0745">
      <w:pPr>
        <w:rPr>
          <w:rFonts w:cs="Calibri"/>
          <w:b/>
          <w:bCs/>
          <w:lang w:val="en-GB"/>
        </w:rPr>
        <w:sectPr w:rsidR="00306C18" w:rsidRPr="00037C61" w:rsidSect="0007064A">
          <w:headerReference w:type="default" r:id="rId229"/>
          <w:footerReference w:type="first" r:id="rId230"/>
          <w:pgSz w:w="16838" w:h="11906" w:orient="landscape"/>
          <w:pgMar w:top="1440" w:right="1713" w:bottom="1440" w:left="1440" w:header="708" w:footer="828" w:gutter="0"/>
          <w:cols w:space="708"/>
          <w:docGrid w:linePitch="360"/>
        </w:sectPr>
      </w:pPr>
    </w:p>
    <w:p w14:paraId="6D18BA25" w14:textId="514FDF96" w:rsidR="00A86A35" w:rsidRPr="00037C61" w:rsidRDefault="1C774ED0" w:rsidP="00BB1B56">
      <w:pPr>
        <w:pStyle w:val="Heading2"/>
      </w:pPr>
      <w:bookmarkStart w:id="746" w:name="_Toc53137213"/>
      <w:bookmarkStart w:id="747" w:name="_Toc50723340"/>
      <w:bookmarkStart w:id="748" w:name="_Toc64619552"/>
      <w:bookmarkStart w:id="749" w:name="_Toc50359118"/>
      <w:r w:rsidRPr="00037C61">
        <w:lastRenderedPageBreak/>
        <w:t>Infrastructural capital</w:t>
      </w:r>
      <w:bookmarkEnd w:id="746"/>
      <w:bookmarkEnd w:id="747"/>
      <w:bookmarkEnd w:id="748"/>
      <w:r w:rsidRPr="00037C61">
        <w:t xml:space="preserve"> </w:t>
      </w:r>
      <w:bookmarkEnd w:id="749"/>
    </w:p>
    <w:p w14:paraId="00416F9D" w14:textId="69637FA6" w:rsidR="00996B5D" w:rsidRPr="00037C61" w:rsidRDefault="00996B5D" w:rsidP="00996B5D">
      <w:pPr>
        <w:rPr>
          <w:lang w:val="en-GB"/>
        </w:rPr>
      </w:pPr>
    </w:p>
    <w:p w14:paraId="2924E431" w14:textId="6D1A848B" w:rsidR="00996B5D" w:rsidRPr="00037C61" w:rsidRDefault="00996B5D" w:rsidP="005E0849">
      <w:pPr>
        <w:rPr>
          <w:lang w:val="en-GB"/>
        </w:rPr>
      </w:pPr>
      <w:r w:rsidRPr="00037C61">
        <w:rPr>
          <w:lang w:val="en-GB"/>
        </w:rPr>
        <w:t>This chapter</w:t>
      </w:r>
      <w:r w:rsidR="000C5A56" w:rsidRPr="00037C61">
        <w:rPr>
          <w:lang w:val="en-GB"/>
        </w:rPr>
        <w:t xml:space="preserve"> </w:t>
      </w:r>
      <w:r w:rsidR="00E40568" w:rsidRPr="00037C61">
        <w:rPr>
          <w:lang w:val="en-GB"/>
        </w:rPr>
        <w:t xml:space="preserve">provides information on the main characteristics of the transport network in the PA (road, rail, airport infrastructure), road accessibility, border crossing statistics, road safety. It further provides information on the technical infrastructures, including water supply, electricity, and access to ICT infrastructure. </w:t>
      </w:r>
    </w:p>
    <w:p w14:paraId="2ECFFA15" w14:textId="6EBA0EDC" w:rsidR="008E6744" w:rsidRPr="00037C61" w:rsidRDefault="52230E0C" w:rsidP="005E0849">
      <w:pPr>
        <w:pStyle w:val="Heading3"/>
      </w:pPr>
      <w:bookmarkStart w:id="750" w:name="_Toc50723341"/>
      <w:bookmarkStart w:id="751" w:name="_Toc50359119"/>
      <w:bookmarkStart w:id="752" w:name="_Toc52954693"/>
      <w:bookmarkStart w:id="753" w:name="_Toc53137214"/>
      <w:bookmarkStart w:id="754" w:name="_Toc64619553"/>
      <w:r w:rsidRPr="00037C61">
        <w:t xml:space="preserve">Transport and mobility in the </w:t>
      </w:r>
      <w:bookmarkEnd w:id="750"/>
      <w:r w:rsidRPr="00037C61">
        <w:t>PA</w:t>
      </w:r>
      <w:bookmarkEnd w:id="751"/>
      <w:bookmarkEnd w:id="752"/>
      <w:bookmarkEnd w:id="753"/>
      <w:bookmarkEnd w:id="754"/>
    </w:p>
    <w:p w14:paraId="732A563F" w14:textId="75F7CCD2" w:rsidR="0055238F" w:rsidRPr="00037C61" w:rsidRDefault="00DC06EC" w:rsidP="5CA115F1">
      <w:pPr>
        <w:rPr>
          <w:lang w:val="en-GB"/>
        </w:rPr>
      </w:pPr>
      <w:r w:rsidRPr="00037C61">
        <w:rPr>
          <w:lang w:val="en-GB"/>
        </w:rPr>
        <w:t>The programme area shares a 450-km border with 1</w:t>
      </w:r>
      <w:r w:rsidR="004B4C2A">
        <w:rPr>
          <w:lang w:val="en-GB"/>
        </w:rPr>
        <w:t>6</w:t>
      </w:r>
      <w:r w:rsidRPr="00037C61">
        <w:rPr>
          <w:lang w:val="en-GB"/>
        </w:rPr>
        <w:t xml:space="preserve"> international traffic crossing points (</w:t>
      </w:r>
      <w:r w:rsidR="004F6026" w:rsidRPr="00037C61">
        <w:rPr>
          <w:lang w:val="en-GB"/>
        </w:rPr>
        <w:t>1</w:t>
      </w:r>
      <w:r w:rsidR="004B4C2A">
        <w:rPr>
          <w:lang w:val="en-GB"/>
        </w:rPr>
        <w:t>2</w:t>
      </w:r>
      <w:r w:rsidR="004F6026" w:rsidRPr="00037C61">
        <w:rPr>
          <w:lang w:val="en-GB"/>
        </w:rPr>
        <w:t xml:space="preserve"> </w:t>
      </w:r>
      <w:r w:rsidRPr="00037C61">
        <w:rPr>
          <w:lang w:val="en-GB"/>
        </w:rPr>
        <w:t>by road, and 5 by rail), relatively evenly distributed with an average spacing of ca. 43 km, and is</w:t>
      </w:r>
      <w:r w:rsidR="0055238F" w:rsidRPr="00037C61">
        <w:rPr>
          <w:lang w:val="en-GB"/>
        </w:rPr>
        <w:t xml:space="preserve"> crossed by two European corridors. </w:t>
      </w:r>
      <w:r w:rsidR="0055238F" w:rsidRPr="00037C61">
        <w:rPr>
          <w:b/>
          <w:bCs/>
          <w:lang w:val="en-GB"/>
        </w:rPr>
        <w:t>The Rhine-Danube Corridor</w:t>
      </w:r>
      <w:r w:rsidR="0055238F" w:rsidRPr="00037C61">
        <w:rPr>
          <w:lang w:val="en-GB"/>
        </w:rPr>
        <w:t xml:space="preserve"> provides the main east-west link across Continental Europe and connects Strasbourg with Vienna, Bratislava, Budapest, Bucharest and the port of Constanța. There are several bottlenecks in ensuring optimal connectivity, for which a set of pre-identified projects have been agreed at European level, among which: the rail connection Budapest-Arad and the upgrade of specific sections of Arad-Brașov-Bucharest-Constanta rail (both with the current status – studies for high-speed network).  </w:t>
      </w:r>
    </w:p>
    <w:p w14:paraId="139A9695" w14:textId="72F24D11" w:rsidR="0055238F" w:rsidRPr="00037C61" w:rsidRDefault="0055238F" w:rsidP="5CA115F1">
      <w:pPr>
        <w:rPr>
          <w:lang w:val="en-GB"/>
        </w:rPr>
      </w:pPr>
      <w:r w:rsidRPr="00037C61">
        <w:rPr>
          <w:b/>
          <w:bCs/>
          <w:lang w:val="en-GB"/>
        </w:rPr>
        <w:t>The Orient/East-Med Corridor</w:t>
      </w:r>
      <w:r w:rsidRPr="00037C61">
        <w:rPr>
          <w:lang w:val="en-GB"/>
        </w:rPr>
        <w:t xml:space="preserve"> connects large parts of Central Europe with ports of the North, Baltic, Black and Mediterranean Seas, facilitating multimodal connections between Northern Germany, the Pannonian Region and Southeaster Europe. </w:t>
      </w:r>
    </w:p>
    <w:p w14:paraId="3F31DE3D" w14:textId="55E13E85" w:rsidR="0055238F" w:rsidRPr="00037C61" w:rsidRDefault="0055238F" w:rsidP="5CA115F1">
      <w:pPr>
        <w:rPr>
          <w:lang w:val="en-GB"/>
        </w:rPr>
      </w:pPr>
      <w:r w:rsidRPr="00037C61">
        <w:rPr>
          <w:lang w:val="en-GB"/>
        </w:rPr>
        <w:t xml:space="preserve">The two corridors coincide in the programming area, specifically along the motorway connection between Szeged and </w:t>
      </w:r>
      <w:r w:rsidR="00DE7D07">
        <w:rPr>
          <w:lang w:val="en-GB"/>
        </w:rPr>
        <w:t>Arad (</w:t>
      </w:r>
      <w:r w:rsidRPr="00037C61">
        <w:rPr>
          <w:lang w:val="en-GB"/>
        </w:rPr>
        <w:t>Timișoara</w:t>
      </w:r>
      <w:r w:rsidR="00DE7D07">
        <w:rPr>
          <w:lang w:val="en-GB"/>
        </w:rPr>
        <w:t>)</w:t>
      </w:r>
      <w:r w:rsidRPr="00037C61">
        <w:rPr>
          <w:lang w:val="en-GB"/>
        </w:rPr>
        <w:t xml:space="preserve">, and the Rail connection between Budapest, </w:t>
      </w:r>
      <w:r w:rsidR="00070EEE" w:rsidRPr="00037C61">
        <w:rPr>
          <w:lang w:val="en-GB"/>
        </w:rPr>
        <w:t>Békéscsaba</w:t>
      </w:r>
      <w:r w:rsidRPr="00037C61">
        <w:rPr>
          <w:lang w:val="en-GB"/>
        </w:rPr>
        <w:t xml:space="preserve"> and Timișoara, which represents an essential transport node and the location of the main international airport of the region. A higher </w:t>
      </w:r>
      <w:r w:rsidR="004B3B33" w:rsidRPr="00037C61">
        <w:rPr>
          <w:lang w:val="en-GB"/>
        </w:rPr>
        <w:t>density in</w:t>
      </w:r>
      <w:r w:rsidRPr="00037C61">
        <w:rPr>
          <w:lang w:val="en-GB"/>
        </w:rPr>
        <w:t xml:space="preserve"> the Hungarian territory can be observed, specifically due to the presence of several European corridors, including the Mediterranean corridor crossing the counties of Hajdu-Bihar and Szabolcs-Szatmár-Bereg and facilitating a better connection with Ukraine towards the north (marked with light green in</w:t>
      </w:r>
      <w:r w:rsidR="00A5592D">
        <w:rPr>
          <w:lang w:val="en-GB"/>
        </w:rPr>
        <w:t xml:space="preserve"> the Figure below</w:t>
      </w:r>
      <w:r w:rsidRPr="00037C61">
        <w:rPr>
          <w:lang w:val="en-GB"/>
        </w:rPr>
        <w:t xml:space="preserve">). </w:t>
      </w:r>
    </w:p>
    <w:p w14:paraId="180A6508" w14:textId="42C69646" w:rsidR="3F413C9B" w:rsidRPr="00037C61" w:rsidRDefault="004A1713" w:rsidP="00457478">
      <w:pPr>
        <w:keepNext/>
        <w:spacing w:after="0"/>
        <w:rPr>
          <w:lang w:val="en-GB"/>
        </w:rPr>
      </w:pPr>
      <w:r w:rsidRPr="00037C61">
        <w:rPr>
          <w:noProof/>
          <w:lang w:val="ro-RO" w:eastAsia="ro-RO"/>
        </w:rPr>
        <w:drawing>
          <wp:inline distT="0" distB="0" distL="0" distR="0" wp14:anchorId="6BB42D03" wp14:editId="27707A8E">
            <wp:extent cx="5731510" cy="2252980"/>
            <wp:effectExtent l="0" t="0" r="2540" b="0"/>
            <wp:docPr id="1986207188" name="Picture 198620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207188"/>
                    <pic:cNvPicPr/>
                  </pic:nvPicPr>
                  <pic:blipFill>
                    <a:blip r:embed="rId231">
                      <a:extLst>
                        <a:ext uri="{28A0092B-C50C-407E-A947-70E740481C1C}">
                          <a14:useLocalDpi xmlns:a14="http://schemas.microsoft.com/office/drawing/2010/main"/>
                        </a:ext>
                      </a:extLst>
                    </a:blip>
                    <a:stretch>
                      <a:fillRect/>
                    </a:stretch>
                  </pic:blipFill>
                  <pic:spPr>
                    <a:xfrm>
                      <a:off x="0" y="0"/>
                      <a:ext cx="5731510" cy="2252980"/>
                    </a:xfrm>
                    <a:prstGeom prst="rect">
                      <a:avLst/>
                    </a:prstGeom>
                  </pic:spPr>
                </pic:pic>
              </a:graphicData>
            </a:graphic>
          </wp:inline>
        </w:drawing>
      </w:r>
    </w:p>
    <w:p w14:paraId="3B7669E4" w14:textId="3D286875" w:rsidR="0055238F" w:rsidRPr="00037C61" w:rsidRDefault="0055238F" w:rsidP="0055238F">
      <w:pPr>
        <w:pStyle w:val="Caption"/>
        <w:jc w:val="both"/>
        <w:rPr>
          <w:lang w:val="en-GB"/>
        </w:rPr>
      </w:pPr>
      <w:bookmarkStart w:id="755" w:name="_Ref53447104"/>
      <w:bookmarkStart w:id="756" w:name="_Toc6461106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112</w:t>
      </w:r>
      <w:r w:rsidR="00412697">
        <w:rPr>
          <w:lang w:val="en-GB"/>
        </w:rPr>
        <w:fldChar w:fldCharType="end"/>
      </w:r>
      <w:bookmarkEnd w:id="755"/>
      <w:r w:rsidRPr="00037C61">
        <w:rPr>
          <w:lang w:val="en-GB"/>
        </w:rPr>
        <w:t xml:space="preserve"> - The European Orient / East-Med and Rhine-Danube corridors crossing the programme area</w:t>
      </w:r>
      <w:bookmarkEnd w:id="756"/>
      <w:r w:rsidRPr="00037C61">
        <w:rPr>
          <w:lang w:val="en-GB"/>
        </w:rPr>
        <w:t xml:space="preserve"> </w:t>
      </w:r>
    </w:p>
    <w:p w14:paraId="3DE2D883" w14:textId="572263D9" w:rsidR="004A1713" w:rsidRPr="00DB74BF" w:rsidRDefault="0055238F" w:rsidP="0055238F">
      <w:pPr>
        <w:pStyle w:val="Caption"/>
        <w:jc w:val="both"/>
        <w:rPr>
          <w:lang w:val="fr-FR"/>
        </w:rPr>
      </w:pPr>
      <w:r w:rsidRPr="00DB74BF">
        <w:rPr>
          <w:lang w:val="fr-FR"/>
        </w:rPr>
        <w:t xml:space="preserve">Source: </w:t>
      </w:r>
      <w:hyperlink r:id="rId232" w:history="1">
        <w:r w:rsidRPr="00DB74BF">
          <w:rPr>
            <w:rStyle w:val="Hyperlink"/>
            <w:lang w:val="fr-FR"/>
          </w:rPr>
          <w:t>https://ec.europa.eu/transport/infrastructure/tentec/tentec-portal/map/maps.html?corridor=4&amp;layer=8,9</w:t>
        </w:r>
      </w:hyperlink>
    </w:p>
    <w:p w14:paraId="3897651B" w14:textId="5D5D719E" w:rsidR="0055238F" w:rsidRPr="00DB74BF" w:rsidRDefault="0055238F" w:rsidP="0055238F">
      <w:pPr>
        <w:rPr>
          <w:lang w:val="fr-FR"/>
        </w:rPr>
      </w:pPr>
    </w:p>
    <w:p w14:paraId="64DCA8EA" w14:textId="283757A1" w:rsidR="0055238F" w:rsidRPr="00037C61" w:rsidRDefault="0055238F" w:rsidP="5CA115F1">
      <w:pPr>
        <w:rPr>
          <w:lang w:val="en-GB"/>
        </w:rPr>
      </w:pPr>
      <w:r w:rsidRPr="00037C61">
        <w:rPr>
          <w:lang w:val="en-GB"/>
        </w:rPr>
        <w:t xml:space="preserve">In what concerns the main road and rail infrastructure, the programme area is crossed by the </w:t>
      </w:r>
      <w:r w:rsidR="00E50CE9" w:rsidRPr="00037C61">
        <w:rPr>
          <w:lang w:val="en-GB"/>
        </w:rPr>
        <w:t xml:space="preserve">Core Network </w:t>
      </w:r>
      <w:r w:rsidR="00DE7D07">
        <w:rPr>
          <w:lang w:val="en-GB"/>
        </w:rPr>
        <w:t xml:space="preserve">motorway linking </w:t>
      </w:r>
      <w:r w:rsidR="00E50CE9" w:rsidRPr="00037C61">
        <w:rPr>
          <w:lang w:val="en-GB"/>
        </w:rPr>
        <w:t xml:space="preserve">Szeged </w:t>
      </w:r>
      <w:r w:rsidR="00DE7D07">
        <w:rPr>
          <w:lang w:val="en-GB"/>
        </w:rPr>
        <w:t>with</w:t>
      </w:r>
      <w:r w:rsidR="00E50CE9" w:rsidRPr="00037C61">
        <w:rPr>
          <w:lang w:val="en-GB"/>
        </w:rPr>
        <w:t xml:space="preserve"> Timișoara (part of the two EU Corridors above</w:t>
      </w:r>
      <w:r w:rsidR="00DE7D07">
        <w:rPr>
          <w:lang w:val="en-GB"/>
        </w:rPr>
        <w:t xml:space="preserve">, albeit through </w:t>
      </w:r>
      <w:r w:rsidR="00DE7D07">
        <w:rPr>
          <w:lang w:val="en-GB"/>
        </w:rPr>
        <w:lastRenderedPageBreak/>
        <w:t>Arad</w:t>
      </w:r>
      <w:r w:rsidR="00E50CE9" w:rsidRPr="00037C61">
        <w:rPr>
          <w:lang w:val="en-GB"/>
        </w:rPr>
        <w:t xml:space="preserve">) and M3 </w:t>
      </w:r>
      <w:r w:rsidR="004B3B33" w:rsidRPr="00037C61">
        <w:rPr>
          <w:lang w:val="en-GB"/>
        </w:rPr>
        <w:t xml:space="preserve">Görbeháza </w:t>
      </w:r>
      <w:r w:rsidR="00E50CE9" w:rsidRPr="00037C61">
        <w:rPr>
          <w:lang w:val="en-GB"/>
        </w:rPr>
        <w:t xml:space="preserve">–  Nyíregyháza, as well as the Comprehensive Network corridors Arad-Oradea (to be upgraded), Nyíregyháza – Debrecen – Oradea – Zalău (to be upgraded) and Zalău – Satu Mare – the Ukrainian border. The main rail network follows the connection along the EU corridors.  </w:t>
      </w:r>
    </w:p>
    <w:p w14:paraId="25A71DCF" w14:textId="2BDEC2DE" w:rsidR="00E50CE9" w:rsidRPr="00037C61" w:rsidRDefault="004A1713" w:rsidP="00D945F1">
      <w:pPr>
        <w:keepNext/>
        <w:spacing w:after="0"/>
        <w:rPr>
          <w:lang w:val="en-GB"/>
        </w:rPr>
      </w:pPr>
      <w:r w:rsidRPr="00037C61">
        <w:rPr>
          <w:noProof/>
          <w:lang w:val="ro-RO" w:eastAsia="ro-RO"/>
        </w:rPr>
        <w:drawing>
          <wp:inline distT="0" distB="0" distL="0" distR="0" wp14:anchorId="2069827E" wp14:editId="5133FEE6">
            <wp:extent cx="5731510" cy="2788285"/>
            <wp:effectExtent l="0" t="0" r="2540" b="0"/>
            <wp:docPr id="1986207189" name="Picture 198620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207189"/>
                    <pic:cNvPicPr/>
                  </pic:nvPicPr>
                  <pic:blipFill>
                    <a:blip r:embed="rId233">
                      <a:extLst>
                        <a:ext uri="{28A0092B-C50C-407E-A947-70E740481C1C}">
                          <a14:useLocalDpi xmlns:a14="http://schemas.microsoft.com/office/drawing/2010/main"/>
                        </a:ext>
                      </a:extLst>
                    </a:blip>
                    <a:stretch>
                      <a:fillRect/>
                    </a:stretch>
                  </pic:blipFill>
                  <pic:spPr>
                    <a:xfrm>
                      <a:off x="0" y="0"/>
                      <a:ext cx="5731510" cy="2788285"/>
                    </a:xfrm>
                    <a:prstGeom prst="rect">
                      <a:avLst/>
                    </a:prstGeom>
                  </pic:spPr>
                </pic:pic>
              </a:graphicData>
            </a:graphic>
          </wp:inline>
        </w:drawing>
      </w:r>
    </w:p>
    <w:p w14:paraId="7DF6B4B4" w14:textId="6E297495" w:rsidR="004A1713" w:rsidRPr="00037C61" w:rsidRDefault="00E50CE9" w:rsidP="00E50CE9">
      <w:pPr>
        <w:pStyle w:val="Caption"/>
        <w:jc w:val="both"/>
        <w:rPr>
          <w:lang w:val="en-GB"/>
        </w:rPr>
      </w:pPr>
      <w:bookmarkStart w:id="757" w:name="_Toc6461106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113</w:t>
      </w:r>
      <w:r w:rsidR="00412697">
        <w:rPr>
          <w:lang w:val="en-GB"/>
        </w:rPr>
        <w:fldChar w:fldCharType="end"/>
      </w:r>
      <w:r w:rsidRPr="00037C61">
        <w:rPr>
          <w:lang w:val="en-GB"/>
        </w:rPr>
        <w:t xml:space="preserve"> - The TEN-T Core and Comprehensive road and rail network in the programme area</w:t>
      </w:r>
      <w:bookmarkEnd w:id="757"/>
    </w:p>
    <w:p w14:paraId="33D5C12A" w14:textId="3F137949" w:rsidR="00E50CE9" w:rsidRPr="00DB74BF" w:rsidRDefault="00E50CE9" w:rsidP="00D945F1">
      <w:pPr>
        <w:pStyle w:val="Caption"/>
        <w:spacing w:after="240"/>
        <w:jc w:val="both"/>
        <w:rPr>
          <w:lang w:val="fr-FR"/>
        </w:rPr>
      </w:pPr>
      <w:r w:rsidRPr="00DB74BF">
        <w:rPr>
          <w:lang w:val="fr-FR"/>
        </w:rPr>
        <w:t xml:space="preserve">Source: </w:t>
      </w:r>
      <w:hyperlink r:id="rId234" w:history="1">
        <w:r w:rsidRPr="00DB74BF">
          <w:rPr>
            <w:rStyle w:val="Hyperlink"/>
            <w:lang w:val="fr-FR"/>
          </w:rPr>
          <w:t>https://ec.europa.eu/transport/infrastructure/tentec/tentec-portal/map/maps.html?corridor=4&amp;layer=8,9</w:t>
        </w:r>
      </w:hyperlink>
    </w:p>
    <w:p w14:paraId="19D297BA" w14:textId="46B5E6D9" w:rsidR="00E50CE9" w:rsidRPr="00037C61" w:rsidRDefault="00E50CE9" w:rsidP="5CA115F1">
      <w:pPr>
        <w:rPr>
          <w:lang w:val="en-GB"/>
        </w:rPr>
      </w:pPr>
      <w:r w:rsidRPr="00037C61">
        <w:rPr>
          <w:lang w:val="en-GB"/>
        </w:rPr>
        <w:t xml:space="preserve">Albeit the border is highly accessible from a geomorphological point of view, the road network </w:t>
      </w:r>
      <w:r w:rsidR="004B3B33" w:rsidRPr="00037C61">
        <w:rPr>
          <w:lang w:val="en-GB"/>
        </w:rPr>
        <w:t xml:space="preserve">density </w:t>
      </w:r>
      <w:r w:rsidRPr="00037C61">
        <w:rPr>
          <w:lang w:val="en-GB"/>
        </w:rPr>
        <w:t xml:space="preserve">is relatively reduced, especially in the Romanian side, where the north-western region is less permeable due to the lack of highways / motorways or high speed rail. The collector Comprehensive road and rail connection from South to North along the Romanian side of the border can represent an important element for facilitating cross-border accessibility, if upgraded.  </w:t>
      </w:r>
    </w:p>
    <w:p w14:paraId="541BD601" w14:textId="1BFD0EA5" w:rsidR="004A1713" w:rsidRPr="00037C61" w:rsidRDefault="0055238F" w:rsidP="005E0849">
      <w:pPr>
        <w:pStyle w:val="Heading4"/>
        <w:rPr>
          <w:lang w:val="en-GB"/>
        </w:rPr>
      </w:pPr>
      <w:r w:rsidRPr="00037C61">
        <w:rPr>
          <w:lang w:val="en-GB"/>
        </w:rPr>
        <w:t xml:space="preserve">Assessment of the road infrastructure and safety </w:t>
      </w:r>
    </w:p>
    <w:p w14:paraId="24956C57" w14:textId="4BEAF396" w:rsidR="00172F90" w:rsidRPr="00037C61" w:rsidRDefault="00D032E4" w:rsidP="48589249">
      <w:pPr>
        <w:rPr>
          <w:lang w:val="en-GB"/>
        </w:rPr>
      </w:pPr>
      <w:r w:rsidRPr="00037C61">
        <w:rPr>
          <w:lang w:val="en-GB"/>
        </w:rPr>
        <w:t>The accessibility of the PA is dependent on the density and distribution of public road networks within the area. The 8 counties have a similar road density, with the Romanian side recording higher average values (0.4 km/km</w:t>
      </w:r>
      <w:r w:rsidRPr="00037C61">
        <w:rPr>
          <w:vertAlign w:val="superscript"/>
          <w:lang w:val="en-GB"/>
        </w:rPr>
        <w:t>2</w:t>
      </w:r>
      <w:r w:rsidRPr="00037C61">
        <w:rPr>
          <w:lang w:val="en-GB"/>
        </w:rPr>
        <w:t xml:space="preserve"> in Bihor, 0.39 km/km</w:t>
      </w:r>
      <w:r w:rsidRPr="00037C61">
        <w:rPr>
          <w:vertAlign w:val="superscript"/>
          <w:lang w:val="en-GB"/>
        </w:rPr>
        <w:t>2</w:t>
      </w:r>
      <w:r w:rsidRPr="00037C61">
        <w:rPr>
          <w:lang w:val="en-GB"/>
        </w:rPr>
        <w:t xml:space="preserve"> in Satu Mare)</w:t>
      </w:r>
      <w:r w:rsidR="00172F90" w:rsidRPr="00037C61">
        <w:rPr>
          <w:lang w:val="en-GB"/>
        </w:rPr>
        <w:t xml:space="preserve"> and Békés recording the lowest density value for the year 2018 (0.26 km/km</w:t>
      </w:r>
      <w:r w:rsidR="00172F90" w:rsidRPr="00037C61">
        <w:rPr>
          <w:vertAlign w:val="superscript"/>
          <w:lang w:val="en-GB"/>
        </w:rPr>
        <w:t>2</w:t>
      </w:r>
      <w:r w:rsidR="00172F90" w:rsidRPr="00037C61">
        <w:rPr>
          <w:lang w:val="en-GB"/>
        </w:rPr>
        <w:t>)</w:t>
      </w:r>
      <w:r w:rsidRPr="00037C61">
        <w:rPr>
          <w:lang w:val="en-GB"/>
        </w:rPr>
        <w:t>. Investments in infrastructure in Arad and Timiș over the last 10 years, especially the construction of the A1, have produced a significant increase in road length (0.93% in Arad and 12.63% in Timiș</w:t>
      </w:r>
      <w:r w:rsidR="00172F90" w:rsidRPr="00037C61">
        <w:rPr>
          <w:lang w:val="en-GB"/>
        </w:rPr>
        <w:t xml:space="preserve">). </w:t>
      </w:r>
    </w:p>
    <w:p w14:paraId="27399264" w14:textId="37FEDC7D" w:rsidR="008E6744" w:rsidRPr="00037C61" w:rsidRDefault="00172F90" w:rsidP="00457478">
      <w:pPr>
        <w:rPr>
          <w:lang w:val="en-GB"/>
        </w:rPr>
      </w:pPr>
      <w:r w:rsidRPr="00037C61">
        <w:rPr>
          <w:rFonts w:cs="Calibri"/>
          <w:lang w:val="en-GB"/>
        </w:rPr>
        <w:t>The percentage increase of the length of the roads is much reduced in Hungary than in Romania in the PA, mostly due to the fact that Hungary became an EU member before Romania and had the same type of benefits in terms of EU financing programmes before Romania, so the greatest interventions were in the previous programming period, namely in the period 2003 – 2008. The eight counties have a similar road density (2018), ranging from 0.26 km/km</w:t>
      </w:r>
      <w:r w:rsidRPr="00037C61">
        <w:rPr>
          <w:rFonts w:cs="Calibri"/>
          <w:vertAlign w:val="superscript"/>
          <w:lang w:val="en-GB"/>
        </w:rPr>
        <w:t>2</w:t>
      </w:r>
      <w:r w:rsidRPr="00037C61">
        <w:rPr>
          <w:rFonts w:cs="Calibri"/>
          <w:lang w:val="en-GB"/>
        </w:rPr>
        <w:t xml:space="preserve"> in Békés to 0.39 km/km</w:t>
      </w:r>
      <w:r w:rsidRPr="00037C61">
        <w:rPr>
          <w:rFonts w:cs="Calibri"/>
          <w:vertAlign w:val="superscript"/>
          <w:lang w:val="en-GB"/>
        </w:rPr>
        <w:t>2</w:t>
      </w:r>
      <w:r w:rsidRPr="00037C61">
        <w:rPr>
          <w:rFonts w:cs="Calibri"/>
          <w:lang w:val="en-GB"/>
        </w:rPr>
        <w:t xml:space="preserve"> in Bihor. </w:t>
      </w:r>
    </w:p>
    <w:p w14:paraId="66B1DEAB" w14:textId="07493AFF" w:rsidR="008E6744" w:rsidRPr="00037C61" w:rsidRDefault="52230E0C" w:rsidP="008E6744">
      <w:pPr>
        <w:pStyle w:val="Caption"/>
        <w:keepNext/>
        <w:jc w:val="left"/>
        <w:rPr>
          <w:lang w:val="en-GB"/>
        </w:rPr>
      </w:pPr>
      <w:bookmarkStart w:id="758" w:name="_Toc58237654"/>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32</w:t>
      </w:r>
      <w:r w:rsidRPr="00037C61">
        <w:rPr>
          <w:lang w:val="en-GB"/>
        </w:rPr>
        <w:fldChar w:fldCharType="end"/>
      </w:r>
      <w:r w:rsidR="00662F53" w:rsidRPr="00037C61">
        <w:rPr>
          <w:lang w:val="en-GB"/>
        </w:rPr>
        <w:t xml:space="preserve"> -</w:t>
      </w:r>
      <w:r w:rsidRPr="00037C61">
        <w:rPr>
          <w:lang w:val="en-GB"/>
        </w:rPr>
        <w:t xml:space="preserve"> </w:t>
      </w:r>
      <w:r w:rsidR="004B3B33" w:rsidRPr="00037C61">
        <w:rPr>
          <w:lang w:val="en-GB"/>
        </w:rPr>
        <w:t>Road length dynamics (2009-2018) at NUTS 3 level</w:t>
      </w:r>
      <w:bookmarkEnd w:id="758"/>
    </w:p>
    <w:tbl>
      <w:tblPr>
        <w:tblW w:w="8600" w:type="dxa"/>
        <w:tblLook w:val="04A0" w:firstRow="1" w:lastRow="0" w:firstColumn="1" w:lastColumn="0" w:noHBand="0" w:noVBand="1"/>
      </w:tblPr>
      <w:tblGrid>
        <w:gridCol w:w="1720"/>
        <w:gridCol w:w="1720"/>
        <w:gridCol w:w="1720"/>
        <w:gridCol w:w="1720"/>
        <w:gridCol w:w="1720"/>
      </w:tblGrid>
      <w:tr w:rsidR="004B3B33" w:rsidRPr="004A5488" w14:paraId="11B9A9B0" w14:textId="77777777" w:rsidTr="00457478">
        <w:trPr>
          <w:trHeight w:val="300"/>
        </w:trPr>
        <w:tc>
          <w:tcPr>
            <w:tcW w:w="1720" w:type="dxa"/>
            <w:vMerge w:val="restart"/>
            <w:tcBorders>
              <w:top w:val="single" w:sz="8" w:space="0" w:color="034FA3"/>
              <w:left w:val="single" w:sz="8" w:space="0" w:color="034FA3"/>
              <w:bottom w:val="single" w:sz="8" w:space="0" w:color="034FA3"/>
              <w:right w:val="single" w:sz="8" w:space="0" w:color="034FA3"/>
            </w:tcBorders>
            <w:shd w:val="clear" w:color="auto" w:fill="034FA3" w:themeFill="accent1"/>
            <w:vAlign w:val="center"/>
            <w:hideMark/>
          </w:tcPr>
          <w:p w14:paraId="6D7B1C9B" w14:textId="2D72468F" w:rsidR="004B3B33" w:rsidRPr="00037C61" w:rsidRDefault="004B3B33" w:rsidP="004B3B33">
            <w:pPr>
              <w:spacing w:after="0" w:line="240" w:lineRule="auto"/>
              <w:jc w:val="center"/>
              <w:rPr>
                <w:rFonts w:eastAsia="Times New Roman" w:cs="Calibri"/>
                <w:b/>
                <w:bCs/>
                <w:color w:val="FFFFFF"/>
                <w:lang w:val="en-GB" w:eastAsia="en-GB"/>
              </w:rPr>
            </w:pPr>
            <w:r w:rsidRPr="00037C61">
              <w:rPr>
                <w:rFonts w:eastAsia="Times New Roman" w:cs="Calibri"/>
                <w:b/>
                <w:bCs/>
                <w:color w:val="FFFFFF" w:themeColor="background1"/>
                <w:lang w:val="en-GB" w:eastAsia="en-GB"/>
              </w:rPr>
              <w:t>NUT</w:t>
            </w:r>
            <w:r w:rsidR="00D032E4" w:rsidRPr="00037C61">
              <w:rPr>
                <w:rFonts w:eastAsia="Times New Roman" w:cs="Calibri"/>
                <w:b/>
                <w:bCs/>
                <w:color w:val="FFFFFF" w:themeColor="background1"/>
                <w:lang w:val="en-GB" w:eastAsia="en-GB"/>
              </w:rPr>
              <w:t>S</w:t>
            </w:r>
            <w:r w:rsidRPr="00037C61">
              <w:rPr>
                <w:rFonts w:eastAsia="Times New Roman" w:cs="Calibri"/>
                <w:b/>
                <w:bCs/>
                <w:color w:val="FFFFFF" w:themeColor="background1"/>
                <w:lang w:val="en-GB" w:eastAsia="en-GB"/>
              </w:rPr>
              <w:t>3</w:t>
            </w:r>
          </w:p>
        </w:tc>
        <w:tc>
          <w:tcPr>
            <w:tcW w:w="6880" w:type="dxa"/>
            <w:gridSpan w:val="4"/>
            <w:tcBorders>
              <w:top w:val="single" w:sz="8" w:space="0" w:color="034FA3"/>
              <w:left w:val="nil"/>
              <w:bottom w:val="single" w:sz="8" w:space="0" w:color="034FA3"/>
              <w:right w:val="single" w:sz="8" w:space="0" w:color="034FA3"/>
            </w:tcBorders>
            <w:shd w:val="clear" w:color="auto" w:fill="034FA3" w:themeFill="accent1"/>
            <w:vAlign w:val="center"/>
            <w:hideMark/>
          </w:tcPr>
          <w:p w14:paraId="27054F23" w14:textId="3F2FF261" w:rsidR="004B3B33" w:rsidRPr="00037C61" w:rsidRDefault="00D032E4" w:rsidP="004B3B33">
            <w:pPr>
              <w:spacing w:after="0" w:line="240" w:lineRule="auto"/>
              <w:jc w:val="center"/>
              <w:rPr>
                <w:rFonts w:eastAsia="Times New Roman" w:cs="Calibri"/>
                <w:b/>
                <w:bCs/>
                <w:color w:val="FFFFFF"/>
                <w:lang w:val="en-GB" w:eastAsia="en-GB"/>
              </w:rPr>
            </w:pPr>
            <w:r w:rsidRPr="00037C61">
              <w:rPr>
                <w:rFonts w:eastAsia="Times New Roman" w:cs="Calibri"/>
                <w:b/>
                <w:bCs/>
                <w:color w:val="FFFFFF" w:themeColor="background1"/>
                <w:lang w:val="en-GB" w:eastAsia="en-GB"/>
              </w:rPr>
              <w:t>Public r</w:t>
            </w:r>
            <w:r w:rsidR="004B3B33" w:rsidRPr="00037C61">
              <w:rPr>
                <w:rFonts w:eastAsia="Times New Roman" w:cs="Calibri"/>
                <w:b/>
                <w:bCs/>
                <w:color w:val="FFFFFF" w:themeColor="background1"/>
                <w:lang w:val="en-GB" w:eastAsia="en-GB"/>
              </w:rPr>
              <w:t>oad density</w:t>
            </w:r>
            <w:r w:rsidRPr="00037C61">
              <w:rPr>
                <w:rFonts w:eastAsia="Times New Roman" w:cs="Calibri"/>
                <w:b/>
                <w:bCs/>
                <w:color w:val="FFFFFF" w:themeColor="background1"/>
                <w:lang w:val="en-GB" w:eastAsia="en-GB"/>
              </w:rPr>
              <w:t xml:space="preserve"> and</w:t>
            </w:r>
            <w:r w:rsidR="004B3B33" w:rsidRPr="00037C61">
              <w:rPr>
                <w:rFonts w:eastAsia="Times New Roman" w:cs="Calibri"/>
                <w:b/>
                <w:bCs/>
                <w:color w:val="FFFFFF" w:themeColor="background1"/>
                <w:lang w:val="en-GB" w:eastAsia="en-GB"/>
              </w:rPr>
              <w:t xml:space="preserve"> dynamics (2009-2018) </w:t>
            </w:r>
          </w:p>
        </w:tc>
      </w:tr>
      <w:tr w:rsidR="004B3B33" w:rsidRPr="00037C61" w14:paraId="7480E32A" w14:textId="77777777" w:rsidTr="00457478">
        <w:trPr>
          <w:trHeight w:val="288"/>
        </w:trPr>
        <w:tc>
          <w:tcPr>
            <w:tcW w:w="1720" w:type="dxa"/>
            <w:vMerge/>
            <w:tcBorders>
              <w:top w:val="single" w:sz="8" w:space="0" w:color="034FA3"/>
              <w:left w:val="single" w:sz="8" w:space="0" w:color="034FA3"/>
              <w:bottom w:val="single" w:sz="8" w:space="0" w:color="034FA3"/>
              <w:right w:val="single" w:sz="8" w:space="0" w:color="034FA3"/>
            </w:tcBorders>
            <w:shd w:val="clear" w:color="auto" w:fill="034FA3" w:themeFill="accent1"/>
            <w:vAlign w:val="center"/>
            <w:hideMark/>
          </w:tcPr>
          <w:p w14:paraId="1AAF92B7" w14:textId="77777777" w:rsidR="004B3B33" w:rsidRPr="00037C61" w:rsidRDefault="004B3B33" w:rsidP="004B3B33">
            <w:pPr>
              <w:spacing w:after="0" w:line="240" w:lineRule="auto"/>
              <w:jc w:val="left"/>
              <w:rPr>
                <w:rFonts w:eastAsia="Times New Roman" w:cs="Calibri"/>
                <w:b/>
                <w:bCs/>
                <w:color w:val="FFFFFF"/>
                <w:lang w:val="en-GB" w:eastAsia="en-GB"/>
              </w:rPr>
            </w:pPr>
          </w:p>
        </w:tc>
        <w:tc>
          <w:tcPr>
            <w:tcW w:w="1720" w:type="dxa"/>
            <w:vMerge w:val="restart"/>
            <w:tcBorders>
              <w:top w:val="nil"/>
              <w:left w:val="single" w:sz="8" w:space="0" w:color="034FA3"/>
              <w:bottom w:val="single" w:sz="8" w:space="0" w:color="034FA3"/>
              <w:right w:val="single" w:sz="8" w:space="0" w:color="034FA3"/>
            </w:tcBorders>
            <w:shd w:val="clear" w:color="auto" w:fill="034FA3" w:themeFill="accent1"/>
            <w:vAlign w:val="center"/>
            <w:hideMark/>
          </w:tcPr>
          <w:p w14:paraId="5C9C3EC9" w14:textId="77777777" w:rsidR="004B3B33" w:rsidRPr="00037C61" w:rsidRDefault="004B3B33" w:rsidP="004B3B33">
            <w:pPr>
              <w:spacing w:after="0" w:line="240" w:lineRule="auto"/>
              <w:jc w:val="center"/>
              <w:rPr>
                <w:rFonts w:eastAsia="Times New Roman" w:cs="Calibri"/>
                <w:color w:val="FFFFFF"/>
                <w:sz w:val="20"/>
                <w:szCs w:val="20"/>
                <w:lang w:val="en-GB" w:eastAsia="en-GB"/>
              </w:rPr>
            </w:pPr>
            <w:r w:rsidRPr="00037C61">
              <w:rPr>
                <w:rFonts w:eastAsia="Times New Roman" w:cs="Calibri"/>
                <w:color w:val="FFFFFF"/>
                <w:sz w:val="20"/>
                <w:szCs w:val="20"/>
                <w:lang w:val="en-GB" w:eastAsia="en-GB"/>
              </w:rPr>
              <w:t>km of road 2009</w:t>
            </w:r>
          </w:p>
        </w:tc>
        <w:tc>
          <w:tcPr>
            <w:tcW w:w="1720" w:type="dxa"/>
            <w:vMerge w:val="restart"/>
            <w:tcBorders>
              <w:top w:val="nil"/>
              <w:left w:val="single" w:sz="8" w:space="0" w:color="034FA3"/>
              <w:bottom w:val="single" w:sz="8" w:space="0" w:color="034FA3"/>
              <w:right w:val="single" w:sz="8" w:space="0" w:color="034FA3"/>
            </w:tcBorders>
            <w:shd w:val="clear" w:color="auto" w:fill="034FA3" w:themeFill="accent1"/>
            <w:vAlign w:val="center"/>
            <w:hideMark/>
          </w:tcPr>
          <w:p w14:paraId="712189B8" w14:textId="77777777" w:rsidR="004B3B33" w:rsidRPr="00037C61" w:rsidRDefault="004B3B33" w:rsidP="004B3B33">
            <w:pPr>
              <w:spacing w:after="0" w:line="240" w:lineRule="auto"/>
              <w:jc w:val="center"/>
              <w:rPr>
                <w:rFonts w:eastAsia="Times New Roman" w:cs="Calibri"/>
                <w:color w:val="FFFFFF"/>
                <w:sz w:val="20"/>
                <w:szCs w:val="20"/>
                <w:lang w:val="en-GB" w:eastAsia="en-GB"/>
              </w:rPr>
            </w:pPr>
            <w:r w:rsidRPr="00037C61">
              <w:rPr>
                <w:rFonts w:eastAsia="Times New Roman" w:cs="Calibri"/>
                <w:color w:val="FFFFFF"/>
                <w:sz w:val="20"/>
                <w:szCs w:val="20"/>
                <w:lang w:val="en-GB" w:eastAsia="en-GB"/>
              </w:rPr>
              <w:t>km of road 2018</w:t>
            </w:r>
          </w:p>
        </w:tc>
        <w:tc>
          <w:tcPr>
            <w:tcW w:w="1720" w:type="dxa"/>
            <w:vMerge w:val="restart"/>
            <w:tcBorders>
              <w:top w:val="nil"/>
              <w:left w:val="single" w:sz="8" w:space="0" w:color="034FA3"/>
              <w:bottom w:val="single" w:sz="8" w:space="0" w:color="034FA3"/>
              <w:right w:val="single" w:sz="8" w:space="0" w:color="034FA3"/>
            </w:tcBorders>
            <w:shd w:val="clear" w:color="auto" w:fill="034FA3" w:themeFill="accent1"/>
            <w:vAlign w:val="center"/>
            <w:hideMark/>
          </w:tcPr>
          <w:p w14:paraId="2EAD5CD8" w14:textId="77777777" w:rsidR="004B3B33" w:rsidRPr="00037C61" w:rsidRDefault="004B3B33" w:rsidP="004B3B33">
            <w:pPr>
              <w:spacing w:after="0" w:line="240" w:lineRule="auto"/>
              <w:jc w:val="center"/>
              <w:rPr>
                <w:rFonts w:eastAsia="Times New Roman" w:cs="Calibri"/>
                <w:color w:val="FFFFFF"/>
                <w:sz w:val="20"/>
                <w:szCs w:val="20"/>
                <w:lang w:val="en-GB" w:eastAsia="en-GB"/>
              </w:rPr>
            </w:pPr>
            <w:r w:rsidRPr="00037C61">
              <w:rPr>
                <w:rFonts w:eastAsia="Times New Roman" w:cs="Calibri"/>
                <w:color w:val="FFFFFF"/>
                <w:sz w:val="20"/>
                <w:szCs w:val="20"/>
                <w:lang w:val="en-GB" w:eastAsia="en-GB"/>
              </w:rPr>
              <w:t>Road length increase (%)</w:t>
            </w:r>
          </w:p>
        </w:tc>
        <w:tc>
          <w:tcPr>
            <w:tcW w:w="1720" w:type="dxa"/>
            <w:tcBorders>
              <w:top w:val="nil"/>
              <w:left w:val="nil"/>
              <w:bottom w:val="nil"/>
              <w:right w:val="single" w:sz="8" w:space="0" w:color="034FA3"/>
            </w:tcBorders>
            <w:shd w:val="clear" w:color="auto" w:fill="034FA3" w:themeFill="accent1"/>
            <w:vAlign w:val="center"/>
            <w:hideMark/>
          </w:tcPr>
          <w:p w14:paraId="4BCF8DD4" w14:textId="77777777" w:rsidR="004B3B33" w:rsidRPr="00037C61" w:rsidRDefault="004B3B33" w:rsidP="004B3B33">
            <w:pPr>
              <w:spacing w:after="0" w:line="240" w:lineRule="auto"/>
              <w:jc w:val="center"/>
              <w:rPr>
                <w:rFonts w:eastAsia="Times New Roman" w:cs="Calibri"/>
                <w:color w:val="FFFFFF"/>
                <w:sz w:val="20"/>
                <w:szCs w:val="20"/>
                <w:lang w:val="en-GB" w:eastAsia="en-GB"/>
              </w:rPr>
            </w:pPr>
            <w:r w:rsidRPr="00037C61">
              <w:rPr>
                <w:rFonts w:eastAsia="Times New Roman" w:cs="Calibri"/>
                <w:color w:val="FFFFFF"/>
                <w:sz w:val="20"/>
                <w:szCs w:val="20"/>
                <w:lang w:val="en-GB" w:eastAsia="en-GB"/>
              </w:rPr>
              <w:t> </w:t>
            </w:r>
          </w:p>
        </w:tc>
      </w:tr>
      <w:tr w:rsidR="004B3B33" w:rsidRPr="00037C61" w14:paraId="046F3B54" w14:textId="77777777" w:rsidTr="00457478">
        <w:trPr>
          <w:trHeight w:val="588"/>
        </w:trPr>
        <w:tc>
          <w:tcPr>
            <w:tcW w:w="1720" w:type="dxa"/>
            <w:vMerge/>
            <w:tcBorders>
              <w:top w:val="single" w:sz="8" w:space="0" w:color="034FA3"/>
              <w:left w:val="single" w:sz="8" w:space="0" w:color="034FA3"/>
              <w:bottom w:val="single" w:sz="8" w:space="0" w:color="034FA3"/>
              <w:right w:val="single" w:sz="8" w:space="0" w:color="034FA3"/>
            </w:tcBorders>
            <w:shd w:val="clear" w:color="auto" w:fill="034FA3" w:themeFill="accent1"/>
            <w:vAlign w:val="center"/>
            <w:hideMark/>
          </w:tcPr>
          <w:p w14:paraId="0F97CAB5" w14:textId="77777777" w:rsidR="004B3B33" w:rsidRPr="00037C61" w:rsidRDefault="004B3B33" w:rsidP="004B3B33">
            <w:pPr>
              <w:spacing w:after="0" w:line="240" w:lineRule="auto"/>
              <w:jc w:val="left"/>
              <w:rPr>
                <w:rFonts w:eastAsia="Times New Roman" w:cs="Calibri"/>
                <w:b/>
                <w:bCs/>
                <w:color w:val="FFFFFF"/>
                <w:lang w:val="en-GB" w:eastAsia="en-GB"/>
              </w:rPr>
            </w:pPr>
          </w:p>
        </w:tc>
        <w:tc>
          <w:tcPr>
            <w:tcW w:w="1720" w:type="dxa"/>
            <w:vMerge/>
            <w:tcBorders>
              <w:top w:val="nil"/>
              <w:left w:val="single" w:sz="8" w:space="0" w:color="034FA3"/>
              <w:bottom w:val="single" w:sz="8" w:space="0" w:color="034FA3"/>
              <w:right w:val="single" w:sz="8" w:space="0" w:color="034FA3"/>
            </w:tcBorders>
            <w:shd w:val="clear" w:color="auto" w:fill="034FA3" w:themeFill="accent1"/>
            <w:vAlign w:val="center"/>
            <w:hideMark/>
          </w:tcPr>
          <w:p w14:paraId="4D482C63" w14:textId="77777777" w:rsidR="004B3B33" w:rsidRPr="00037C61" w:rsidRDefault="004B3B33" w:rsidP="004B3B33">
            <w:pPr>
              <w:spacing w:after="0" w:line="240" w:lineRule="auto"/>
              <w:jc w:val="left"/>
              <w:rPr>
                <w:rFonts w:eastAsia="Times New Roman" w:cs="Calibri"/>
                <w:color w:val="FFFFFF"/>
                <w:sz w:val="20"/>
                <w:szCs w:val="20"/>
                <w:lang w:val="en-GB" w:eastAsia="en-GB"/>
              </w:rPr>
            </w:pPr>
          </w:p>
        </w:tc>
        <w:tc>
          <w:tcPr>
            <w:tcW w:w="1720" w:type="dxa"/>
            <w:vMerge/>
            <w:tcBorders>
              <w:top w:val="nil"/>
              <w:left w:val="single" w:sz="8" w:space="0" w:color="034FA3"/>
              <w:bottom w:val="single" w:sz="8" w:space="0" w:color="034FA3"/>
              <w:right w:val="single" w:sz="8" w:space="0" w:color="034FA3"/>
            </w:tcBorders>
            <w:shd w:val="clear" w:color="auto" w:fill="034FA3" w:themeFill="accent1"/>
            <w:vAlign w:val="center"/>
            <w:hideMark/>
          </w:tcPr>
          <w:p w14:paraId="64DBB95D" w14:textId="77777777" w:rsidR="004B3B33" w:rsidRPr="00037C61" w:rsidRDefault="004B3B33" w:rsidP="004B3B33">
            <w:pPr>
              <w:spacing w:after="0" w:line="240" w:lineRule="auto"/>
              <w:jc w:val="left"/>
              <w:rPr>
                <w:rFonts w:eastAsia="Times New Roman" w:cs="Calibri"/>
                <w:color w:val="FFFFFF"/>
                <w:sz w:val="20"/>
                <w:szCs w:val="20"/>
                <w:lang w:val="en-GB" w:eastAsia="en-GB"/>
              </w:rPr>
            </w:pPr>
          </w:p>
        </w:tc>
        <w:tc>
          <w:tcPr>
            <w:tcW w:w="1720" w:type="dxa"/>
            <w:vMerge/>
            <w:tcBorders>
              <w:top w:val="nil"/>
              <w:left w:val="single" w:sz="8" w:space="0" w:color="034FA3"/>
              <w:bottom w:val="single" w:sz="8" w:space="0" w:color="034FA3"/>
              <w:right w:val="single" w:sz="8" w:space="0" w:color="034FA3"/>
            </w:tcBorders>
            <w:shd w:val="clear" w:color="auto" w:fill="034FA3" w:themeFill="accent1"/>
            <w:vAlign w:val="center"/>
            <w:hideMark/>
          </w:tcPr>
          <w:p w14:paraId="5C631819" w14:textId="77777777" w:rsidR="004B3B33" w:rsidRPr="00037C61" w:rsidRDefault="004B3B33" w:rsidP="004B3B33">
            <w:pPr>
              <w:spacing w:after="0" w:line="240" w:lineRule="auto"/>
              <w:jc w:val="left"/>
              <w:rPr>
                <w:rFonts w:eastAsia="Times New Roman" w:cs="Calibri"/>
                <w:color w:val="FFFFFF"/>
                <w:sz w:val="20"/>
                <w:szCs w:val="20"/>
                <w:lang w:val="en-GB" w:eastAsia="en-GB"/>
              </w:rPr>
            </w:pPr>
          </w:p>
        </w:tc>
        <w:tc>
          <w:tcPr>
            <w:tcW w:w="1720" w:type="dxa"/>
            <w:tcBorders>
              <w:top w:val="nil"/>
              <w:left w:val="nil"/>
              <w:bottom w:val="single" w:sz="8" w:space="0" w:color="034FA3"/>
              <w:right w:val="single" w:sz="8" w:space="0" w:color="034FA3"/>
            </w:tcBorders>
            <w:shd w:val="clear" w:color="auto" w:fill="034FA3" w:themeFill="accent1"/>
            <w:vAlign w:val="center"/>
            <w:hideMark/>
          </w:tcPr>
          <w:p w14:paraId="60A065D3" w14:textId="77777777" w:rsidR="004B3B33" w:rsidRPr="00037C61" w:rsidRDefault="004B3B33" w:rsidP="004B3B33">
            <w:pPr>
              <w:spacing w:after="0" w:line="240" w:lineRule="auto"/>
              <w:jc w:val="center"/>
              <w:rPr>
                <w:rFonts w:eastAsia="Times New Roman" w:cs="Calibri"/>
                <w:color w:val="FFFFFF"/>
                <w:sz w:val="20"/>
                <w:szCs w:val="20"/>
                <w:lang w:val="en-GB" w:eastAsia="en-GB"/>
              </w:rPr>
            </w:pPr>
            <w:r w:rsidRPr="00037C61">
              <w:rPr>
                <w:rFonts w:eastAsia="Times New Roman" w:cs="Calibri"/>
                <w:color w:val="FFFFFF"/>
                <w:sz w:val="20"/>
                <w:szCs w:val="20"/>
                <w:lang w:val="en-GB" w:eastAsia="en-GB"/>
              </w:rPr>
              <w:t>road density 2018 (km/sqkm)</w:t>
            </w:r>
          </w:p>
        </w:tc>
      </w:tr>
      <w:tr w:rsidR="004B3B33" w:rsidRPr="00037C61" w14:paraId="5027FA2E" w14:textId="77777777" w:rsidTr="00457478">
        <w:trPr>
          <w:trHeight w:val="300"/>
        </w:trPr>
        <w:tc>
          <w:tcPr>
            <w:tcW w:w="1720" w:type="dxa"/>
            <w:tcBorders>
              <w:top w:val="nil"/>
              <w:left w:val="single" w:sz="8" w:space="0" w:color="034FA3"/>
              <w:bottom w:val="nil"/>
              <w:right w:val="nil"/>
            </w:tcBorders>
            <w:shd w:val="clear" w:color="auto" w:fill="EAEDF6" w:themeFill="accent2" w:themeFillTint="33"/>
            <w:vAlign w:val="center"/>
            <w:hideMark/>
          </w:tcPr>
          <w:p w14:paraId="3A43B9AB"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Bihor</w:t>
            </w:r>
          </w:p>
        </w:tc>
        <w:tc>
          <w:tcPr>
            <w:tcW w:w="1720" w:type="dxa"/>
            <w:tcBorders>
              <w:top w:val="nil"/>
              <w:left w:val="nil"/>
              <w:bottom w:val="nil"/>
              <w:right w:val="nil"/>
            </w:tcBorders>
            <w:shd w:val="clear" w:color="auto" w:fill="EAEDF6" w:themeFill="accent2" w:themeFillTint="33"/>
            <w:vAlign w:val="center"/>
            <w:hideMark/>
          </w:tcPr>
          <w:p w14:paraId="533698C8"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2975</w:t>
            </w:r>
          </w:p>
        </w:tc>
        <w:tc>
          <w:tcPr>
            <w:tcW w:w="1720" w:type="dxa"/>
            <w:tcBorders>
              <w:top w:val="nil"/>
              <w:left w:val="nil"/>
              <w:bottom w:val="nil"/>
              <w:right w:val="nil"/>
            </w:tcBorders>
            <w:shd w:val="clear" w:color="auto" w:fill="EAEDF6" w:themeFill="accent2" w:themeFillTint="33"/>
            <w:vAlign w:val="center"/>
            <w:hideMark/>
          </w:tcPr>
          <w:p w14:paraId="70900B51"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3003</w:t>
            </w:r>
          </w:p>
        </w:tc>
        <w:tc>
          <w:tcPr>
            <w:tcW w:w="1720" w:type="dxa"/>
            <w:tcBorders>
              <w:top w:val="nil"/>
              <w:left w:val="nil"/>
              <w:bottom w:val="nil"/>
              <w:right w:val="nil"/>
            </w:tcBorders>
            <w:shd w:val="clear" w:color="auto" w:fill="EAEDF6" w:themeFill="accent2" w:themeFillTint="33"/>
            <w:vAlign w:val="center"/>
            <w:hideMark/>
          </w:tcPr>
          <w:p w14:paraId="610F1A62"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0.94%</w:t>
            </w:r>
          </w:p>
        </w:tc>
        <w:tc>
          <w:tcPr>
            <w:tcW w:w="1720" w:type="dxa"/>
            <w:tcBorders>
              <w:top w:val="nil"/>
              <w:left w:val="nil"/>
              <w:bottom w:val="nil"/>
              <w:right w:val="single" w:sz="8" w:space="0" w:color="034FA3"/>
            </w:tcBorders>
            <w:shd w:val="clear" w:color="auto" w:fill="EAEDF6" w:themeFill="accent2" w:themeFillTint="33"/>
            <w:noWrap/>
            <w:vAlign w:val="center"/>
            <w:hideMark/>
          </w:tcPr>
          <w:p w14:paraId="1B741A77"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0.40</w:t>
            </w:r>
          </w:p>
        </w:tc>
      </w:tr>
      <w:tr w:rsidR="004B3B33" w:rsidRPr="00037C61" w14:paraId="19E552D8" w14:textId="77777777" w:rsidTr="00457478">
        <w:trPr>
          <w:trHeight w:val="300"/>
        </w:trPr>
        <w:tc>
          <w:tcPr>
            <w:tcW w:w="1720" w:type="dxa"/>
            <w:tcBorders>
              <w:top w:val="single" w:sz="8" w:space="0" w:color="034FA3"/>
              <w:left w:val="single" w:sz="8" w:space="0" w:color="034FA3"/>
              <w:bottom w:val="single" w:sz="8" w:space="0" w:color="034FA3"/>
              <w:right w:val="nil"/>
            </w:tcBorders>
            <w:shd w:val="clear" w:color="auto" w:fill="EAEDF6" w:themeFill="accent2" w:themeFillTint="33"/>
            <w:vAlign w:val="center"/>
            <w:hideMark/>
          </w:tcPr>
          <w:p w14:paraId="28B5A455"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Satu Mare</w:t>
            </w:r>
          </w:p>
        </w:tc>
        <w:tc>
          <w:tcPr>
            <w:tcW w:w="1720" w:type="dxa"/>
            <w:tcBorders>
              <w:top w:val="single" w:sz="8" w:space="0" w:color="034FA3"/>
              <w:left w:val="nil"/>
              <w:bottom w:val="single" w:sz="8" w:space="0" w:color="034FA3"/>
              <w:right w:val="nil"/>
            </w:tcBorders>
            <w:shd w:val="clear" w:color="auto" w:fill="EAEDF6" w:themeFill="accent2" w:themeFillTint="33"/>
            <w:vAlign w:val="center"/>
            <w:hideMark/>
          </w:tcPr>
          <w:p w14:paraId="5B6E20C0"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1644</w:t>
            </w:r>
          </w:p>
        </w:tc>
        <w:tc>
          <w:tcPr>
            <w:tcW w:w="1720" w:type="dxa"/>
            <w:tcBorders>
              <w:top w:val="single" w:sz="8" w:space="0" w:color="034FA3"/>
              <w:left w:val="nil"/>
              <w:bottom w:val="single" w:sz="8" w:space="0" w:color="034FA3"/>
              <w:right w:val="nil"/>
            </w:tcBorders>
            <w:shd w:val="clear" w:color="auto" w:fill="EAEDF6" w:themeFill="accent2" w:themeFillTint="33"/>
            <w:vAlign w:val="center"/>
            <w:hideMark/>
          </w:tcPr>
          <w:p w14:paraId="2AEB57B8"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1711</w:t>
            </w:r>
          </w:p>
        </w:tc>
        <w:tc>
          <w:tcPr>
            <w:tcW w:w="1720" w:type="dxa"/>
            <w:tcBorders>
              <w:top w:val="single" w:sz="8" w:space="0" w:color="034FA3"/>
              <w:left w:val="nil"/>
              <w:bottom w:val="single" w:sz="8" w:space="0" w:color="034FA3"/>
              <w:right w:val="nil"/>
            </w:tcBorders>
            <w:shd w:val="clear" w:color="auto" w:fill="EAEDF6" w:themeFill="accent2" w:themeFillTint="33"/>
            <w:vAlign w:val="center"/>
            <w:hideMark/>
          </w:tcPr>
          <w:p w14:paraId="2190EBE3"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4.08%</w:t>
            </w:r>
          </w:p>
        </w:tc>
        <w:tc>
          <w:tcPr>
            <w:tcW w:w="1720" w:type="dxa"/>
            <w:tcBorders>
              <w:top w:val="single" w:sz="8" w:space="0" w:color="034FA3"/>
              <w:left w:val="nil"/>
              <w:bottom w:val="single" w:sz="8" w:space="0" w:color="034FA3"/>
              <w:right w:val="single" w:sz="8" w:space="0" w:color="034FA3"/>
            </w:tcBorders>
            <w:shd w:val="clear" w:color="auto" w:fill="EAEDF6" w:themeFill="accent2" w:themeFillTint="33"/>
            <w:noWrap/>
            <w:vAlign w:val="center"/>
            <w:hideMark/>
          </w:tcPr>
          <w:p w14:paraId="4FB6263A"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0.39</w:t>
            </w:r>
          </w:p>
        </w:tc>
      </w:tr>
      <w:tr w:rsidR="004B3B33" w:rsidRPr="00037C61" w14:paraId="6538A461" w14:textId="77777777" w:rsidTr="00457478">
        <w:trPr>
          <w:trHeight w:val="300"/>
        </w:trPr>
        <w:tc>
          <w:tcPr>
            <w:tcW w:w="1720" w:type="dxa"/>
            <w:tcBorders>
              <w:top w:val="nil"/>
              <w:left w:val="single" w:sz="8" w:space="0" w:color="034FA3"/>
              <w:bottom w:val="nil"/>
              <w:right w:val="nil"/>
            </w:tcBorders>
            <w:shd w:val="clear" w:color="auto" w:fill="EAEDF6" w:themeFill="accent2" w:themeFillTint="33"/>
            <w:vAlign w:val="center"/>
            <w:hideMark/>
          </w:tcPr>
          <w:p w14:paraId="0DA7DECC"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lastRenderedPageBreak/>
              <w:t>Arad</w:t>
            </w:r>
          </w:p>
        </w:tc>
        <w:tc>
          <w:tcPr>
            <w:tcW w:w="1720" w:type="dxa"/>
            <w:tcBorders>
              <w:top w:val="nil"/>
              <w:left w:val="nil"/>
              <w:bottom w:val="nil"/>
              <w:right w:val="nil"/>
            </w:tcBorders>
            <w:shd w:val="clear" w:color="auto" w:fill="EAEDF6" w:themeFill="accent2" w:themeFillTint="33"/>
            <w:vAlign w:val="center"/>
            <w:hideMark/>
          </w:tcPr>
          <w:p w14:paraId="7C1ADFAB"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2240</w:t>
            </w:r>
          </w:p>
        </w:tc>
        <w:tc>
          <w:tcPr>
            <w:tcW w:w="1720" w:type="dxa"/>
            <w:tcBorders>
              <w:top w:val="nil"/>
              <w:left w:val="nil"/>
              <w:bottom w:val="nil"/>
              <w:right w:val="nil"/>
            </w:tcBorders>
            <w:shd w:val="clear" w:color="auto" w:fill="EAEDF6" w:themeFill="accent2" w:themeFillTint="33"/>
            <w:vAlign w:val="center"/>
            <w:hideMark/>
          </w:tcPr>
          <w:p w14:paraId="2E039FBA"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2523</w:t>
            </w:r>
          </w:p>
        </w:tc>
        <w:tc>
          <w:tcPr>
            <w:tcW w:w="1720" w:type="dxa"/>
            <w:tcBorders>
              <w:top w:val="nil"/>
              <w:left w:val="nil"/>
              <w:bottom w:val="nil"/>
              <w:right w:val="nil"/>
            </w:tcBorders>
            <w:shd w:val="clear" w:color="auto" w:fill="EAEDF6" w:themeFill="accent2" w:themeFillTint="33"/>
            <w:vAlign w:val="center"/>
            <w:hideMark/>
          </w:tcPr>
          <w:p w14:paraId="5C137F1B"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12.63%</w:t>
            </w:r>
          </w:p>
        </w:tc>
        <w:tc>
          <w:tcPr>
            <w:tcW w:w="1720" w:type="dxa"/>
            <w:tcBorders>
              <w:top w:val="nil"/>
              <w:left w:val="nil"/>
              <w:bottom w:val="nil"/>
              <w:right w:val="single" w:sz="8" w:space="0" w:color="034FA3"/>
            </w:tcBorders>
            <w:shd w:val="clear" w:color="auto" w:fill="EAEDF6" w:themeFill="accent2" w:themeFillTint="33"/>
            <w:noWrap/>
            <w:vAlign w:val="center"/>
            <w:hideMark/>
          </w:tcPr>
          <w:p w14:paraId="73001528"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0.33</w:t>
            </w:r>
          </w:p>
        </w:tc>
      </w:tr>
      <w:tr w:rsidR="004B3B33" w:rsidRPr="00037C61" w14:paraId="743C2E16" w14:textId="77777777" w:rsidTr="00457478">
        <w:trPr>
          <w:trHeight w:val="300"/>
        </w:trPr>
        <w:tc>
          <w:tcPr>
            <w:tcW w:w="1720" w:type="dxa"/>
            <w:tcBorders>
              <w:top w:val="single" w:sz="8" w:space="0" w:color="034FA3"/>
              <w:left w:val="single" w:sz="8" w:space="0" w:color="034FA3"/>
              <w:bottom w:val="single" w:sz="8" w:space="0" w:color="034FA3"/>
              <w:right w:val="nil"/>
            </w:tcBorders>
            <w:shd w:val="clear" w:color="auto" w:fill="EAEDF6" w:themeFill="accent2" w:themeFillTint="33"/>
            <w:vAlign w:val="center"/>
            <w:hideMark/>
          </w:tcPr>
          <w:p w14:paraId="4906F906"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Timiș</w:t>
            </w:r>
          </w:p>
        </w:tc>
        <w:tc>
          <w:tcPr>
            <w:tcW w:w="1720" w:type="dxa"/>
            <w:tcBorders>
              <w:top w:val="single" w:sz="8" w:space="0" w:color="034FA3"/>
              <w:left w:val="nil"/>
              <w:bottom w:val="single" w:sz="8" w:space="0" w:color="034FA3"/>
              <w:right w:val="nil"/>
            </w:tcBorders>
            <w:shd w:val="clear" w:color="auto" w:fill="EAEDF6" w:themeFill="accent2" w:themeFillTint="33"/>
            <w:vAlign w:val="center"/>
            <w:hideMark/>
          </w:tcPr>
          <w:p w14:paraId="2B8C4894"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2911</w:t>
            </w:r>
          </w:p>
        </w:tc>
        <w:tc>
          <w:tcPr>
            <w:tcW w:w="1720" w:type="dxa"/>
            <w:tcBorders>
              <w:top w:val="single" w:sz="8" w:space="0" w:color="034FA3"/>
              <w:left w:val="nil"/>
              <w:bottom w:val="single" w:sz="8" w:space="0" w:color="034FA3"/>
              <w:right w:val="nil"/>
            </w:tcBorders>
            <w:shd w:val="clear" w:color="auto" w:fill="EAEDF6" w:themeFill="accent2" w:themeFillTint="33"/>
            <w:vAlign w:val="center"/>
            <w:hideMark/>
          </w:tcPr>
          <w:p w14:paraId="3FC910BC"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3200</w:t>
            </w:r>
          </w:p>
        </w:tc>
        <w:tc>
          <w:tcPr>
            <w:tcW w:w="1720" w:type="dxa"/>
            <w:tcBorders>
              <w:top w:val="single" w:sz="8" w:space="0" w:color="034FA3"/>
              <w:left w:val="nil"/>
              <w:bottom w:val="single" w:sz="8" w:space="0" w:color="034FA3"/>
              <w:right w:val="nil"/>
            </w:tcBorders>
            <w:shd w:val="clear" w:color="auto" w:fill="EAEDF6" w:themeFill="accent2" w:themeFillTint="33"/>
            <w:vAlign w:val="center"/>
            <w:hideMark/>
          </w:tcPr>
          <w:p w14:paraId="1F93D444"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9.93%</w:t>
            </w:r>
          </w:p>
        </w:tc>
        <w:tc>
          <w:tcPr>
            <w:tcW w:w="1720" w:type="dxa"/>
            <w:tcBorders>
              <w:top w:val="single" w:sz="8" w:space="0" w:color="034FA3"/>
              <w:left w:val="nil"/>
              <w:bottom w:val="single" w:sz="8" w:space="0" w:color="034FA3"/>
              <w:right w:val="single" w:sz="8" w:space="0" w:color="034FA3"/>
            </w:tcBorders>
            <w:shd w:val="clear" w:color="auto" w:fill="EAEDF6" w:themeFill="accent2" w:themeFillTint="33"/>
            <w:noWrap/>
            <w:vAlign w:val="center"/>
            <w:hideMark/>
          </w:tcPr>
          <w:p w14:paraId="0542F1A0"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0.37</w:t>
            </w:r>
          </w:p>
        </w:tc>
      </w:tr>
      <w:tr w:rsidR="004B3B33" w:rsidRPr="00037C61" w14:paraId="5B6B5EDC" w14:textId="77777777" w:rsidTr="00457478">
        <w:trPr>
          <w:trHeight w:val="300"/>
        </w:trPr>
        <w:tc>
          <w:tcPr>
            <w:tcW w:w="1720" w:type="dxa"/>
            <w:tcBorders>
              <w:top w:val="nil"/>
              <w:left w:val="single" w:sz="8" w:space="0" w:color="034FA3"/>
              <w:bottom w:val="nil"/>
              <w:right w:val="nil"/>
            </w:tcBorders>
            <w:shd w:val="clear" w:color="auto" w:fill="FBD1D2" w:themeFill="accent3" w:themeFillTint="33"/>
            <w:vAlign w:val="center"/>
            <w:hideMark/>
          </w:tcPr>
          <w:p w14:paraId="43C0ED37"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 xml:space="preserve">Hajdú-Bihar </w:t>
            </w:r>
          </w:p>
        </w:tc>
        <w:tc>
          <w:tcPr>
            <w:tcW w:w="1720" w:type="dxa"/>
            <w:tcBorders>
              <w:top w:val="nil"/>
              <w:left w:val="nil"/>
              <w:bottom w:val="nil"/>
              <w:right w:val="nil"/>
            </w:tcBorders>
            <w:shd w:val="clear" w:color="auto" w:fill="FBD1D2" w:themeFill="accent3" w:themeFillTint="33"/>
            <w:vAlign w:val="center"/>
            <w:hideMark/>
          </w:tcPr>
          <w:p w14:paraId="5B592E1F"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1669</w:t>
            </w:r>
          </w:p>
        </w:tc>
        <w:tc>
          <w:tcPr>
            <w:tcW w:w="1720" w:type="dxa"/>
            <w:tcBorders>
              <w:top w:val="nil"/>
              <w:left w:val="nil"/>
              <w:bottom w:val="nil"/>
              <w:right w:val="nil"/>
            </w:tcBorders>
            <w:shd w:val="clear" w:color="auto" w:fill="FBD1D2" w:themeFill="accent3" w:themeFillTint="33"/>
            <w:vAlign w:val="center"/>
            <w:hideMark/>
          </w:tcPr>
          <w:p w14:paraId="074B3E9F"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1717.1</w:t>
            </w:r>
          </w:p>
        </w:tc>
        <w:tc>
          <w:tcPr>
            <w:tcW w:w="1720" w:type="dxa"/>
            <w:tcBorders>
              <w:top w:val="nil"/>
              <w:left w:val="nil"/>
              <w:bottom w:val="nil"/>
              <w:right w:val="nil"/>
            </w:tcBorders>
            <w:shd w:val="clear" w:color="auto" w:fill="FBD1D2" w:themeFill="accent3" w:themeFillTint="33"/>
            <w:vAlign w:val="center"/>
            <w:hideMark/>
          </w:tcPr>
          <w:p w14:paraId="6CAE07B1"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2.88%</w:t>
            </w:r>
          </w:p>
        </w:tc>
        <w:tc>
          <w:tcPr>
            <w:tcW w:w="1720" w:type="dxa"/>
            <w:tcBorders>
              <w:top w:val="nil"/>
              <w:left w:val="nil"/>
              <w:bottom w:val="nil"/>
              <w:right w:val="single" w:sz="8" w:space="0" w:color="034FA3"/>
            </w:tcBorders>
            <w:shd w:val="clear" w:color="auto" w:fill="FBD1D2" w:themeFill="accent3" w:themeFillTint="33"/>
            <w:vAlign w:val="center"/>
            <w:hideMark/>
          </w:tcPr>
          <w:p w14:paraId="6B69F866"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0.28</w:t>
            </w:r>
          </w:p>
        </w:tc>
      </w:tr>
      <w:tr w:rsidR="004B3B33" w:rsidRPr="00037C61" w14:paraId="4BB3CF8C" w14:textId="77777777" w:rsidTr="00457478">
        <w:trPr>
          <w:trHeight w:val="564"/>
        </w:trPr>
        <w:tc>
          <w:tcPr>
            <w:tcW w:w="1720" w:type="dxa"/>
            <w:tcBorders>
              <w:top w:val="single" w:sz="8" w:space="0" w:color="034FA3"/>
              <w:left w:val="single" w:sz="8" w:space="0" w:color="034FA3"/>
              <w:bottom w:val="single" w:sz="8" w:space="0" w:color="034FA3"/>
              <w:right w:val="nil"/>
            </w:tcBorders>
            <w:shd w:val="clear" w:color="auto" w:fill="FBD1D2" w:themeFill="accent3" w:themeFillTint="33"/>
            <w:vAlign w:val="center"/>
            <w:hideMark/>
          </w:tcPr>
          <w:p w14:paraId="4122F6DD"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 xml:space="preserve">Szabolcs-Szatmár-Bereg </w:t>
            </w:r>
          </w:p>
        </w:tc>
        <w:tc>
          <w:tcPr>
            <w:tcW w:w="1720" w:type="dxa"/>
            <w:tcBorders>
              <w:top w:val="single" w:sz="8" w:space="0" w:color="034FA3"/>
              <w:left w:val="nil"/>
              <w:bottom w:val="single" w:sz="8" w:space="0" w:color="034FA3"/>
              <w:right w:val="nil"/>
            </w:tcBorders>
            <w:shd w:val="clear" w:color="auto" w:fill="FBD1D2" w:themeFill="accent3" w:themeFillTint="33"/>
            <w:vAlign w:val="center"/>
            <w:hideMark/>
          </w:tcPr>
          <w:p w14:paraId="75654710"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2152</w:t>
            </w:r>
          </w:p>
        </w:tc>
        <w:tc>
          <w:tcPr>
            <w:tcW w:w="1720" w:type="dxa"/>
            <w:tcBorders>
              <w:top w:val="single" w:sz="8" w:space="0" w:color="034FA3"/>
              <w:left w:val="nil"/>
              <w:bottom w:val="single" w:sz="8" w:space="0" w:color="034FA3"/>
              <w:right w:val="nil"/>
            </w:tcBorders>
            <w:shd w:val="clear" w:color="auto" w:fill="FBD1D2" w:themeFill="accent3" w:themeFillTint="33"/>
            <w:vAlign w:val="center"/>
            <w:hideMark/>
          </w:tcPr>
          <w:p w14:paraId="4964154B"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2241.7</w:t>
            </w:r>
          </w:p>
        </w:tc>
        <w:tc>
          <w:tcPr>
            <w:tcW w:w="1720" w:type="dxa"/>
            <w:tcBorders>
              <w:top w:val="single" w:sz="8" w:space="0" w:color="034FA3"/>
              <w:left w:val="nil"/>
              <w:bottom w:val="single" w:sz="8" w:space="0" w:color="034FA3"/>
              <w:right w:val="nil"/>
            </w:tcBorders>
            <w:shd w:val="clear" w:color="auto" w:fill="FBD1D2" w:themeFill="accent3" w:themeFillTint="33"/>
            <w:vAlign w:val="center"/>
            <w:hideMark/>
          </w:tcPr>
          <w:p w14:paraId="1F91A80E"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4.17%</w:t>
            </w:r>
          </w:p>
        </w:tc>
        <w:tc>
          <w:tcPr>
            <w:tcW w:w="1720" w:type="dxa"/>
            <w:tcBorders>
              <w:top w:val="single" w:sz="8" w:space="0" w:color="034FA3"/>
              <w:left w:val="nil"/>
              <w:bottom w:val="single" w:sz="8" w:space="0" w:color="034FA3"/>
              <w:right w:val="single" w:sz="8" w:space="0" w:color="034FA3"/>
            </w:tcBorders>
            <w:shd w:val="clear" w:color="auto" w:fill="FBD1D2" w:themeFill="accent3" w:themeFillTint="33"/>
            <w:vAlign w:val="center"/>
            <w:hideMark/>
          </w:tcPr>
          <w:p w14:paraId="31E8D157"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0.38</w:t>
            </w:r>
          </w:p>
        </w:tc>
      </w:tr>
      <w:tr w:rsidR="004B3B33" w:rsidRPr="00037C61" w14:paraId="080001AE" w14:textId="77777777" w:rsidTr="00457478">
        <w:trPr>
          <w:trHeight w:val="300"/>
        </w:trPr>
        <w:tc>
          <w:tcPr>
            <w:tcW w:w="1720" w:type="dxa"/>
            <w:tcBorders>
              <w:top w:val="nil"/>
              <w:left w:val="single" w:sz="8" w:space="0" w:color="034FA3"/>
              <w:bottom w:val="nil"/>
              <w:right w:val="nil"/>
            </w:tcBorders>
            <w:shd w:val="clear" w:color="auto" w:fill="FBD1D2" w:themeFill="accent3" w:themeFillTint="33"/>
            <w:vAlign w:val="center"/>
            <w:hideMark/>
          </w:tcPr>
          <w:p w14:paraId="4C2DF8A3"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 xml:space="preserve">Békés </w:t>
            </w:r>
          </w:p>
        </w:tc>
        <w:tc>
          <w:tcPr>
            <w:tcW w:w="1720" w:type="dxa"/>
            <w:tcBorders>
              <w:top w:val="nil"/>
              <w:left w:val="nil"/>
              <w:bottom w:val="nil"/>
              <w:right w:val="nil"/>
            </w:tcBorders>
            <w:shd w:val="clear" w:color="auto" w:fill="FBD1D2" w:themeFill="accent3" w:themeFillTint="33"/>
            <w:vAlign w:val="center"/>
            <w:hideMark/>
          </w:tcPr>
          <w:p w14:paraId="1AA869B2"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1465</w:t>
            </w:r>
          </w:p>
        </w:tc>
        <w:tc>
          <w:tcPr>
            <w:tcW w:w="1720" w:type="dxa"/>
            <w:tcBorders>
              <w:top w:val="nil"/>
              <w:left w:val="nil"/>
              <w:bottom w:val="nil"/>
              <w:right w:val="nil"/>
            </w:tcBorders>
            <w:shd w:val="clear" w:color="auto" w:fill="FBD1D2" w:themeFill="accent3" w:themeFillTint="33"/>
            <w:vAlign w:val="center"/>
            <w:hideMark/>
          </w:tcPr>
          <w:p w14:paraId="49EB9B65"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1469.3</w:t>
            </w:r>
          </w:p>
        </w:tc>
        <w:tc>
          <w:tcPr>
            <w:tcW w:w="1720" w:type="dxa"/>
            <w:tcBorders>
              <w:top w:val="nil"/>
              <w:left w:val="nil"/>
              <w:bottom w:val="nil"/>
              <w:right w:val="nil"/>
            </w:tcBorders>
            <w:shd w:val="clear" w:color="auto" w:fill="FBD1D2" w:themeFill="accent3" w:themeFillTint="33"/>
            <w:vAlign w:val="center"/>
            <w:hideMark/>
          </w:tcPr>
          <w:p w14:paraId="6EB54156"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0.29%</w:t>
            </w:r>
          </w:p>
        </w:tc>
        <w:tc>
          <w:tcPr>
            <w:tcW w:w="1720" w:type="dxa"/>
            <w:tcBorders>
              <w:top w:val="nil"/>
              <w:left w:val="nil"/>
              <w:bottom w:val="nil"/>
              <w:right w:val="single" w:sz="8" w:space="0" w:color="034FA3"/>
            </w:tcBorders>
            <w:shd w:val="clear" w:color="auto" w:fill="FBD1D2" w:themeFill="accent3" w:themeFillTint="33"/>
            <w:vAlign w:val="center"/>
            <w:hideMark/>
          </w:tcPr>
          <w:p w14:paraId="3A9883AB"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0.26</w:t>
            </w:r>
          </w:p>
        </w:tc>
      </w:tr>
      <w:tr w:rsidR="004B3B33" w:rsidRPr="00037C61" w14:paraId="03582CF0" w14:textId="77777777" w:rsidTr="00457478">
        <w:trPr>
          <w:trHeight w:val="300"/>
        </w:trPr>
        <w:tc>
          <w:tcPr>
            <w:tcW w:w="1720" w:type="dxa"/>
            <w:tcBorders>
              <w:top w:val="single" w:sz="8" w:space="0" w:color="034FA3"/>
              <w:left w:val="single" w:sz="8" w:space="0" w:color="034FA3"/>
              <w:bottom w:val="single" w:sz="8" w:space="0" w:color="034FA3"/>
              <w:right w:val="nil"/>
            </w:tcBorders>
            <w:shd w:val="clear" w:color="auto" w:fill="FBD1D2" w:themeFill="accent3" w:themeFillTint="33"/>
            <w:vAlign w:val="center"/>
            <w:hideMark/>
          </w:tcPr>
          <w:p w14:paraId="034D196D"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Csongrád-Csanád</w:t>
            </w:r>
          </w:p>
        </w:tc>
        <w:tc>
          <w:tcPr>
            <w:tcW w:w="1720" w:type="dxa"/>
            <w:tcBorders>
              <w:top w:val="single" w:sz="8" w:space="0" w:color="034FA3"/>
              <w:left w:val="nil"/>
              <w:bottom w:val="single" w:sz="8" w:space="0" w:color="034FA3"/>
              <w:right w:val="nil"/>
            </w:tcBorders>
            <w:shd w:val="clear" w:color="auto" w:fill="FBD1D2" w:themeFill="accent3" w:themeFillTint="33"/>
            <w:vAlign w:val="center"/>
            <w:hideMark/>
          </w:tcPr>
          <w:p w14:paraId="3FD51A54"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1421</w:t>
            </w:r>
          </w:p>
        </w:tc>
        <w:tc>
          <w:tcPr>
            <w:tcW w:w="1720" w:type="dxa"/>
            <w:tcBorders>
              <w:top w:val="single" w:sz="8" w:space="0" w:color="034FA3"/>
              <w:left w:val="nil"/>
              <w:bottom w:val="single" w:sz="8" w:space="0" w:color="034FA3"/>
              <w:right w:val="nil"/>
            </w:tcBorders>
            <w:shd w:val="clear" w:color="auto" w:fill="FBD1D2" w:themeFill="accent3" w:themeFillTint="33"/>
            <w:vAlign w:val="center"/>
            <w:hideMark/>
          </w:tcPr>
          <w:p w14:paraId="6D5FD70A"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1485.4</w:t>
            </w:r>
          </w:p>
        </w:tc>
        <w:tc>
          <w:tcPr>
            <w:tcW w:w="1720" w:type="dxa"/>
            <w:tcBorders>
              <w:top w:val="single" w:sz="8" w:space="0" w:color="034FA3"/>
              <w:left w:val="nil"/>
              <w:bottom w:val="single" w:sz="8" w:space="0" w:color="034FA3"/>
              <w:right w:val="nil"/>
            </w:tcBorders>
            <w:shd w:val="clear" w:color="auto" w:fill="FBD1D2" w:themeFill="accent3" w:themeFillTint="33"/>
            <w:vAlign w:val="center"/>
            <w:hideMark/>
          </w:tcPr>
          <w:p w14:paraId="10C99944"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4.53%</w:t>
            </w:r>
          </w:p>
        </w:tc>
        <w:tc>
          <w:tcPr>
            <w:tcW w:w="1720" w:type="dxa"/>
            <w:tcBorders>
              <w:top w:val="single" w:sz="8" w:space="0" w:color="034FA3"/>
              <w:left w:val="nil"/>
              <w:bottom w:val="single" w:sz="8" w:space="0" w:color="034FA3"/>
              <w:right w:val="single" w:sz="8" w:space="0" w:color="034FA3"/>
            </w:tcBorders>
            <w:shd w:val="clear" w:color="auto" w:fill="FBD1D2" w:themeFill="accent3" w:themeFillTint="33"/>
            <w:vAlign w:val="center"/>
            <w:hideMark/>
          </w:tcPr>
          <w:p w14:paraId="21097848"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0.35</w:t>
            </w:r>
          </w:p>
        </w:tc>
      </w:tr>
      <w:tr w:rsidR="004B3B33" w:rsidRPr="00037C61" w14:paraId="6C60351A" w14:textId="77777777" w:rsidTr="00457478">
        <w:trPr>
          <w:trHeight w:val="300"/>
        </w:trPr>
        <w:tc>
          <w:tcPr>
            <w:tcW w:w="1720" w:type="dxa"/>
            <w:tcBorders>
              <w:top w:val="nil"/>
              <w:left w:val="single" w:sz="8" w:space="0" w:color="034FA3"/>
              <w:bottom w:val="single" w:sz="8" w:space="0" w:color="034FA3"/>
              <w:right w:val="nil"/>
            </w:tcBorders>
            <w:shd w:val="clear" w:color="auto" w:fill="EAEDF6" w:themeFill="accent2" w:themeFillTint="33"/>
            <w:vAlign w:val="center"/>
            <w:hideMark/>
          </w:tcPr>
          <w:p w14:paraId="68C0B14D"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Ro area</w:t>
            </w:r>
          </w:p>
        </w:tc>
        <w:tc>
          <w:tcPr>
            <w:tcW w:w="1720" w:type="dxa"/>
            <w:tcBorders>
              <w:top w:val="nil"/>
              <w:left w:val="nil"/>
              <w:bottom w:val="single" w:sz="8" w:space="0" w:color="034FA3"/>
              <w:right w:val="nil"/>
            </w:tcBorders>
            <w:shd w:val="clear" w:color="auto" w:fill="EAEDF6" w:themeFill="accent2" w:themeFillTint="33"/>
            <w:vAlign w:val="center"/>
            <w:hideMark/>
          </w:tcPr>
          <w:p w14:paraId="435EC711"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9770</w:t>
            </w:r>
          </w:p>
        </w:tc>
        <w:tc>
          <w:tcPr>
            <w:tcW w:w="1720" w:type="dxa"/>
            <w:tcBorders>
              <w:top w:val="nil"/>
              <w:left w:val="nil"/>
              <w:bottom w:val="single" w:sz="8" w:space="0" w:color="034FA3"/>
              <w:right w:val="nil"/>
            </w:tcBorders>
            <w:shd w:val="clear" w:color="auto" w:fill="EAEDF6" w:themeFill="accent2" w:themeFillTint="33"/>
            <w:vAlign w:val="center"/>
            <w:hideMark/>
          </w:tcPr>
          <w:p w14:paraId="2607A6D4"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10437</w:t>
            </w:r>
          </w:p>
        </w:tc>
        <w:tc>
          <w:tcPr>
            <w:tcW w:w="1720" w:type="dxa"/>
            <w:tcBorders>
              <w:top w:val="nil"/>
              <w:left w:val="nil"/>
              <w:bottom w:val="single" w:sz="8" w:space="0" w:color="034FA3"/>
              <w:right w:val="nil"/>
            </w:tcBorders>
            <w:shd w:val="clear" w:color="auto" w:fill="EAEDF6" w:themeFill="accent2" w:themeFillTint="33"/>
            <w:vAlign w:val="center"/>
            <w:hideMark/>
          </w:tcPr>
          <w:p w14:paraId="0E97C9B7"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6.83%</w:t>
            </w:r>
          </w:p>
        </w:tc>
        <w:tc>
          <w:tcPr>
            <w:tcW w:w="1720" w:type="dxa"/>
            <w:tcBorders>
              <w:top w:val="nil"/>
              <w:left w:val="nil"/>
              <w:bottom w:val="single" w:sz="8" w:space="0" w:color="034FA3"/>
              <w:right w:val="single" w:sz="8" w:space="0" w:color="034FA3"/>
            </w:tcBorders>
            <w:shd w:val="clear" w:color="auto" w:fill="EAEDF6" w:themeFill="accent2" w:themeFillTint="33"/>
            <w:vAlign w:val="center"/>
            <w:hideMark/>
          </w:tcPr>
          <w:p w14:paraId="70223BE2"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0.37</w:t>
            </w:r>
          </w:p>
        </w:tc>
      </w:tr>
      <w:tr w:rsidR="004B3B33" w:rsidRPr="00037C61" w14:paraId="0D025A58" w14:textId="77777777" w:rsidTr="00457478">
        <w:trPr>
          <w:trHeight w:val="300"/>
        </w:trPr>
        <w:tc>
          <w:tcPr>
            <w:tcW w:w="1720" w:type="dxa"/>
            <w:tcBorders>
              <w:top w:val="nil"/>
              <w:left w:val="single" w:sz="8" w:space="0" w:color="034FA3"/>
              <w:bottom w:val="nil"/>
              <w:right w:val="nil"/>
            </w:tcBorders>
            <w:shd w:val="clear" w:color="auto" w:fill="FBD1D2" w:themeFill="accent3" w:themeFillTint="33"/>
            <w:vAlign w:val="center"/>
            <w:hideMark/>
          </w:tcPr>
          <w:p w14:paraId="41E204C8"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Hu area</w:t>
            </w:r>
          </w:p>
        </w:tc>
        <w:tc>
          <w:tcPr>
            <w:tcW w:w="1720" w:type="dxa"/>
            <w:tcBorders>
              <w:top w:val="nil"/>
              <w:left w:val="nil"/>
              <w:bottom w:val="nil"/>
              <w:right w:val="nil"/>
            </w:tcBorders>
            <w:shd w:val="clear" w:color="auto" w:fill="FBD1D2" w:themeFill="accent3" w:themeFillTint="33"/>
            <w:vAlign w:val="center"/>
            <w:hideMark/>
          </w:tcPr>
          <w:p w14:paraId="16DE3A82"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6707</w:t>
            </w:r>
          </w:p>
        </w:tc>
        <w:tc>
          <w:tcPr>
            <w:tcW w:w="1720" w:type="dxa"/>
            <w:tcBorders>
              <w:top w:val="nil"/>
              <w:left w:val="nil"/>
              <w:bottom w:val="nil"/>
              <w:right w:val="nil"/>
            </w:tcBorders>
            <w:shd w:val="clear" w:color="auto" w:fill="FBD1D2" w:themeFill="accent3" w:themeFillTint="33"/>
            <w:vAlign w:val="center"/>
            <w:hideMark/>
          </w:tcPr>
          <w:p w14:paraId="66775C80"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6913.5</w:t>
            </w:r>
          </w:p>
        </w:tc>
        <w:tc>
          <w:tcPr>
            <w:tcW w:w="1720" w:type="dxa"/>
            <w:tcBorders>
              <w:top w:val="nil"/>
              <w:left w:val="nil"/>
              <w:bottom w:val="nil"/>
              <w:right w:val="nil"/>
            </w:tcBorders>
            <w:shd w:val="clear" w:color="auto" w:fill="FBD1D2" w:themeFill="accent3" w:themeFillTint="33"/>
            <w:vAlign w:val="center"/>
            <w:hideMark/>
          </w:tcPr>
          <w:p w14:paraId="0C247B16"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3.08%</w:t>
            </w:r>
          </w:p>
        </w:tc>
        <w:tc>
          <w:tcPr>
            <w:tcW w:w="1720" w:type="dxa"/>
            <w:tcBorders>
              <w:top w:val="nil"/>
              <w:left w:val="nil"/>
              <w:bottom w:val="nil"/>
              <w:right w:val="single" w:sz="8" w:space="0" w:color="034FA3"/>
            </w:tcBorders>
            <w:shd w:val="clear" w:color="auto" w:fill="FBD1D2" w:themeFill="accent3" w:themeFillTint="33"/>
            <w:vAlign w:val="center"/>
            <w:hideMark/>
          </w:tcPr>
          <w:p w14:paraId="6E92B3A3"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0.31</w:t>
            </w:r>
          </w:p>
        </w:tc>
      </w:tr>
      <w:tr w:rsidR="004B3B33" w:rsidRPr="00037C61" w14:paraId="276F63DA" w14:textId="77777777" w:rsidTr="004B3B33">
        <w:trPr>
          <w:trHeight w:val="300"/>
        </w:trPr>
        <w:tc>
          <w:tcPr>
            <w:tcW w:w="1720" w:type="dxa"/>
            <w:tcBorders>
              <w:top w:val="single" w:sz="8" w:space="0" w:color="034FA3"/>
              <w:left w:val="single" w:sz="8" w:space="0" w:color="034FA3"/>
              <w:bottom w:val="single" w:sz="8" w:space="0" w:color="034FA3"/>
              <w:right w:val="nil"/>
            </w:tcBorders>
            <w:shd w:val="clear" w:color="000000" w:fill="FFFFFF"/>
            <w:vAlign w:val="center"/>
            <w:hideMark/>
          </w:tcPr>
          <w:p w14:paraId="2E50ABA0" w14:textId="77777777" w:rsidR="004B3B33" w:rsidRPr="00037C61" w:rsidRDefault="004B3B33" w:rsidP="004B3B33">
            <w:pPr>
              <w:spacing w:after="0" w:line="240" w:lineRule="auto"/>
              <w:jc w:val="center"/>
              <w:rPr>
                <w:rFonts w:eastAsia="Times New Roman" w:cs="Calibri"/>
                <w:b/>
                <w:bCs/>
                <w:sz w:val="20"/>
                <w:szCs w:val="20"/>
                <w:lang w:val="en-GB" w:eastAsia="en-GB"/>
              </w:rPr>
            </w:pPr>
            <w:r w:rsidRPr="00037C61">
              <w:rPr>
                <w:rFonts w:eastAsia="Times New Roman" w:cs="Calibri"/>
                <w:b/>
                <w:bCs/>
                <w:sz w:val="20"/>
                <w:szCs w:val="20"/>
                <w:lang w:val="en-GB" w:eastAsia="en-GB"/>
              </w:rPr>
              <w:t xml:space="preserve">Total PA </w:t>
            </w:r>
          </w:p>
        </w:tc>
        <w:tc>
          <w:tcPr>
            <w:tcW w:w="1720" w:type="dxa"/>
            <w:tcBorders>
              <w:top w:val="single" w:sz="8" w:space="0" w:color="034FA3"/>
              <w:left w:val="nil"/>
              <w:bottom w:val="single" w:sz="8" w:space="0" w:color="034FA3"/>
              <w:right w:val="nil"/>
            </w:tcBorders>
            <w:shd w:val="clear" w:color="auto" w:fill="auto"/>
            <w:vAlign w:val="center"/>
            <w:hideMark/>
          </w:tcPr>
          <w:p w14:paraId="67D4E1CE"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16477</w:t>
            </w:r>
          </w:p>
        </w:tc>
        <w:tc>
          <w:tcPr>
            <w:tcW w:w="1720" w:type="dxa"/>
            <w:tcBorders>
              <w:top w:val="single" w:sz="8" w:space="0" w:color="034FA3"/>
              <w:left w:val="nil"/>
              <w:bottom w:val="single" w:sz="8" w:space="0" w:color="034FA3"/>
              <w:right w:val="nil"/>
            </w:tcBorders>
            <w:shd w:val="clear" w:color="auto" w:fill="auto"/>
            <w:vAlign w:val="center"/>
            <w:hideMark/>
          </w:tcPr>
          <w:p w14:paraId="6CE77D04"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17350.5</w:t>
            </w:r>
          </w:p>
        </w:tc>
        <w:tc>
          <w:tcPr>
            <w:tcW w:w="1720" w:type="dxa"/>
            <w:tcBorders>
              <w:top w:val="single" w:sz="8" w:space="0" w:color="034FA3"/>
              <w:left w:val="nil"/>
              <w:bottom w:val="single" w:sz="8" w:space="0" w:color="034FA3"/>
              <w:right w:val="nil"/>
            </w:tcBorders>
            <w:shd w:val="clear" w:color="auto" w:fill="auto"/>
            <w:vAlign w:val="center"/>
            <w:hideMark/>
          </w:tcPr>
          <w:p w14:paraId="07B3F2D9"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5.30%</w:t>
            </w:r>
          </w:p>
        </w:tc>
        <w:tc>
          <w:tcPr>
            <w:tcW w:w="1720" w:type="dxa"/>
            <w:tcBorders>
              <w:top w:val="single" w:sz="8" w:space="0" w:color="034FA3"/>
              <w:left w:val="nil"/>
              <w:bottom w:val="single" w:sz="8" w:space="0" w:color="034FA3"/>
              <w:right w:val="single" w:sz="8" w:space="0" w:color="034FA3"/>
            </w:tcBorders>
            <w:shd w:val="clear" w:color="auto" w:fill="auto"/>
            <w:vAlign w:val="center"/>
            <w:hideMark/>
          </w:tcPr>
          <w:p w14:paraId="1D7833FE" w14:textId="77777777" w:rsidR="004B3B33" w:rsidRPr="00037C61" w:rsidRDefault="004B3B33" w:rsidP="004B3B33">
            <w:pPr>
              <w:spacing w:after="0" w:line="240" w:lineRule="auto"/>
              <w:jc w:val="center"/>
              <w:rPr>
                <w:rFonts w:eastAsia="Times New Roman" w:cs="Calibri"/>
                <w:sz w:val="20"/>
                <w:szCs w:val="20"/>
                <w:lang w:val="en-GB" w:eastAsia="en-GB"/>
              </w:rPr>
            </w:pPr>
            <w:r w:rsidRPr="00037C61">
              <w:rPr>
                <w:rFonts w:eastAsia="Times New Roman" w:cs="Calibri"/>
                <w:sz w:val="20"/>
                <w:szCs w:val="20"/>
                <w:lang w:val="en-GB" w:eastAsia="en-GB"/>
              </w:rPr>
              <w:t>0.34</w:t>
            </w:r>
          </w:p>
        </w:tc>
      </w:tr>
    </w:tbl>
    <w:p w14:paraId="4EA35A97" w14:textId="3B0DC97A" w:rsidR="00D032E4" w:rsidRPr="00037C61" w:rsidRDefault="00D032E4" w:rsidP="008E6744">
      <w:pPr>
        <w:pStyle w:val="InterregROHUBullet1"/>
        <w:numPr>
          <w:ilvl w:val="0"/>
          <w:numId w:val="0"/>
        </w:numPr>
        <w:spacing w:after="200" w:line="276" w:lineRule="auto"/>
        <w:rPr>
          <w:i/>
          <w:iCs/>
          <w:sz w:val="18"/>
          <w:szCs w:val="18"/>
        </w:rPr>
      </w:pPr>
      <w:r w:rsidRPr="00037C61">
        <w:rPr>
          <w:i/>
          <w:iCs/>
          <w:color w:val="012751" w:themeColor="text2"/>
          <w:sz w:val="18"/>
          <w:szCs w:val="18"/>
        </w:rPr>
        <w:t>Source: INS, KSH</w:t>
      </w:r>
    </w:p>
    <w:p w14:paraId="431B646D" w14:textId="330AC40D" w:rsidR="00172F90" w:rsidRPr="00037C61" w:rsidRDefault="00172F90" w:rsidP="008E6744">
      <w:pPr>
        <w:rPr>
          <w:rFonts w:cs="Calibri"/>
          <w:lang w:val="en-GB"/>
        </w:rPr>
      </w:pPr>
      <w:r w:rsidRPr="00037C61">
        <w:rPr>
          <w:rFonts w:cs="Calibri"/>
          <w:b/>
          <w:bCs/>
          <w:lang w:val="en-GB"/>
        </w:rPr>
        <w:t>Data on road improvements</w:t>
      </w:r>
      <w:r w:rsidRPr="00037C61">
        <w:rPr>
          <w:rFonts w:cs="Calibri"/>
          <w:lang w:val="en-GB"/>
        </w:rPr>
        <w:t xml:space="preserve"> and percentage of modernized </w:t>
      </w:r>
      <w:r w:rsidR="00597400" w:rsidRPr="00037C61">
        <w:rPr>
          <w:rFonts w:cs="Calibri"/>
          <w:lang w:val="en-GB"/>
        </w:rPr>
        <w:t xml:space="preserve">is </w:t>
      </w:r>
      <w:r w:rsidRPr="00037C61">
        <w:rPr>
          <w:rFonts w:cs="Calibri"/>
          <w:lang w:val="en-GB"/>
        </w:rPr>
        <w:t>an important accessibility and quality facto</w:t>
      </w:r>
      <w:r w:rsidR="00597400" w:rsidRPr="00037C61">
        <w:rPr>
          <w:rFonts w:cs="Calibri"/>
          <w:lang w:val="en-GB"/>
        </w:rPr>
        <w:t>r. In Romania,</w:t>
      </w:r>
      <w:r w:rsidRPr="00037C61">
        <w:rPr>
          <w:rFonts w:cs="Calibri"/>
          <w:lang w:val="en-GB"/>
        </w:rPr>
        <w:t xml:space="preserve"> in 2009, between 20% (Timiș) and 27% (Arad) of the public road network was modernized, while in 2018, these figures have increased to between 30% (Bihor) and 54% (Arad). Romanian counties started thus from a very low road quality, which has improved (in the case of Arad and Timiș even doubled in length of improved road) over the last 10 years, creating premises for better permeability of the PA area in the south. </w:t>
      </w:r>
      <w:r w:rsidR="00C04B78" w:rsidRPr="00037C61">
        <w:rPr>
          <w:rFonts w:cs="Calibri"/>
          <w:lang w:val="en-GB"/>
        </w:rPr>
        <w:t xml:space="preserve">A significant increase in road improvement in the last years can be observed in Satu Mare, where a 25% increase of the total length of modernized road has been recorded in 2019 alone, due to the implementation of ESIF funded infrastructure projects. </w:t>
      </w:r>
    </w:p>
    <w:p w14:paraId="02DCB322" w14:textId="76ACD7CE" w:rsidR="00597400" w:rsidRPr="00037C61" w:rsidRDefault="00597400" w:rsidP="00597400">
      <w:pPr>
        <w:rPr>
          <w:rFonts w:cs="Calibri"/>
          <w:bCs/>
          <w:lang w:val="en-GB"/>
        </w:rPr>
      </w:pPr>
      <w:r w:rsidRPr="00037C61">
        <w:rPr>
          <w:rFonts w:cs="Calibri"/>
          <w:bCs/>
          <w:lang w:val="en-GB"/>
        </w:rPr>
        <w:t xml:space="preserve">In Hungary, since 2016 when the national road renovation program started, the Hungarian Public Roads Co </w:t>
      </w:r>
      <w:r w:rsidR="00471F27" w:rsidRPr="00037C61">
        <w:rPr>
          <w:rFonts w:cs="Calibri"/>
          <w:bCs/>
          <w:lang w:val="en-GB"/>
        </w:rPr>
        <w:t xml:space="preserve">reconstructed </w:t>
      </w:r>
      <w:r w:rsidRPr="00037C61">
        <w:rPr>
          <w:rFonts w:cs="Calibri"/>
          <w:bCs/>
          <w:lang w:val="en-GB"/>
        </w:rPr>
        <w:t xml:space="preserve">more than 377 km </w:t>
      </w:r>
      <w:r w:rsidR="00471F27" w:rsidRPr="00037C61">
        <w:rPr>
          <w:rFonts w:cs="Calibri"/>
          <w:bCs/>
          <w:lang w:val="en-GB"/>
        </w:rPr>
        <w:t xml:space="preserve">of </w:t>
      </w:r>
      <w:r w:rsidRPr="00037C61">
        <w:rPr>
          <w:rFonts w:cs="Calibri"/>
          <w:bCs/>
          <w:lang w:val="en-GB"/>
        </w:rPr>
        <w:t xml:space="preserve">public roads </w:t>
      </w:r>
      <w:r w:rsidR="00471F27" w:rsidRPr="00037C61">
        <w:rPr>
          <w:rFonts w:cs="Calibri"/>
          <w:bCs/>
          <w:lang w:val="en-GB"/>
        </w:rPr>
        <w:t>and inaugurated several new</w:t>
      </w:r>
      <w:r w:rsidRPr="00037C61">
        <w:rPr>
          <w:rFonts w:cs="Calibri"/>
          <w:bCs/>
          <w:lang w:val="en-GB"/>
        </w:rPr>
        <w:t xml:space="preserve"> national road sections (e.g. the national road No 338 by passing Nyíregyháza in 2019; the national road No 481 connecting the Debrecen Airport to the M35 expressway in 2017</w:t>
      </w:r>
      <w:r w:rsidR="00C04B78" w:rsidRPr="00037C61">
        <w:rPr>
          <w:rFonts w:cs="Calibri"/>
          <w:bCs/>
          <w:lang w:val="en-GB"/>
        </w:rPr>
        <w:t xml:space="preserve">). </w:t>
      </w:r>
      <w:r w:rsidRPr="00037C61">
        <w:rPr>
          <w:rFonts w:cs="Calibri"/>
          <w:bCs/>
          <w:lang w:val="en-GB"/>
        </w:rPr>
        <w:t xml:space="preserve"> </w:t>
      </w:r>
    </w:p>
    <w:p w14:paraId="7A073DD9" w14:textId="4F4EB7A3" w:rsidR="00597400" w:rsidRPr="00037C61" w:rsidRDefault="00597400" w:rsidP="008E6744">
      <w:pPr>
        <w:rPr>
          <w:rFonts w:cs="Calibri"/>
          <w:lang w:val="en-GB"/>
        </w:rPr>
      </w:pPr>
      <w:r w:rsidRPr="00037C61">
        <w:rPr>
          <w:rFonts w:cs="Calibri"/>
          <w:lang w:val="en-GB"/>
        </w:rPr>
        <w:t>One of the most important upgradings is the development of the national road No 48 connecting Debrecen and the Nyírábrány / Vale</w:t>
      </w:r>
      <w:r w:rsidR="00C04B78" w:rsidRPr="00037C61">
        <w:rPr>
          <w:rFonts w:cs="Calibri"/>
          <w:lang w:val="en-GB"/>
        </w:rPr>
        <w:t>a</w:t>
      </w:r>
      <w:r w:rsidRPr="00037C61">
        <w:rPr>
          <w:rFonts w:cs="Calibri"/>
          <w:lang w:val="en-GB"/>
        </w:rPr>
        <w:t xml:space="preserve"> lui Mihai border crossing where not only the widening of the cross-section of the road but also the weight limit upgrade facilitate the transport connections between Hungary and Romania.</w:t>
      </w:r>
    </w:p>
    <w:p w14:paraId="7FA13DCA" w14:textId="0FA50B74" w:rsidR="00C04B78" w:rsidRPr="00037C61" w:rsidRDefault="00C04B78" w:rsidP="00457478">
      <w:pPr>
        <w:pStyle w:val="Caption"/>
        <w:keepNext/>
        <w:jc w:val="left"/>
        <w:rPr>
          <w:lang w:val="en-GB"/>
        </w:rPr>
      </w:pPr>
      <w:bookmarkStart w:id="759" w:name="_Toc58237655"/>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33</w:t>
      </w:r>
      <w:r w:rsidRPr="00037C61">
        <w:rPr>
          <w:lang w:val="en-GB"/>
        </w:rPr>
        <w:fldChar w:fldCharType="end"/>
      </w:r>
      <w:r w:rsidRPr="00037C61">
        <w:rPr>
          <w:lang w:val="en-GB"/>
        </w:rPr>
        <w:t xml:space="preserve"> - Road improvements in the PA (km of finalized improvements, annually)</w:t>
      </w:r>
      <w:bookmarkEnd w:id="759"/>
    </w:p>
    <w:tbl>
      <w:tblPr>
        <w:tblStyle w:val="ListTable3-Accent11"/>
        <w:tblW w:w="9007" w:type="dxa"/>
        <w:tblLook w:val="04A0" w:firstRow="1" w:lastRow="0" w:firstColumn="1" w:lastColumn="0" w:noHBand="0" w:noVBand="1"/>
      </w:tblPr>
      <w:tblGrid>
        <w:gridCol w:w="2856"/>
        <w:gridCol w:w="1431"/>
        <w:gridCol w:w="1287"/>
        <w:gridCol w:w="1430"/>
        <w:gridCol w:w="2003"/>
      </w:tblGrid>
      <w:tr w:rsidR="00E52182" w:rsidRPr="00037C61" w14:paraId="36590181" w14:textId="77777777" w:rsidTr="48589249">
        <w:trPr>
          <w:cnfStyle w:val="100000000000" w:firstRow="1" w:lastRow="0" w:firstColumn="0" w:lastColumn="0" w:oddVBand="0" w:evenVBand="0" w:oddHBand="0" w:evenHBand="0" w:firstRowFirstColumn="0" w:firstRowLastColumn="0" w:lastRowFirstColumn="0" w:lastRowLastColumn="0"/>
          <w:trHeight w:val="486"/>
        </w:trPr>
        <w:tc>
          <w:tcPr>
            <w:cnfStyle w:val="001000000100" w:firstRow="0" w:lastRow="0" w:firstColumn="1" w:lastColumn="0" w:oddVBand="0" w:evenVBand="0" w:oddHBand="0" w:evenHBand="0" w:firstRowFirstColumn="1" w:firstRowLastColumn="0" w:lastRowFirstColumn="0" w:lastRowLastColumn="0"/>
            <w:tcW w:w="2856" w:type="dxa"/>
            <w:hideMark/>
          </w:tcPr>
          <w:p w14:paraId="0AEA848B" w14:textId="7823B43A" w:rsidR="00E52182" w:rsidRPr="00037C61" w:rsidRDefault="00E52182" w:rsidP="00457478">
            <w:pPr>
              <w:jc w:val="left"/>
              <w:rPr>
                <w:rFonts w:cs="Calibri"/>
                <w:sz w:val="20"/>
                <w:szCs w:val="20"/>
                <w:lang w:val="en-GB" w:eastAsia="en-GB"/>
              </w:rPr>
            </w:pPr>
            <w:r w:rsidRPr="00037C61">
              <w:rPr>
                <w:rFonts w:cs="Calibri"/>
                <w:color w:val="auto"/>
                <w:sz w:val="20"/>
                <w:szCs w:val="20"/>
                <w:lang w:val="en-GB" w:eastAsia="en-GB"/>
              </w:rPr>
              <w:t> </w:t>
            </w:r>
            <w:r w:rsidRPr="00037C61">
              <w:rPr>
                <w:rFonts w:cs="Calibri"/>
                <w:sz w:val="20"/>
                <w:szCs w:val="20"/>
                <w:lang w:val="en-GB" w:eastAsia="en-GB"/>
              </w:rPr>
              <w:t>Road improvements (km)</w:t>
            </w:r>
          </w:p>
        </w:tc>
        <w:tc>
          <w:tcPr>
            <w:tcW w:w="1431" w:type="dxa"/>
            <w:hideMark/>
          </w:tcPr>
          <w:p w14:paraId="61EB81F7" w14:textId="77777777" w:rsidR="00E52182" w:rsidRPr="00037C61" w:rsidRDefault="00E52182" w:rsidP="00457478">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color w:val="auto"/>
                <w:sz w:val="20"/>
                <w:szCs w:val="20"/>
                <w:lang w:val="en-GB" w:eastAsia="en-GB"/>
              </w:rPr>
              <w:t>2016-2017</w:t>
            </w:r>
          </w:p>
        </w:tc>
        <w:tc>
          <w:tcPr>
            <w:tcW w:w="1287" w:type="dxa"/>
            <w:hideMark/>
          </w:tcPr>
          <w:p w14:paraId="22E5C6C9" w14:textId="77777777" w:rsidR="00E52182" w:rsidRPr="00037C61" w:rsidRDefault="00E52182" w:rsidP="00457478">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color w:val="auto"/>
                <w:sz w:val="20"/>
                <w:szCs w:val="20"/>
                <w:lang w:val="en-GB" w:eastAsia="en-GB"/>
              </w:rPr>
              <w:t>2018</w:t>
            </w:r>
          </w:p>
        </w:tc>
        <w:tc>
          <w:tcPr>
            <w:tcW w:w="1430" w:type="dxa"/>
            <w:hideMark/>
          </w:tcPr>
          <w:p w14:paraId="6407CFA1" w14:textId="77777777" w:rsidR="00E52182" w:rsidRPr="00037C61" w:rsidRDefault="00E52182" w:rsidP="00457478">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color w:val="auto"/>
                <w:sz w:val="20"/>
                <w:szCs w:val="20"/>
                <w:lang w:val="en-GB" w:eastAsia="en-GB"/>
              </w:rPr>
              <w:t>2019</w:t>
            </w:r>
          </w:p>
        </w:tc>
        <w:tc>
          <w:tcPr>
            <w:tcW w:w="2003" w:type="dxa"/>
            <w:hideMark/>
          </w:tcPr>
          <w:p w14:paraId="1AB53FB0" w14:textId="77777777" w:rsidR="00E52182" w:rsidRPr="00037C61" w:rsidRDefault="00E52182" w:rsidP="00457478">
            <w:pPr>
              <w:jc w:val="left"/>
              <w:cnfStyle w:val="100000000000" w:firstRow="1"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color w:val="auto"/>
                <w:sz w:val="20"/>
                <w:szCs w:val="20"/>
                <w:lang w:val="en-GB" w:eastAsia="en-GB"/>
              </w:rPr>
              <w:t>Total</w:t>
            </w:r>
          </w:p>
        </w:tc>
      </w:tr>
      <w:tr w:rsidR="00E52182" w:rsidRPr="00037C61" w14:paraId="67CA4F74" w14:textId="77777777" w:rsidTr="48589249">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856" w:type="dxa"/>
            <w:shd w:val="clear" w:color="auto" w:fill="FBD1D2" w:themeFill="accent3" w:themeFillTint="33"/>
            <w:hideMark/>
          </w:tcPr>
          <w:p w14:paraId="0F9B7F0B" w14:textId="77777777" w:rsidR="00E52182" w:rsidRPr="00037C61" w:rsidRDefault="00E52182" w:rsidP="00D63DEB">
            <w:pPr>
              <w:rPr>
                <w:rFonts w:cs="Calibri"/>
                <w:sz w:val="20"/>
                <w:szCs w:val="20"/>
                <w:lang w:val="en-GB" w:eastAsia="en-GB"/>
              </w:rPr>
            </w:pPr>
            <w:r w:rsidRPr="00037C61">
              <w:rPr>
                <w:rFonts w:cs="Calibri"/>
                <w:sz w:val="20"/>
                <w:szCs w:val="20"/>
                <w:lang w:val="en-GB" w:eastAsia="en-GB"/>
              </w:rPr>
              <w:t>Békés</w:t>
            </w:r>
          </w:p>
        </w:tc>
        <w:tc>
          <w:tcPr>
            <w:tcW w:w="1431" w:type="dxa"/>
            <w:shd w:val="clear" w:color="auto" w:fill="FBD1D2" w:themeFill="accent3" w:themeFillTint="33"/>
            <w:hideMark/>
          </w:tcPr>
          <w:p w14:paraId="5B657FEB"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17.40</w:t>
            </w:r>
          </w:p>
        </w:tc>
        <w:tc>
          <w:tcPr>
            <w:tcW w:w="1287" w:type="dxa"/>
            <w:shd w:val="clear" w:color="auto" w:fill="FBD1D2" w:themeFill="accent3" w:themeFillTint="33"/>
            <w:hideMark/>
          </w:tcPr>
          <w:p w14:paraId="5FE939AE"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40.40</w:t>
            </w:r>
          </w:p>
        </w:tc>
        <w:tc>
          <w:tcPr>
            <w:tcW w:w="1430" w:type="dxa"/>
            <w:shd w:val="clear" w:color="auto" w:fill="FBD1D2" w:themeFill="accent3" w:themeFillTint="33"/>
            <w:hideMark/>
          </w:tcPr>
          <w:p w14:paraId="1156A3DA"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11.80</w:t>
            </w:r>
          </w:p>
        </w:tc>
        <w:tc>
          <w:tcPr>
            <w:tcW w:w="2003" w:type="dxa"/>
            <w:shd w:val="clear" w:color="auto" w:fill="FBD1D2" w:themeFill="accent3" w:themeFillTint="33"/>
            <w:hideMark/>
          </w:tcPr>
          <w:p w14:paraId="43D89B4A"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69.60</w:t>
            </w:r>
          </w:p>
        </w:tc>
      </w:tr>
      <w:tr w:rsidR="00E52182" w:rsidRPr="00037C61" w14:paraId="207C31C0" w14:textId="77777777" w:rsidTr="48589249">
        <w:trPr>
          <w:trHeight w:val="241"/>
        </w:trPr>
        <w:tc>
          <w:tcPr>
            <w:cnfStyle w:val="001000000000" w:firstRow="0" w:lastRow="0" w:firstColumn="1" w:lastColumn="0" w:oddVBand="0" w:evenVBand="0" w:oddHBand="0" w:evenHBand="0" w:firstRowFirstColumn="0" w:firstRowLastColumn="0" w:lastRowFirstColumn="0" w:lastRowLastColumn="0"/>
            <w:tcW w:w="2856" w:type="dxa"/>
            <w:shd w:val="clear" w:color="auto" w:fill="FBD1D2" w:themeFill="accent3" w:themeFillTint="33"/>
            <w:hideMark/>
          </w:tcPr>
          <w:p w14:paraId="575712B8" w14:textId="77777777" w:rsidR="00E52182" w:rsidRPr="00037C61" w:rsidRDefault="00E52182" w:rsidP="00D63DEB">
            <w:pPr>
              <w:rPr>
                <w:rFonts w:cs="Calibri"/>
                <w:sz w:val="20"/>
                <w:szCs w:val="20"/>
                <w:lang w:val="en-GB" w:eastAsia="en-GB"/>
              </w:rPr>
            </w:pPr>
            <w:r w:rsidRPr="00037C61">
              <w:rPr>
                <w:rFonts w:cs="Calibri"/>
                <w:sz w:val="20"/>
                <w:szCs w:val="20"/>
                <w:lang w:val="en-GB" w:eastAsia="en-GB"/>
              </w:rPr>
              <w:t>Csongrád-Csanád</w:t>
            </w:r>
          </w:p>
        </w:tc>
        <w:tc>
          <w:tcPr>
            <w:tcW w:w="1431" w:type="dxa"/>
            <w:shd w:val="clear" w:color="auto" w:fill="FBD1D2" w:themeFill="accent3" w:themeFillTint="33"/>
            <w:hideMark/>
          </w:tcPr>
          <w:p w14:paraId="4276072B"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19.80</w:t>
            </w:r>
          </w:p>
        </w:tc>
        <w:tc>
          <w:tcPr>
            <w:tcW w:w="1287" w:type="dxa"/>
            <w:shd w:val="clear" w:color="auto" w:fill="FBD1D2" w:themeFill="accent3" w:themeFillTint="33"/>
            <w:hideMark/>
          </w:tcPr>
          <w:p w14:paraId="44FDCCCB"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44.40</w:t>
            </w:r>
          </w:p>
        </w:tc>
        <w:tc>
          <w:tcPr>
            <w:tcW w:w="1430" w:type="dxa"/>
            <w:shd w:val="clear" w:color="auto" w:fill="FBD1D2" w:themeFill="accent3" w:themeFillTint="33"/>
            <w:hideMark/>
          </w:tcPr>
          <w:p w14:paraId="57A66F39"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13.20</w:t>
            </w:r>
          </w:p>
        </w:tc>
        <w:tc>
          <w:tcPr>
            <w:tcW w:w="2003" w:type="dxa"/>
            <w:shd w:val="clear" w:color="auto" w:fill="FBD1D2" w:themeFill="accent3" w:themeFillTint="33"/>
            <w:hideMark/>
          </w:tcPr>
          <w:p w14:paraId="2705B1A1"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77.40</w:t>
            </w:r>
          </w:p>
        </w:tc>
      </w:tr>
      <w:tr w:rsidR="00E52182" w:rsidRPr="00037C61" w14:paraId="593612F7" w14:textId="77777777" w:rsidTr="48589249">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2856" w:type="dxa"/>
            <w:shd w:val="clear" w:color="auto" w:fill="FBD1D2" w:themeFill="accent3" w:themeFillTint="33"/>
            <w:hideMark/>
          </w:tcPr>
          <w:p w14:paraId="578D586F" w14:textId="77777777" w:rsidR="00E52182" w:rsidRPr="00037C61" w:rsidRDefault="00E52182" w:rsidP="00D63DEB">
            <w:pPr>
              <w:rPr>
                <w:rFonts w:cs="Calibri"/>
                <w:sz w:val="20"/>
                <w:szCs w:val="20"/>
                <w:lang w:val="en-GB" w:eastAsia="en-GB"/>
              </w:rPr>
            </w:pPr>
            <w:r w:rsidRPr="00037C61">
              <w:rPr>
                <w:rFonts w:cs="Calibri"/>
                <w:sz w:val="20"/>
                <w:szCs w:val="20"/>
                <w:lang w:val="en-GB" w:eastAsia="en-GB"/>
              </w:rPr>
              <w:t>Hajdú-Bihar</w:t>
            </w:r>
          </w:p>
        </w:tc>
        <w:tc>
          <w:tcPr>
            <w:tcW w:w="1431" w:type="dxa"/>
            <w:shd w:val="clear" w:color="auto" w:fill="FBD1D2" w:themeFill="accent3" w:themeFillTint="33"/>
            <w:hideMark/>
          </w:tcPr>
          <w:p w14:paraId="64867150"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24.40</w:t>
            </w:r>
          </w:p>
        </w:tc>
        <w:tc>
          <w:tcPr>
            <w:tcW w:w="1287" w:type="dxa"/>
            <w:shd w:val="clear" w:color="auto" w:fill="FBD1D2" w:themeFill="accent3" w:themeFillTint="33"/>
            <w:hideMark/>
          </w:tcPr>
          <w:p w14:paraId="14B605D9"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53.00</w:t>
            </w:r>
          </w:p>
        </w:tc>
        <w:tc>
          <w:tcPr>
            <w:tcW w:w="1430" w:type="dxa"/>
            <w:shd w:val="clear" w:color="auto" w:fill="FBD1D2" w:themeFill="accent3" w:themeFillTint="33"/>
            <w:hideMark/>
          </w:tcPr>
          <w:p w14:paraId="260B0C02"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15.00</w:t>
            </w:r>
          </w:p>
        </w:tc>
        <w:tc>
          <w:tcPr>
            <w:tcW w:w="2003" w:type="dxa"/>
            <w:shd w:val="clear" w:color="auto" w:fill="FBD1D2" w:themeFill="accent3" w:themeFillTint="33"/>
            <w:hideMark/>
          </w:tcPr>
          <w:p w14:paraId="10D868B8"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92.40</w:t>
            </w:r>
          </w:p>
        </w:tc>
      </w:tr>
      <w:tr w:rsidR="00E52182" w:rsidRPr="00037C61" w14:paraId="655D97D4" w14:textId="77777777" w:rsidTr="48589249">
        <w:trPr>
          <w:trHeight w:val="58"/>
        </w:trPr>
        <w:tc>
          <w:tcPr>
            <w:cnfStyle w:val="001000000000" w:firstRow="0" w:lastRow="0" w:firstColumn="1" w:lastColumn="0" w:oddVBand="0" w:evenVBand="0" w:oddHBand="0" w:evenHBand="0" w:firstRowFirstColumn="0" w:firstRowLastColumn="0" w:lastRowFirstColumn="0" w:lastRowLastColumn="0"/>
            <w:tcW w:w="2856" w:type="dxa"/>
            <w:shd w:val="clear" w:color="auto" w:fill="FBD1D2" w:themeFill="accent3" w:themeFillTint="33"/>
            <w:hideMark/>
          </w:tcPr>
          <w:p w14:paraId="0A826972" w14:textId="77777777" w:rsidR="00E52182" w:rsidRPr="00037C61" w:rsidRDefault="00E52182" w:rsidP="00D63DEB">
            <w:pPr>
              <w:rPr>
                <w:rFonts w:cs="Calibri"/>
                <w:sz w:val="20"/>
                <w:szCs w:val="20"/>
                <w:lang w:val="en-GB" w:eastAsia="en-GB"/>
              </w:rPr>
            </w:pPr>
            <w:r w:rsidRPr="00037C61">
              <w:rPr>
                <w:rFonts w:cs="Calibri"/>
                <w:sz w:val="20"/>
                <w:szCs w:val="20"/>
                <w:lang w:val="en-GB" w:eastAsia="en-GB"/>
              </w:rPr>
              <w:t>Szabolcs-Szatmár-Bereg</w:t>
            </w:r>
          </w:p>
        </w:tc>
        <w:tc>
          <w:tcPr>
            <w:tcW w:w="1431" w:type="dxa"/>
            <w:shd w:val="clear" w:color="auto" w:fill="FBD1D2" w:themeFill="accent3" w:themeFillTint="33"/>
            <w:hideMark/>
          </w:tcPr>
          <w:p w14:paraId="4813FA7A"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26.00</w:t>
            </w:r>
          </w:p>
        </w:tc>
        <w:tc>
          <w:tcPr>
            <w:tcW w:w="1287" w:type="dxa"/>
            <w:shd w:val="clear" w:color="auto" w:fill="FBD1D2" w:themeFill="accent3" w:themeFillTint="33"/>
            <w:hideMark/>
          </w:tcPr>
          <w:p w14:paraId="417CFFC6"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87.30</w:t>
            </w:r>
          </w:p>
        </w:tc>
        <w:tc>
          <w:tcPr>
            <w:tcW w:w="1430" w:type="dxa"/>
            <w:shd w:val="clear" w:color="auto" w:fill="FBD1D2" w:themeFill="accent3" w:themeFillTint="33"/>
            <w:hideMark/>
          </w:tcPr>
          <w:p w14:paraId="736D2685"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25.00</w:t>
            </w:r>
          </w:p>
        </w:tc>
        <w:tc>
          <w:tcPr>
            <w:tcW w:w="2003" w:type="dxa"/>
            <w:shd w:val="clear" w:color="auto" w:fill="FBD1D2" w:themeFill="accent3" w:themeFillTint="33"/>
            <w:hideMark/>
          </w:tcPr>
          <w:p w14:paraId="3D6BA31E"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138.30</w:t>
            </w:r>
          </w:p>
        </w:tc>
      </w:tr>
      <w:tr w:rsidR="00E52182" w:rsidRPr="00037C61" w14:paraId="4CB1B262" w14:textId="77777777" w:rsidTr="48589249">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856" w:type="dxa"/>
            <w:shd w:val="clear" w:color="auto" w:fill="EAEDF6" w:themeFill="accent2" w:themeFillTint="33"/>
            <w:hideMark/>
          </w:tcPr>
          <w:p w14:paraId="5296895D" w14:textId="77777777" w:rsidR="00E52182" w:rsidRPr="00037C61" w:rsidRDefault="00E52182" w:rsidP="00457478">
            <w:pPr>
              <w:rPr>
                <w:rFonts w:cs="Calibri"/>
                <w:sz w:val="20"/>
                <w:szCs w:val="20"/>
                <w:lang w:val="en-GB" w:eastAsia="en-GB"/>
              </w:rPr>
            </w:pPr>
            <w:r w:rsidRPr="00037C61">
              <w:rPr>
                <w:rFonts w:cs="Calibri"/>
                <w:sz w:val="20"/>
                <w:szCs w:val="20"/>
                <w:lang w:val="en-GB" w:eastAsia="en-GB"/>
              </w:rPr>
              <w:t>Bihor</w:t>
            </w:r>
          </w:p>
        </w:tc>
        <w:tc>
          <w:tcPr>
            <w:tcW w:w="1431" w:type="dxa"/>
            <w:shd w:val="clear" w:color="auto" w:fill="EAEDF6" w:themeFill="accent2" w:themeFillTint="33"/>
            <w:hideMark/>
          </w:tcPr>
          <w:p w14:paraId="74209D75"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22.00</w:t>
            </w:r>
          </w:p>
        </w:tc>
        <w:tc>
          <w:tcPr>
            <w:tcW w:w="1287" w:type="dxa"/>
            <w:shd w:val="clear" w:color="auto" w:fill="EAEDF6" w:themeFill="accent2" w:themeFillTint="33"/>
            <w:hideMark/>
          </w:tcPr>
          <w:p w14:paraId="22458831"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0.00</w:t>
            </w:r>
          </w:p>
        </w:tc>
        <w:tc>
          <w:tcPr>
            <w:tcW w:w="1430" w:type="dxa"/>
            <w:shd w:val="clear" w:color="auto" w:fill="EAEDF6" w:themeFill="accent2" w:themeFillTint="33"/>
            <w:hideMark/>
          </w:tcPr>
          <w:p w14:paraId="60868ED9"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0.00</w:t>
            </w:r>
          </w:p>
        </w:tc>
        <w:tc>
          <w:tcPr>
            <w:tcW w:w="2003" w:type="dxa"/>
            <w:shd w:val="clear" w:color="auto" w:fill="EAEDF6" w:themeFill="accent2" w:themeFillTint="33"/>
            <w:hideMark/>
          </w:tcPr>
          <w:p w14:paraId="25230CE0"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22.00</w:t>
            </w:r>
          </w:p>
        </w:tc>
      </w:tr>
      <w:tr w:rsidR="00E52182" w:rsidRPr="00037C61" w14:paraId="461681AD" w14:textId="77777777" w:rsidTr="48589249">
        <w:trPr>
          <w:trHeight w:val="235"/>
        </w:trPr>
        <w:tc>
          <w:tcPr>
            <w:cnfStyle w:val="001000000000" w:firstRow="0" w:lastRow="0" w:firstColumn="1" w:lastColumn="0" w:oddVBand="0" w:evenVBand="0" w:oddHBand="0" w:evenHBand="0" w:firstRowFirstColumn="0" w:firstRowLastColumn="0" w:lastRowFirstColumn="0" w:lastRowLastColumn="0"/>
            <w:tcW w:w="2856" w:type="dxa"/>
            <w:shd w:val="clear" w:color="auto" w:fill="EAEDF6" w:themeFill="accent2" w:themeFillTint="33"/>
            <w:hideMark/>
          </w:tcPr>
          <w:p w14:paraId="58153E9B" w14:textId="77777777" w:rsidR="00E52182" w:rsidRPr="00037C61" w:rsidRDefault="00E52182" w:rsidP="00457478">
            <w:pPr>
              <w:rPr>
                <w:rFonts w:cs="Calibri"/>
                <w:sz w:val="20"/>
                <w:szCs w:val="20"/>
                <w:lang w:val="en-GB" w:eastAsia="en-GB"/>
              </w:rPr>
            </w:pPr>
            <w:r w:rsidRPr="00037C61">
              <w:rPr>
                <w:rFonts w:cs="Calibri"/>
                <w:sz w:val="20"/>
                <w:szCs w:val="20"/>
                <w:lang w:val="en-GB" w:eastAsia="en-GB"/>
              </w:rPr>
              <w:t>Satu Mare</w:t>
            </w:r>
          </w:p>
        </w:tc>
        <w:tc>
          <w:tcPr>
            <w:tcW w:w="1431" w:type="dxa"/>
            <w:shd w:val="clear" w:color="auto" w:fill="EAEDF6" w:themeFill="accent2" w:themeFillTint="33"/>
            <w:hideMark/>
          </w:tcPr>
          <w:p w14:paraId="420F9474"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69.00</w:t>
            </w:r>
          </w:p>
        </w:tc>
        <w:tc>
          <w:tcPr>
            <w:tcW w:w="1287" w:type="dxa"/>
            <w:shd w:val="clear" w:color="auto" w:fill="EAEDF6" w:themeFill="accent2" w:themeFillTint="33"/>
            <w:hideMark/>
          </w:tcPr>
          <w:p w14:paraId="6ABEFF4E"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16.00</w:t>
            </w:r>
          </w:p>
        </w:tc>
        <w:tc>
          <w:tcPr>
            <w:tcW w:w="1430" w:type="dxa"/>
            <w:shd w:val="clear" w:color="auto" w:fill="EAEDF6" w:themeFill="accent2" w:themeFillTint="33"/>
            <w:hideMark/>
          </w:tcPr>
          <w:p w14:paraId="3C553305"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142.00</w:t>
            </w:r>
          </w:p>
        </w:tc>
        <w:tc>
          <w:tcPr>
            <w:tcW w:w="2003" w:type="dxa"/>
            <w:shd w:val="clear" w:color="auto" w:fill="EAEDF6" w:themeFill="accent2" w:themeFillTint="33"/>
            <w:hideMark/>
          </w:tcPr>
          <w:p w14:paraId="2B931EEF"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227.00</w:t>
            </w:r>
          </w:p>
        </w:tc>
      </w:tr>
      <w:tr w:rsidR="00E52182" w:rsidRPr="00037C61" w14:paraId="51B009D3" w14:textId="77777777" w:rsidTr="48589249">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2856" w:type="dxa"/>
            <w:shd w:val="clear" w:color="auto" w:fill="EAEDF6" w:themeFill="accent2" w:themeFillTint="33"/>
            <w:hideMark/>
          </w:tcPr>
          <w:p w14:paraId="6879B54B" w14:textId="77777777" w:rsidR="00E52182" w:rsidRPr="00037C61" w:rsidRDefault="00E52182" w:rsidP="00457478">
            <w:pPr>
              <w:rPr>
                <w:rFonts w:cs="Calibri"/>
                <w:sz w:val="20"/>
                <w:szCs w:val="20"/>
                <w:lang w:val="en-GB" w:eastAsia="en-GB"/>
              </w:rPr>
            </w:pPr>
            <w:r w:rsidRPr="00037C61">
              <w:rPr>
                <w:rFonts w:cs="Calibri"/>
                <w:sz w:val="20"/>
                <w:szCs w:val="20"/>
                <w:lang w:val="en-GB" w:eastAsia="en-GB"/>
              </w:rPr>
              <w:t>Arad</w:t>
            </w:r>
          </w:p>
        </w:tc>
        <w:tc>
          <w:tcPr>
            <w:tcW w:w="1431" w:type="dxa"/>
            <w:shd w:val="clear" w:color="auto" w:fill="EAEDF6" w:themeFill="accent2" w:themeFillTint="33"/>
            <w:hideMark/>
          </w:tcPr>
          <w:p w14:paraId="202CEA38"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24.00</w:t>
            </w:r>
          </w:p>
        </w:tc>
        <w:tc>
          <w:tcPr>
            <w:tcW w:w="1287" w:type="dxa"/>
            <w:shd w:val="clear" w:color="auto" w:fill="EAEDF6" w:themeFill="accent2" w:themeFillTint="33"/>
            <w:hideMark/>
          </w:tcPr>
          <w:p w14:paraId="7622365D"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0.00</w:t>
            </w:r>
          </w:p>
        </w:tc>
        <w:tc>
          <w:tcPr>
            <w:tcW w:w="1430" w:type="dxa"/>
            <w:shd w:val="clear" w:color="auto" w:fill="EAEDF6" w:themeFill="accent2" w:themeFillTint="33"/>
            <w:hideMark/>
          </w:tcPr>
          <w:p w14:paraId="198C8DB1"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46.00</w:t>
            </w:r>
          </w:p>
        </w:tc>
        <w:tc>
          <w:tcPr>
            <w:tcW w:w="2003" w:type="dxa"/>
            <w:shd w:val="clear" w:color="auto" w:fill="EAEDF6" w:themeFill="accent2" w:themeFillTint="33"/>
            <w:hideMark/>
          </w:tcPr>
          <w:p w14:paraId="4024752D"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70.00</w:t>
            </w:r>
          </w:p>
        </w:tc>
      </w:tr>
      <w:tr w:rsidR="00E52182" w:rsidRPr="00037C61" w14:paraId="00CE9E46" w14:textId="77777777" w:rsidTr="48589249">
        <w:trPr>
          <w:trHeight w:val="247"/>
        </w:trPr>
        <w:tc>
          <w:tcPr>
            <w:cnfStyle w:val="001000000000" w:firstRow="0" w:lastRow="0" w:firstColumn="1" w:lastColumn="0" w:oddVBand="0" w:evenVBand="0" w:oddHBand="0" w:evenHBand="0" w:firstRowFirstColumn="0" w:firstRowLastColumn="0" w:lastRowFirstColumn="0" w:lastRowLastColumn="0"/>
            <w:tcW w:w="2856" w:type="dxa"/>
            <w:shd w:val="clear" w:color="auto" w:fill="EAEDF6" w:themeFill="accent2" w:themeFillTint="33"/>
            <w:hideMark/>
          </w:tcPr>
          <w:p w14:paraId="6975D29E" w14:textId="77777777" w:rsidR="00E52182" w:rsidRPr="00037C61" w:rsidRDefault="00E52182" w:rsidP="00457478">
            <w:pPr>
              <w:rPr>
                <w:rFonts w:cs="Calibri"/>
                <w:sz w:val="20"/>
                <w:szCs w:val="20"/>
                <w:lang w:val="en-GB" w:eastAsia="en-GB"/>
              </w:rPr>
            </w:pPr>
            <w:r w:rsidRPr="00037C61">
              <w:rPr>
                <w:rFonts w:cs="Calibri"/>
                <w:sz w:val="20"/>
                <w:szCs w:val="20"/>
                <w:lang w:val="en-GB" w:eastAsia="en-GB"/>
              </w:rPr>
              <w:t>Timis</w:t>
            </w:r>
          </w:p>
        </w:tc>
        <w:tc>
          <w:tcPr>
            <w:tcW w:w="1431" w:type="dxa"/>
            <w:shd w:val="clear" w:color="auto" w:fill="EAEDF6" w:themeFill="accent2" w:themeFillTint="33"/>
            <w:hideMark/>
          </w:tcPr>
          <w:p w14:paraId="681DF7F9"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69.00</w:t>
            </w:r>
          </w:p>
        </w:tc>
        <w:tc>
          <w:tcPr>
            <w:tcW w:w="1287" w:type="dxa"/>
            <w:shd w:val="clear" w:color="auto" w:fill="EAEDF6" w:themeFill="accent2" w:themeFillTint="33"/>
            <w:hideMark/>
          </w:tcPr>
          <w:p w14:paraId="60BEFFF8"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17.00</w:t>
            </w:r>
          </w:p>
        </w:tc>
        <w:tc>
          <w:tcPr>
            <w:tcW w:w="1430" w:type="dxa"/>
            <w:shd w:val="clear" w:color="auto" w:fill="EAEDF6" w:themeFill="accent2" w:themeFillTint="33"/>
            <w:hideMark/>
          </w:tcPr>
          <w:p w14:paraId="1A6EB83E"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30.00</w:t>
            </w:r>
          </w:p>
        </w:tc>
        <w:tc>
          <w:tcPr>
            <w:tcW w:w="2003" w:type="dxa"/>
            <w:shd w:val="clear" w:color="auto" w:fill="EAEDF6" w:themeFill="accent2" w:themeFillTint="33"/>
            <w:hideMark/>
          </w:tcPr>
          <w:p w14:paraId="249EF2A0"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116.00</w:t>
            </w:r>
          </w:p>
        </w:tc>
      </w:tr>
      <w:tr w:rsidR="00E52182" w:rsidRPr="00037C61" w14:paraId="401179FE" w14:textId="77777777" w:rsidTr="48589249">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2856" w:type="dxa"/>
            <w:shd w:val="clear" w:color="auto" w:fill="FBD1D2" w:themeFill="accent3" w:themeFillTint="33"/>
            <w:hideMark/>
          </w:tcPr>
          <w:p w14:paraId="119A951C" w14:textId="77777777" w:rsidR="00E52182" w:rsidRPr="00037C61" w:rsidRDefault="00E52182" w:rsidP="00D63DEB">
            <w:pPr>
              <w:rPr>
                <w:rFonts w:cs="Calibri"/>
                <w:sz w:val="20"/>
                <w:szCs w:val="20"/>
                <w:lang w:val="en-GB" w:eastAsia="en-GB"/>
              </w:rPr>
            </w:pPr>
            <w:r w:rsidRPr="00037C61">
              <w:rPr>
                <w:rFonts w:cs="Calibri"/>
                <w:sz w:val="20"/>
                <w:szCs w:val="20"/>
                <w:lang w:val="en-GB" w:eastAsia="en-GB"/>
              </w:rPr>
              <w:t>Hu area</w:t>
            </w:r>
          </w:p>
        </w:tc>
        <w:tc>
          <w:tcPr>
            <w:tcW w:w="1431" w:type="dxa"/>
            <w:shd w:val="clear" w:color="auto" w:fill="FBD1D2" w:themeFill="accent3" w:themeFillTint="33"/>
            <w:hideMark/>
          </w:tcPr>
          <w:p w14:paraId="7257170E"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87.60</w:t>
            </w:r>
          </w:p>
        </w:tc>
        <w:tc>
          <w:tcPr>
            <w:tcW w:w="1287" w:type="dxa"/>
            <w:shd w:val="clear" w:color="auto" w:fill="FBD1D2" w:themeFill="accent3" w:themeFillTint="33"/>
            <w:hideMark/>
          </w:tcPr>
          <w:p w14:paraId="121C6F29"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225.10</w:t>
            </w:r>
          </w:p>
        </w:tc>
        <w:tc>
          <w:tcPr>
            <w:tcW w:w="1430" w:type="dxa"/>
            <w:shd w:val="clear" w:color="auto" w:fill="FBD1D2" w:themeFill="accent3" w:themeFillTint="33"/>
            <w:hideMark/>
          </w:tcPr>
          <w:p w14:paraId="67E12586"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65.00</w:t>
            </w:r>
          </w:p>
        </w:tc>
        <w:tc>
          <w:tcPr>
            <w:tcW w:w="2003" w:type="dxa"/>
            <w:shd w:val="clear" w:color="auto" w:fill="FBD1D2" w:themeFill="accent3" w:themeFillTint="33"/>
            <w:hideMark/>
          </w:tcPr>
          <w:p w14:paraId="43697745"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377.70</w:t>
            </w:r>
          </w:p>
        </w:tc>
      </w:tr>
      <w:tr w:rsidR="00E52182" w:rsidRPr="00037C61" w14:paraId="6B447F24" w14:textId="77777777" w:rsidTr="48589249">
        <w:trPr>
          <w:trHeight w:val="247"/>
        </w:trPr>
        <w:tc>
          <w:tcPr>
            <w:cnfStyle w:val="001000000000" w:firstRow="0" w:lastRow="0" w:firstColumn="1" w:lastColumn="0" w:oddVBand="0" w:evenVBand="0" w:oddHBand="0" w:evenHBand="0" w:firstRowFirstColumn="0" w:firstRowLastColumn="0" w:lastRowFirstColumn="0" w:lastRowLastColumn="0"/>
            <w:tcW w:w="2856" w:type="dxa"/>
            <w:shd w:val="clear" w:color="auto" w:fill="EAEDF6" w:themeFill="accent2" w:themeFillTint="33"/>
            <w:hideMark/>
          </w:tcPr>
          <w:p w14:paraId="7981DCA3" w14:textId="77777777" w:rsidR="00E52182" w:rsidRPr="00037C61" w:rsidRDefault="00E52182" w:rsidP="00457478">
            <w:pPr>
              <w:rPr>
                <w:rFonts w:cs="Calibri"/>
                <w:sz w:val="20"/>
                <w:szCs w:val="20"/>
                <w:lang w:val="en-GB" w:eastAsia="en-GB"/>
              </w:rPr>
            </w:pPr>
            <w:r w:rsidRPr="00037C61">
              <w:rPr>
                <w:rFonts w:cs="Calibri"/>
                <w:sz w:val="20"/>
                <w:szCs w:val="20"/>
                <w:lang w:val="en-GB" w:eastAsia="en-GB"/>
              </w:rPr>
              <w:t>Ro area</w:t>
            </w:r>
          </w:p>
        </w:tc>
        <w:tc>
          <w:tcPr>
            <w:tcW w:w="1431" w:type="dxa"/>
            <w:shd w:val="clear" w:color="auto" w:fill="EAEDF6" w:themeFill="accent2" w:themeFillTint="33"/>
            <w:noWrap/>
            <w:hideMark/>
          </w:tcPr>
          <w:p w14:paraId="05FA517B"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184.00</w:t>
            </w:r>
          </w:p>
        </w:tc>
        <w:tc>
          <w:tcPr>
            <w:tcW w:w="1287" w:type="dxa"/>
            <w:shd w:val="clear" w:color="auto" w:fill="EAEDF6" w:themeFill="accent2" w:themeFillTint="33"/>
            <w:noWrap/>
            <w:hideMark/>
          </w:tcPr>
          <w:p w14:paraId="6F147D53"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33.00</w:t>
            </w:r>
          </w:p>
        </w:tc>
        <w:tc>
          <w:tcPr>
            <w:tcW w:w="1430" w:type="dxa"/>
            <w:shd w:val="clear" w:color="auto" w:fill="EAEDF6" w:themeFill="accent2" w:themeFillTint="33"/>
            <w:noWrap/>
            <w:hideMark/>
          </w:tcPr>
          <w:p w14:paraId="0018C85A"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218.00</w:t>
            </w:r>
          </w:p>
        </w:tc>
        <w:tc>
          <w:tcPr>
            <w:tcW w:w="2003" w:type="dxa"/>
            <w:shd w:val="clear" w:color="auto" w:fill="EAEDF6" w:themeFill="accent2" w:themeFillTint="33"/>
            <w:noWrap/>
            <w:hideMark/>
          </w:tcPr>
          <w:p w14:paraId="51CAC716" w14:textId="77777777" w:rsidR="00E52182" w:rsidRPr="00037C61" w:rsidRDefault="00E52182" w:rsidP="00457478">
            <w:pPr>
              <w:jc w:val="center"/>
              <w:cnfStyle w:val="000000000000" w:firstRow="0" w:lastRow="0" w:firstColumn="0" w:lastColumn="0" w:oddVBand="0" w:evenVBand="0" w:oddHBand="0"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435.00</w:t>
            </w:r>
          </w:p>
        </w:tc>
      </w:tr>
      <w:tr w:rsidR="00E52182" w:rsidRPr="00037C61" w14:paraId="6FA7E2E3" w14:textId="77777777" w:rsidTr="48589249">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856" w:type="dxa"/>
            <w:hideMark/>
          </w:tcPr>
          <w:p w14:paraId="3DCE81FD" w14:textId="77ADEA72" w:rsidR="00E52182" w:rsidRPr="00037C61" w:rsidRDefault="00E52182" w:rsidP="00457478">
            <w:pPr>
              <w:rPr>
                <w:rFonts w:cs="Calibri"/>
                <w:sz w:val="20"/>
                <w:szCs w:val="20"/>
                <w:lang w:val="en-GB" w:eastAsia="en-GB"/>
              </w:rPr>
            </w:pPr>
            <w:r w:rsidRPr="00037C61">
              <w:rPr>
                <w:rFonts w:cs="Calibri"/>
                <w:sz w:val="20"/>
                <w:szCs w:val="20"/>
                <w:lang w:val="en-GB" w:eastAsia="en-GB"/>
              </w:rPr>
              <w:t>Total PA</w:t>
            </w:r>
          </w:p>
        </w:tc>
        <w:tc>
          <w:tcPr>
            <w:tcW w:w="1431" w:type="dxa"/>
            <w:noWrap/>
            <w:hideMark/>
          </w:tcPr>
          <w:p w14:paraId="365D8EC4"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271.60</w:t>
            </w:r>
          </w:p>
        </w:tc>
        <w:tc>
          <w:tcPr>
            <w:tcW w:w="1287" w:type="dxa"/>
            <w:noWrap/>
            <w:hideMark/>
          </w:tcPr>
          <w:p w14:paraId="3E3AD676"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258.10</w:t>
            </w:r>
          </w:p>
        </w:tc>
        <w:tc>
          <w:tcPr>
            <w:tcW w:w="1430" w:type="dxa"/>
            <w:noWrap/>
            <w:hideMark/>
          </w:tcPr>
          <w:p w14:paraId="72423DDD"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283.00</w:t>
            </w:r>
          </w:p>
        </w:tc>
        <w:tc>
          <w:tcPr>
            <w:tcW w:w="2003" w:type="dxa"/>
            <w:noWrap/>
            <w:hideMark/>
          </w:tcPr>
          <w:p w14:paraId="724C2EAF" w14:textId="77777777" w:rsidR="00E52182" w:rsidRPr="00037C61" w:rsidRDefault="00E52182" w:rsidP="00457478">
            <w:pPr>
              <w:jc w:val="center"/>
              <w:cnfStyle w:val="000000100000" w:firstRow="0" w:lastRow="0" w:firstColumn="0" w:lastColumn="0" w:oddVBand="0" w:evenVBand="0" w:oddHBand="1" w:evenHBand="0" w:firstRowFirstColumn="0" w:firstRowLastColumn="0" w:lastRowFirstColumn="0" w:lastRowLastColumn="0"/>
              <w:rPr>
                <w:rFonts w:cs="Calibri"/>
                <w:sz w:val="20"/>
                <w:szCs w:val="20"/>
                <w:lang w:val="en-GB" w:eastAsia="en-GB"/>
              </w:rPr>
            </w:pPr>
            <w:r w:rsidRPr="00037C61">
              <w:rPr>
                <w:rFonts w:cs="Calibri"/>
                <w:sz w:val="20"/>
                <w:szCs w:val="20"/>
                <w:lang w:val="en-GB" w:eastAsia="en-GB"/>
              </w:rPr>
              <w:t>812.70</w:t>
            </w:r>
          </w:p>
        </w:tc>
      </w:tr>
    </w:tbl>
    <w:p w14:paraId="002F2555" w14:textId="16C5E97D" w:rsidR="48589249" w:rsidRPr="00037C61" w:rsidRDefault="48589249">
      <w:pPr>
        <w:rPr>
          <w:lang w:val="en-GB"/>
        </w:rPr>
      </w:pPr>
    </w:p>
    <w:p w14:paraId="78D39CD9" w14:textId="52269AD5" w:rsidR="00E52182" w:rsidRPr="00037C61" w:rsidRDefault="00C04B78" w:rsidP="00457478">
      <w:pPr>
        <w:pStyle w:val="Caption"/>
        <w:keepNext/>
        <w:spacing w:after="240"/>
        <w:jc w:val="left"/>
        <w:rPr>
          <w:lang w:val="en-GB"/>
        </w:rPr>
      </w:pPr>
      <w:r w:rsidRPr="00037C61">
        <w:rPr>
          <w:lang w:val="en-GB"/>
        </w:rPr>
        <w:lastRenderedPageBreak/>
        <w:t>Source: INS, Public road renovation program of the Magyar Közút Nonprofit Zrt. and the Hungarian Village Program</w:t>
      </w:r>
    </w:p>
    <w:p w14:paraId="1C72F445" w14:textId="34882268" w:rsidR="00172F90" w:rsidRPr="00037C61" w:rsidRDefault="00597400" w:rsidP="00172F90">
      <w:pPr>
        <w:rPr>
          <w:rFonts w:cs="Calibri"/>
          <w:bCs/>
          <w:lang w:val="en-GB"/>
        </w:rPr>
      </w:pPr>
      <w:r w:rsidRPr="00037C61">
        <w:rPr>
          <w:rFonts w:cs="Calibri"/>
          <w:bCs/>
          <w:lang w:val="en-GB"/>
        </w:rPr>
        <w:t xml:space="preserve">There have been significant developments in the growth of the expressway and motorway network. </w:t>
      </w:r>
      <w:r w:rsidR="00172F90" w:rsidRPr="00037C61">
        <w:rPr>
          <w:rFonts w:cs="Calibri"/>
          <w:bCs/>
          <w:lang w:val="en-GB"/>
        </w:rPr>
        <w:t>Several new highway sections have been inaugurated during the current programming period</w:t>
      </w:r>
      <w:r w:rsidR="006C68CD" w:rsidRPr="00037C61">
        <w:rPr>
          <w:rFonts w:cs="Calibri"/>
          <w:bCs/>
          <w:lang w:val="en-GB"/>
        </w:rPr>
        <w:t>, of which a total number of 22</w:t>
      </w:r>
      <w:r w:rsidRPr="00037C61">
        <w:rPr>
          <w:rFonts w:cs="Calibri"/>
          <w:bCs/>
          <w:lang w:val="en-GB"/>
        </w:rPr>
        <w:t>6</w:t>
      </w:r>
      <w:r w:rsidR="006C68CD" w:rsidRPr="00037C61">
        <w:rPr>
          <w:rFonts w:cs="Calibri"/>
          <w:bCs/>
          <w:lang w:val="en-GB"/>
        </w:rPr>
        <w:t>.</w:t>
      </w:r>
      <w:r w:rsidRPr="00037C61">
        <w:rPr>
          <w:rFonts w:cs="Calibri"/>
          <w:bCs/>
          <w:lang w:val="en-GB"/>
        </w:rPr>
        <w:t>2</w:t>
      </w:r>
      <w:r w:rsidR="006C68CD" w:rsidRPr="00037C61">
        <w:rPr>
          <w:rFonts w:cs="Calibri"/>
          <w:bCs/>
          <w:lang w:val="en-GB"/>
        </w:rPr>
        <w:t xml:space="preserve"> km</w:t>
      </w:r>
      <w:r w:rsidR="00471F27" w:rsidRPr="00037C61">
        <w:rPr>
          <w:rFonts w:cs="Calibri"/>
          <w:bCs/>
          <w:lang w:val="en-GB"/>
        </w:rPr>
        <w:t xml:space="preserve"> can be found</w:t>
      </w:r>
      <w:r w:rsidR="006C68CD" w:rsidRPr="00037C61">
        <w:rPr>
          <w:rFonts w:cs="Calibri"/>
          <w:bCs/>
          <w:lang w:val="en-GB"/>
        </w:rPr>
        <w:t xml:space="preserve"> in the PA area. </w:t>
      </w:r>
    </w:p>
    <w:p w14:paraId="39453451" w14:textId="36267DAF" w:rsidR="006C68CD" w:rsidRPr="00037C61" w:rsidRDefault="006C68CD" w:rsidP="00457478">
      <w:pPr>
        <w:pStyle w:val="Caption"/>
        <w:keepNext/>
        <w:jc w:val="left"/>
        <w:rPr>
          <w:lang w:val="en-GB"/>
        </w:rPr>
      </w:pPr>
      <w:bookmarkStart w:id="760" w:name="_Toc58237656"/>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34</w:t>
      </w:r>
      <w:r w:rsidRPr="00037C61">
        <w:rPr>
          <w:lang w:val="en-GB"/>
        </w:rPr>
        <w:fldChar w:fldCharType="end"/>
      </w:r>
      <w:r w:rsidRPr="00037C61">
        <w:rPr>
          <w:lang w:val="en-GB"/>
        </w:rPr>
        <w:t xml:space="preserve"> - New expressways and motorways innaugurated in the PA (2014-2020)</w:t>
      </w:r>
      <w:bookmarkEnd w:id="760"/>
    </w:p>
    <w:tbl>
      <w:tblPr>
        <w:tblStyle w:val="ListTable3-Accent11"/>
        <w:tblW w:w="9018" w:type="dxa"/>
        <w:tblLook w:val="04A0" w:firstRow="1" w:lastRow="0" w:firstColumn="1" w:lastColumn="0" w:noHBand="0" w:noVBand="1"/>
      </w:tblPr>
      <w:tblGrid>
        <w:gridCol w:w="1472"/>
        <w:gridCol w:w="1358"/>
        <w:gridCol w:w="2552"/>
        <w:gridCol w:w="1711"/>
        <w:gridCol w:w="1925"/>
      </w:tblGrid>
      <w:tr w:rsidR="006C68CD" w:rsidRPr="00037C61" w14:paraId="2F97A6EB" w14:textId="77777777" w:rsidTr="485892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2" w:type="dxa"/>
          </w:tcPr>
          <w:p w14:paraId="4278A09C" w14:textId="3F6B959C" w:rsidR="006C68CD" w:rsidRPr="00037C61" w:rsidRDefault="006C68CD" w:rsidP="00E52182">
            <w:pPr>
              <w:rPr>
                <w:rFonts w:cs="Calibri"/>
                <w:lang w:val="en-GB"/>
              </w:rPr>
            </w:pPr>
            <w:r w:rsidRPr="00037C61">
              <w:rPr>
                <w:rFonts w:cs="Calibri"/>
                <w:lang w:val="en-GB"/>
              </w:rPr>
              <w:t>PA Country</w:t>
            </w:r>
          </w:p>
        </w:tc>
        <w:tc>
          <w:tcPr>
            <w:tcW w:w="1358" w:type="dxa"/>
          </w:tcPr>
          <w:p w14:paraId="0111BCDC" w14:textId="435C2EB5" w:rsidR="006C68CD" w:rsidRPr="00037C61" w:rsidRDefault="006C68CD" w:rsidP="00457478">
            <w:pPr>
              <w:jc w:val="lef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037C61">
              <w:rPr>
                <w:rFonts w:cs="Calibri"/>
                <w:lang w:val="en-GB"/>
              </w:rPr>
              <w:t>No. Expressway</w:t>
            </w:r>
          </w:p>
        </w:tc>
        <w:tc>
          <w:tcPr>
            <w:tcW w:w="2552" w:type="dxa"/>
          </w:tcPr>
          <w:p w14:paraId="2086E378" w14:textId="77777777" w:rsidR="006C68CD" w:rsidRPr="00037C61" w:rsidRDefault="006C68CD" w:rsidP="00457478">
            <w:pPr>
              <w:jc w:val="lef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037C61">
              <w:rPr>
                <w:rFonts w:cs="Calibri"/>
                <w:lang w:val="en-GB"/>
              </w:rPr>
              <w:t>Identification of the new section</w:t>
            </w:r>
          </w:p>
        </w:tc>
        <w:tc>
          <w:tcPr>
            <w:tcW w:w="1711" w:type="dxa"/>
          </w:tcPr>
          <w:p w14:paraId="71D13820" w14:textId="77777777" w:rsidR="006C68CD" w:rsidRPr="00037C61" w:rsidRDefault="006C68CD" w:rsidP="00457478">
            <w:pPr>
              <w:jc w:val="lef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037C61">
              <w:rPr>
                <w:rFonts w:cs="Calibri"/>
                <w:lang w:val="en-GB"/>
              </w:rPr>
              <w:t>Length of the new section</w:t>
            </w:r>
          </w:p>
        </w:tc>
        <w:tc>
          <w:tcPr>
            <w:tcW w:w="1925" w:type="dxa"/>
          </w:tcPr>
          <w:p w14:paraId="02631E8D" w14:textId="77777777" w:rsidR="006C68CD" w:rsidRPr="00037C61" w:rsidRDefault="006C68CD" w:rsidP="00457478">
            <w:pPr>
              <w:jc w:val="left"/>
              <w:cnfStyle w:val="100000000000" w:firstRow="1" w:lastRow="0" w:firstColumn="0" w:lastColumn="0" w:oddVBand="0" w:evenVBand="0" w:oddHBand="0" w:evenHBand="0" w:firstRowFirstColumn="0" w:firstRowLastColumn="0" w:lastRowFirstColumn="0" w:lastRowLastColumn="0"/>
              <w:rPr>
                <w:rFonts w:cs="Calibri"/>
                <w:bCs w:val="0"/>
                <w:lang w:val="en-GB"/>
              </w:rPr>
            </w:pPr>
            <w:r w:rsidRPr="00037C61">
              <w:rPr>
                <w:rFonts w:cs="Calibri"/>
                <w:lang w:val="en-GB"/>
              </w:rPr>
              <w:t>Date of inauguration</w:t>
            </w:r>
          </w:p>
        </w:tc>
      </w:tr>
      <w:tr w:rsidR="006C68CD" w:rsidRPr="00037C61" w14:paraId="7DA86FAA" w14:textId="77777777" w:rsidTr="48589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Merge w:val="restart"/>
          </w:tcPr>
          <w:p w14:paraId="739EE915" w14:textId="577F34DA" w:rsidR="006C68CD" w:rsidRPr="00037C61" w:rsidRDefault="006C68CD" w:rsidP="00E52182">
            <w:pPr>
              <w:rPr>
                <w:rFonts w:cs="Calibri"/>
                <w:bCs w:val="0"/>
                <w:lang w:val="en-GB"/>
              </w:rPr>
            </w:pPr>
            <w:r w:rsidRPr="00037C61">
              <w:rPr>
                <w:rFonts w:cs="Calibri"/>
                <w:bCs w:val="0"/>
                <w:lang w:val="en-GB"/>
              </w:rPr>
              <w:t>Hungary</w:t>
            </w:r>
          </w:p>
        </w:tc>
        <w:tc>
          <w:tcPr>
            <w:tcW w:w="1358" w:type="dxa"/>
          </w:tcPr>
          <w:p w14:paraId="67EB58D7" w14:textId="28B645C2"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M3</w:t>
            </w:r>
          </w:p>
        </w:tc>
        <w:tc>
          <w:tcPr>
            <w:tcW w:w="2552" w:type="dxa"/>
          </w:tcPr>
          <w:p w14:paraId="4ABC2E49"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Őr-Vásárosnamény</w:t>
            </w:r>
          </w:p>
        </w:tc>
        <w:tc>
          <w:tcPr>
            <w:tcW w:w="0" w:type="dxa"/>
          </w:tcPr>
          <w:p w14:paraId="30487BDD" w14:textId="701594E4"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11.9 km</w:t>
            </w:r>
          </w:p>
        </w:tc>
        <w:tc>
          <w:tcPr>
            <w:tcW w:w="0" w:type="dxa"/>
          </w:tcPr>
          <w:p w14:paraId="67C4A2DA"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October 2014</w:t>
            </w:r>
          </w:p>
        </w:tc>
      </w:tr>
      <w:tr w:rsidR="006C68CD" w:rsidRPr="00037C61" w14:paraId="01D2A893" w14:textId="77777777" w:rsidTr="48589249">
        <w:tc>
          <w:tcPr>
            <w:cnfStyle w:val="001000000000" w:firstRow="0" w:lastRow="0" w:firstColumn="1" w:lastColumn="0" w:oddVBand="0" w:evenVBand="0" w:oddHBand="0" w:evenHBand="0" w:firstRowFirstColumn="0" w:firstRowLastColumn="0" w:lastRowFirstColumn="0" w:lastRowLastColumn="0"/>
            <w:tcW w:w="0" w:type="dxa"/>
            <w:vMerge/>
          </w:tcPr>
          <w:p w14:paraId="44D98FFE" w14:textId="77777777" w:rsidR="006C68CD" w:rsidRPr="00037C61" w:rsidRDefault="006C68CD" w:rsidP="00E52182">
            <w:pPr>
              <w:rPr>
                <w:rFonts w:cs="Calibri"/>
                <w:bCs w:val="0"/>
                <w:lang w:val="en-GB"/>
              </w:rPr>
            </w:pPr>
          </w:p>
        </w:tc>
        <w:tc>
          <w:tcPr>
            <w:tcW w:w="1358" w:type="dxa"/>
          </w:tcPr>
          <w:p w14:paraId="41D0D13B" w14:textId="3260C104"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M35</w:t>
            </w:r>
          </w:p>
        </w:tc>
        <w:tc>
          <w:tcPr>
            <w:tcW w:w="2552" w:type="dxa"/>
          </w:tcPr>
          <w:p w14:paraId="02F7A3AC"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Debrecen-Berettyóújfalu</w:t>
            </w:r>
          </w:p>
        </w:tc>
        <w:tc>
          <w:tcPr>
            <w:tcW w:w="0" w:type="dxa"/>
          </w:tcPr>
          <w:p w14:paraId="714EABCA" w14:textId="32A3FCEA"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18.7 km</w:t>
            </w:r>
          </w:p>
        </w:tc>
        <w:tc>
          <w:tcPr>
            <w:tcW w:w="0" w:type="dxa"/>
          </w:tcPr>
          <w:p w14:paraId="722147F6"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December 2018</w:t>
            </w:r>
          </w:p>
        </w:tc>
      </w:tr>
      <w:tr w:rsidR="006C68CD" w:rsidRPr="00037C61" w14:paraId="1DB12EC9" w14:textId="77777777" w:rsidTr="48589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Merge/>
          </w:tcPr>
          <w:p w14:paraId="6A098F32" w14:textId="77777777" w:rsidR="006C68CD" w:rsidRPr="00037C61" w:rsidRDefault="006C68CD" w:rsidP="00E52182">
            <w:pPr>
              <w:rPr>
                <w:rFonts w:cs="Calibri"/>
                <w:bCs w:val="0"/>
                <w:lang w:val="en-GB"/>
              </w:rPr>
            </w:pPr>
          </w:p>
        </w:tc>
        <w:tc>
          <w:tcPr>
            <w:tcW w:w="1358" w:type="dxa"/>
          </w:tcPr>
          <w:p w14:paraId="0999BACA" w14:textId="6975DF6F"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 xml:space="preserve">M4 </w:t>
            </w:r>
          </w:p>
        </w:tc>
        <w:tc>
          <w:tcPr>
            <w:tcW w:w="2552" w:type="dxa"/>
          </w:tcPr>
          <w:p w14:paraId="699F9161"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Berettyóújfalu-Nagykereki</w:t>
            </w:r>
          </w:p>
        </w:tc>
        <w:tc>
          <w:tcPr>
            <w:tcW w:w="0" w:type="dxa"/>
          </w:tcPr>
          <w:p w14:paraId="29991756" w14:textId="7936FC73"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29.5 km</w:t>
            </w:r>
          </w:p>
        </w:tc>
        <w:tc>
          <w:tcPr>
            <w:tcW w:w="0" w:type="dxa"/>
          </w:tcPr>
          <w:p w14:paraId="71211861"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September 2020</w:t>
            </w:r>
          </w:p>
        </w:tc>
      </w:tr>
      <w:tr w:rsidR="006C68CD" w:rsidRPr="00037C61" w14:paraId="541D21A7" w14:textId="77777777" w:rsidTr="48589249">
        <w:tc>
          <w:tcPr>
            <w:cnfStyle w:val="001000000000" w:firstRow="0" w:lastRow="0" w:firstColumn="1" w:lastColumn="0" w:oddVBand="0" w:evenVBand="0" w:oddHBand="0" w:evenHBand="0" w:firstRowFirstColumn="0" w:firstRowLastColumn="0" w:lastRowFirstColumn="0" w:lastRowLastColumn="0"/>
            <w:tcW w:w="0" w:type="dxa"/>
            <w:vMerge/>
          </w:tcPr>
          <w:p w14:paraId="7B5DEB73" w14:textId="77777777" w:rsidR="006C68CD" w:rsidRPr="00037C61" w:rsidRDefault="006C68CD" w:rsidP="00E52182">
            <w:pPr>
              <w:rPr>
                <w:rFonts w:cs="Calibri"/>
                <w:bCs w:val="0"/>
                <w:lang w:val="en-GB"/>
              </w:rPr>
            </w:pPr>
          </w:p>
        </w:tc>
        <w:tc>
          <w:tcPr>
            <w:tcW w:w="1358" w:type="dxa"/>
          </w:tcPr>
          <w:p w14:paraId="315C9E13" w14:textId="0BC76442"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M43</w:t>
            </w:r>
          </w:p>
        </w:tc>
        <w:tc>
          <w:tcPr>
            <w:tcW w:w="2552" w:type="dxa"/>
          </w:tcPr>
          <w:p w14:paraId="49291C90"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Makó-Csanádpalota</w:t>
            </w:r>
          </w:p>
        </w:tc>
        <w:tc>
          <w:tcPr>
            <w:tcW w:w="0" w:type="dxa"/>
          </w:tcPr>
          <w:p w14:paraId="49399C19" w14:textId="3B752AEE"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57.7 km</w:t>
            </w:r>
          </w:p>
        </w:tc>
        <w:tc>
          <w:tcPr>
            <w:tcW w:w="0" w:type="dxa"/>
          </w:tcPr>
          <w:p w14:paraId="4226587A"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July 2015</w:t>
            </w:r>
          </w:p>
        </w:tc>
      </w:tr>
      <w:tr w:rsidR="006C68CD" w:rsidRPr="00037C61" w14:paraId="0299D580" w14:textId="77777777" w:rsidTr="48589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Merge/>
          </w:tcPr>
          <w:p w14:paraId="78F30F19" w14:textId="77777777" w:rsidR="006C68CD" w:rsidRPr="00037C61" w:rsidRDefault="006C68CD" w:rsidP="00E52182">
            <w:pPr>
              <w:rPr>
                <w:rFonts w:cs="Calibri"/>
                <w:bCs w:val="0"/>
                <w:lang w:val="en-GB"/>
              </w:rPr>
            </w:pPr>
          </w:p>
        </w:tc>
        <w:tc>
          <w:tcPr>
            <w:tcW w:w="1358" w:type="dxa"/>
          </w:tcPr>
          <w:p w14:paraId="7CA0DBA1" w14:textId="5D1E92D0"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M44</w:t>
            </w:r>
          </w:p>
        </w:tc>
        <w:tc>
          <w:tcPr>
            <w:tcW w:w="2552" w:type="dxa"/>
          </w:tcPr>
          <w:p w14:paraId="4216B922"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Tiszakürt-Kondoros</w:t>
            </w:r>
          </w:p>
        </w:tc>
        <w:tc>
          <w:tcPr>
            <w:tcW w:w="0" w:type="dxa"/>
          </w:tcPr>
          <w:p w14:paraId="7CC91AC0"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61 km</w:t>
            </w:r>
          </w:p>
        </w:tc>
        <w:tc>
          <w:tcPr>
            <w:tcW w:w="0" w:type="dxa"/>
          </w:tcPr>
          <w:p w14:paraId="4A1429F1" w14:textId="77777777"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October 2019</w:t>
            </w:r>
          </w:p>
        </w:tc>
      </w:tr>
      <w:tr w:rsidR="006C68CD" w:rsidRPr="00037C61" w14:paraId="2D4F5EA0" w14:textId="77777777" w:rsidTr="48589249">
        <w:tc>
          <w:tcPr>
            <w:cnfStyle w:val="001000000000" w:firstRow="0" w:lastRow="0" w:firstColumn="1" w:lastColumn="0" w:oddVBand="0" w:evenVBand="0" w:oddHBand="0" w:evenHBand="0" w:firstRowFirstColumn="0" w:firstRowLastColumn="0" w:lastRowFirstColumn="0" w:lastRowLastColumn="0"/>
            <w:tcW w:w="0" w:type="dxa"/>
            <w:vMerge/>
          </w:tcPr>
          <w:p w14:paraId="06CA0856" w14:textId="77777777" w:rsidR="006C68CD" w:rsidRPr="00037C61" w:rsidRDefault="006C68CD" w:rsidP="00E52182">
            <w:pPr>
              <w:rPr>
                <w:rFonts w:cs="Calibri"/>
                <w:bCs w:val="0"/>
                <w:lang w:val="en-GB"/>
              </w:rPr>
            </w:pPr>
          </w:p>
        </w:tc>
        <w:tc>
          <w:tcPr>
            <w:tcW w:w="1358" w:type="dxa"/>
          </w:tcPr>
          <w:p w14:paraId="62A045E5" w14:textId="1F97349C"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Total</w:t>
            </w:r>
          </w:p>
        </w:tc>
        <w:tc>
          <w:tcPr>
            <w:tcW w:w="2552" w:type="dxa"/>
          </w:tcPr>
          <w:p w14:paraId="39A65D74"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w:t>
            </w:r>
          </w:p>
        </w:tc>
        <w:tc>
          <w:tcPr>
            <w:tcW w:w="0" w:type="dxa"/>
          </w:tcPr>
          <w:p w14:paraId="3E5BEDE7" w14:textId="2ACDED1E"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178.6 km</w:t>
            </w:r>
          </w:p>
        </w:tc>
        <w:tc>
          <w:tcPr>
            <w:tcW w:w="0" w:type="dxa"/>
          </w:tcPr>
          <w:p w14:paraId="67C28AB0"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w:t>
            </w:r>
          </w:p>
        </w:tc>
      </w:tr>
      <w:tr w:rsidR="006C68CD" w:rsidRPr="00037C61" w14:paraId="32313F3E" w14:textId="77777777" w:rsidTr="48589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2" w:type="dxa"/>
            <w:vMerge w:val="restart"/>
          </w:tcPr>
          <w:p w14:paraId="61531F7B" w14:textId="2F84981A" w:rsidR="006C68CD" w:rsidRPr="00037C61" w:rsidRDefault="006C68CD" w:rsidP="00E52182">
            <w:pPr>
              <w:rPr>
                <w:rFonts w:cs="Calibri"/>
                <w:bCs w:val="0"/>
                <w:lang w:val="en-GB"/>
              </w:rPr>
            </w:pPr>
            <w:r w:rsidRPr="00037C61">
              <w:rPr>
                <w:rFonts w:cs="Calibri"/>
                <w:bCs w:val="0"/>
                <w:lang w:val="en-GB"/>
              </w:rPr>
              <w:t>Romania</w:t>
            </w:r>
          </w:p>
        </w:tc>
        <w:tc>
          <w:tcPr>
            <w:tcW w:w="1358" w:type="dxa"/>
          </w:tcPr>
          <w:p w14:paraId="4CEBAC0B" w14:textId="3AD9C1C8"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 xml:space="preserve">A1 </w:t>
            </w:r>
          </w:p>
        </w:tc>
        <w:tc>
          <w:tcPr>
            <w:tcW w:w="2552" w:type="dxa"/>
          </w:tcPr>
          <w:p w14:paraId="0833ED3A" w14:textId="4906F66F"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Arad-Nădlac Lot1+2</w:t>
            </w:r>
          </w:p>
        </w:tc>
        <w:tc>
          <w:tcPr>
            <w:tcW w:w="1711" w:type="dxa"/>
          </w:tcPr>
          <w:p w14:paraId="4B208BA2" w14:textId="718BB24A"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16.6 km</w:t>
            </w:r>
          </w:p>
        </w:tc>
        <w:tc>
          <w:tcPr>
            <w:tcW w:w="1925" w:type="dxa"/>
          </w:tcPr>
          <w:p w14:paraId="3A999D38" w14:textId="21E515CC" w:rsidR="006C68CD" w:rsidRPr="00037C61" w:rsidRDefault="006C68CD"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December 2014</w:t>
            </w:r>
          </w:p>
        </w:tc>
      </w:tr>
      <w:tr w:rsidR="006C68CD" w:rsidRPr="00037C61" w14:paraId="3AFF96E6" w14:textId="77777777" w:rsidTr="48589249">
        <w:tc>
          <w:tcPr>
            <w:cnfStyle w:val="001000000000" w:firstRow="0" w:lastRow="0" w:firstColumn="1" w:lastColumn="0" w:oddVBand="0" w:evenVBand="0" w:oddHBand="0" w:evenHBand="0" w:firstRowFirstColumn="0" w:firstRowLastColumn="0" w:lastRowFirstColumn="0" w:lastRowLastColumn="0"/>
            <w:tcW w:w="1472" w:type="dxa"/>
            <w:vMerge/>
          </w:tcPr>
          <w:p w14:paraId="47ABD5DA" w14:textId="77777777" w:rsidR="006C68CD" w:rsidRPr="00037C61" w:rsidRDefault="006C68CD" w:rsidP="00E52182">
            <w:pPr>
              <w:rPr>
                <w:rFonts w:cs="Calibri"/>
                <w:bCs w:val="0"/>
                <w:lang w:val="en-GB"/>
              </w:rPr>
            </w:pPr>
          </w:p>
        </w:tc>
        <w:tc>
          <w:tcPr>
            <w:tcW w:w="1358" w:type="dxa"/>
          </w:tcPr>
          <w:p w14:paraId="2637EE21" w14:textId="789EDA31"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A1</w:t>
            </w:r>
          </w:p>
        </w:tc>
        <w:tc>
          <w:tcPr>
            <w:tcW w:w="2552" w:type="dxa"/>
          </w:tcPr>
          <w:p w14:paraId="4AB72AF9" w14:textId="4724DD4A"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Timișoara-Lugoj Lot2</w:t>
            </w:r>
          </w:p>
        </w:tc>
        <w:tc>
          <w:tcPr>
            <w:tcW w:w="1711" w:type="dxa"/>
          </w:tcPr>
          <w:p w14:paraId="6FF87B21" w14:textId="195F98E8"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25.6 km</w:t>
            </w:r>
          </w:p>
        </w:tc>
        <w:tc>
          <w:tcPr>
            <w:tcW w:w="1925" w:type="dxa"/>
          </w:tcPr>
          <w:p w14:paraId="2A9897AD" w14:textId="07EB531B"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December 2015</w:t>
            </w:r>
          </w:p>
        </w:tc>
      </w:tr>
      <w:tr w:rsidR="00597400" w:rsidRPr="00037C61" w14:paraId="01308713" w14:textId="77777777" w:rsidTr="48589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2" w:type="dxa"/>
            <w:vMerge/>
          </w:tcPr>
          <w:p w14:paraId="25B370CC" w14:textId="77777777" w:rsidR="00597400" w:rsidRPr="00037C61" w:rsidRDefault="00597400" w:rsidP="00E52182">
            <w:pPr>
              <w:rPr>
                <w:rFonts w:cs="Calibri"/>
                <w:bCs w:val="0"/>
                <w:lang w:val="en-GB"/>
              </w:rPr>
            </w:pPr>
          </w:p>
        </w:tc>
        <w:tc>
          <w:tcPr>
            <w:tcW w:w="1358" w:type="dxa"/>
          </w:tcPr>
          <w:p w14:paraId="6FFB0CBC" w14:textId="3879AAFE" w:rsidR="00597400" w:rsidRPr="00037C61" w:rsidRDefault="00597400"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A3</w:t>
            </w:r>
          </w:p>
        </w:tc>
        <w:tc>
          <w:tcPr>
            <w:tcW w:w="2552" w:type="dxa"/>
          </w:tcPr>
          <w:p w14:paraId="0D248535" w14:textId="78FD9298" w:rsidR="00597400" w:rsidRPr="00037C61" w:rsidRDefault="00597400"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Biharia-Borș</w:t>
            </w:r>
          </w:p>
        </w:tc>
        <w:tc>
          <w:tcPr>
            <w:tcW w:w="1711" w:type="dxa"/>
          </w:tcPr>
          <w:p w14:paraId="4D16EDF0" w14:textId="368D149C" w:rsidR="00597400" w:rsidRPr="00037C61" w:rsidRDefault="00597400"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5.4 km</w:t>
            </w:r>
          </w:p>
        </w:tc>
        <w:tc>
          <w:tcPr>
            <w:tcW w:w="1925" w:type="dxa"/>
          </w:tcPr>
          <w:p w14:paraId="03B2E60F" w14:textId="3F10ADCA" w:rsidR="00597400" w:rsidRPr="00037C61" w:rsidRDefault="00597400" w:rsidP="00E52182">
            <w:pPr>
              <w:cnfStyle w:val="000000100000" w:firstRow="0" w:lastRow="0" w:firstColumn="0" w:lastColumn="0" w:oddVBand="0" w:evenVBand="0" w:oddHBand="1" w:evenHBand="0" w:firstRowFirstColumn="0" w:firstRowLastColumn="0" w:lastRowFirstColumn="0" w:lastRowLastColumn="0"/>
              <w:rPr>
                <w:rFonts w:cs="Calibri"/>
                <w:bCs/>
                <w:lang w:val="en-GB"/>
              </w:rPr>
            </w:pPr>
            <w:r w:rsidRPr="00037C61">
              <w:rPr>
                <w:rFonts w:cs="Calibri"/>
                <w:bCs/>
                <w:lang w:val="en-GB"/>
              </w:rPr>
              <w:t>September 2020</w:t>
            </w:r>
          </w:p>
        </w:tc>
      </w:tr>
      <w:tr w:rsidR="006C68CD" w:rsidRPr="00037C61" w14:paraId="79CED72A" w14:textId="77777777" w:rsidTr="48589249">
        <w:tc>
          <w:tcPr>
            <w:cnfStyle w:val="001000000000" w:firstRow="0" w:lastRow="0" w:firstColumn="1" w:lastColumn="0" w:oddVBand="0" w:evenVBand="0" w:oddHBand="0" w:evenHBand="0" w:firstRowFirstColumn="0" w:firstRowLastColumn="0" w:lastRowFirstColumn="0" w:lastRowLastColumn="0"/>
            <w:tcW w:w="1472" w:type="dxa"/>
            <w:vMerge/>
          </w:tcPr>
          <w:p w14:paraId="04D45C7C" w14:textId="77777777" w:rsidR="006C68CD" w:rsidRPr="00037C61" w:rsidRDefault="006C68CD" w:rsidP="00E52182">
            <w:pPr>
              <w:rPr>
                <w:rFonts w:cs="Calibri"/>
                <w:bCs w:val="0"/>
                <w:lang w:val="en-GB"/>
              </w:rPr>
            </w:pPr>
          </w:p>
        </w:tc>
        <w:tc>
          <w:tcPr>
            <w:tcW w:w="1358" w:type="dxa"/>
          </w:tcPr>
          <w:p w14:paraId="61ECB6C5" w14:textId="4D1FAD02"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 xml:space="preserve">Total </w:t>
            </w:r>
          </w:p>
        </w:tc>
        <w:tc>
          <w:tcPr>
            <w:tcW w:w="2552" w:type="dxa"/>
          </w:tcPr>
          <w:p w14:paraId="512C8679" w14:textId="21B7D072"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w:t>
            </w:r>
          </w:p>
        </w:tc>
        <w:tc>
          <w:tcPr>
            <w:tcW w:w="1711" w:type="dxa"/>
          </w:tcPr>
          <w:p w14:paraId="342FA0CE" w14:textId="0F4DB953"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r w:rsidRPr="00037C61">
              <w:rPr>
                <w:rFonts w:cs="Calibri"/>
                <w:bCs/>
                <w:lang w:val="en-GB"/>
              </w:rPr>
              <w:t>4</w:t>
            </w:r>
            <w:r w:rsidR="00597400" w:rsidRPr="00037C61">
              <w:rPr>
                <w:rFonts w:cs="Calibri"/>
                <w:bCs/>
                <w:lang w:val="en-GB"/>
              </w:rPr>
              <w:t>7</w:t>
            </w:r>
            <w:r w:rsidRPr="00037C61">
              <w:rPr>
                <w:rFonts w:cs="Calibri"/>
                <w:bCs/>
                <w:lang w:val="en-GB"/>
              </w:rPr>
              <w:t>.</w:t>
            </w:r>
            <w:r w:rsidR="00597400" w:rsidRPr="00037C61">
              <w:rPr>
                <w:rFonts w:cs="Calibri"/>
                <w:bCs/>
                <w:lang w:val="en-GB"/>
              </w:rPr>
              <w:t>6</w:t>
            </w:r>
            <w:r w:rsidRPr="00037C61">
              <w:rPr>
                <w:rFonts w:cs="Calibri"/>
                <w:bCs/>
                <w:lang w:val="en-GB"/>
              </w:rPr>
              <w:t xml:space="preserve"> km </w:t>
            </w:r>
          </w:p>
        </w:tc>
        <w:tc>
          <w:tcPr>
            <w:tcW w:w="1925" w:type="dxa"/>
          </w:tcPr>
          <w:p w14:paraId="2238D84D" w14:textId="77777777" w:rsidR="006C68CD" w:rsidRPr="00037C61" w:rsidRDefault="006C68CD" w:rsidP="00E52182">
            <w:pPr>
              <w:cnfStyle w:val="000000000000" w:firstRow="0" w:lastRow="0" w:firstColumn="0" w:lastColumn="0" w:oddVBand="0" w:evenVBand="0" w:oddHBand="0" w:evenHBand="0" w:firstRowFirstColumn="0" w:firstRowLastColumn="0" w:lastRowFirstColumn="0" w:lastRowLastColumn="0"/>
              <w:rPr>
                <w:rFonts w:cs="Calibri"/>
                <w:bCs/>
                <w:lang w:val="en-GB"/>
              </w:rPr>
            </w:pPr>
          </w:p>
        </w:tc>
      </w:tr>
    </w:tbl>
    <w:p w14:paraId="315C317A" w14:textId="79DAE4FD" w:rsidR="48589249" w:rsidRPr="00037C61" w:rsidRDefault="48589249">
      <w:pPr>
        <w:rPr>
          <w:lang w:val="en-GB"/>
        </w:rPr>
      </w:pPr>
    </w:p>
    <w:p w14:paraId="58EDEE0D" w14:textId="4EB89B00" w:rsidR="00172F90" w:rsidRPr="00037C61" w:rsidRDefault="00172F90" w:rsidP="00457478">
      <w:pPr>
        <w:pStyle w:val="Caption"/>
        <w:keepNext/>
        <w:jc w:val="left"/>
        <w:rPr>
          <w:lang w:val="en-GB"/>
        </w:rPr>
      </w:pPr>
      <w:r w:rsidRPr="00037C61">
        <w:rPr>
          <w:lang w:val="en-GB"/>
        </w:rPr>
        <w:t>Source: Mérnök Újság</w:t>
      </w:r>
      <w:r w:rsidR="006C68CD" w:rsidRPr="00037C61">
        <w:rPr>
          <w:lang w:val="en-GB"/>
        </w:rPr>
        <w:t>, Ministerul Transporturilor din România</w:t>
      </w:r>
    </w:p>
    <w:p w14:paraId="3AD23EF7" w14:textId="77777777" w:rsidR="00172F90" w:rsidRPr="00037C61" w:rsidRDefault="00172F90" w:rsidP="00172F90">
      <w:pPr>
        <w:rPr>
          <w:rFonts w:cs="Calibri"/>
          <w:bCs/>
          <w:lang w:val="en-GB"/>
        </w:rPr>
      </w:pPr>
    </w:p>
    <w:p w14:paraId="019084D0" w14:textId="77777777" w:rsidR="00597400" w:rsidRPr="00037C61" w:rsidRDefault="00597400" w:rsidP="00597400">
      <w:pPr>
        <w:rPr>
          <w:rFonts w:cs="Calibri"/>
          <w:bCs/>
          <w:lang w:val="en-GB"/>
        </w:rPr>
      </w:pPr>
      <w:r w:rsidRPr="00037C61">
        <w:rPr>
          <w:rFonts w:cs="Calibri"/>
          <w:bCs/>
          <w:lang w:val="en-GB"/>
        </w:rPr>
        <w:t>In addition to the above sections, at the end of 2020, the preparation or construction of the following sections is underway.</w:t>
      </w:r>
    </w:p>
    <w:p w14:paraId="2043D091" w14:textId="77777777" w:rsidR="00597400" w:rsidRPr="00037C61" w:rsidRDefault="00597400" w:rsidP="00457478">
      <w:pPr>
        <w:pStyle w:val="InterregROHUBullet1"/>
        <w:ind w:left="851"/>
        <w:rPr>
          <w:bCs w:val="0"/>
        </w:rPr>
      </w:pPr>
      <w:r w:rsidRPr="00037C61">
        <w:t>M4: the Püspökladány-Törökszentmiklós section (29,9 km) is in the planning phase</w:t>
      </w:r>
    </w:p>
    <w:p w14:paraId="64A51C92" w14:textId="77777777" w:rsidR="00597400" w:rsidRPr="00037C61" w:rsidRDefault="00597400" w:rsidP="00457478">
      <w:pPr>
        <w:pStyle w:val="InterregROHUBullet1"/>
        <w:ind w:left="851"/>
        <w:rPr>
          <w:bCs w:val="0"/>
        </w:rPr>
      </w:pPr>
      <w:r w:rsidRPr="00037C61">
        <w:t>M44: the Kondoros-Békéscsaba section (18 km) is under construction, its inauguration is expected at the end of 2020</w:t>
      </w:r>
    </w:p>
    <w:p w14:paraId="2D4606D6" w14:textId="472CBD3E" w:rsidR="00597400" w:rsidRPr="00037C61" w:rsidRDefault="00597400" w:rsidP="00457478">
      <w:pPr>
        <w:pStyle w:val="InterregROHUBullet1"/>
        <w:ind w:left="851"/>
      </w:pPr>
      <w:r w:rsidRPr="00037C61">
        <w:t>M49: for the first section between Mátészalka and Ököritófülpös (25,67 km), the building permits were issued in January, 2020; while the second section between Ököritófülpös and Csenger / Oar border crossing (19,67 km) is under planning (the location of the border crossing point is agreed between Hungary and Romania).</w:t>
      </w:r>
    </w:p>
    <w:p w14:paraId="1A64BE87" w14:textId="0F9949C9" w:rsidR="00597400" w:rsidRPr="00037C61" w:rsidRDefault="00597400" w:rsidP="00457478">
      <w:pPr>
        <w:pStyle w:val="InterregROHUBullet1"/>
        <w:ind w:left="851"/>
      </w:pPr>
      <w:r w:rsidRPr="00037C61">
        <w:t>A1: Lugoj-Deva, remaining segment of 13.5 km of lot 2, currently under auction procedure</w:t>
      </w:r>
    </w:p>
    <w:p w14:paraId="2899EE73" w14:textId="3DF2938E" w:rsidR="00597400" w:rsidRPr="00037C61" w:rsidRDefault="00597400" w:rsidP="00457478">
      <w:pPr>
        <w:pStyle w:val="InterregROHUBullet1"/>
        <w:ind w:left="851"/>
        <w:rPr>
          <w:bCs w:val="0"/>
        </w:rPr>
      </w:pPr>
      <w:r w:rsidRPr="00037C61">
        <w:t>A3: Section 3C Suplacu de Barcău-Borș, a remainder of 54.85 km, of which 26.35 km under contract (Chiribiș-Biharia) and expected by 2022</w:t>
      </w:r>
    </w:p>
    <w:p w14:paraId="11EBB750" w14:textId="1B1F4038" w:rsidR="00172F90" w:rsidRPr="00037C61" w:rsidRDefault="00172F90" w:rsidP="008E6744">
      <w:pPr>
        <w:rPr>
          <w:rFonts w:cs="Calibri"/>
          <w:lang w:val="en-GB"/>
        </w:rPr>
      </w:pPr>
    </w:p>
    <w:p w14:paraId="59CAFD2D" w14:textId="4AAB4668" w:rsidR="00C04B78" w:rsidRPr="00037C61" w:rsidRDefault="00C04B78" w:rsidP="00C04B78">
      <w:pPr>
        <w:rPr>
          <w:rFonts w:cs="Calibri"/>
          <w:lang w:val="en-GB"/>
        </w:rPr>
      </w:pPr>
      <w:r w:rsidRPr="00037C61">
        <w:rPr>
          <w:rFonts w:cs="Calibri"/>
          <w:b/>
          <w:bCs/>
          <w:lang w:val="en-GB"/>
        </w:rPr>
        <w:t>Road accidents</w:t>
      </w:r>
      <w:r w:rsidRPr="00037C61">
        <w:rPr>
          <w:rFonts w:cs="Calibri"/>
          <w:lang w:val="en-GB"/>
        </w:rPr>
        <w:t xml:space="preserve"> also represent an important benchmark for the TA. The road accidents trend between 2009 – 2018 shows that there are discrepancies across the NUTS3 areas; however, we can observe the highest percentage increase of accidents in the </w:t>
      </w:r>
      <w:r w:rsidR="59ACD056" w:rsidRPr="00037C61">
        <w:rPr>
          <w:rFonts w:cs="Calibri"/>
          <w:lang w:val="en-GB"/>
        </w:rPr>
        <w:t>cross-border</w:t>
      </w:r>
      <w:r w:rsidRPr="00037C61">
        <w:rPr>
          <w:rFonts w:cs="Calibri"/>
          <w:lang w:val="en-GB"/>
        </w:rPr>
        <w:t xml:space="preserve"> area in 2015 in </w:t>
      </w:r>
      <w:r w:rsidRPr="00037C61">
        <w:rPr>
          <w:rFonts w:cs="Calibri"/>
          <w:color w:val="000000" w:themeColor="text1"/>
          <w:lang w:val="en-GB"/>
        </w:rPr>
        <w:t>Timiș</w:t>
      </w:r>
      <w:r w:rsidRPr="00037C61">
        <w:rPr>
          <w:rFonts w:cs="Calibri"/>
          <w:lang w:val="en-GB"/>
        </w:rPr>
        <w:t xml:space="preserve"> county, possibly due to the opening of the Pecica-Arad highway link and the increased A1 traffic, which afterwards normalized over 2017-2018. In 2018, </w:t>
      </w:r>
      <w:r w:rsidRPr="00037C61">
        <w:rPr>
          <w:rFonts w:cs="Calibri"/>
          <w:color w:val="000000" w:themeColor="text1"/>
          <w:lang w:val="en-GB"/>
        </w:rPr>
        <w:t>Timiș</w:t>
      </w:r>
      <w:r w:rsidRPr="00037C61">
        <w:rPr>
          <w:rFonts w:cs="Calibri"/>
          <w:lang w:val="en-GB"/>
        </w:rPr>
        <w:t xml:space="preserve"> county was the highest increase number of km of modernized roads (with 460 km more than in 2014) and also in 2011 and 2010 increased number of roads were modernized (with 102 km in 2011 above 2010, and with 174 km in 2010 above 2009), but </w:t>
      </w:r>
      <w:r w:rsidRPr="00037C61">
        <w:rPr>
          <w:rFonts w:cs="Calibri"/>
          <w:lang w:val="en-GB"/>
        </w:rPr>
        <w:lastRenderedPageBreak/>
        <w:t>the percentage increase numbers of accidents were higher in the same years. A significant disparity in the region is between the counties of Békés and Csongrád-Csanád, which have a much higher road accident per capita number than the counties on the Romanian side (up to three times higher).</w:t>
      </w:r>
    </w:p>
    <w:p w14:paraId="5CE10FD9" w14:textId="015FD2FE" w:rsidR="00B76FA0" w:rsidRPr="00037C61" w:rsidRDefault="00B76FA0" w:rsidP="005E0849">
      <w:pPr>
        <w:keepNext/>
        <w:rPr>
          <w:lang w:val="en-GB"/>
        </w:rPr>
      </w:pPr>
      <w:r w:rsidRPr="00037C61">
        <w:rPr>
          <w:rFonts w:cs="Calibri"/>
          <w:noProof/>
          <w:lang w:val="ro-RO" w:eastAsia="ro-RO"/>
        </w:rPr>
        <mc:AlternateContent>
          <mc:Choice Requires="wpg">
            <w:drawing>
              <wp:inline distT="0" distB="0" distL="0" distR="0" wp14:anchorId="197EA5B0" wp14:editId="17822F52">
                <wp:extent cx="5579322" cy="2734310"/>
                <wp:effectExtent l="19050" t="19050" r="21590" b="24765"/>
                <wp:docPr id="200" name="Group 200"/>
                <wp:cNvGraphicFramePr/>
                <a:graphic xmlns:a="http://schemas.openxmlformats.org/drawingml/2006/main">
                  <a:graphicData uri="http://schemas.microsoft.com/office/word/2010/wordprocessingGroup">
                    <wpg:wgp>
                      <wpg:cNvGrpSpPr/>
                      <wpg:grpSpPr>
                        <a:xfrm>
                          <a:off x="0" y="0"/>
                          <a:ext cx="5579322" cy="2734310"/>
                          <a:chOff x="0" y="0"/>
                          <a:chExt cx="5579322" cy="2734310"/>
                        </a:xfrm>
                      </wpg:grpSpPr>
                      <wpg:graphicFrame>
                        <wpg:cNvPr id="201" name="Chart 201"/>
                        <wpg:cNvFrPr/>
                        <wpg:xfrm>
                          <a:off x="0" y="0"/>
                          <a:ext cx="2903855" cy="2734310"/>
                        </wpg:xfrm>
                        <a:graphic>
                          <a:graphicData uri="http://schemas.openxmlformats.org/drawingml/2006/chart">
                            <c:chart xmlns:c="http://schemas.openxmlformats.org/drawingml/2006/chart" xmlns:r="http://schemas.openxmlformats.org/officeDocument/2006/relationships" r:id="rId235"/>
                          </a:graphicData>
                        </a:graphic>
                      </wpg:graphicFrame>
                      <wpg:graphicFrame>
                        <wpg:cNvPr id="202" name="Chart 202"/>
                        <wpg:cNvFrPr/>
                        <wpg:xfrm>
                          <a:off x="2929467" y="0"/>
                          <a:ext cx="2649855" cy="2726055"/>
                        </wpg:xfrm>
                        <a:graphic>
                          <a:graphicData uri="http://schemas.openxmlformats.org/drawingml/2006/chart">
                            <c:chart xmlns:c="http://schemas.openxmlformats.org/drawingml/2006/chart" xmlns:r="http://schemas.openxmlformats.org/officeDocument/2006/relationships" r:id="rId236"/>
                          </a:graphicData>
                        </a:graphic>
                      </wpg:graphicFrame>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B892949">
              <v:group id="Group 200" style="width:439.3pt;height:215.3pt;mso-position-horizontal-relative:char;mso-position-vertical-relative:line" coordsize="55793,27343" o:spid="_x0000_s1026" w14:anchorId="4B31FCBE"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">
                <v:shape id="Chart 201" style="position:absolute;left:-121;top:-121;width:29320;height:27613;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">
                  <v:imagedata o:title="" r:id="rId237"/>
                  <o:lock v:ext="edit" aspectratio="f"/>
                </v:shape>
                <v:shape id="Chart 202" style="position:absolute;left:29138;top:-121;width:26823;height:27553;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">
                  <v:imagedata o:title="" r:id="rId238"/>
                  <o:lock v:ext="edit" aspectratio="f"/>
                </v:shape>
                <w10:anchorlock/>
              </v:group>
            </w:pict>
          </mc:Fallback>
        </mc:AlternateContent>
      </w:r>
    </w:p>
    <w:p w14:paraId="4908985F" w14:textId="66D79BE4" w:rsidR="00382EFD" w:rsidRPr="00037C61" w:rsidRDefault="00B76FA0" w:rsidP="00B76FA0">
      <w:pPr>
        <w:pStyle w:val="Caption"/>
        <w:jc w:val="both"/>
        <w:rPr>
          <w:lang w:val="en-GB"/>
        </w:rPr>
      </w:pPr>
      <w:bookmarkStart w:id="761" w:name="_Toc6461106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114</w:t>
      </w:r>
      <w:r w:rsidR="00412697">
        <w:rPr>
          <w:lang w:val="en-GB"/>
        </w:rPr>
        <w:fldChar w:fldCharType="end"/>
      </w:r>
      <w:r w:rsidRPr="00037C61">
        <w:rPr>
          <w:lang w:val="en-GB"/>
        </w:rPr>
        <w:t xml:space="preserve"> - Road accidents 2009-2018</w:t>
      </w:r>
      <w:bookmarkEnd w:id="761"/>
    </w:p>
    <w:p w14:paraId="0C196158" w14:textId="0C3DCFE7" w:rsidR="00B76FA0" w:rsidRPr="00037C61" w:rsidRDefault="00B76FA0" w:rsidP="005E0849">
      <w:pPr>
        <w:pStyle w:val="InterregROHUBullet1"/>
        <w:numPr>
          <w:ilvl w:val="0"/>
          <w:numId w:val="0"/>
        </w:numPr>
        <w:spacing w:after="200" w:line="276" w:lineRule="auto"/>
        <w:rPr>
          <w:rFonts w:cstheme="minorBidi"/>
          <w:bCs w:val="0"/>
          <w:i/>
          <w:iCs/>
          <w:noProof/>
          <w:color w:val="012751" w:themeColor="text2"/>
          <w:sz w:val="18"/>
          <w:szCs w:val="18"/>
        </w:rPr>
      </w:pPr>
      <w:r w:rsidRPr="00037C61">
        <w:rPr>
          <w:rFonts w:cstheme="minorBidi"/>
          <w:bCs w:val="0"/>
          <w:i/>
          <w:iCs/>
          <w:noProof/>
          <w:color w:val="012751" w:themeColor="text2"/>
          <w:sz w:val="18"/>
          <w:szCs w:val="18"/>
        </w:rPr>
        <w:t>Source: INS, KSH</w:t>
      </w:r>
    </w:p>
    <w:p w14:paraId="1E1581C5" w14:textId="7F2C8ECB" w:rsidR="008E6744" w:rsidRPr="00037C61" w:rsidRDefault="52230E0C" w:rsidP="008E6744">
      <w:pPr>
        <w:rPr>
          <w:rFonts w:cs="Calibri"/>
          <w:lang w:val="en-GB"/>
        </w:rPr>
      </w:pPr>
      <w:r w:rsidRPr="00037C61">
        <w:rPr>
          <w:rFonts w:cs="Calibri"/>
          <w:lang w:val="en-GB"/>
        </w:rPr>
        <w:t xml:space="preserve">The discrepancies between Romanian cross-border area and Hungarian cross-border area regarding road accidents results in the need of new measures regarding road safety and overall mobility behavior. </w:t>
      </w:r>
    </w:p>
    <w:p w14:paraId="1C67CA9B" w14:textId="31D172DF" w:rsidR="00D40ECE" w:rsidRPr="00037C61" w:rsidRDefault="00D40ECE" w:rsidP="008E6744">
      <w:pPr>
        <w:rPr>
          <w:rFonts w:cs="Calibri"/>
          <w:lang w:val="en-GB"/>
        </w:rPr>
      </w:pPr>
      <w:r w:rsidRPr="00037C61">
        <w:rPr>
          <w:noProof/>
          <w:lang w:val="ro-RO" w:eastAsia="ro-RO"/>
        </w:rPr>
        <w:lastRenderedPageBreak/>
        <w:drawing>
          <wp:anchor distT="0" distB="0" distL="114300" distR="114300" simplePos="0" relativeHeight="251696640" behindDoc="0" locked="0" layoutInCell="1" allowOverlap="1" wp14:anchorId="487EC6AA" wp14:editId="7C2A4AF6">
            <wp:simplePos x="0" y="0"/>
            <wp:positionH relativeFrom="column">
              <wp:posOffset>2462863</wp:posOffset>
            </wp:positionH>
            <wp:positionV relativeFrom="paragraph">
              <wp:posOffset>43089</wp:posOffset>
            </wp:positionV>
            <wp:extent cx="3273523" cy="4334601"/>
            <wp:effectExtent l="38100" t="38100" r="41275" b="46990"/>
            <wp:wrapSquare wrapText="bothSides"/>
            <wp:docPr id="203" name="Picture 20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rotWithShape="1">
                    <a:blip r:embed="rId239" cstate="print">
                      <a:extLst>
                        <a:ext uri="{28A0092B-C50C-407E-A947-70E740481C1C}">
                          <a14:useLocalDpi xmlns:a14="http://schemas.microsoft.com/office/drawing/2010/main" val="0"/>
                        </a:ext>
                      </a:extLst>
                    </a:blip>
                    <a:srcRect/>
                    <a:stretch/>
                  </pic:blipFill>
                  <pic:spPr bwMode="auto">
                    <a:xfrm>
                      <a:off x="0" y="0"/>
                      <a:ext cx="3273523" cy="4334601"/>
                    </a:xfrm>
                    <a:prstGeom prst="rect">
                      <a:avLst/>
                    </a:prstGeom>
                    <a:ln w="28575">
                      <a:solidFill>
                        <a:schemeClr val="bg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6FA0" w:rsidRPr="00037C61">
        <w:rPr>
          <w:rFonts w:cs="Calibri"/>
          <w:b/>
          <w:bCs/>
          <w:lang w:val="en-GB"/>
        </w:rPr>
        <w:t>Data availability on transport performance</w:t>
      </w:r>
      <w:r w:rsidR="00B76FA0" w:rsidRPr="00037C61">
        <w:rPr>
          <w:rFonts w:cs="Calibri"/>
          <w:lang w:val="en-GB"/>
        </w:rPr>
        <w:t xml:space="preserve"> is very </w:t>
      </w:r>
      <w:r w:rsidRPr="00037C61">
        <w:rPr>
          <w:rFonts w:cs="Calibri"/>
          <w:lang w:val="en-GB"/>
        </w:rPr>
        <w:t xml:space="preserve">sparse </w:t>
      </w:r>
      <w:r w:rsidR="00B76FA0" w:rsidRPr="00037C61">
        <w:rPr>
          <w:rFonts w:cs="Calibri"/>
          <w:lang w:val="en-GB"/>
        </w:rPr>
        <w:t xml:space="preserve">for the cross-border programming area. Comparing available data (RegioGIS, Eurostat) on the counties in the PA area, the highest transport performance by car is recorded for Csongrád-Csanád, followed by Hajdu-Bihar. </w:t>
      </w:r>
    </w:p>
    <w:p w14:paraId="6B6EF535" w14:textId="180BEBF5" w:rsidR="00B76FA0" w:rsidRPr="00037C61" w:rsidRDefault="00B76FA0" w:rsidP="008E6744">
      <w:pPr>
        <w:rPr>
          <w:rFonts w:cs="Calibri"/>
          <w:lang w:val="en-GB"/>
        </w:rPr>
      </w:pPr>
      <w:r w:rsidRPr="00037C61">
        <w:rPr>
          <w:rFonts w:cs="Calibri"/>
          <w:lang w:val="en-GB"/>
        </w:rPr>
        <w:t xml:space="preserve">Lower performance is registered on the Romanian side of the PA, with the counties of Bihor and Satu Mare ranking in the bottom 25%. Békés and Satu Mare however have a slightly lower population, and this factors in the population reach in the 90-minute isochrone. </w:t>
      </w:r>
    </w:p>
    <w:p w14:paraId="299E847F" w14:textId="29530839" w:rsidR="00B76FA0" w:rsidRPr="00037C61" w:rsidRDefault="00B76FA0" w:rsidP="00B76FA0">
      <w:pPr>
        <w:spacing w:before="240" w:line="257" w:lineRule="auto"/>
        <w:rPr>
          <w:lang w:val="en-GB"/>
        </w:rPr>
      </w:pPr>
    </w:p>
    <w:p w14:paraId="51B6F3CA" w14:textId="4FE2E0FD" w:rsidR="00D40ECE" w:rsidRPr="00037C61" w:rsidRDefault="00D40ECE" w:rsidP="00B76FA0">
      <w:pPr>
        <w:spacing w:before="240" w:line="257" w:lineRule="auto"/>
        <w:rPr>
          <w:lang w:val="en-GB"/>
        </w:rPr>
      </w:pPr>
    </w:p>
    <w:p w14:paraId="4DDE2CF7" w14:textId="77777777" w:rsidR="00F64F8D" w:rsidRPr="00037C61" w:rsidRDefault="00F64F8D" w:rsidP="00B76FA0">
      <w:pPr>
        <w:spacing w:before="240" w:line="257" w:lineRule="auto"/>
        <w:rPr>
          <w:lang w:val="en-GB"/>
        </w:rPr>
      </w:pPr>
    </w:p>
    <w:p w14:paraId="414DB77B" w14:textId="1D0CE1FC" w:rsidR="00B76FA0" w:rsidRPr="00037C61" w:rsidRDefault="00B76FA0" w:rsidP="00B76FA0">
      <w:pPr>
        <w:pStyle w:val="Caption"/>
        <w:jc w:val="left"/>
        <w:rPr>
          <w:lang w:val="en-GB"/>
        </w:rPr>
      </w:pPr>
      <w:bookmarkStart w:id="762" w:name="_Toc6461106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115</w:t>
      </w:r>
      <w:r w:rsidR="00412697">
        <w:rPr>
          <w:lang w:val="en-GB"/>
        </w:rPr>
        <w:fldChar w:fldCharType="end"/>
      </w:r>
      <w:r w:rsidRPr="00037C61">
        <w:rPr>
          <w:lang w:val="en-GB"/>
        </w:rPr>
        <w:t xml:space="preserve"> - The transport performance by car</w:t>
      </w:r>
      <w:bookmarkEnd w:id="762"/>
    </w:p>
    <w:p w14:paraId="3890E499" w14:textId="372DA3F0" w:rsidR="00B76FA0" w:rsidRPr="00037C61" w:rsidRDefault="00B76FA0" w:rsidP="005E0849">
      <w:pPr>
        <w:pStyle w:val="Caption"/>
        <w:jc w:val="both"/>
        <w:rPr>
          <w:lang w:val="en-GB"/>
        </w:rPr>
      </w:pPr>
      <w:r w:rsidRPr="00037C61">
        <w:rPr>
          <w:lang w:val="en-GB"/>
        </w:rPr>
        <w:t>Source: Regio-GIS, Eurostat</w:t>
      </w:r>
    </w:p>
    <w:p w14:paraId="6CF70FD1" w14:textId="5D26B8C3" w:rsidR="002666CC" w:rsidRPr="00037C61" w:rsidRDefault="002666CC" w:rsidP="002666CC">
      <w:pPr>
        <w:rPr>
          <w:lang w:val="en-GB"/>
        </w:rPr>
      </w:pPr>
    </w:p>
    <w:p w14:paraId="4D68FDF1" w14:textId="77777777" w:rsidR="00F64F8D" w:rsidRPr="00037C61" w:rsidRDefault="00F64F8D" w:rsidP="086A48B6">
      <w:pPr>
        <w:rPr>
          <w:lang w:val="en-GB"/>
        </w:rPr>
      </w:pPr>
    </w:p>
    <w:p w14:paraId="63BB3F69" w14:textId="785E1C1A" w:rsidR="002666CC" w:rsidRPr="00037C61" w:rsidRDefault="086A48B6" w:rsidP="086A48B6">
      <w:pPr>
        <w:rPr>
          <w:lang w:val="en-GB"/>
        </w:rPr>
      </w:pPr>
      <w:r w:rsidRPr="00037C61">
        <w:rPr>
          <w:lang w:val="en-GB"/>
        </w:rPr>
        <w:t xml:space="preserve">Overall, in European context, the PA has a relatively lower cross-border network efficiency (within the 0.41-0.45 class), which places it below Western and S-W European efficiencies, but above the efficiency of Balkan borders or even the Czech-Polish border. </w:t>
      </w:r>
    </w:p>
    <w:p w14:paraId="397246FF" w14:textId="4D709ADF" w:rsidR="00164F3F" w:rsidRPr="00037C61" w:rsidRDefault="086A48B6" w:rsidP="086A48B6">
      <w:pPr>
        <w:rPr>
          <w:lang w:val="en-GB"/>
        </w:rPr>
      </w:pPr>
      <w:r w:rsidRPr="00037C61">
        <w:rPr>
          <w:lang w:val="en-GB"/>
        </w:rPr>
        <w:t xml:space="preserve">The low cross-border network efficiency is not justified by a major natural limit (for example the Danube river in the case of Serbia and Romania). The border between Romania and Hungary is a green border, but despite that, the region has low connectivity between its main urban centers. Analyzing the road map and road density map, we can observe a series of missing links between Arad county and Békés plus Hajdú-Bihar counties, and missing links regarding rail connectivity between Bihor county and Hajdú-Bihar county, in the case of urban centers Oradea and Debrecen. The distribution of the existing road cross-border points is distributed evenly throughout the border line. As concerns an efficient public transport system, the railway connectivity can be characterized as underdeveloped, especially in the southern part of the PA (as concerns urban centers Timișoara-Szeged). The Debrecen – Oradea connection is also a concerning issue, despite being the main urban centers (with knows past collaborations) situated at an approximately 1-hour travel distance by car, there is no direct railway connectivity, the commuting being made only by car. </w:t>
      </w:r>
    </w:p>
    <w:p w14:paraId="73F22D55" w14:textId="77777777" w:rsidR="00164F3F" w:rsidRPr="00037C61" w:rsidRDefault="00164F3F">
      <w:pPr>
        <w:jc w:val="left"/>
        <w:rPr>
          <w:lang w:val="en-GB"/>
        </w:rPr>
      </w:pPr>
      <w:r w:rsidRPr="00037C61">
        <w:rPr>
          <w:lang w:val="en-GB"/>
        </w:rPr>
        <w:br w:type="page"/>
      </w:r>
    </w:p>
    <w:p w14:paraId="1E30B3DB" w14:textId="25C3F209" w:rsidR="002666CC" w:rsidRPr="00037C61" w:rsidRDefault="00164F3F" w:rsidP="086A48B6">
      <w:pPr>
        <w:rPr>
          <w:lang w:val="en-GB"/>
        </w:rPr>
      </w:pPr>
      <w:r w:rsidRPr="00037C61">
        <w:rPr>
          <w:lang w:val="en-GB"/>
        </w:rPr>
        <w:lastRenderedPageBreak/>
        <w:t>An important barrier regarding cross-border travel is the fact that Romania is not yet part of Schengen area. The entrace of Romania in Schengen is planned in the next period of programming (the agreements about small traffic with the neighbor countries are in progress – Romanian Reports affirms that all preparation are completed as requested by the European Commission)</w:t>
      </w:r>
    </w:p>
    <w:p w14:paraId="01E6F4CB" w14:textId="4646426B" w:rsidR="002666CC" w:rsidRPr="00037C61" w:rsidRDefault="086A48B6" w:rsidP="086A48B6">
      <w:pPr>
        <w:rPr>
          <w:lang w:val="en-GB"/>
        </w:rPr>
      </w:pPr>
      <w:r w:rsidRPr="00037C61">
        <w:rPr>
          <w:lang w:val="en-GB"/>
        </w:rPr>
        <w:t>A further analysis is conducted in chapter 3.3.1 Linkages and common catchment areas</w:t>
      </w:r>
      <w:r w:rsidR="002775B3">
        <w:rPr>
          <w:lang w:val="en-GB"/>
        </w:rPr>
        <w:t>,</w:t>
      </w:r>
      <w:r w:rsidRPr="00037C61">
        <w:rPr>
          <w:lang w:val="en-GB"/>
        </w:rPr>
        <w:t xml:space="preserve"> especially </w:t>
      </w:r>
      <w:r w:rsidR="002775B3">
        <w:rPr>
          <w:lang w:val="en-GB"/>
        </w:rPr>
        <w:t>represented in the Figure dedicated to showing“</w:t>
      </w:r>
      <w:r w:rsidRPr="00037C61">
        <w:rPr>
          <w:lang w:val="en-GB"/>
        </w:rPr>
        <w:t>High density urban cluster and potential cross-border functional areas</w:t>
      </w:r>
      <w:r w:rsidR="002775B3">
        <w:rPr>
          <w:lang w:val="en-GB"/>
        </w:rPr>
        <w:t>”</w:t>
      </w:r>
      <w:r w:rsidRPr="00037C61">
        <w:rPr>
          <w:lang w:val="en-GB"/>
        </w:rPr>
        <w:t xml:space="preserve">, where it can be observed the major impact of low degree of road density and poor infrastructure (especially in the case Timiș county regarding urban center Timișoara, Arad county regarding urban center Arad). </w:t>
      </w:r>
    </w:p>
    <w:p w14:paraId="0D970A00" w14:textId="106EE51B" w:rsidR="002666CC" w:rsidRPr="00037C61" w:rsidRDefault="002666CC" w:rsidP="00457478">
      <w:pPr>
        <w:pStyle w:val="Caption"/>
        <w:keepNext/>
        <w:jc w:val="both"/>
        <w:rPr>
          <w:lang w:val="en-GB"/>
        </w:rPr>
      </w:pPr>
      <w:bookmarkStart w:id="763" w:name="_Toc6461106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116</w:t>
      </w:r>
      <w:r w:rsidR="00412697">
        <w:rPr>
          <w:lang w:val="en-GB"/>
        </w:rPr>
        <w:fldChar w:fldCharType="end"/>
      </w:r>
      <w:r w:rsidRPr="00037C61">
        <w:rPr>
          <w:lang w:val="en-GB"/>
        </w:rPr>
        <w:t xml:space="preserve"> - Network efficiency of border regions</w:t>
      </w:r>
      <w:bookmarkEnd w:id="763"/>
    </w:p>
    <w:p w14:paraId="265B2CE7" w14:textId="2FF0151D" w:rsidR="002666CC" w:rsidRPr="00037C61" w:rsidRDefault="002666CC" w:rsidP="002666CC">
      <w:pPr>
        <w:rPr>
          <w:lang w:val="en-GB"/>
        </w:rPr>
      </w:pPr>
      <w:r w:rsidRPr="00037C61">
        <w:rPr>
          <w:noProof/>
          <w:lang w:val="ro-RO" w:eastAsia="ro-RO"/>
        </w:rPr>
        <w:drawing>
          <wp:inline distT="0" distB="0" distL="0" distR="0" wp14:anchorId="19F1A64A" wp14:editId="47B506BD">
            <wp:extent cx="5551325" cy="58578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40">
                      <a:extLst>
                        <a:ext uri="{53640926-AAD7-44D8-BBD7-CCE9431645EC}">
                          <a14:shadowObscured xmlns="" xmlns:o="urn:schemas-microsoft-com:office:office" xmlns:v="urn:schemas-microsoft-com:vml" xmlns:w10="urn:schemas-microsoft-com:office:word" xmlns:w="http://schemas.openxmlformats.org/wordprocessingml/2006/main" xmlns:a16="http://schemas.microsoft.com/office/drawing/2014/main" xmlns:c="http://schemas.openxmlformats.org/drawingml/2006/chart" xmlns:a14="http://schemas.microsoft.com/office/drawing/2010/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a:blip>
                    <a:srcRect t="5446"/>
                    <a:stretch>
                      <a:fillRect/>
                    </a:stretch>
                  </pic:blipFill>
                  <pic:spPr>
                    <a:xfrm>
                      <a:off x="0" y="0"/>
                      <a:ext cx="5556387" cy="5863217"/>
                    </a:xfrm>
                    <a:prstGeom prst="rect">
                      <a:avLst/>
                    </a:prstGeom>
                  </pic:spPr>
                </pic:pic>
              </a:graphicData>
            </a:graphic>
          </wp:inline>
        </w:drawing>
      </w:r>
    </w:p>
    <w:p w14:paraId="5C27E47F" w14:textId="4A6F63A7" w:rsidR="002666CC" w:rsidRPr="00037C61" w:rsidRDefault="002666CC" w:rsidP="00457478">
      <w:pPr>
        <w:pStyle w:val="Caption"/>
        <w:keepNext/>
        <w:jc w:val="both"/>
        <w:rPr>
          <w:lang w:val="en-GB"/>
        </w:rPr>
      </w:pPr>
      <w:r w:rsidRPr="00DB74BF">
        <w:rPr>
          <w:lang w:val="fr-FR"/>
        </w:rPr>
        <w:t xml:space="preserve">Source: EC, Christodoulou, A. et al. </w:t>
      </w:r>
      <w:r w:rsidRPr="00037C61">
        <w:rPr>
          <w:lang w:val="en-GB"/>
        </w:rPr>
        <w:t>(2019) Road accessibility in border regions. doi: 10.2776/91499.</w:t>
      </w:r>
    </w:p>
    <w:p w14:paraId="031E2750" w14:textId="77777777" w:rsidR="00F75A73" w:rsidRPr="00037C61" w:rsidRDefault="00F75A73" w:rsidP="008E6744">
      <w:pPr>
        <w:keepNext/>
        <w:spacing w:after="0"/>
        <w:jc w:val="center"/>
        <w:rPr>
          <w:lang w:val="en-GB"/>
        </w:rPr>
        <w:sectPr w:rsidR="00F75A73" w:rsidRPr="00037C61" w:rsidSect="009E4103">
          <w:headerReference w:type="default" r:id="rId241"/>
          <w:footerReference w:type="first" r:id="rId242"/>
          <w:pgSz w:w="11906" w:h="16838"/>
          <w:pgMar w:top="1713" w:right="1440" w:bottom="1440" w:left="1440" w:header="708" w:footer="828" w:gutter="0"/>
          <w:cols w:space="708"/>
          <w:docGrid w:linePitch="360"/>
        </w:sectPr>
      </w:pPr>
    </w:p>
    <w:p w14:paraId="3A201AFD" w14:textId="06D060CC" w:rsidR="008E6744" w:rsidRPr="00037C61" w:rsidRDefault="008E6744" w:rsidP="00F75A73">
      <w:pPr>
        <w:rPr>
          <w:lang w:val="en-GB"/>
        </w:rPr>
      </w:pPr>
    </w:p>
    <w:p w14:paraId="109C4F85" w14:textId="559FDF13" w:rsidR="00D50A92" w:rsidRPr="00037C61" w:rsidRDefault="00D50A92" w:rsidP="00D50A92">
      <w:pPr>
        <w:pStyle w:val="Heading4"/>
        <w:rPr>
          <w:lang w:val="en-GB"/>
        </w:rPr>
      </w:pPr>
      <w:r w:rsidRPr="00037C61">
        <w:rPr>
          <w:lang w:val="en-GB"/>
        </w:rPr>
        <w:t xml:space="preserve">Assessment of rail infrastructure </w:t>
      </w:r>
    </w:p>
    <w:p w14:paraId="68D77D0E" w14:textId="037546D8" w:rsidR="003F4FCD" w:rsidRPr="00037C61" w:rsidRDefault="2C549B0C" w:rsidP="008E6744">
      <w:pPr>
        <w:rPr>
          <w:lang w:val="en-GB"/>
        </w:rPr>
      </w:pPr>
      <w:r w:rsidRPr="00037C61">
        <w:rPr>
          <w:rFonts w:cs="Calibri"/>
          <w:lang w:val="en-GB"/>
        </w:rPr>
        <w:t xml:space="preserve">Regarding public rail transport in relation with qualitative and quantitative assessment, in the </w:t>
      </w:r>
      <w:r w:rsidR="00D50A92" w:rsidRPr="00037C61">
        <w:rPr>
          <w:rFonts w:cs="Calibri"/>
          <w:lang w:val="en-GB"/>
        </w:rPr>
        <w:t xml:space="preserve">programme </w:t>
      </w:r>
      <w:r w:rsidRPr="00037C61">
        <w:rPr>
          <w:rFonts w:cs="Calibri"/>
          <w:lang w:val="en-GB"/>
        </w:rPr>
        <w:t>area,</w:t>
      </w:r>
      <w:r w:rsidR="260455A2" w:rsidRPr="00037C61">
        <w:rPr>
          <w:rFonts w:cs="Calibri"/>
          <w:lang w:val="en-GB"/>
        </w:rPr>
        <w:t xml:space="preserve"> </w:t>
      </w:r>
      <w:r w:rsidR="003F4FCD" w:rsidRPr="00037C61">
        <w:rPr>
          <w:rFonts w:cs="Calibri"/>
          <w:lang w:val="en-GB"/>
        </w:rPr>
        <w:t xml:space="preserve">the network has remained relatively unchanged between 2009-2018, with the exception of Arad (where 6 km of line were decommissioned in 2014), Békés (upgrading of Budapest-Lőkösháza railway line No 120) and </w:t>
      </w:r>
      <w:r w:rsidR="003F4FCD" w:rsidRPr="00037C61">
        <w:rPr>
          <w:bCs/>
          <w:lang w:val="en-GB"/>
        </w:rPr>
        <w:t>Hajdú-Bihar</w:t>
      </w:r>
      <w:r w:rsidR="003F4FCD" w:rsidRPr="00037C61">
        <w:rPr>
          <w:rFonts w:cs="Calibri"/>
          <w:lang w:val="en-GB"/>
        </w:rPr>
        <w:t xml:space="preserve"> (Budapest-Debrecen-Nyíregyháza railway line No 100). </w:t>
      </w:r>
      <w:r w:rsidR="003F4FCD" w:rsidRPr="00037C61">
        <w:rPr>
          <w:lang w:val="en-GB"/>
        </w:rPr>
        <w:t>In 2021, the development of the section between Debrecen and Nyíregyháza will start  with the aim of reaching 160 km/h speed. In parallel, the Debrecen-Nagykereki railway line (No 106) will be upgraded until 2022, where, thanks to the investments of the previous years, the number of passengers increased with 50%.</w:t>
      </w:r>
    </w:p>
    <w:p w14:paraId="2170E334" w14:textId="473BAEDE" w:rsidR="008E6744" w:rsidRPr="00037C61" w:rsidRDefault="008E6744" w:rsidP="008E6744">
      <w:pPr>
        <w:rPr>
          <w:rFonts w:cs="Calibri"/>
          <w:lang w:val="en-GB"/>
        </w:rPr>
      </w:pPr>
      <w:r w:rsidRPr="00037C61">
        <w:rPr>
          <w:rFonts w:cs="Calibri"/>
          <w:lang w:val="en-GB"/>
        </w:rPr>
        <w:t>Regarding the other public rail transport in relation with qualitative and quantitative assessment, in the cross border area, data needed in order to have a precisely understanding of the status quo, is not available on NUTS3 level, but the general overview is that no significant changes happened in the analyzed interval</w:t>
      </w:r>
      <w:r w:rsidR="00D40ECE" w:rsidRPr="00037C61">
        <w:rPr>
          <w:rFonts w:cs="Calibri"/>
          <w:lang w:val="en-GB"/>
        </w:rPr>
        <w:t>.</w:t>
      </w:r>
    </w:p>
    <w:p w14:paraId="33408C26" w14:textId="6E14DA21" w:rsidR="00EF736D" w:rsidRPr="00037C61" w:rsidRDefault="00B76FA0" w:rsidP="005E0849">
      <w:pPr>
        <w:rPr>
          <w:lang w:val="en-GB"/>
        </w:rPr>
      </w:pPr>
      <w:r w:rsidRPr="00037C61">
        <w:rPr>
          <w:rFonts w:cs="Calibri"/>
          <w:noProof/>
          <w:lang w:val="ro-RO" w:eastAsia="ro-RO"/>
        </w:rPr>
        <w:drawing>
          <wp:anchor distT="0" distB="0" distL="114300" distR="114300" simplePos="0" relativeHeight="251685376" behindDoc="0" locked="0" layoutInCell="1" allowOverlap="1" wp14:anchorId="3859B52E" wp14:editId="4FE3EA33">
            <wp:simplePos x="0" y="0"/>
            <wp:positionH relativeFrom="column">
              <wp:posOffset>2369820</wp:posOffset>
            </wp:positionH>
            <wp:positionV relativeFrom="paragraph">
              <wp:posOffset>29845</wp:posOffset>
            </wp:positionV>
            <wp:extent cx="3548380" cy="3615055"/>
            <wp:effectExtent l="0" t="0" r="0" b="4445"/>
            <wp:wrapSquare wrapText="bothSides"/>
            <wp:docPr id="1361157920" name="Picture 7993569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43" cstate="print">
                      <a:extLst>
                        <a:ext uri="{28A0092B-C50C-407E-A947-70E740481C1C}">
                          <a14:useLocalDpi xmlns:a14="http://schemas.microsoft.com/office/drawing/2010/main" val="0"/>
                        </a:ext>
                      </a:extLst>
                    </a:blip>
                    <a:srcRect/>
                    <a:stretch/>
                  </pic:blipFill>
                  <pic:spPr bwMode="auto">
                    <a:xfrm>
                      <a:off x="0" y="0"/>
                      <a:ext cx="3548380" cy="3615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36D" w:rsidRPr="00037C61">
        <w:rPr>
          <w:rFonts w:cs="Calibri"/>
          <w:color w:val="000000" w:themeColor="text1"/>
          <w:lang w:val="en-GB"/>
        </w:rPr>
        <w:t>Regarding the rail density, we can observe that PA is situated a little above the middle EU countries trend, so the rail accessibility, only needs to be improved and partially developed, because, t</w:t>
      </w:r>
      <w:r w:rsidR="00EF736D" w:rsidRPr="00037C61">
        <w:rPr>
          <w:rFonts w:cs="Calibri"/>
          <w:lang w:val="en-GB"/>
        </w:rPr>
        <w:t>he Hungarian – Romanian border area is defined as an area where “Potential Accessibility is high at international level and low at the national level”. But, both Romanian cross-border regions and Hungarian ones do not have any kind of high-speed rail or even an upgraded high-speed connection. Regarding railway transport, the cross-border region has very slow connections when comparing with the European level.</w:t>
      </w:r>
    </w:p>
    <w:p w14:paraId="4E4D6BD7" w14:textId="4E0D8948" w:rsidR="00EF736D" w:rsidRPr="00037C61" w:rsidRDefault="00EF736D" w:rsidP="005E0849">
      <w:pPr>
        <w:pStyle w:val="Caption"/>
        <w:jc w:val="right"/>
        <w:rPr>
          <w:rFonts w:cs="Calibri"/>
          <w:lang w:val="en-GB"/>
        </w:rPr>
      </w:pPr>
      <w:bookmarkStart w:id="764" w:name="_Toc6461106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117</w:t>
      </w:r>
      <w:r w:rsidR="00412697">
        <w:rPr>
          <w:lang w:val="en-GB"/>
        </w:rPr>
        <w:fldChar w:fldCharType="end"/>
      </w:r>
      <w:r w:rsidRPr="00037C61">
        <w:rPr>
          <w:lang w:val="en-GB"/>
        </w:rPr>
        <w:t xml:space="preserve"> - The potential of the rail border accessibility</w:t>
      </w:r>
      <w:bookmarkEnd w:id="764"/>
    </w:p>
    <w:p w14:paraId="0B2EEF60" w14:textId="21BE6BB0" w:rsidR="00EF736D" w:rsidRPr="00DB74BF" w:rsidRDefault="00EF736D" w:rsidP="005E0849">
      <w:pPr>
        <w:pStyle w:val="Caption"/>
        <w:jc w:val="right"/>
        <w:rPr>
          <w:lang w:val="fr-FR"/>
        </w:rPr>
      </w:pPr>
      <w:r w:rsidRPr="00DB74BF">
        <w:rPr>
          <w:lang w:val="fr-FR"/>
        </w:rPr>
        <w:t xml:space="preserve">Source: </w:t>
      </w:r>
      <w:r w:rsidR="00B76FA0" w:rsidRPr="00DB74BF">
        <w:rPr>
          <w:lang w:val="fr-FR"/>
        </w:rPr>
        <w:t xml:space="preserve">Vulevici et al., 2020 Vulevici et al., 2020 </w:t>
      </w:r>
    </w:p>
    <w:p w14:paraId="73AC82C3" w14:textId="77777777" w:rsidR="00B76FA0" w:rsidRPr="00DB74BF" w:rsidRDefault="00B76FA0" w:rsidP="005E0849">
      <w:pPr>
        <w:rPr>
          <w:lang w:val="fr-FR"/>
        </w:rPr>
      </w:pPr>
    </w:p>
    <w:p w14:paraId="262AB34A" w14:textId="5961A5DC" w:rsidR="00B76FA0" w:rsidRPr="00037C61" w:rsidRDefault="00C9642A" w:rsidP="00B76FA0">
      <w:pPr>
        <w:keepNext/>
        <w:jc w:val="center"/>
        <w:rPr>
          <w:lang w:val="en-GB"/>
        </w:rPr>
      </w:pPr>
      <w:r w:rsidRPr="00037C61">
        <w:rPr>
          <w:noProof/>
          <w:lang w:val="ro-RO" w:eastAsia="ro-RO"/>
        </w:rPr>
        <w:lastRenderedPageBreak/>
        <w:drawing>
          <wp:inline distT="0" distB="0" distL="0" distR="0" wp14:anchorId="1D311D88" wp14:editId="48999CBC">
            <wp:extent cx="5731510" cy="2209165"/>
            <wp:effectExtent l="0" t="0" r="254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44">
                      <a:extLst>
                        <a:ext uri="{28A0092B-C50C-407E-A947-70E740481C1C}">
                          <a14:useLocalDpi xmlns:a14="http://schemas.microsoft.com/office/drawing/2010/main" val="0"/>
                        </a:ext>
                      </a:extLst>
                    </a:blip>
                    <a:stretch>
                      <a:fillRect/>
                    </a:stretch>
                  </pic:blipFill>
                  <pic:spPr>
                    <a:xfrm>
                      <a:off x="0" y="0"/>
                      <a:ext cx="5731510" cy="2209165"/>
                    </a:xfrm>
                    <a:prstGeom prst="rect">
                      <a:avLst/>
                    </a:prstGeom>
                  </pic:spPr>
                </pic:pic>
              </a:graphicData>
            </a:graphic>
          </wp:inline>
        </w:drawing>
      </w:r>
    </w:p>
    <w:p w14:paraId="0AA9CB93" w14:textId="100DDE37" w:rsidR="00B76FA0" w:rsidRPr="00037C61" w:rsidRDefault="00B76FA0" w:rsidP="00C9642A">
      <w:pPr>
        <w:pStyle w:val="Caption"/>
        <w:jc w:val="left"/>
        <w:rPr>
          <w:lang w:val="en-GB"/>
        </w:rPr>
      </w:pPr>
      <w:bookmarkStart w:id="765" w:name="_Toc6461106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118</w:t>
      </w:r>
      <w:r w:rsidR="00412697">
        <w:rPr>
          <w:lang w:val="en-GB"/>
        </w:rPr>
        <w:fldChar w:fldCharType="end"/>
      </w:r>
      <w:r w:rsidRPr="00037C61">
        <w:rPr>
          <w:lang w:val="en-GB"/>
        </w:rPr>
        <w:t xml:space="preserve"> - </w:t>
      </w:r>
      <w:r w:rsidR="00C9642A" w:rsidRPr="00037C61">
        <w:rPr>
          <w:lang w:val="en-GB"/>
        </w:rPr>
        <w:t>European core and comprehensive rail network by line speed.</w:t>
      </w:r>
      <w:bookmarkEnd w:id="765"/>
    </w:p>
    <w:p w14:paraId="1E3BC937" w14:textId="766597D5" w:rsidR="00C9642A" w:rsidRPr="00DB74BF" w:rsidRDefault="00C9642A" w:rsidP="00C9642A">
      <w:pPr>
        <w:pStyle w:val="Caption"/>
        <w:jc w:val="left"/>
        <w:rPr>
          <w:lang w:val="fr-FR"/>
        </w:rPr>
      </w:pPr>
      <w:r w:rsidRPr="00DB74BF">
        <w:rPr>
          <w:lang w:val="fr-FR"/>
        </w:rPr>
        <w:t>Source: EC, TENtec, 2020 https://ec.europa.eu/transport/infrastructure/tentec/tentec-portal/map/maps.html</w:t>
      </w:r>
    </w:p>
    <w:p w14:paraId="76AEACDE" w14:textId="77777777" w:rsidR="00B76FA0" w:rsidRPr="00DB74BF" w:rsidRDefault="00B76FA0" w:rsidP="005E0849">
      <w:pPr>
        <w:rPr>
          <w:lang w:val="fr-FR"/>
        </w:rPr>
      </w:pPr>
    </w:p>
    <w:p w14:paraId="7462B51B" w14:textId="45BF848B" w:rsidR="0073310A" w:rsidRPr="00037C61" w:rsidRDefault="00E40568" w:rsidP="008E6744">
      <w:pPr>
        <w:rPr>
          <w:rFonts w:cs="Calibri"/>
          <w:lang w:val="en-GB"/>
        </w:rPr>
      </w:pPr>
      <w:r w:rsidRPr="00037C61">
        <w:rPr>
          <w:rFonts w:cs="Calibri"/>
          <w:lang w:val="en-GB"/>
        </w:rPr>
        <w:t>In</w:t>
      </w:r>
      <w:r w:rsidR="3F413C9B" w:rsidRPr="00037C61">
        <w:rPr>
          <w:rFonts w:cs="Calibri"/>
          <w:lang w:val="en-GB"/>
        </w:rPr>
        <w:t xml:space="preserve"> both countries, at the border area, there are main conventional </w:t>
      </w:r>
      <w:r w:rsidR="00AF77AF" w:rsidRPr="00037C61">
        <w:rPr>
          <w:rFonts w:cs="Calibri"/>
          <w:lang w:val="en-GB"/>
        </w:rPr>
        <w:t xml:space="preserve">railway </w:t>
      </w:r>
      <w:r w:rsidR="3F413C9B" w:rsidRPr="00037C61">
        <w:rPr>
          <w:rFonts w:cs="Calibri"/>
          <w:lang w:val="en-GB"/>
        </w:rPr>
        <w:t>lines, crosscutting the border</w:t>
      </w:r>
      <w:r w:rsidR="00AF77AF" w:rsidRPr="00037C61">
        <w:rPr>
          <w:rFonts w:cs="Calibri"/>
          <w:lang w:val="en-GB"/>
        </w:rPr>
        <w:t>, with a relatively low performance as compared to existing potential (high speed)</w:t>
      </w:r>
      <w:r w:rsidR="3F413C9B" w:rsidRPr="00037C61">
        <w:rPr>
          <w:rFonts w:cs="Calibri"/>
          <w:lang w:val="en-GB"/>
        </w:rPr>
        <w:t xml:space="preserve">. </w:t>
      </w:r>
    </w:p>
    <w:p w14:paraId="7545AB8E" w14:textId="38689916" w:rsidR="00C86C9E" w:rsidRPr="00037C61" w:rsidRDefault="0073310A" w:rsidP="00EA5E72">
      <w:pPr>
        <w:rPr>
          <w:lang w:val="en-GB"/>
        </w:rPr>
      </w:pPr>
      <w:r w:rsidRPr="00037C61">
        <w:rPr>
          <w:rFonts w:cs="Calibri"/>
          <w:lang w:val="en-GB"/>
        </w:rPr>
        <w:t>However, joint rail</w:t>
      </w:r>
      <w:r w:rsidR="00C86C9E" w:rsidRPr="00037C61">
        <w:rPr>
          <w:rFonts w:cs="Calibri"/>
          <w:lang w:val="en-GB"/>
        </w:rPr>
        <w:t>way services have a potential to develop based on existing connections (</w:t>
      </w:r>
      <w:r w:rsidR="00C86C9E" w:rsidRPr="00037C61">
        <w:rPr>
          <w:rFonts w:cs="Arial"/>
          <w:color w:val="000000"/>
          <w:lang w:val="en-GB"/>
        </w:rPr>
        <w:t>52 being suitable for InterCitys, 8 for EuroCitys, 4 for Fast trains and 50 for Passenger trains)</w:t>
      </w:r>
      <w:r w:rsidR="003F4FCD" w:rsidRPr="00037C61">
        <w:rPr>
          <w:rFonts w:cs="Calibri"/>
          <w:lang w:val="en-GB"/>
        </w:rPr>
        <w:t>.</w:t>
      </w:r>
      <w:r w:rsidR="00C86C9E" w:rsidRPr="00037C61">
        <w:rPr>
          <w:lang w:val="en-GB"/>
        </w:rPr>
        <w:t xml:space="preserve"> </w:t>
      </w:r>
    </w:p>
    <w:p w14:paraId="0CD36631" w14:textId="7DD4DE39" w:rsidR="00C86C9E" w:rsidRPr="00037C61" w:rsidRDefault="00C86C9E" w:rsidP="00C86C9E">
      <w:pPr>
        <w:pStyle w:val="InterregROHUBullet1"/>
        <w:numPr>
          <w:ilvl w:val="0"/>
          <w:numId w:val="0"/>
        </w:numPr>
        <w:spacing w:before="240" w:after="0"/>
      </w:pPr>
      <w:r w:rsidRPr="00037C61">
        <w:t>The localities have a different number of connections</w:t>
      </w:r>
      <w:r w:rsidR="00E40568" w:rsidRPr="00037C61">
        <w:t>, with the highest connected settlements being Arad and Oradea on the Romanian side</w:t>
      </w:r>
      <w:r w:rsidR="00FF0950" w:rsidRPr="00037C61">
        <w:t xml:space="preserve">. </w:t>
      </w:r>
    </w:p>
    <w:p w14:paraId="5A2F749C" w14:textId="77777777" w:rsidR="00FF0950" w:rsidRPr="00037C61" w:rsidRDefault="00FF0950" w:rsidP="00C86C9E">
      <w:pPr>
        <w:pStyle w:val="InterregROHUBullet1"/>
        <w:numPr>
          <w:ilvl w:val="0"/>
          <w:numId w:val="0"/>
        </w:numPr>
        <w:spacing w:before="240" w:after="0"/>
      </w:pPr>
    </w:p>
    <w:p w14:paraId="2504262B" w14:textId="08395851" w:rsidR="00C86C9E" w:rsidRPr="00037C61" w:rsidRDefault="00C86C9E" w:rsidP="00C86C9E">
      <w:pPr>
        <w:pStyle w:val="Caption"/>
        <w:keepNext/>
        <w:jc w:val="left"/>
        <w:rPr>
          <w:noProof/>
          <w:lang w:val="en-GB"/>
        </w:rPr>
      </w:pPr>
      <w:bookmarkStart w:id="766" w:name="_Toc58237657"/>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35</w:t>
      </w:r>
      <w:r w:rsidRPr="00037C61">
        <w:rPr>
          <w:lang w:val="en-GB"/>
        </w:rPr>
        <w:fldChar w:fldCharType="end"/>
      </w:r>
      <w:r w:rsidR="00E40568" w:rsidRPr="00037C61">
        <w:rPr>
          <w:lang w:val="en-GB"/>
        </w:rPr>
        <w:t xml:space="preserve"> -</w:t>
      </w:r>
      <w:r w:rsidR="00E40568" w:rsidRPr="00037C61">
        <w:rPr>
          <w:rFonts w:cs="Calibri"/>
          <w:lang w:val="en-GB"/>
        </w:rPr>
        <w:t xml:space="preserve"> Rail connections: accessibility of localities</w:t>
      </w:r>
      <w:bookmarkEnd w:id="766"/>
    </w:p>
    <w:tbl>
      <w:tblPr>
        <w:tblStyle w:val="ListTable3-Accent11"/>
        <w:tblW w:w="9106" w:type="dxa"/>
        <w:tblBorders>
          <w:insideH w:val="single" w:sz="4" w:space="0" w:color="034FA3" w:themeColor="accent1"/>
          <w:insideV w:val="single" w:sz="4" w:space="0" w:color="034FA3" w:themeColor="accent1"/>
        </w:tblBorders>
        <w:tblLayout w:type="fixed"/>
        <w:tblLook w:val="04A0" w:firstRow="1" w:lastRow="0" w:firstColumn="1" w:lastColumn="0" w:noHBand="0" w:noVBand="1"/>
      </w:tblPr>
      <w:tblGrid>
        <w:gridCol w:w="2178"/>
        <w:gridCol w:w="6928"/>
      </w:tblGrid>
      <w:tr w:rsidR="00E40568" w:rsidRPr="00944B4A" w14:paraId="7EAE73A4" w14:textId="77777777" w:rsidTr="00457478">
        <w:trPr>
          <w:cnfStyle w:val="100000000000" w:firstRow="1" w:lastRow="0" w:firstColumn="0" w:lastColumn="0" w:oddVBand="0" w:evenVBand="0" w:oddHBand="0" w:evenHBand="0" w:firstRowFirstColumn="0" w:firstRowLastColumn="0" w:lastRowFirstColumn="0" w:lastRowLastColumn="0"/>
          <w:trHeight w:val="353"/>
        </w:trPr>
        <w:tc>
          <w:tcPr>
            <w:cnfStyle w:val="001000000100" w:firstRow="0" w:lastRow="0" w:firstColumn="1" w:lastColumn="0" w:oddVBand="0" w:evenVBand="0" w:oddHBand="0" w:evenHBand="0" w:firstRowFirstColumn="1" w:firstRowLastColumn="0" w:lastRowFirstColumn="0" w:lastRowLastColumn="0"/>
            <w:tcW w:w="9106" w:type="dxa"/>
            <w:gridSpan w:val="2"/>
            <w:shd w:val="clear" w:color="auto" w:fill="0070C0"/>
          </w:tcPr>
          <w:p w14:paraId="42FDF5D0" w14:textId="6A5E2EF5" w:rsidR="00E40568" w:rsidRPr="00037C61" w:rsidRDefault="00E40568" w:rsidP="005E0849">
            <w:pPr>
              <w:jc w:val="center"/>
              <w:rPr>
                <w:rFonts w:cs="Calibri"/>
                <w:b w:val="0"/>
                <w:bCs w:val="0"/>
                <w:sz w:val="20"/>
                <w:szCs w:val="20"/>
                <w:lang w:val="en-GB"/>
              </w:rPr>
            </w:pPr>
            <w:r w:rsidRPr="00037C61">
              <w:rPr>
                <w:rFonts w:cs="Calibri"/>
                <w:sz w:val="20"/>
                <w:szCs w:val="20"/>
                <w:lang w:val="en-GB"/>
              </w:rPr>
              <w:t xml:space="preserve">Rail connections: accessibility of </w:t>
            </w:r>
            <w:r w:rsidR="00FF0950" w:rsidRPr="00037C61">
              <w:rPr>
                <w:rFonts w:cs="Calibri"/>
                <w:sz w:val="20"/>
                <w:szCs w:val="20"/>
                <w:lang w:val="en-GB"/>
              </w:rPr>
              <w:t>settlements</w:t>
            </w:r>
          </w:p>
        </w:tc>
      </w:tr>
      <w:tr w:rsidR="00E40568" w:rsidRPr="00037C61" w14:paraId="0C442B4C" w14:textId="77777777" w:rsidTr="0045747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78" w:type="dxa"/>
          </w:tcPr>
          <w:p w14:paraId="05974AC0" w14:textId="40B41E21" w:rsidR="00E40568" w:rsidRPr="00037C61" w:rsidRDefault="00E40568" w:rsidP="00476743">
            <w:pPr>
              <w:rPr>
                <w:rFonts w:cs="Calibri"/>
                <w:color w:val="000000"/>
                <w:sz w:val="20"/>
                <w:szCs w:val="20"/>
                <w:lang w:val="en-GB"/>
              </w:rPr>
            </w:pPr>
            <w:r w:rsidRPr="00037C61">
              <w:rPr>
                <w:rFonts w:cs="Calibri"/>
                <w:color w:val="000000"/>
                <w:sz w:val="20"/>
                <w:szCs w:val="20"/>
                <w:lang w:val="en-GB"/>
              </w:rPr>
              <w:t>1 connection</w:t>
            </w:r>
          </w:p>
        </w:tc>
        <w:tc>
          <w:tcPr>
            <w:tcW w:w="6927" w:type="dxa"/>
            <w:noWrap/>
            <w:hideMark/>
          </w:tcPr>
          <w:p w14:paraId="181B5815" w14:textId="77777777" w:rsidR="00E40568" w:rsidRPr="00DB74BF" w:rsidRDefault="00E40568" w:rsidP="00476743">
            <w:pPr>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DB74BF">
              <w:rPr>
                <w:rFonts w:cs="Calibri"/>
                <w:color w:val="000000"/>
                <w:sz w:val="20"/>
                <w:szCs w:val="20"/>
              </w:rPr>
              <w:t>Biharia, Bratca, Cadia, Cefa, Curtuiuşeni, Derbecen, Diosig, Domăneşti, General Gh. Avramescu, Les Bihor, Lippa, Lugoj, Marna, Moftin, Radna, Resighea, Roşiori Bihor, Săcuieni Bihor, Salonta, Sanislău, Sătmărel, Săvârşin, Şilindru, Simion, Tămăşeu</w:t>
            </w:r>
          </w:p>
        </w:tc>
      </w:tr>
      <w:tr w:rsidR="00E40568" w:rsidRPr="00944B4A" w14:paraId="5D030238" w14:textId="77777777" w:rsidTr="00457478">
        <w:trPr>
          <w:trHeight w:val="353"/>
        </w:trPr>
        <w:tc>
          <w:tcPr>
            <w:cnfStyle w:val="001000000000" w:firstRow="0" w:lastRow="0" w:firstColumn="1" w:lastColumn="0" w:oddVBand="0" w:evenVBand="0" w:oddHBand="0" w:evenHBand="0" w:firstRowFirstColumn="0" w:firstRowLastColumn="0" w:lastRowFirstColumn="0" w:lastRowLastColumn="0"/>
            <w:tcW w:w="2178" w:type="dxa"/>
          </w:tcPr>
          <w:p w14:paraId="7812F0B9" w14:textId="213363AE" w:rsidR="00E40568" w:rsidRPr="00037C61" w:rsidRDefault="00E40568" w:rsidP="00476743">
            <w:pPr>
              <w:rPr>
                <w:rFonts w:cs="Calibri"/>
                <w:color w:val="000000"/>
                <w:sz w:val="20"/>
                <w:szCs w:val="20"/>
                <w:lang w:val="en-GB"/>
              </w:rPr>
            </w:pPr>
            <w:r w:rsidRPr="00037C61">
              <w:rPr>
                <w:rFonts w:cs="Calibri"/>
                <w:color w:val="000000"/>
                <w:sz w:val="20"/>
                <w:szCs w:val="20"/>
                <w:lang w:val="en-GB"/>
              </w:rPr>
              <w:t>2 connections</w:t>
            </w:r>
          </w:p>
        </w:tc>
        <w:tc>
          <w:tcPr>
            <w:tcW w:w="6927" w:type="dxa"/>
            <w:noWrap/>
          </w:tcPr>
          <w:p w14:paraId="09A9EB83" w14:textId="34420B20" w:rsidR="00E40568" w:rsidRPr="00037C61" w:rsidRDefault="00E40568" w:rsidP="00476743">
            <w:pPr>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Aleşd, Carei, Csárdaszállás, Hajdúszoboszló, Haláp, Nagycsere, Satu Mare, Szentannapuszta, Szeged</w:t>
            </w:r>
          </w:p>
        </w:tc>
      </w:tr>
      <w:tr w:rsidR="00E40568" w:rsidRPr="00944B4A" w14:paraId="77534670" w14:textId="77777777" w:rsidTr="0045747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78" w:type="dxa"/>
          </w:tcPr>
          <w:p w14:paraId="1A8FE07C" w14:textId="15F7B419" w:rsidR="00E40568" w:rsidRPr="00037C61" w:rsidRDefault="00E40568" w:rsidP="00476743">
            <w:pPr>
              <w:rPr>
                <w:rFonts w:cs="Calibri"/>
                <w:color w:val="000000"/>
                <w:sz w:val="20"/>
                <w:szCs w:val="20"/>
                <w:lang w:val="en-GB"/>
              </w:rPr>
            </w:pPr>
            <w:r w:rsidRPr="00037C61">
              <w:rPr>
                <w:rFonts w:cs="Calibri"/>
                <w:color w:val="000000"/>
                <w:sz w:val="20"/>
                <w:szCs w:val="20"/>
                <w:lang w:val="en-GB"/>
              </w:rPr>
              <w:t>3 connections</w:t>
            </w:r>
          </w:p>
        </w:tc>
        <w:tc>
          <w:tcPr>
            <w:tcW w:w="6927" w:type="dxa"/>
            <w:noWrap/>
          </w:tcPr>
          <w:p w14:paraId="1CA3AE85" w14:textId="38D7A1D5" w:rsidR="00E40568" w:rsidRPr="00037C61" w:rsidRDefault="00E40568" w:rsidP="00476743">
            <w:pPr>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Nyírábrány, Timişoara, Valea Iui Mihai, Vámospércs</w:t>
            </w:r>
          </w:p>
        </w:tc>
      </w:tr>
      <w:tr w:rsidR="00E40568" w:rsidRPr="00944B4A" w14:paraId="0E485B71" w14:textId="77777777" w:rsidTr="00457478">
        <w:trPr>
          <w:trHeight w:val="353"/>
        </w:trPr>
        <w:tc>
          <w:tcPr>
            <w:cnfStyle w:val="001000000000" w:firstRow="0" w:lastRow="0" w:firstColumn="1" w:lastColumn="0" w:oddVBand="0" w:evenVBand="0" w:oddHBand="0" w:evenHBand="0" w:firstRowFirstColumn="0" w:firstRowLastColumn="0" w:lastRowFirstColumn="0" w:lastRowLastColumn="0"/>
            <w:tcW w:w="2178" w:type="dxa"/>
          </w:tcPr>
          <w:p w14:paraId="09014FA2" w14:textId="4B3D0B12" w:rsidR="00E40568" w:rsidRPr="00037C61" w:rsidRDefault="00E40568" w:rsidP="00476743">
            <w:pPr>
              <w:rPr>
                <w:rFonts w:cs="Calibri"/>
                <w:color w:val="000000"/>
                <w:sz w:val="20"/>
                <w:szCs w:val="20"/>
                <w:lang w:val="en-GB"/>
              </w:rPr>
            </w:pPr>
            <w:r w:rsidRPr="00037C61">
              <w:rPr>
                <w:rFonts w:cs="Calibri"/>
                <w:color w:val="000000"/>
                <w:sz w:val="20"/>
                <w:szCs w:val="20"/>
                <w:lang w:val="en-GB"/>
              </w:rPr>
              <w:t>4 connections</w:t>
            </w:r>
          </w:p>
        </w:tc>
        <w:tc>
          <w:tcPr>
            <w:tcW w:w="6927" w:type="dxa"/>
            <w:noWrap/>
          </w:tcPr>
          <w:p w14:paraId="1258A071" w14:textId="325B7153" w:rsidR="00E40568" w:rsidRPr="00037C61" w:rsidRDefault="00E40568" w:rsidP="00476743">
            <w:pPr>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Báránd, Berettyóújfalu, Biharkeresztes, Debrecen, Gyoma, Mezőberény, Mezőpeterd, Murony, Sáp</w:t>
            </w:r>
          </w:p>
        </w:tc>
      </w:tr>
      <w:tr w:rsidR="00E40568" w:rsidRPr="00037C61" w14:paraId="09EFBD29" w14:textId="77777777" w:rsidTr="0045747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78" w:type="dxa"/>
          </w:tcPr>
          <w:p w14:paraId="3C4F140B" w14:textId="18818F4F" w:rsidR="00E40568" w:rsidRPr="00037C61" w:rsidRDefault="00E40568" w:rsidP="00476743">
            <w:pPr>
              <w:rPr>
                <w:rFonts w:cs="Calibri"/>
                <w:color w:val="000000"/>
                <w:sz w:val="20"/>
                <w:szCs w:val="20"/>
                <w:lang w:val="en-GB"/>
              </w:rPr>
            </w:pPr>
            <w:r w:rsidRPr="00037C61">
              <w:rPr>
                <w:rFonts w:cs="Calibri"/>
                <w:color w:val="000000"/>
                <w:sz w:val="20"/>
                <w:szCs w:val="20"/>
                <w:lang w:val="en-GB"/>
              </w:rPr>
              <w:t>5 connections</w:t>
            </w:r>
          </w:p>
        </w:tc>
        <w:tc>
          <w:tcPr>
            <w:tcW w:w="6927" w:type="dxa"/>
            <w:noWrap/>
          </w:tcPr>
          <w:p w14:paraId="40C0C33C" w14:textId="453ACB0F" w:rsidR="00E40568" w:rsidRPr="00037C61" w:rsidRDefault="00E40568" w:rsidP="00476743">
            <w:pPr>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Békéscsaba, Curtici, Lőkösháza, Püspökladány</w:t>
            </w:r>
          </w:p>
        </w:tc>
      </w:tr>
      <w:tr w:rsidR="00E40568" w:rsidRPr="00037C61" w14:paraId="3EBFD4C4" w14:textId="77777777" w:rsidTr="00457478">
        <w:trPr>
          <w:trHeight w:val="353"/>
        </w:trPr>
        <w:tc>
          <w:tcPr>
            <w:cnfStyle w:val="001000000000" w:firstRow="0" w:lastRow="0" w:firstColumn="1" w:lastColumn="0" w:oddVBand="0" w:evenVBand="0" w:oddHBand="0" w:evenHBand="0" w:firstRowFirstColumn="0" w:firstRowLastColumn="0" w:lastRowFirstColumn="0" w:lastRowLastColumn="0"/>
            <w:tcW w:w="2178" w:type="dxa"/>
          </w:tcPr>
          <w:p w14:paraId="014AB882" w14:textId="2DCE6D1F" w:rsidR="00E40568" w:rsidRPr="00037C61" w:rsidRDefault="00E40568" w:rsidP="00476743">
            <w:pPr>
              <w:rPr>
                <w:rFonts w:cs="Calibri"/>
                <w:color w:val="000000"/>
                <w:sz w:val="20"/>
                <w:szCs w:val="20"/>
                <w:lang w:val="en-GB"/>
              </w:rPr>
            </w:pPr>
            <w:r w:rsidRPr="00037C61">
              <w:rPr>
                <w:rFonts w:cs="Calibri"/>
                <w:color w:val="000000"/>
                <w:sz w:val="20"/>
                <w:szCs w:val="20"/>
                <w:lang w:val="en-GB"/>
              </w:rPr>
              <w:t>6 connections</w:t>
            </w:r>
          </w:p>
        </w:tc>
        <w:tc>
          <w:tcPr>
            <w:tcW w:w="6927" w:type="dxa"/>
            <w:noWrap/>
          </w:tcPr>
          <w:p w14:paraId="2A94F938" w14:textId="30251FC6" w:rsidR="00E40568" w:rsidRPr="00037C61" w:rsidRDefault="00E40568" w:rsidP="00476743">
            <w:pPr>
              <w:jc w:val="left"/>
              <w:cnfStyle w:val="000000000000" w:firstRow="0" w:lastRow="0" w:firstColumn="0" w:lastColumn="0" w:oddVBand="0" w:evenVBand="0" w:oddHBand="0"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Arad</w:t>
            </w:r>
          </w:p>
        </w:tc>
      </w:tr>
      <w:tr w:rsidR="00E40568" w:rsidRPr="00037C61" w14:paraId="57CBC81A" w14:textId="77777777" w:rsidTr="0045747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78" w:type="dxa"/>
          </w:tcPr>
          <w:p w14:paraId="603B1FB8" w14:textId="3A6DA822" w:rsidR="00E40568" w:rsidRPr="00037C61" w:rsidRDefault="00E40568" w:rsidP="00476743">
            <w:pPr>
              <w:rPr>
                <w:rFonts w:cs="Calibri"/>
                <w:color w:val="000000"/>
                <w:sz w:val="20"/>
                <w:szCs w:val="20"/>
                <w:lang w:val="en-GB"/>
              </w:rPr>
            </w:pPr>
            <w:r w:rsidRPr="00037C61">
              <w:rPr>
                <w:rFonts w:cs="Calibri"/>
                <w:color w:val="000000"/>
                <w:sz w:val="20"/>
                <w:szCs w:val="20"/>
                <w:lang w:val="en-GB"/>
              </w:rPr>
              <w:t>7 connections</w:t>
            </w:r>
          </w:p>
        </w:tc>
        <w:tc>
          <w:tcPr>
            <w:tcW w:w="6927" w:type="dxa"/>
            <w:noWrap/>
          </w:tcPr>
          <w:p w14:paraId="573CB1EE" w14:textId="593DD1E1" w:rsidR="00E40568" w:rsidRPr="00037C61" w:rsidRDefault="00E40568" w:rsidP="00476743">
            <w:pPr>
              <w:jc w:val="left"/>
              <w:cnfStyle w:val="000000100000" w:firstRow="0" w:lastRow="0" w:firstColumn="0" w:lastColumn="0" w:oddVBand="0" w:evenVBand="0" w:oddHBand="1" w:evenHBand="0" w:firstRowFirstColumn="0" w:firstRowLastColumn="0" w:lastRowFirstColumn="0" w:lastRowLastColumn="0"/>
              <w:rPr>
                <w:rFonts w:cs="Calibri"/>
                <w:color w:val="000000"/>
                <w:sz w:val="20"/>
                <w:szCs w:val="20"/>
                <w:lang w:val="en-GB"/>
              </w:rPr>
            </w:pPr>
            <w:r w:rsidRPr="00037C61">
              <w:rPr>
                <w:rFonts w:cs="Calibri"/>
                <w:color w:val="000000"/>
                <w:sz w:val="20"/>
                <w:szCs w:val="20"/>
                <w:lang w:val="en-GB"/>
              </w:rPr>
              <w:t>Oradea</w:t>
            </w:r>
          </w:p>
        </w:tc>
      </w:tr>
    </w:tbl>
    <w:p w14:paraId="7517DA91" w14:textId="77777777" w:rsidR="00C86C9E" w:rsidRPr="00DB74BF" w:rsidRDefault="00C86C9E" w:rsidP="00C86C9E">
      <w:pPr>
        <w:pStyle w:val="Caption"/>
        <w:jc w:val="both"/>
        <w:rPr>
          <w:lang w:val="fr-FR"/>
        </w:rPr>
      </w:pPr>
      <w:r w:rsidRPr="00DB74BF">
        <w:rPr>
          <w:lang w:val="fr-FR"/>
        </w:rPr>
        <w:t xml:space="preserve">Source: Train: https://www.mavcsoport.hu/sites/default/files/upload/page/mnr_nemzetkozi-2020_teljes_3.pdf </w:t>
      </w:r>
    </w:p>
    <w:p w14:paraId="4A3ACC61" w14:textId="5FBBB4B7" w:rsidR="00C86C9E" w:rsidRPr="00DB74BF" w:rsidRDefault="00C86C9E" w:rsidP="008E6744">
      <w:pPr>
        <w:rPr>
          <w:rFonts w:cs="Calibri"/>
          <w:lang w:val="fr-FR"/>
        </w:rPr>
      </w:pPr>
    </w:p>
    <w:p w14:paraId="3F10B3E9" w14:textId="29311367" w:rsidR="00C57AAC" w:rsidRPr="00037C61" w:rsidRDefault="00C57AAC" w:rsidP="74CEAA85">
      <w:pPr>
        <w:rPr>
          <w:rFonts w:cs="Calibri"/>
          <w:lang w:val="en-GB"/>
        </w:rPr>
      </w:pPr>
      <w:r w:rsidRPr="00037C61">
        <w:rPr>
          <w:rFonts w:cs="Calibri"/>
          <w:lang w:val="en-GB"/>
        </w:rPr>
        <w:t>Cross-border transport options are currently limited, with a better service on the Arad – Békéscsaba route crossing at Curtici: four</w:t>
      </w:r>
      <w:r w:rsidR="18683862" w:rsidRPr="00037C61">
        <w:rPr>
          <w:rFonts w:cs="Calibri"/>
          <w:lang w:val="en-GB"/>
        </w:rPr>
        <w:t xml:space="preserve"> </w:t>
      </w:r>
      <w:r w:rsidRPr="00037C61">
        <w:rPr>
          <w:rFonts w:cs="Calibri"/>
          <w:lang w:val="en-GB"/>
        </w:rPr>
        <w:t xml:space="preserve">night trains and six inter-regional trains provide service </w:t>
      </w:r>
      <w:r w:rsidR="00C93A0F" w:rsidRPr="00037C61">
        <w:rPr>
          <w:rFonts w:cs="Calibri"/>
          <w:lang w:val="en-GB"/>
        </w:rPr>
        <w:t xml:space="preserve">during weekdays, </w:t>
      </w:r>
      <w:r w:rsidRPr="00037C61">
        <w:rPr>
          <w:rFonts w:cs="Calibri"/>
          <w:lang w:val="en-GB"/>
        </w:rPr>
        <w:t>while only one route makes the connection between Oradea and Hajd</w:t>
      </w:r>
      <w:r w:rsidR="1CAE8D50" w:rsidRPr="00037C61">
        <w:rPr>
          <w:rFonts w:eastAsia="Calibri" w:cs="Calibri"/>
          <w:color w:val="000000" w:themeColor="text1"/>
          <w:lang w:val="en-GB"/>
        </w:rPr>
        <w:t>ú</w:t>
      </w:r>
      <w:r w:rsidR="1CAE8D50" w:rsidRPr="00037C61">
        <w:rPr>
          <w:rFonts w:cs="Calibri"/>
          <w:lang w:val="en-GB"/>
        </w:rPr>
        <w:t xml:space="preserve"> </w:t>
      </w:r>
      <w:r w:rsidRPr="00037C61">
        <w:rPr>
          <w:rFonts w:cs="Calibri"/>
          <w:lang w:val="en-GB"/>
        </w:rPr>
        <w:t>-Bihar</w:t>
      </w:r>
      <w:r w:rsidR="00C93A0F" w:rsidRPr="00037C61">
        <w:rPr>
          <w:rFonts w:cs="Calibri"/>
          <w:lang w:val="en-GB"/>
        </w:rPr>
        <w:t xml:space="preserve">, serviced by IR 406 and 407 on each direction. </w:t>
      </w:r>
    </w:p>
    <w:p w14:paraId="7418C970" w14:textId="3509DFCF" w:rsidR="00C93A0F" w:rsidRPr="00037C61" w:rsidRDefault="00C93A0F" w:rsidP="00457478">
      <w:pPr>
        <w:pStyle w:val="Caption"/>
        <w:keepNext/>
        <w:jc w:val="left"/>
        <w:rPr>
          <w:lang w:val="en-GB"/>
        </w:rPr>
      </w:pPr>
      <w:bookmarkStart w:id="767" w:name="_Toc58237658"/>
      <w:r w:rsidRPr="00037C61">
        <w:rPr>
          <w:lang w:val="en-GB"/>
        </w:rPr>
        <w:lastRenderedPageBreak/>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36</w:t>
      </w:r>
      <w:r w:rsidRPr="00037C61">
        <w:rPr>
          <w:lang w:val="en-GB"/>
        </w:rPr>
        <w:fldChar w:fldCharType="end"/>
      </w:r>
      <w:r w:rsidRPr="00037C61">
        <w:rPr>
          <w:lang w:val="en-GB"/>
        </w:rPr>
        <w:t xml:space="preserve"> - Train service cross border and arrival times in main PA cities</w:t>
      </w:r>
      <w:bookmarkEnd w:id="767"/>
    </w:p>
    <w:tbl>
      <w:tblPr>
        <w:tblStyle w:val="ListTable3-Accent11"/>
        <w:tblW w:w="9128" w:type="dxa"/>
        <w:tblLook w:val="04A0" w:firstRow="1" w:lastRow="0" w:firstColumn="1" w:lastColumn="0" w:noHBand="0" w:noVBand="1"/>
      </w:tblPr>
      <w:tblGrid>
        <w:gridCol w:w="1162"/>
        <w:gridCol w:w="3946"/>
        <w:gridCol w:w="2010"/>
        <w:gridCol w:w="2010"/>
      </w:tblGrid>
      <w:tr w:rsidR="00C57AAC" w:rsidRPr="00944B4A" w14:paraId="7E263400" w14:textId="77777777" w:rsidTr="00C93A0F">
        <w:trPr>
          <w:cnfStyle w:val="100000000000" w:firstRow="1" w:lastRow="0" w:firstColumn="0" w:lastColumn="0" w:oddVBand="0" w:evenVBand="0" w:oddHBand="0" w:evenHBand="0" w:firstRowFirstColumn="0" w:firstRowLastColumn="0" w:lastRowFirstColumn="0" w:lastRowLastColumn="0"/>
          <w:trHeight w:val="313"/>
        </w:trPr>
        <w:tc>
          <w:tcPr>
            <w:cnfStyle w:val="001000000100" w:firstRow="0" w:lastRow="0" w:firstColumn="1" w:lastColumn="0" w:oddVBand="0" w:evenVBand="0" w:oddHBand="0" w:evenHBand="0" w:firstRowFirstColumn="1" w:firstRowLastColumn="0" w:lastRowFirstColumn="0" w:lastRowLastColumn="0"/>
            <w:tcW w:w="1162" w:type="dxa"/>
            <w:noWrap/>
            <w:hideMark/>
          </w:tcPr>
          <w:p w14:paraId="4F9C9B03" w14:textId="77777777" w:rsidR="00C57AAC" w:rsidRPr="00037C61" w:rsidRDefault="00C57AAC" w:rsidP="00C57AAC">
            <w:pPr>
              <w:jc w:val="left"/>
              <w:rPr>
                <w:rFonts w:eastAsia="Times New Roman" w:cs="Calibri"/>
                <w:sz w:val="20"/>
                <w:szCs w:val="20"/>
                <w:lang w:val="en-GB" w:eastAsia="en-GB"/>
              </w:rPr>
            </w:pPr>
            <w:r w:rsidRPr="00037C61">
              <w:rPr>
                <w:rFonts w:eastAsia="Times New Roman" w:cs="Calibri"/>
                <w:sz w:val="20"/>
                <w:szCs w:val="20"/>
                <w:lang w:val="en-GB" w:eastAsia="en-GB"/>
              </w:rPr>
              <w:t>No.</w:t>
            </w:r>
          </w:p>
        </w:tc>
        <w:tc>
          <w:tcPr>
            <w:tcW w:w="3946" w:type="dxa"/>
            <w:noWrap/>
            <w:hideMark/>
          </w:tcPr>
          <w:p w14:paraId="45F39ABB" w14:textId="77777777" w:rsidR="00C57AAC" w:rsidRPr="00037C61" w:rsidRDefault="00C57AAC" w:rsidP="00C57AAC">
            <w:pPr>
              <w:jc w:val="left"/>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en-GB"/>
              </w:rPr>
            </w:pPr>
            <w:r w:rsidRPr="00037C61">
              <w:rPr>
                <w:rFonts w:eastAsia="Times New Roman" w:cs="Calibri"/>
                <w:sz w:val="20"/>
                <w:szCs w:val="20"/>
                <w:lang w:val="en-GB" w:eastAsia="en-GB"/>
              </w:rPr>
              <w:t xml:space="preserve">Train no. </w:t>
            </w:r>
          </w:p>
        </w:tc>
        <w:tc>
          <w:tcPr>
            <w:tcW w:w="4020" w:type="dxa"/>
            <w:gridSpan w:val="2"/>
            <w:noWrap/>
            <w:hideMark/>
          </w:tcPr>
          <w:p w14:paraId="3464127E" w14:textId="47B68E55" w:rsidR="00C57AAC" w:rsidRPr="00037C61" w:rsidRDefault="00C57AAC" w:rsidP="00457478">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en-GB" w:eastAsia="en-GB"/>
              </w:rPr>
            </w:pPr>
            <w:r w:rsidRPr="00037C61">
              <w:rPr>
                <w:rFonts w:eastAsia="Times New Roman" w:cs="Calibri"/>
                <w:sz w:val="20"/>
                <w:szCs w:val="20"/>
                <w:lang w:val="en-GB" w:eastAsia="en-GB"/>
              </w:rPr>
              <w:t>Arrival times in main PA cities</w:t>
            </w:r>
          </w:p>
        </w:tc>
      </w:tr>
      <w:tr w:rsidR="00C57AAC" w:rsidRPr="00037C61" w14:paraId="147A9BA4" w14:textId="77777777" w:rsidTr="00C57AA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61B4AF50" w14:textId="77777777" w:rsidR="00C57AAC" w:rsidRPr="00037C61" w:rsidRDefault="00C57AAC" w:rsidP="00C57AAC">
            <w:pPr>
              <w:jc w:val="left"/>
              <w:rPr>
                <w:rFonts w:eastAsia="Times New Roman" w:cs="Calibri"/>
                <w:color w:val="FFFFFF" w:themeColor="background1"/>
                <w:sz w:val="20"/>
                <w:szCs w:val="20"/>
                <w:lang w:val="en-GB" w:eastAsia="en-GB"/>
              </w:rPr>
            </w:pPr>
          </w:p>
        </w:tc>
        <w:tc>
          <w:tcPr>
            <w:tcW w:w="3946" w:type="dxa"/>
            <w:noWrap/>
          </w:tcPr>
          <w:p w14:paraId="6BB689F8" w14:textId="77777777"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sz w:val="20"/>
                <w:szCs w:val="20"/>
                <w:lang w:val="en-GB" w:eastAsia="en-GB"/>
              </w:rPr>
            </w:pPr>
          </w:p>
        </w:tc>
        <w:tc>
          <w:tcPr>
            <w:tcW w:w="2010" w:type="dxa"/>
            <w:noWrap/>
          </w:tcPr>
          <w:p w14:paraId="54D7DD3D" w14:textId="02AF67AA"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 w:val="20"/>
                <w:szCs w:val="20"/>
                <w:lang w:val="en-GB" w:eastAsia="en-GB"/>
              </w:rPr>
            </w:pPr>
            <w:r w:rsidRPr="00037C61">
              <w:rPr>
                <w:rFonts w:eastAsia="Times New Roman" w:cs="Calibri"/>
                <w:b/>
                <w:bCs/>
                <w:sz w:val="20"/>
                <w:szCs w:val="20"/>
                <w:lang w:val="en-GB" w:eastAsia="en-GB"/>
              </w:rPr>
              <w:t>Arad</w:t>
            </w:r>
          </w:p>
        </w:tc>
        <w:tc>
          <w:tcPr>
            <w:tcW w:w="2010" w:type="dxa"/>
            <w:noWrap/>
          </w:tcPr>
          <w:p w14:paraId="784F4798" w14:textId="17BB8CC9"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 w:val="20"/>
                <w:szCs w:val="20"/>
                <w:lang w:val="en-GB" w:eastAsia="en-GB"/>
              </w:rPr>
            </w:pPr>
            <w:r w:rsidRPr="00037C61">
              <w:rPr>
                <w:rFonts w:eastAsia="Times New Roman" w:cs="Calibri"/>
                <w:b/>
                <w:bCs/>
                <w:sz w:val="20"/>
                <w:szCs w:val="20"/>
                <w:lang w:val="en-GB" w:eastAsia="en-GB"/>
              </w:rPr>
              <w:t>Békéscsaba</w:t>
            </w:r>
          </w:p>
        </w:tc>
      </w:tr>
      <w:tr w:rsidR="00C57AAC" w:rsidRPr="00037C61" w14:paraId="7D0C988A" w14:textId="77777777" w:rsidTr="00457478">
        <w:trPr>
          <w:trHeight w:val="313"/>
        </w:trPr>
        <w:tc>
          <w:tcPr>
            <w:cnfStyle w:val="001000000000" w:firstRow="0" w:lastRow="0" w:firstColumn="1" w:lastColumn="0" w:oddVBand="0" w:evenVBand="0" w:oddHBand="0" w:evenHBand="0" w:firstRowFirstColumn="0" w:firstRowLastColumn="0" w:lastRowFirstColumn="0" w:lastRowLastColumn="0"/>
            <w:tcW w:w="1162" w:type="dxa"/>
            <w:noWrap/>
            <w:hideMark/>
          </w:tcPr>
          <w:p w14:paraId="1AA5E81A" w14:textId="77777777"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1</w:t>
            </w:r>
          </w:p>
        </w:tc>
        <w:tc>
          <w:tcPr>
            <w:tcW w:w="3946" w:type="dxa"/>
            <w:shd w:val="clear" w:color="auto" w:fill="auto"/>
            <w:noWrap/>
            <w:hideMark/>
          </w:tcPr>
          <w:p w14:paraId="69C5E9E9" w14:textId="079A8B62"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EN  346 București - Wien HBF</w:t>
            </w:r>
          </w:p>
        </w:tc>
        <w:tc>
          <w:tcPr>
            <w:tcW w:w="2010" w:type="dxa"/>
            <w:shd w:val="clear" w:color="auto" w:fill="auto"/>
            <w:noWrap/>
            <w:hideMark/>
          </w:tcPr>
          <w:p w14:paraId="68AB7FE3"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01:21</w:t>
            </w:r>
          </w:p>
        </w:tc>
        <w:tc>
          <w:tcPr>
            <w:tcW w:w="2010" w:type="dxa"/>
            <w:shd w:val="clear" w:color="auto" w:fill="auto"/>
            <w:noWrap/>
            <w:hideMark/>
          </w:tcPr>
          <w:p w14:paraId="1656050E"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02:25</w:t>
            </w:r>
          </w:p>
        </w:tc>
      </w:tr>
      <w:tr w:rsidR="00C57AAC" w:rsidRPr="00037C61" w14:paraId="1E2860CA" w14:textId="77777777" w:rsidTr="00457478">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hideMark/>
          </w:tcPr>
          <w:p w14:paraId="6744D7A6" w14:textId="77777777"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2</w:t>
            </w:r>
          </w:p>
        </w:tc>
        <w:tc>
          <w:tcPr>
            <w:tcW w:w="3946" w:type="dxa"/>
            <w:shd w:val="clear" w:color="auto" w:fill="auto"/>
            <w:noWrap/>
            <w:hideMark/>
          </w:tcPr>
          <w:p w14:paraId="5711DC56" w14:textId="2D66128A"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EN 472 București - Budapest</w:t>
            </w:r>
          </w:p>
        </w:tc>
        <w:tc>
          <w:tcPr>
            <w:tcW w:w="2010" w:type="dxa"/>
            <w:shd w:val="clear" w:color="auto" w:fill="auto"/>
            <w:noWrap/>
            <w:hideMark/>
          </w:tcPr>
          <w:p w14:paraId="633EB1B2" w14:textId="77777777"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05:13</w:t>
            </w:r>
          </w:p>
        </w:tc>
        <w:tc>
          <w:tcPr>
            <w:tcW w:w="2010" w:type="dxa"/>
            <w:shd w:val="clear" w:color="auto" w:fill="auto"/>
            <w:noWrap/>
            <w:hideMark/>
          </w:tcPr>
          <w:p w14:paraId="7733ED6D" w14:textId="77777777"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06:16</w:t>
            </w:r>
          </w:p>
        </w:tc>
      </w:tr>
      <w:tr w:rsidR="00C57AAC" w:rsidRPr="00037C61" w14:paraId="73CF1527" w14:textId="77777777" w:rsidTr="00457478">
        <w:trPr>
          <w:trHeight w:val="313"/>
        </w:trPr>
        <w:tc>
          <w:tcPr>
            <w:cnfStyle w:val="001000000000" w:firstRow="0" w:lastRow="0" w:firstColumn="1" w:lastColumn="0" w:oddVBand="0" w:evenVBand="0" w:oddHBand="0" w:evenHBand="0" w:firstRowFirstColumn="0" w:firstRowLastColumn="0" w:lastRowFirstColumn="0" w:lastRowLastColumn="0"/>
            <w:tcW w:w="1162" w:type="dxa"/>
            <w:noWrap/>
            <w:hideMark/>
          </w:tcPr>
          <w:p w14:paraId="0E15F855" w14:textId="77777777"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3</w:t>
            </w:r>
          </w:p>
        </w:tc>
        <w:tc>
          <w:tcPr>
            <w:tcW w:w="3946" w:type="dxa"/>
            <w:shd w:val="clear" w:color="auto" w:fill="auto"/>
            <w:noWrap/>
            <w:hideMark/>
          </w:tcPr>
          <w:p w14:paraId="7BE48B46" w14:textId="77777777"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IR 78 Timișoara - Budapest</w:t>
            </w:r>
          </w:p>
        </w:tc>
        <w:tc>
          <w:tcPr>
            <w:tcW w:w="2010" w:type="dxa"/>
            <w:shd w:val="clear" w:color="auto" w:fill="auto"/>
            <w:noWrap/>
            <w:hideMark/>
          </w:tcPr>
          <w:p w14:paraId="09BFF7B1"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08:18</w:t>
            </w:r>
          </w:p>
        </w:tc>
        <w:tc>
          <w:tcPr>
            <w:tcW w:w="2010" w:type="dxa"/>
            <w:shd w:val="clear" w:color="auto" w:fill="auto"/>
            <w:noWrap/>
            <w:hideMark/>
          </w:tcPr>
          <w:p w14:paraId="248DED23"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09:16</w:t>
            </w:r>
          </w:p>
        </w:tc>
      </w:tr>
      <w:tr w:rsidR="00C57AAC" w:rsidRPr="00037C61" w14:paraId="4CFC6020" w14:textId="77777777" w:rsidTr="00457478">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hideMark/>
          </w:tcPr>
          <w:p w14:paraId="6A6B7745" w14:textId="77777777"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4</w:t>
            </w:r>
          </w:p>
        </w:tc>
        <w:tc>
          <w:tcPr>
            <w:tcW w:w="3946" w:type="dxa"/>
            <w:shd w:val="clear" w:color="auto" w:fill="auto"/>
            <w:noWrap/>
            <w:hideMark/>
          </w:tcPr>
          <w:p w14:paraId="37CB86E1" w14:textId="77777777"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IR 74 Brașov - Budapest</w:t>
            </w:r>
          </w:p>
        </w:tc>
        <w:tc>
          <w:tcPr>
            <w:tcW w:w="2010" w:type="dxa"/>
            <w:shd w:val="clear" w:color="auto" w:fill="auto"/>
            <w:noWrap/>
            <w:hideMark/>
          </w:tcPr>
          <w:p w14:paraId="16024666" w14:textId="77777777"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14:22</w:t>
            </w:r>
          </w:p>
        </w:tc>
        <w:tc>
          <w:tcPr>
            <w:tcW w:w="2010" w:type="dxa"/>
            <w:shd w:val="clear" w:color="auto" w:fill="auto"/>
            <w:noWrap/>
            <w:hideMark/>
          </w:tcPr>
          <w:p w14:paraId="705376AB" w14:textId="77777777"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15:16</w:t>
            </w:r>
          </w:p>
        </w:tc>
      </w:tr>
      <w:tr w:rsidR="00C57AAC" w:rsidRPr="00037C61" w14:paraId="06536880" w14:textId="77777777" w:rsidTr="00457478">
        <w:trPr>
          <w:trHeight w:val="313"/>
        </w:trPr>
        <w:tc>
          <w:tcPr>
            <w:cnfStyle w:val="001000000000" w:firstRow="0" w:lastRow="0" w:firstColumn="1" w:lastColumn="0" w:oddVBand="0" w:evenVBand="0" w:oddHBand="0" w:evenHBand="0" w:firstRowFirstColumn="0" w:firstRowLastColumn="0" w:lastRowFirstColumn="0" w:lastRowLastColumn="0"/>
            <w:tcW w:w="1162" w:type="dxa"/>
            <w:noWrap/>
            <w:hideMark/>
          </w:tcPr>
          <w:p w14:paraId="09009BF2" w14:textId="77777777"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5</w:t>
            </w:r>
          </w:p>
        </w:tc>
        <w:tc>
          <w:tcPr>
            <w:tcW w:w="3946" w:type="dxa"/>
            <w:shd w:val="clear" w:color="auto" w:fill="auto"/>
            <w:noWrap/>
            <w:hideMark/>
          </w:tcPr>
          <w:p w14:paraId="776B511A" w14:textId="07AA954D"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IR 72 Bucuresti - Budapest</w:t>
            </w:r>
          </w:p>
        </w:tc>
        <w:tc>
          <w:tcPr>
            <w:tcW w:w="2010" w:type="dxa"/>
            <w:shd w:val="clear" w:color="auto" w:fill="auto"/>
            <w:noWrap/>
            <w:hideMark/>
          </w:tcPr>
          <w:p w14:paraId="6B134981"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15:29</w:t>
            </w:r>
          </w:p>
        </w:tc>
        <w:tc>
          <w:tcPr>
            <w:tcW w:w="2010" w:type="dxa"/>
            <w:shd w:val="clear" w:color="auto" w:fill="auto"/>
            <w:noWrap/>
            <w:hideMark/>
          </w:tcPr>
          <w:p w14:paraId="5DF7CBD4"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16:16</w:t>
            </w:r>
          </w:p>
        </w:tc>
      </w:tr>
      <w:tr w:rsidR="00C57AAC" w:rsidRPr="00037C61" w14:paraId="03AFFFE2" w14:textId="77777777" w:rsidTr="00C57AA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07FCEFCE" w14:textId="77777777" w:rsidR="00C57AAC" w:rsidRPr="00037C61" w:rsidRDefault="00C57AAC" w:rsidP="00C57AAC">
            <w:pPr>
              <w:jc w:val="right"/>
              <w:rPr>
                <w:rFonts w:eastAsia="Times New Roman" w:cs="Calibri"/>
                <w:color w:val="000000"/>
                <w:sz w:val="20"/>
                <w:szCs w:val="20"/>
                <w:lang w:val="en-GB" w:eastAsia="en-GB"/>
              </w:rPr>
            </w:pPr>
          </w:p>
        </w:tc>
        <w:tc>
          <w:tcPr>
            <w:tcW w:w="3946" w:type="dxa"/>
            <w:noWrap/>
          </w:tcPr>
          <w:p w14:paraId="0D8862FE" w14:textId="77777777"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p>
        </w:tc>
        <w:tc>
          <w:tcPr>
            <w:tcW w:w="2010" w:type="dxa"/>
            <w:noWrap/>
          </w:tcPr>
          <w:p w14:paraId="444A63BE" w14:textId="770945D6" w:rsidR="00C57AAC" w:rsidRPr="00037C61" w:rsidRDefault="00C57AAC" w:rsidP="00C57AA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b/>
                <w:bCs/>
                <w:sz w:val="20"/>
                <w:szCs w:val="20"/>
                <w:lang w:val="en-GB" w:eastAsia="en-GB"/>
              </w:rPr>
              <w:t>Békéscsaba</w:t>
            </w:r>
          </w:p>
        </w:tc>
        <w:tc>
          <w:tcPr>
            <w:tcW w:w="2010" w:type="dxa"/>
            <w:noWrap/>
          </w:tcPr>
          <w:p w14:paraId="74E15613" w14:textId="0281DF3F" w:rsidR="00C57AAC" w:rsidRPr="00037C61" w:rsidRDefault="00C57AAC" w:rsidP="00C57AA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b/>
                <w:bCs/>
                <w:sz w:val="20"/>
                <w:szCs w:val="20"/>
                <w:lang w:val="en-GB" w:eastAsia="en-GB"/>
              </w:rPr>
              <w:t>Arad</w:t>
            </w:r>
          </w:p>
        </w:tc>
      </w:tr>
      <w:tr w:rsidR="00C57AAC" w:rsidRPr="00037C61" w14:paraId="219E4350" w14:textId="77777777" w:rsidTr="00C57AAC">
        <w:trPr>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6877A4A7" w14:textId="4F891B2B"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6</w:t>
            </w:r>
          </w:p>
        </w:tc>
        <w:tc>
          <w:tcPr>
            <w:tcW w:w="3946" w:type="dxa"/>
            <w:noWrap/>
          </w:tcPr>
          <w:p w14:paraId="50F48DE9" w14:textId="4DB6EDEC"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 xml:space="preserve">IR 73 Budapest </w:t>
            </w:r>
            <w:r w:rsidR="00C93A0F" w:rsidRPr="00037C61">
              <w:rPr>
                <w:rFonts w:eastAsia="Times New Roman" w:cs="Calibri"/>
                <w:color w:val="000000"/>
                <w:sz w:val="20"/>
                <w:szCs w:val="20"/>
                <w:lang w:val="en-GB" w:eastAsia="en-GB"/>
              </w:rPr>
              <w:t>–</w:t>
            </w:r>
            <w:r w:rsidRPr="00037C61">
              <w:rPr>
                <w:rFonts w:eastAsia="Times New Roman" w:cs="Calibri"/>
                <w:color w:val="000000"/>
                <w:sz w:val="20"/>
                <w:szCs w:val="20"/>
                <w:lang w:val="en-GB" w:eastAsia="en-GB"/>
              </w:rPr>
              <w:t xml:space="preserve"> </w:t>
            </w:r>
            <w:r w:rsidR="00C93A0F" w:rsidRPr="00037C61">
              <w:rPr>
                <w:rFonts w:eastAsia="Times New Roman" w:cs="Calibri"/>
                <w:color w:val="000000"/>
                <w:sz w:val="20"/>
                <w:szCs w:val="20"/>
                <w:lang w:val="en-GB" w:eastAsia="en-GB"/>
              </w:rPr>
              <w:t xml:space="preserve">București </w:t>
            </w:r>
          </w:p>
        </w:tc>
        <w:tc>
          <w:tcPr>
            <w:tcW w:w="2010" w:type="dxa"/>
            <w:noWrap/>
          </w:tcPr>
          <w:p w14:paraId="50F4FC0F" w14:textId="34BD8246" w:rsidR="00C57AAC" w:rsidRPr="00037C61" w:rsidRDefault="00C93A0F" w:rsidP="00C57AA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09:39</w:t>
            </w:r>
          </w:p>
        </w:tc>
        <w:tc>
          <w:tcPr>
            <w:tcW w:w="2010" w:type="dxa"/>
            <w:noWrap/>
          </w:tcPr>
          <w:p w14:paraId="6176B22D" w14:textId="625610FA" w:rsidR="00C57AAC" w:rsidRPr="00037C61" w:rsidRDefault="00C93A0F" w:rsidP="00C57AA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12:43</w:t>
            </w:r>
          </w:p>
        </w:tc>
      </w:tr>
      <w:tr w:rsidR="00C57AAC" w:rsidRPr="00037C61" w14:paraId="361CCC6C" w14:textId="77777777" w:rsidTr="00C57AA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638C32DE" w14:textId="0096466D"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7</w:t>
            </w:r>
          </w:p>
        </w:tc>
        <w:tc>
          <w:tcPr>
            <w:tcW w:w="3946" w:type="dxa"/>
            <w:noWrap/>
          </w:tcPr>
          <w:p w14:paraId="148847E4" w14:textId="1E24E0BF"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IR 75</w:t>
            </w:r>
            <w:r w:rsidR="00C93A0F" w:rsidRPr="00037C61">
              <w:rPr>
                <w:rFonts w:eastAsia="Times New Roman" w:cs="Calibri"/>
                <w:color w:val="000000"/>
                <w:sz w:val="20"/>
                <w:szCs w:val="20"/>
                <w:lang w:val="en-GB" w:eastAsia="en-GB"/>
              </w:rPr>
              <w:t xml:space="preserve"> Budapest – Brașov </w:t>
            </w:r>
          </w:p>
        </w:tc>
        <w:tc>
          <w:tcPr>
            <w:tcW w:w="2010" w:type="dxa"/>
            <w:noWrap/>
          </w:tcPr>
          <w:p w14:paraId="4B3AB61E" w14:textId="7882D732" w:rsidR="00C57AAC" w:rsidRPr="00037C61" w:rsidRDefault="00C93A0F" w:rsidP="00C57AA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11:39</w:t>
            </w:r>
          </w:p>
        </w:tc>
        <w:tc>
          <w:tcPr>
            <w:tcW w:w="2010" w:type="dxa"/>
            <w:noWrap/>
          </w:tcPr>
          <w:p w14:paraId="266970E5" w14:textId="138A0034" w:rsidR="00C57AAC" w:rsidRPr="00037C61" w:rsidRDefault="00C93A0F" w:rsidP="00C57AA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14:39</w:t>
            </w:r>
          </w:p>
        </w:tc>
      </w:tr>
      <w:tr w:rsidR="00C57AAC" w:rsidRPr="00037C61" w14:paraId="107B6784" w14:textId="77777777" w:rsidTr="00C57AAC">
        <w:trPr>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604E4FA0" w14:textId="2018670B"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8</w:t>
            </w:r>
          </w:p>
        </w:tc>
        <w:tc>
          <w:tcPr>
            <w:tcW w:w="3946" w:type="dxa"/>
            <w:noWrap/>
          </w:tcPr>
          <w:p w14:paraId="37519F04" w14:textId="04A8CCBF"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IR 79</w:t>
            </w:r>
            <w:r w:rsidR="00C93A0F" w:rsidRPr="00037C61">
              <w:rPr>
                <w:rFonts w:eastAsia="Times New Roman" w:cs="Calibri"/>
                <w:color w:val="000000"/>
                <w:sz w:val="20"/>
                <w:szCs w:val="20"/>
                <w:lang w:val="en-GB" w:eastAsia="en-GB"/>
              </w:rPr>
              <w:t xml:space="preserve"> Budapest – Timișoara </w:t>
            </w:r>
          </w:p>
        </w:tc>
        <w:tc>
          <w:tcPr>
            <w:tcW w:w="2010" w:type="dxa"/>
            <w:noWrap/>
          </w:tcPr>
          <w:p w14:paraId="514E39E3" w14:textId="70E6D512" w:rsidR="00C57AAC" w:rsidRPr="00037C61" w:rsidRDefault="00C93A0F" w:rsidP="00C57AA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17:39</w:t>
            </w:r>
          </w:p>
        </w:tc>
        <w:tc>
          <w:tcPr>
            <w:tcW w:w="2010" w:type="dxa"/>
            <w:noWrap/>
          </w:tcPr>
          <w:p w14:paraId="410FA6B6" w14:textId="64777B3B" w:rsidR="00C57AAC" w:rsidRPr="00037C61" w:rsidRDefault="00C93A0F" w:rsidP="00C57AA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20:47</w:t>
            </w:r>
          </w:p>
        </w:tc>
      </w:tr>
      <w:tr w:rsidR="00C57AAC" w:rsidRPr="00037C61" w14:paraId="3752A534" w14:textId="77777777" w:rsidTr="00C57AA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65458DD7" w14:textId="6335C140"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9</w:t>
            </w:r>
          </w:p>
        </w:tc>
        <w:tc>
          <w:tcPr>
            <w:tcW w:w="3946" w:type="dxa"/>
            <w:noWrap/>
          </w:tcPr>
          <w:p w14:paraId="385F57D5" w14:textId="42343EC6"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 xml:space="preserve">EN 473 Budapest – București </w:t>
            </w:r>
          </w:p>
        </w:tc>
        <w:tc>
          <w:tcPr>
            <w:tcW w:w="2010" w:type="dxa"/>
            <w:noWrap/>
          </w:tcPr>
          <w:p w14:paraId="3CB96158" w14:textId="797A6300" w:rsidR="00C57AAC" w:rsidRPr="00037C61" w:rsidRDefault="00C93A0F" w:rsidP="00C57AA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21:39</w:t>
            </w:r>
          </w:p>
        </w:tc>
        <w:tc>
          <w:tcPr>
            <w:tcW w:w="2010" w:type="dxa"/>
            <w:noWrap/>
          </w:tcPr>
          <w:p w14:paraId="2ED83414" w14:textId="22241E0A" w:rsidR="00C57AAC" w:rsidRPr="00037C61" w:rsidRDefault="00C93A0F" w:rsidP="00C57AA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00:39</w:t>
            </w:r>
          </w:p>
        </w:tc>
      </w:tr>
      <w:tr w:rsidR="00C57AAC" w:rsidRPr="00037C61" w14:paraId="072E89AF" w14:textId="77777777" w:rsidTr="00C57AAC">
        <w:trPr>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6BF6D1AF" w14:textId="5C4597C4" w:rsidR="00C57AAC" w:rsidRPr="00037C61" w:rsidRDefault="00C57AAC"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10</w:t>
            </w:r>
          </w:p>
        </w:tc>
        <w:tc>
          <w:tcPr>
            <w:tcW w:w="3946" w:type="dxa"/>
            <w:noWrap/>
          </w:tcPr>
          <w:p w14:paraId="76D70727" w14:textId="617A69E2"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EN 347 Wien HBF - București</w:t>
            </w:r>
          </w:p>
        </w:tc>
        <w:tc>
          <w:tcPr>
            <w:tcW w:w="2010" w:type="dxa"/>
            <w:noWrap/>
          </w:tcPr>
          <w:p w14:paraId="323A689E" w14:textId="18EB5917" w:rsidR="00C57AAC" w:rsidRPr="00037C61" w:rsidRDefault="00C93A0F" w:rsidP="00C57AA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01:30</w:t>
            </w:r>
          </w:p>
        </w:tc>
        <w:tc>
          <w:tcPr>
            <w:tcW w:w="2010" w:type="dxa"/>
            <w:noWrap/>
          </w:tcPr>
          <w:p w14:paraId="05CC3C36" w14:textId="0291BF41" w:rsidR="00C57AAC" w:rsidRPr="00037C61" w:rsidRDefault="00C93A0F" w:rsidP="00C57AA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04:32</w:t>
            </w:r>
          </w:p>
        </w:tc>
      </w:tr>
      <w:tr w:rsidR="00C57AAC" w:rsidRPr="00037C61" w14:paraId="0009C978" w14:textId="77777777" w:rsidTr="00457478">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0" w:type="dxa"/>
            <w:shd w:val="clear" w:color="auto" w:fill="auto"/>
            <w:noWrap/>
            <w:hideMark/>
          </w:tcPr>
          <w:p w14:paraId="48DC99DE" w14:textId="77777777" w:rsidR="00C57AAC" w:rsidRPr="00037C61" w:rsidRDefault="00C57AAC" w:rsidP="00C57AAC">
            <w:pPr>
              <w:jc w:val="right"/>
              <w:rPr>
                <w:rFonts w:eastAsia="Times New Roman" w:cs="Calibri"/>
                <w:sz w:val="20"/>
                <w:szCs w:val="20"/>
                <w:lang w:val="en-GB" w:eastAsia="en-GB"/>
              </w:rPr>
            </w:pPr>
          </w:p>
        </w:tc>
        <w:tc>
          <w:tcPr>
            <w:tcW w:w="0" w:type="dxa"/>
            <w:shd w:val="clear" w:color="auto" w:fill="auto"/>
            <w:noWrap/>
            <w:hideMark/>
          </w:tcPr>
          <w:p w14:paraId="5207A94C" w14:textId="77777777" w:rsidR="00C57AAC" w:rsidRPr="00037C61" w:rsidRDefault="00C57AAC" w:rsidP="00C57AAC">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0" w:type="dxa"/>
            <w:shd w:val="clear" w:color="auto" w:fill="auto"/>
            <w:noWrap/>
            <w:hideMark/>
          </w:tcPr>
          <w:p w14:paraId="0AF6A5AD" w14:textId="77777777"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 w:val="20"/>
                <w:szCs w:val="20"/>
                <w:lang w:val="en-GB" w:eastAsia="en-GB"/>
              </w:rPr>
            </w:pPr>
            <w:r w:rsidRPr="00037C61">
              <w:rPr>
                <w:rFonts w:eastAsia="Times New Roman" w:cs="Calibri"/>
                <w:b/>
                <w:bCs/>
                <w:sz w:val="20"/>
                <w:szCs w:val="20"/>
                <w:lang w:val="en-GB" w:eastAsia="en-GB"/>
              </w:rPr>
              <w:t>Oradea</w:t>
            </w:r>
          </w:p>
        </w:tc>
        <w:tc>
          <w:tcPr>
            <w:tcW w:w="0" w:type="dxa"/>
            <w:shd w:val="clear" w:color="auto" w:fill="auto"/>
            <w:noWrap/>
            <w:hideMark/>
          </w:tcPr>
          <w:p w14:paraId="333E81E4" w14:textId="77777777" w:rsidR="00C57AAC" w:rsidRPr="00037C61" w:rsidRDefault="00C57AAC"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 w:val="20"/>
                <w:szCs w:val="20"/>
                <w:lang w:val="en-GB" w:eastAsia="en-GB"/>
              </w:rPr>
            </w:pPr>
            <w:r w:rsidRPr="00037C61">
              <w:rPr>
                <w:rFonts w:eastAsia="Times New Roman" w:cs="Calibri"/>
                <w:b/>
                <w:bCs/>
                <w:sz w:val="20"/>
                <w:szCs w:val="20"/>
                <w:lang w:val="en-GB" w:eastAsia="en-GB"/>
              </w:rPr>
              <w:t>Berettyóújfalu</w:t>
            </w:r>
          </w:p>
        </w:tc>
      </w:tr>
      <w:tr w:rsidR="00C57AAC" w:rsidRPr="00037C61" w14:paraId="1E0F3424" w14:textId="77777777" w:rsidTr="00457478">
        <w:trPr>
          <w:trHeight w:val="313"/>
        </w:trPr>
        <w:tc>
          <w:tcPr>
            <w:cnfStyle w:val="001000000000" w:firstRow="0" w:lastRow="0" w:firstColumn="1" w:lastColumn="0" w:oddVBand="0" w:evenVBand="0" w:oddHBand="0" w:evenHBand="0" w:firstRowFirstColumn="0" w:firstRowLastColumn="0" w:lastRowFirstColumn="0" w:lastRowLastColumn="0"/>
            <w:tcW w:w="1162" w:type="dxa"/>
            <w:noWrap/>
            <w:hideMark/>
          </w:tcPr>
          <w:p w14:paraId="1282B891" w14:textId="7D859561" w:rsidR="00C57AAC" w:rsidRPr="00037C61" w:rsidRDefault="00C93A0F"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11</w:t>
            </w:r>
          </w:p>
        </w:tc>
        <w:tc>
          <w:tcPr>
            <w:tcW w:w="3946" w:type="dxa"/>
            <w:shd w:val="clear" w:color="auto" w:fill="auto"/>
            <w:noWrap/>
            <w:hideMark/>
          </w:tcPr>
          <w:p w14:paraId="3BEF6074" w14:textId="77777777" w:rsidR="00C57AAC" w:rsidRPr="00037C61" w:rsidRDefault="00C57AAC"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IR 406 Brașov - Budapest</w:t>
            </w:r>
          </w:p>
        </w:tc>
        <w:tc>
          <w:tcPr>
            <w:tcW w:w="2010" w:type="dxa"/>
            <w:shd w:val="clear" w:color="auto" w:fill="auto"/>
            <w:noWrap/>
            <w:hideMark/>
          </w:tcPr>
          <w:p w14:paraId="6954181A"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05:05</w:t>
            </w:r>
          </w:p>
        </w:tc>
        <w:tc>
          <w:tcPr>
            <w:tcW w:w="2010" w:type="dxa"/>
            <w:shd w:val="clear" w:color="auto" w:fill="auto"/>
            <w:noWrap/>
            <w:hideMark/>
          </w:tcPr>
          <w:p w14:paraId="5A2D7C87" w14:textId="77777777" w:rsidR="00C57AAC" w:rsidRPr="00037C61" w:rsidRDefault="00C57AAC"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05:55</w:t>
            </w:r>
          </w:p>
        </w:tc>
      </w:tr>
      <w:tr w:rsidR="00C93A0F" w:rsidRPr="00037C61" w14:paraId="2AE1F9CF" w14:textId="77777777" w:rsidTr="00C57AA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077738D9" w14:textId="77777777" w:rsidR="00C93A0F" w:rsidRPr="00037C61" w:rsidRDefault="00C93A0F" w:rsidP="00C57AAC">
            <w:pPr>
              <w:jc w:val="right"/>
              <w:rPr>
                <w:rFonts w:eastAsia="Times New Roman" w:cs="Calibri"/>
                <w:color w:val="000000"/>
                <w:sz w:val="20"/>
                <w:szCs w:val="20"/>
                <w:lang w:val="en-GB" w:eastAsia="en-GB"/>
              </w:rPr>
            </w:pPr>
          </w:p>
        </w:tc>
        <w:tc>
          <w:tcPr>
            <w:tcW w:w="3946" w:type="dxa"/>
            <w:noWrap/>
          </w:tcPr>
          <w:p w14:paraId="03CC9209" w14:textId="77777777" w:rsidR="00C93A0F" w:rsidRPr="00037C61" w:rsidRDefault="00C93A0F" w:rsidP="00C57AAC">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p>
        </w:tc>
        <w:tc>
          <w:tcPr>
            <w:tcW w:w="2010" w:type="dxa"/>
            <w:noWrap/>
          </w:tcPr>
          <w:p w14:paraId="5A0B1565" w14:textId="62FD9565" w:rsidR="00C93A0F" w:rsidRPr="00037C61" w:rsidRDefault="00C93A0F"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b/>
                <w:bCs/>
                <w:sz w:val="20"/>
                <w:szCs w:val="20"/>
                <w:lang w:val="en-GB" w:eastAsia="en-GB"/>
              </w:rPr>
              <w:t>Berettyóújfalu</w:t>
            </w:r>
          </w:p>
        </w:tc>
        <w:tc>
          <w:tcPr>
            <w:tcW w:w="2010" w:type="dxa"/>
            <w:noWrap/>
          </w:tcPr>
          <w:p w14:paraId="7640B162" w14:textId="1B601F0F" w:rsidR="00C93A0F" w:rsidRPr="00037C61" w:rsidRDefault="00C93A0F"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b/>
                <w:bCs/>
                <w:sz w:val="20"/>
                <w:szCs w:val="20"/>
                <w:lang w:val="en-GB" w:eastAsia="en-GB"/>
              </w:rPr>
              <w:t>Oradea</w:t>
            </w:r>
          </w:p>
        </w:tc>
      </w:tr>
      <w:tr w:rsidR="00C93A0F" w:rsidRPr="00037C61" w14:paraId="1FF0080C" w14:textId="77777777" w:rsidTr="00C57AAC">
        <w:trPr>
          <w:trHeight w:val="313"/>
        </w:trPr>
        <w:tc>
          <w:tcPr>
            <w:cnfStyle w:val="001000000000" w:firstRow="0" w:lastRow="0" w:firstColumn="1" w:lastColumn="0" w:oddVBand="0" w:evenVBand="0" w:oddHBand="0" w:evenHBand="0" w:firstRowFirstColumn="0" w:firstRowLastColumn="0" w:lastRowFirstColumn="0" w:lastRowLastColumn="0"/>
            <w:tcW w:w="1162" w:type="dxa"/>
            <w:noWrap/>
          </w:tcPr>
          <w:p w14:paraId="5EE4AAD3" w14:textId="61E487F8" w:rsidR="00C93A0F" w:rsidRPr="00037C61" w:rsidRDefault="00C93A0F" w:rsidP="00C57AAC">
            <w:pPr>
              <w:jc w:val="right"/>
              <w:rPr>
                <w:rFonts w:eastAsia="Times New Roman" w:cs="Calibri"/>
                <w:color w:val="000000"/>
                <w:sz w:val="20"/>
                <w:szCs w:val="20"/>
                <w:lang w:val="en-GB" w:eastAsia="en-GB"/>
              </w:rPr>
            </w:pPr>
            <w:r w:rsidRPr="00037C61">
              <w:rPr>
                <w:rFonts w:eastAsia="Times New Roman" w:cs="Calibri"/>
                <w:color w:val="000000"/>
                <w:sz w:val="20"/>
                <w:szCs w:val="20"/>
                <w:lang w:val="en-GB" w:eastAsia="en-GB"/>
              </w:rPr>
              <w:t>12</w:t>
            </w:r>
          </w:p>
        </w:tc>
        <w:tc>
          <w:tcPr>
            <w:tcW w:w="3946" w:type="dxa"/>
            <w:noWrap/>
          </w:tcPr>
          <w:p w14:paraId="057A5518" w14:textId="2FE09D0E" w:rsidR="00C93A0F" w:rsidRPr="00037C61" w:rsidRDefault="00C93A0F" w:rsidP="00C57AAC">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 xml:space="preserve">IR 407 Budapest – Brașov </w:t>
            </w:r>
          </w:p>
        </w:tc>
        <w:tc>
          <w:tcPr>
            <w:tcW w:w="2010" w:type="dxa"/>
            <w:noWrap/>
          </w:tcPr>
          <w:p w14:paraId="411F3789" w14:textId="7477DC82" w:rsidR="00C93A0F" w:rsidRPr="00037C61" w:rsidRDefault="00C93A0F"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20:59</w:t>
            </w:r>
          </w:p>
        </w:tc>
        <w:tc>
          <w:tcPr>
            <w:tcW w:w="2010" w:type="dxa"/>
            <w:noWrap/>
          </w:tcPr>
          <w:p w14:paraId="65A256FD" w14:textId="7B825B66" w:rsidR="00C93A0F" w:rsidRPr="00037C61" w:rsidRDefault="00C93A0F"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GB" w:eastAsia="en-GB"/>
              </w:rPr>
            </w:pPr>
            <w:r w:rsidRPr="00037C61">
              <w:rPr>
                <w:rFonts w:eastAsia="Times New Roman" w:cs="Calibri"/>
                <w:color w:val="000000"/>
                <w:sz w:val="20"/>
                <w:szCs w:val="20"/>
                <w:lang w:val="en-GB" w:eastAsia="en-GB"/>
              </w:rPr>
              <w:t>23:28</w:t>
            </w:r>
          </w:p>
        </w:tc>
      </w:tr>
    </w:tbl>
    <w:p w14:paraId="5216D3AA" w14:textId="025320CC" w:rsidR="00C57AAC" w:rsidRPr="00DB74BF" w:rsidRDefault="00C93A0F" w:rsidP="00C93A0F">
      <w:pPr>
        <w:pStyle w:val="Caption"/>
        <w:keepNext/>
        <w:jc w:val="left"/>
      </w:pPr>
      <w:r w:rsidRPr="00DB74BF">
        <w:t xml:space="preserve">Source: CFR Călători România, MÁV-Start </w:t>
      </w:r>
    </w:p>
    <w:p w14:paraId="7C5BF17C" w14:textId="585B0AB3" w:rsidR="009770B5" w:rsidRPr="00DB74BF" w:rsidRDefault="009770B5" w:rsidP="009770B5"/>
    <w:p w14:paraId="4657404D" w14:textId="61B83F2C" w:rsidR="00C93A0F" w:rsidRPr="00037C61" w:rsidRDefault="009770B5" w:rsidP="00D63DEB">
      <w:pPr>
        <w:rPr>
          <w:lang w:val="en-GB"/>
        </w:rPr>
      </w:pPr>
      <w:r w:rsidRPr="00037C61">
        <w:rPr>
          <w:lang w:val="en-GB"/>
        </w:rPr>
        <w:t xml:space="preserve">The cross-border travel options currently offered by the routes in service are limited in terms of availability, with a time-table that does not provide fitting options for commuting due to </w:t>
      </w:r>
      <w:r w:rsidR="001F4DD3" w:rsidRPr="00037C61">
        <w:rPr>
          <w:lang w:val="en-GB"/>
        </w:rPr>
        <w:t>its lack of alignment</w:t>
      </w:r>
      <w:r w:rsidRPr="00037C61">
        <w:rPr>
          <w:lang w:val="en-GB"/>
        </w:rPr>
        <w:t xml:space="preserve"> with normal working hour</w:t>
      </w:r>
      <w:r w:rsidR="00D63E2F" w:rsidRPr="00037C61">
        <w:rPr>
          <w:lang w:val="en-GB"/>
        </w:rPr>
        <w:t xml:space="preserve">s. </w:t>
      </w:r>
    </w:p>
    <w:p w14:paraId="745C774A" w14:textId="77777777" w:rsidR="00F64F8D" w:rsidRPr="00037C61" w:rsidRDefault="00F64F8D" w:rsidP="00D63DEB">
      <w:pPr>
        <w:rPr>
          <w:lang w:val="en-GB"/>
        </w:rPr>
      </w:pPr>
    </w:p>
    <w:p w14:paraId="0BDD7878" w14:textId="035FC533" w:rsidR="00DC06EC" w:rsidRPr="00037C61" w:rsidRDefault="00DC06EC" w:rsidP="00457478">
      <w:pPr>
        <w:pStyle w:val="Heading4"/>
        <w:rPr>
          <w:lang w:val="en-GB"/>
        </w:rPr>
      </w:pPr>
      <w:r w:rsidRPr="00037C61">
        <w:rPr>
          <w:lang w:val="en-GB"/>
        </w:rPr>
        <w:t xml:space="preserve">Border accessibility and traffic volumes </w:t>
      </w:r>
    </w:p>
    <w:p w14:paraId="4D31B072" w14:textId="6F52D59C" w:rsidR="008E6744" w:rsidRPr="00037C61" w:rsidRDefault="008E6744" w:rsidP="008E6744">
      <w:pPr>
        <w:rPr>
          <w:lang w:val="en-GB"/>
        </w:rPr>
      </w:pPr>
      <w:r w:rsidRPr="00037C61">
        <w:rPr>
          <w:lang w:val="en-GB"/>
        </w:rPr>
        <w:t xml:space="preserve">The traffic volume at the border crossing points is represented as below and it shows </w:t>
      </w:r>
      <w:r w:rsidR="009770B5" w:rsidRPr="00037C61">
        <w:rPr>
          <w:lang w:val="en-GB"/>
        </w:rPr>
        <w:t xml:space="preserve">significant volume modifications </w:t>
      </w:r>
      <w:r w:rsidRPr="00037C61">
        <w:rPr>
          <w:lang w:val="en-GB"/>
        </w:rPr>
        <w:t>between 2009 and 2019</w:t>
      </w:r>
      <w:r w:rsidR="009770B5" w:rsidRPr="00037C61">
        <w:rPr>
          <w:lang w:val="en-GB"/>
        </w:rPr>
        <w:t xml:space="preserve">, characterized by a strong increase in road border crossings (with 73% overall), and a decrease in rail border crossings (with -27%). </w:t>
      </w:r>
      <w:r w:rsidRPr="00037C61">
        <w:rPr>
          <w:lang w:val="en-GB"/>
        </w:rPr>
        <w:t xml:space="preserve"> </w:t>
      </w:r>
    </w:p>
    <w:p w14:paraId="6B63F97E" w14:textId="16C960CF" w:rsidR="00D63E2F" w:rsidRPr="00037C61" w:rsidRDefault="009770B5" w:rsidP="008E6744">
      <w:pPr>
        <w:rPr>
          <w:lang w:val="en-GB"/>
        </w:rPr>
      </w:pPr>
      <w:r w:rsidRPr="00037C61">
        <w:rPr>
          <w:lang w:val="en-GB"/>
        </w:rPr>
        <w:t>The new Nagylak - Nădlac (highway) crossing represents the main link between the two national territories of the PA, which had as a result a decrease in traffic via the old Nagylak – Nădlac point (-61%) and the Kiszombor – Cenad point (-17%). The most important traffic increase ha</w:t>
      </w:r>
      <w:r w:rsidR="00D63E2F" w:rsidRPr="00037C61">
        <w:rPr>
          <w:lang w:val="en-GB"/>
        </w:rPr>
        <w:t>s</w:t>
      </w:r>
      <w:r w:rsidRPr="00037C61">
        <w:rPr>
          <w:lang w:val="en-GB"/>
        </w:rPr>
        <w:t xml:space="preserve"> been recorded at Csengersima </w:t>
      </w:r>
      <w:r w:rsidR="00D63E2F" w:rsidRPr="00037C61">
        <w:rPr>
          <w:lang w:val="en-GB"/>
        </w:rPr>
        <w:t>–</w:t>
      </w:r>
      <w:r w:rsidRPr="00037C61">
        <w:rPr>
          <w:lang w:val="en-GB"/>
        </w:rPr>
        <w:t xml:space="preserve"> Pete</w:t>
      </w:r>
      <w:r w:rsidR="625EC037" w:rsidRPr="00037C61">
        <w:rPr>
          <w:lang w:val="en-GB"/>
        </w:rPr>
        <w:t>a</w:t>
      </w:r>
      <w:r w:rsidR="00D63E2F" w:rsidRPr="00037C61">
        <w:rPr>
          <w:lang w:val="en-GB"/>
        </w:rPr>
        <w:t xml:space="preserve">, with a volume 2.5 times in 2019 that of 10 years before, which is also balanced as far as entry / exit volumes are concerned, suggesting a growth of cross-border inter-relations. </w:t>
      </w:r>
    </w:p>
    <w:p w14:paraId="5EEDD131" w14:textId="36D6DA31" w:rsidR="009770B5" w:rsidRPr="00037C61" w:rsidRDefault="00D63E2F" w:rsidP="008E6744">
      <w:pPr>
        <w:rPr>
          <w:lang w:val="en-GB"/>
        </w:rPr>
      </w:pPr>
      <w:r w:rsidRPr="00037C61">
        <w:rPr>
          <w:lang w:val="en-GB"/>
        </w:rPr>
        <w:t>There is overall a 12.7% difference between the border crossings from the Romanian side to the Hungarian one, and vice-versa (14.45 million recorded crossings from Romania to Hungary, as opposed to 11.25 from Hungary to Romania in 2019). Without more data such as point of origin, it is difficult to formulate a definitive reason, but this data may be linked to permanent or even seasonal migration from Romania to Western Europe, with returns being carried out via other means of transportation (</w:t>
      </w:r>
      <w:r w:rsidR="001F4DD3" w:rsidRPr="00037C61">
        <w:rPr>
          <w:lang w:val="en-GB"/>
        </w:rPr>
        <w:t xml:space="preserve">mainly </w:t>
      </w:r>
      <w:r w:rsidRPr="00037C61">
        <w:rPr>
          <w:lang w:val="en-GB"/>
        </w:rPr>
        <w:t xml:space="preserve">air transportation).  </w:t>
      </w:r>
    </w:p>
    <w:p w14:paraId="6B7D5122" w14:textId="77777777" w:rsidR="00F75A73" w:rsidRPr="00037C61" w:rsidRDefault="00F75A73" w:rsidP="008E6744">
      <w:pPr>
        <w:rPr>
          <w:lang w:val="en-GB"/>
        </w:rPr>
      </w:pPr>
    </w:p>
    <w:p w14:paraId="4C2E4448" w14:textId="602BE5DE" w:rsidR="001F4DD3" w:rsidRPr="00037C61" w:rsidRDefault="001F4DD3" w:rsidP="00457478">
      <w:pPr>
        <w:pStyle w:val="Caption"/>
        <w:keepNext/>
        <w:rPr>
          <w:lang w:val="en-GB"/>
        </w:rPr>
      </w:pPr>
    </w:p>
    <w:p w14:paraId="3E3427AD" w14:textId="7F742B56" w:rsidR="001F4DD3" w:rsidRPr="00037C61" w:rsidRDefault="001F4DD3" w:rsidP="00457478">
      <w:pPr>
        <w:pStyle w:val="Caption"/>
        <w:keepNext/>
        <w:jc w:val="left"/>
        <w:rPr>
          <w:lang w:val="en-GB"/>
        </w:rPr>
      </w:pPr>
      <w:bookmarkStart w:id="768" w:name="_Toc58237659"/>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37</w:t>
      </w:r>
      <w:r w:rsidRPr="00037C61">
        <w:rPr>
          <w:lang w:val="en-GB"/>
        </w:rPr>
        <w:fldChar w:fldCharType="end"/>
      </w:r>
      <w:r w:rsidRPr="00037C61">
        <w:rPr>
          <w:lang w:val="en-GB"/>
        </w:rPr>
        <w:t xml:space="preserve"> - Border traffic at road and rail crossings, and dynamic between 2009-2019</w:t>
      </w:r>
      <w:bookmarkEnd w:id="768"/>
    </w:p>
    <w:tbl>
      <w:tblPr>
        <w:tblStyle w:val="ListTable3-Accent11"/>
        <w:tblW w:w="8999" w:type="dxa"/>
        <w:tblLook w:val="04A0" w:firstRow="1" w:lastRow="0" w:firstColumn="1" w:lastColumn="0" w:noHBand="0" w:noVBand="1"/>
      </w:tblPr>
      <w:tblGrid>
        <w:gridCol w:w="2479"/>
        <w:gridCol w:w="898"/>
        <w:gridCol w:w="898"/>
        <w:gridCol w:w="898"/>
        <w:gridCol w:w="988"/>
        <w:gridCol w:w="988"/>
        <w:gridCol w:w="990"/>
        <w:gridCol w:w="850"/>
        <w:gridCol w:w="10"/>
      </w:tblGrid>
      <w:tr w:rsidR="001932C6" w:rsidRPr="00037C61" w14:paraId="3E1A023C" w14:textId="77777777" w:rsidTr="74CEAA85">
        <w:trPr>
          <w:gridAfter w:val="1"/>
          <w:cnfStyle w:val="100000000000" w:firstRow="1" w:lastRow="0" w:firstColumn="0" w:lastColumn="0" w:oddVBand="0" w:evenVBand="0" w:oddHBand="0" w:evenHBand="0" w:firstRowFirstColumn="0" w:firstRowLastColumn="0" w:lastRowFirstColumn="0" w:lastRowLastColumn="0"/>
          <w:wAfter w:w="10" w:type="dxa"/>
          <w:trHeight w:val="110"/>
        </w:trPr>
        <w:tc>
          <w:tcPr>
            <w:cnfStyle w:val="001000000100" w:firstRow="0" w:lastRow="0" w:firstColumn="1" w:lastColumn="0" w:oddVBand="0" w:evenVBand="0" w:oddHBand="0" w:evenHBand="0" w:firstRowFirstColumn="1" w:firstRowLastColumn="0" w:lastRowFirstColumn="0" w:lastRowLastColumn="0"/>
            <w:tcW w:w="2479" w:type="dxa"/>
            <w:vMerge w:val="restart"/>
            <w:vAlign w:val="bottom"/>
            <w:hideMark/>
          </w:tcPr>
          <w:p w14:paraId="64743BC6" w14:textId="77777777" w:rsidR="001932C6" w:rsidRPr="00037C61" w:rsidRDefault="001932C6" w:rsidP="00D63DEB">
            <w:pPr>
              <w:jc w:val="left"/>
              <w:rPr>
                <w:rFonts w:eastAsia="Times New Roman" w:cs="Calibri"/>
                <w:sz w:val="18"/>
                <w:szCs w:val="18"/>
                <w:lang w:val="en-GB" w:eastAsia="en-GB"/>
              </w:rPr>
            </w:pPr>
            <w:r w:rsidRPr="00037C61">
              <w:rPr>
                <w:rFonts w:eastAsia="Times New Roman" w:cs="Calibri"/>
                <w:color w:val="auto"/>
                <w:sz w:val="18"/>
                <w:szCs w:val="18"/>
                <w:lang w:val="en-GB" w:eastAsia="en-GB"/>
              </w:rPr>
              <w:t>Border crossing name</w:t>
            </w:r>
          </w:p>
        </w:tc>
        <w:tc>
          <w:tcPr>
            <w:tcW w:w="2694" w:type="dxa"/>
            <w:gridSpan w:val="3"/>
            <w:hideMark/>
          </w:tcPr>
          <w:p w14:paraId="5A2614D6" w14:textId="77777777" w:rsidR="001932C6" w:rsidRPr="00037C61" w:rsidRDefault="001932C6" w:rsidP="001932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r w:rsidRPr="00037C61">
              <w:rPr>
                <w:rFonts w:eastAsia="Times New Roman" w:cs="Calibri"/>
                <w:color w:val="auto"/>
                <w:sz w:val="18"/>
                <w:szCs w:val="18"/>
                <w:lang w:val="en-GB" w:eastAsia="en-GB"/>
              </w:rPr>
              <w:t>2009</w:t>
            </w:r>
          </w:p>
        </w:tc>
        <w:tc>
          <w:tcPr>
            <w:tcW w:w="2966" w:type="dxa"/>
            <w:gridSpan w:val="3"/>
            <w:hideMark/>
          </w:tcPr>
          <w:p w14:paraId="01FA43E4" w14:textId="77777777" w:rsidR="001932C6" w:rsidRPr="00037C61" w:rsidRDefault="001932C6" w:rsidP="001932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r w:rsidRPr="00037C61">
              <w:rPr>
                <w:rFonts w:eastAsia="Times New Roman" w:cs="Calibri"/>
                <w:color w:val="auto"/>
                <w:sz w:val="18"/>
                <w:szCs w:val="18"/>
                <w:lang w:val="en-GB" w:eastAsia="en-GB"/>
              </w:rPr>
              <w:t>2019</w:t>
            </w:r>
          </w:p>
        </w:tc>
        <w:tc>
          <w:tcPr>
            <w:tcW w:w="850" w:type="dxa"/>
            <w:noWrap/>
            <w:hideMark/>
          </w:tcPr>
          <w:p w14:paraId="790B35C0" w14:textId="77777777" w:rsidR="001932C6" w:rsidRPr="00037C61" w:rsidRDefault="001932C6" w:rsidP="001932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p>
        </w:tc>
      </w:tr>
      <w:tr w:rsidR="00457478" w:rsidRPr="00037C61" w14:paraId="491DC199"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365"/>
        </w:trPr>
        <w:tc>
          <w:tcPr>
            <w:cnfStyle w:val="001000000000" w:firstRow="0" w:lastRow="0" w:firstColumn="1" w:lastColumn="0" w:oddVBand="0" w:evenVBand="0" w:oddHBand="0" w:evenHBand="0" w:firstRowFirstColumn="0" w:firstRowLastColumn="0" w:lastRowFirstColumn="0" w:lastRowLastColumn="0"/>
            <w:tcW w:w="2479" w:type="dxa"/>
            <w:vMerge/>
            <w:hideMark/>
          </w:tcPr>
          <w:p w14:paraId="06D48F8B" w14:textId="77777777" w:rsidR="009770B5" w:rsidRPr="00037C61" w:rsidRDefault="009770B5" w:rsidP="009770B5">
            <w:pPr>
              <w:jc w:val="left"/>
              <w:rPr>
                <w:rFonts w:eastAsia="Times New Roman" w:cs="Calibri"/>
                <w:color w:val="FFFFFF" w:themeColor="background1"/>
                <w:sz w:val="18"/>
                <w:szCs w:val="18"/>
                <w:lang w:val="en-GB" w:eastAsia="en-GB"/>
              </w:rPr>
            </w:pPr>
          </w:p>
        </w:tc>
        <w:tc>
          <w:tcPr>
            <w:tcW w:w="898" w:type="dxa"/>
            <w:shd w:val="clear" w:color="auto" w:fill="034FA3" w:themeFill="accent1"/>
            <w:hideMark/>
          </w:tcPr>
          <w:p w14:paraId="23936F83" w14:textId="76E7AD16" w:rsidR="009770B5" w:rsidRPr="00037C61" w:rsidRDefault="009770B5" w:rsidP="009770B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 xml:space="preserve">HU – RO traffic (1,000s) </w:t>
            </w:r>
          </w:p>
        </w:tc>
        <w:tc>
          <w:tcPr>
            <w:tcW w:w="898" w:type="dxa"/>
            <w:shd w:val="clear" w:color="auto" w:fill="034FA3" w:themeFill="accent1"/>
            <w:hideMark/>
          </w:tcPr>
          <w:p w14:paraId="6A29A7EA" w14:textId="72E95B6C" w:rsidR="009770B5" w:rsidRPr="00037C61" w:rsidRDefault="009770B5" w:rsidP="009770B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 xml:space="preserve">RO – HU traffic (1,000s) </w:t>
            </w:r>
          </w:p>
        </w:tc>
        <w:tc>
          <w:tcPr>
            <w:tcW w:w="898" w:type="dxa"/>
            <w:shd w:val="clear" w:color="auto" w:fill="034FA3" w:themeFill="accent1"/>
            <w:hideMark/>
          </w:tcPr>
          <w:p w14:paraId="5B1BA61B" w14:textId="21CA4802" w:rsidR="009770B5" w:rsidRPr="00037C61" w:rsidRDefault="009770B5" w:rsidP="009770B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Total (1,000s)</w:t>
            </w:r>
          </w:p>
        </w:tc>
        <w:tc>
          <w:tcPr>
            <w:tcW w:w="988" w:type="dxa"/>
            <w:shd w:val="clear" w:color="auto" w:fill="034FA3" w:themeFill="accent1"/>
            <w:hideMark/>
          </w:tcPr>
          <w:p w14:paraId="4EC03B71" w14:textId="21853B0C" w:rsidR="009770B5" w:rsidRPr="00037C61" w:rsidRDefault="009770B5" w:rsidP="009770B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 xml:space="preserve">HU – RO traffic (1,000s) </w:t>
            </w:r>
          </w:p>
        </w:tc>
        <w:tc>
          <w:tcPr>
            <w:tcW w:w="988" w:type="dxa"/>
            <w:shd w:val="clear" w:color="auto" w:fill="034FA3" w:themeFill="accent1"/>
            <w:hideMark/>
          </w:tcPr>
          <w:p w14:paraId="3FB52B87" w14:textId="495B7A94" w:rsidR="009770B5" w:rsidRPr="00037C61" w:rsidRDefault="009770B5" w:rsidP="009770B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 xml:space="preserve">RO – HU traffic (1,000s) </w:t>
            </w:r>
          </w:p>
        </w:tc>
        <w:tc>
          <w:tcPr>
            <w:tcW w:w="990" w:type="dxa"/>
            <w:shd w:val="clear" w:color="auto" w:fill="034FA3" w:themeFill="accent1"/>
            <w:hideMark/>
          </w:tcPr>
          <w:p w14:paraId="2453ACD7" w14:textId="518A43F4" w:rsidR="009770B5" w:rsidRPr="00037C61" w:rsidRDefault="009770B5" w:rsidP="009770B5">
            <w:pPr>
              <w:jc w:val="left"/>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Total (1,000s)</w:t>
            </w:r>
          </w:p>
        </w:tc>
        <w:tc>
          <w:tcPr>
            <w:tcW w:w="0" w:type="dxa"/>
            <w:shd w:val="clear" w:color="auto" w:fill="034FA3" w:themeFill="accent1"/>
            <w:hideMark/>
          </w:tcPr>
          <w:p w14:paraId="391A82EE" w14:textId="77777777" w:rsidR="009770B5" w:rsidRPr="00037C61" w:rsidRDefault="009770B5" w:rsidP="009770B5">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sz w:val="18"/>
                <w:szCs w:val="18"/>
                <w:lang w:val="en-GB" w:eastAsia="en-GB"/>
              </w:rPr>
            </w:pPr>
            <w:r w:rsidRPr="00037C61">
              <w:rPr>
                <w:rFonts w:eastAsia="Times New Roman" w:cs="Calibri"/>
                <w:b/>
                <w:bCs/>
                <w:color w:val="FFFFFF" w:themeColor="background1"/>
                <w:sz w:val="18"/>
                <w:szCs w:val="18"/>
                <w:lang w:val="en-GB" w:eastAsia="en-GB"/>
              </w:rPr>
              <w:t xml:space="preserve">Border traffic dynamic (%) </w:t>
            </w:r>
          </w:p>
        </w:tc>
      </w:tr>
      <w:tr w:rsidR="001932C6" w:rsidRPr="00037C61" w14:paraId="243B0386" w14:textId="77777777" w:rsidTr="74CEAA85">
        <w:trPr>
          <w:trHeight w:val="110"/>
        </w:trPr>
        <w:tc>
          <w:tcPr>
            <w:cnfStyle w:val="001000000000" w:firstRow="0" w:lastRow="0" w:firstColumn="1" w:lastColumn="0" w:oddVBand="0" w:evenVBand="0" w:oddHBand="0" w:evenHBand="0" w:firstRowFirstColumn="0" w:firstRowLastColumn="0" w:lastRowFirstColumn="0" w:lastRowLastColumn="0"/>
            <w:tcW w:w="8999" w:type="dxa"/>
            <w:gridSpan w:val="9"/>
            <w:shd w:val="clear" w:color="auto" w:fill="EAEDF6" w:themeFill="accent2" w:themeFillTint="33"/>
            <w:hideMark/>
          </w:tcPr>
          <w:p w14:paraId="1598DBF5" w14:textId="77777777" w:rsidR="001932C6" w:rsidRPr="00037C61" w:rsidRDefault="001932C6" w:rsidP="001932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Road border crossings</w:t>
            </w:r>
          </w:p>
        </w:tc>
      </w:tr>
      <w:tr w:rsidR="009770B5" w:rsidRPr="00037C61" w14:paraId="5FA13570"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0702E408" w14:textId="2E2295DF"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Nagylak - Nădlac</w:t>
            </w:r>
          </w:p>
        </w:tc>
        <w:tc>
          <w:tcPr>
            <w:tcW w:w="0" w:type="dxa"/>
            <w:hideMark/>
          </w:tcPr>
          <w:p w14:paraId="14F2AACD" w14:textId="3EA9E92C"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2052.6</w:t>
            </w:r>
          </w:p>
        </w:tc>
        <w:tc>
          <w:tcPr>
            <w:tcW w:w="0" w:type="dxa"/>
            <w:hideMark/>
          </w:tcPr>
          <w:p w14:paraId="3C8F2E2C" w14:textId="4D02A14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2117.0</w:t>
            </w:r>
          </w:p>
        </w:tc>
        <w:tc>
          <w:tcPr>
            <w:tcW w:w="0" w:type="dxa"/>
            <w:hideMark/>
          </w:tcPr>
          <w:p w14:paraId="5BEB348F" w14:textId="5EE7D65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4169.7</w:t>
            </w:r>
          </w:p>
        </w:tc>
        <w:tc>
          <w:tcPr>
            <w:tcW w:w="0" w:type="dxa"/>
            <w:hideMark/>
          </w:tcPr>
          <w:p w14:paraId="694C4556" w14:textId="3BE1BCB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704.0</w:t>
            </w:r>
          </w:p>
        </w:tc>
        <w:tc>
          <w:tcPr>
            <w:tcW w:w="0" w:type="dxa"/>
            <w:hideMark/>
          </w:tcPr>
          <w:p w14:paraId="2E0CE9F5" w14:textId="5596C1B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922.3</w:t>
            </w:r>
          </w:p>
        </w:tc>
        <w:tc>
          <w:tcPr>
            <w:tcW w:w="990" w:type="dxa"/>
            <w:hideMark/>
          </w:tcPr>
          <w:p w14:paraId="40781D31" w14:textId="4850B242"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1626.2</w:t>
            </w:r>
          </w:p>
        </w:tc>
        <w:tc>
          <w:tcPr>
            <w:tcW w:w="850" w:type="dxa"/>
            <w:noWrap/>
            <w:hideMark/>
          </w:tcPr>
          <w:p w14:paraId="5B04BBB0"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-61%</w:t>
            </w:r>
          </w:p>
        </w:tc>
      </w:tr>
      <w:tr w:rsidR="009770B5" w:rsidRPr="00037C61" w14:paraId="53CEA88B" w14:textId="77777777" w:rsidTr="74CEAA85">
        <w:trPr>
          <w:gridAfter w:val="1"/>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468BF61C" w14:textId="49D8F2AF"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Gyula - Vărșand</w:t>
            </w:r>
          </w:p>
        </w:tc>
        <w:tc>
          <w:tcPr>
            <w:tcW w:w="0" w:type="dxa"/>
            <w:hideMark/>
          </w:tcPr>
          <w:p w14:paraId="026D63A5" w14:textId="7E44EBE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357.5</w:t>
            </w:r>
          </w:p>
        </w:tc>
        <w:tc>
          <w:tcPr>
            <w:tcW w:w="0" w:type="dxa"/>
            <w:hideMark/>
          </w:tcPr>
          <w:p w14:paraId="399471C1" w14:textId="1690811A"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486.2</w:t>
            </w:r>
          </w:p>
        </w:tc>
        <w:tc>
          <w:tcPr>
            <w:tcW w:w="0" w:type="dxa"/>
            <w:hideMark/>
          </w:tcPr>
          <w:p w14:paraId="0EDCD787" w14:textId="0DB30250"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843.7</w:t>
            </w:r>
          </w:p>
        </w:tc>
        <w:tc>
          <w:tcPr>
            <w:tcW w:w="0" w:type="dxa"/>
            <w:hideMark/>
          </w:tcPr>
          <w:p w14:paraId="49451B6D" w14:textId="06DB0F5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255.8</w:t>
            </w:r>
          </w:p>
        </w:tc>
        <w:tc>
          <w:tcPr>
            <w:tcW w:w="0" w:type="dxa"/>
            <w:hideMark/>
          </w:tcPr>
          <w:p w14:paraId="7B3A0613" w14:textId="6DE5ED4A"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403.6</w:t>
            </w:r>
          </w:p>
        </w:tc>
        <w:tc>
          <w:tcPr>
            <w:tcW w:w="990" w:type="dxa"/>
            <w:hideMark/>
          </w:tcPr>
          <w:p w14:paraId="7C08132A" w14:textId="5FE34E88"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659.4</w:t>
            </w:r>
          </w:p>
        </w:tc>
        <w:tc>
          <w:tcPr>
            <w:tcW w:w="850" w:type="dxa"/>
            <w:noWrap/>
            <w:hideMark/>
          </w:tcPr>
          <w:p w14:paraId="5CD433A8"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-22%</w:t>
            </w:r>
          </w:p>
        </w:tc>
      </w:tr>
      <w:tr w:rsidR="009770B5" w:rsidRPr="00037C61" w14:paraId="494BFC4A"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3A24C7A5" w14:textId="0D228BC3"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themeColor="text1"/>
                <w:sz w:val="18"/>
                <w:szCs w:val="18"/>
                <w:lang w:val="en-GB" w:eastAsia="en-GB"/>
              </w:rPr>
              <w:t>Ártánd - Bor</w:t>
            </w:r>
            <w:r w:rsidR="636D47B3" w:rsidRPr="00037C61">
              <w:rPr>
                <w:rFonts w:eastAsia="Times New Roman" w:cs="Calibri"/>
                <w:color w:val="000000" w:themeColor="text1"/>
                <w:sz w:val="18"/>
                <w:szCs w:val="18"/>
                <w:lang w:val="en-GB" w:eastAsia="en-GB"/>
              </w:rPr>
              <w:t>ș</w:t>
            </w:r>
          </w:p>
        </w:tc>
        <w:tc>
          <w:tcPr>
            <w:tcW w:w="0" w:type="dxa"/>
            <w:hideMark/>
          </w:tcPr>
          <w:p w14:paraId="300BD50B" w14:textId="3403EC8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1529.9</w:t>
            </w:r>
          </w:p>
        </w:tc>
        <w:tc>
          <w:tcPr>
            <w:tcW w:w="0" w:type="dxa"/>
            <w:hideMark/>
          </w:tcPr>
          <w:p w14:paraId="50F8C124" w14:textId="17C730C8"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1624.2</w:t>
            </w:r>
          </w:p>
        </w:tc>
        <w:tc>
          <w:tcPr>
            <w:tcW w:w="0" w:type="dxa"/>
            <w:hideMark/>
          </w:tcPr>
          <w:p w14:paraId="72165A1E" w14:textId="5D4783F9"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3154.1</w:t>
            </w:r>
          </w:p>
        </w:tc>
        <w:tc>
          <w:tcPr>
            <w:tcW w:w="0" w:type="dxa"/>
            <w:hideMark/>
          </w:tcPr>
          <w:p w14:paraId="5E8C1B25" w14:textId="36CE96BC"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2156.4</w:t>
            </w:r>
          </w:p>
        </w:tc>
        <w:tc>
          <w:tcPr>
            <w:tcW w:w="0" w:type="dxa"/>
            <w:hideMark/>
          </w:tcPr>
          <w:p w14:paraId="3FFA4A29" w14:textId="076D1D4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3713.1</w:t>
            </w:r>
          </w:p>
        </w:tc>
        <w:tc>
          <w:tcPr>
            <w:tcW w:w="990" w:type="dxa"/>
            <w:hideMark/>
          </w:tcPr>
          <w:p w14:paraId="7FFBDA10" w14:textId="7006636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5869.6</w:t>
            </w:r>
          </w:p>
        </w:tc>
        <w:tc>
          <w:tcPr>
            <w:tcW w:w="850" w:type="dxa"/>
            <w:noWrap/>
            <w:hideMark/>
          </w:tcPr>
          <w:p w14:paraId="7BE9897A"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86%</w:t>
            </w:r>
          </w:p>
        </w:tc>
      </w:tr>
      <w:tr w:rsidR="009770B5" w:rsidRPr="00037C61" w14:paraId="630FEBD6" w14:textId="77777777" w:rsidTr="74CEAA85">
        <w:trPr>
          <w:gridAfter w:val="1"/>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031A7D2D"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Nyirábrány - Valea lui Mihai</w:t>
            </w:r>
          </w:p>
        </w:tc>
        <w:tc>
          <w:tcPr>
            <w:tcW w:w="0" w:type="dxa"/>
            <w:hideMark/>
          </w:tcPr>
          <w:p w14:paraId="2A40D61B" w14:textId="61A76B0C"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331.8</w:t>
            </w:r>
          </w:p>
        </w:tc>
        <w:tc>
          <w:tcPr>
            <w:tcW w:w="0" w:type="dxa"/>
            <w:hideMark/>
          </w:tcPr>
          <w:p w14:paraId="14628A7A" w14:textId="77EE6AB3"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315.0</w:t>
            </w:r>
          </w:p>
        </w:tc>
        <w:tc>
          <w:tcPr>
            <w:tcW w:w="0" w:type="dxa"/>
            <w:hideMark/>
          </w:tcPr>
          <w:p w14:paraId="23672B6F" w14:textId="227E565C"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646.8</w:t>
            </w:r>
          </w:p>
        </w:tc>
        <w:tc>
          <w:tcPr>
            <w:tcW w:w="0" w:type="dxa"/>
            <w:hideMark/>
          </w:tcPr>
          <w:p w14:paraId="47FA153E" w14:textId="66CBFC63"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491.3</w:t>
            </w:r>
          </w:p>
        </w:tc>
        <w:tc>
          <w:tcPr>
            <w:tcW w:w="0" w:type="dxa"/>
            <w:hideMark/>
          </w:tcPr>
          <w:p w14:paraId="600DD625" w14:textId="68E6C044"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548.4</w:t>
            </w:r>
          </w:p>
        </w:tc>
        <w:tc>
          <w:tcPr>
            <w:tcW w:w="990" w:type="dxa"/>
            <w:hideMark/>
          </w:tcPr>
          <w:p w14:paraId="0DDD357E" w14:textId="598C89C6"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1039.7</w:t>
            </w:r>
          </w:p>
        </w:tc>
        <w:tc>
          <w:tcPr>
            <w:tcW w:w="850" w:type="dxa"/>
            <w:noWrap/>
            <w:hideMark/>
          </w:tcPr>
          <w:p w14:paraId="7A59D366"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61%</w:t>
            </w:r>
          </w:p>
        </w:tc>
      </w:tr>
      <w:tr w:rsidR="009770B5" w:rsidRPr="00037C61" w14:paraId="5F477B71"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74D74D47" w14:textId="0FFB84DE"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themeColor="text1"/>
                <w:sz w:val="18"/>
                <w:szCs w:val="18"/>
                <w:lang w:val="en-GB" w:eastAsia="en-GB"/>
              </w:rPr>
              <w:t>Csengersima - Pete</w:t>
            </w:r>
            <w:r w:rsidR="53F9F1B9" w:rsidRPr="00037C61">
              <w:rPr>
                <w:rFonts w:eastAsia="Times New Roman" w:cs="Calibri"/>
                <w:color w:val="000000" w:themeColor="text1"/>
                <w:sz w:val="18"/>
                <w:szCs w:val="18"/>
                <w:lang w:val="en-GB" w:eastAsia="en-GB"/>
              </w:rPr>
              <w:t>a</w:t>
            </w:r>
          </w:p>
        </w:tc>
        <w:tc>
          <w:tcPr>
            <w:tcW w:w="0" w:type="dxa"/>
            <w:hideMark/>
          </w:tcPr>
          <w:p w14:paraId="02BC8326" w14:textId="152147D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665.5</w:t>
            </w:r>
          </w:p>
        </w:tc>
        <w:tc>
          <w:tcPr>
            <w:tcW w:w="0" w:type="dxa"/>
            <w:hideMark/>
          </w:tcPr>
          <w:p w14:paraId="15000114" w14:textId="469D46E8"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707.9</w:t>
            </w:r>
          </w:p>
        </w:tc>
        <w:tc>
          <w:tcPr>
            <w:tcW w:w="0" w:type="dxa"/>
            <w:hideMark/>
          </w:tcPr>
          <w:p w14:paraId="3C361F8E" w14:textId="527DAFA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1373.5</w:t>
            </w:r>
          </w:p>
        </w:tc>
        <w:tc>
          <w:tcPr>
            <w:tcW w:w="0" w:type="dxa"/>
            <w:hideMark/>
          </w:tcPr>
          <w:p w14:paraId="0365596A" w14:textId="2A932331"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2283.7</w:t>
            </w:r>
          </w:p>
        </w:tc>
        <w:tc>
          <w:tcPr>
            <w:tcW w:w="0" w:type="dxa"/>
            <w:hideMark/>
          </w:tcPr>
          <w:p w14:paraId="6223EE47" w14:textId="1C2FEC7A"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2415.4</w:t>
            </w:r>
          </w:p>
        </w:tc>
        <w:tc>
          <w:tcPr>
            <w:tcW w:w="990" w:type="dxa"/>
            <w:hideMark/>
          </w:tcPr>
          <w:p w14:paraId="17791188" w14:textId="2784C806"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4699.1</w:t>
            </w:r>
          </w:p>
        </w:tc>
        <w:tc>
          <w:tcPr>
            <w:tcW w:w="850" w:type="dxa"/>
            <w:noWrap/>
            <w:hideMark/>
          </w:tcPr>
          <w:p w14:paraId="1AA24BED"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242%</w:t>
            </w:r>
          </w:p>
        </w:tc>
      </w:tr>
      <w:tr w:rsidR="009770B5" w:rsidRPr="00037C61" w14:paraId="7ECA6D5A" w14:textId="77777777" w:rsidTr="74CEAA85">
        <w:trPr>
          <w:gridAfter w:val="1"/>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54578EAB"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Nagylak - Nădlac (highway)</w:t>
            </w:r>
          </w:p>
        </w:tc>
        <w:tc>
          <w:tcPr>
            <w:tcW w:w="0" w:type="dxa"/>
            <w:hideMark/>
          </w:tcPr>
          <w:p w14:paraId="3E09102F" w14:textId="3B341603"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7CBEC1A6" w14:textId="43F18CC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3D17F0B2" w14:textId="16059D6C"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5A79AC03" w14:textId="526C20C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3376.8</w:t>
            </w:r>
          </w:p>
        </w:tc>
        <w:tc>
          <w:tcPr>
            <w:tcW w:w="0" w:type="dxa"/>
            <w:hideMark/>
          </w:tcPr>
          <w:p w14:paraId="08C8D6A5" w14:textId="604B48A0"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4028.0</w:t>
            </w:r>
          </w:p>
        </w:tc>
        <w:tc>
          <w:tcPr>
            <w:tcW w:w="990" w:type="dxa"/>
            <w:hideMark/>
          </w:tcPr>
          <w:p w14:paraId="1BDF2C78" w14:textId="5650429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7404.8</w:t>
            </w:r>
          </w:p>
        </w:tc>
        <w:tc>
          <w:tcPr>
            <w:tcW w:w="850" w:type="dxa"/>
            <w:noWrap/>
            <w:hideMark/>
          </w:tcPr>
          <w:p w14:paraId="5BB9B7BB"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0F2810FF"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36D20F88"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Vállaj - Vama Urziceni</w:t>
            </w:r>
          </w:p>
        </w:tc>
        <w:tc>
          <w:tcPr>
            <w:tcW w:w="0" w:type="dxa"/>
            <w:hideMark/>
          </w:tcPr>
          <w:p w14:paraId="33AA955F" w14:textId="01AD8244"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317.3</w:t>
            </w:r>
          </w:p>
        </w:tc>
        <w:tc>
          <w:tcPr>
            <w:tcW w:w="0" w:type="dxa"/>
            <w:hideMark/>
          </w:tcPr>
          <w:p w14:paraId="3231237F" w14:textId="4271455E"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336.7</w:t>
            </w:r>
          </w:p>
        </w:tc>
        <w:tc>
          <w:tcPr>
            <w:tcW w:w="0" w:type="dxa"/>
            <w:hideMark/>
          </w:tcPr>
          <w:p w14:paraId="222B8BA4" w14:textId="3647DEC2"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654.0</w:t>
            </w:r>
          </w:p>
        </w:tc>
        <w:tc>
          <w:tcPr>
            <w:tcW w:w="0" w:type="dxa"/>
            <w:hideMark/>
          </w:tcPr>
          <w:p w14:paraId="7B98D782" w14:textId="02DFB16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387.3</w:t>
            </w:r>
          </w:p>
        </w:tc>
        <w:tc>
          <w:tcPr>
            <w:tcW w:w="0" w:type="dxa"/>
            <w:hideMark/>
          </w:tcPr>
          <w:p w14:paraId="31909AA0" w14:textId="09F894AE"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514.7</w:t>
            </w:r>
          </w:p>
        </w:tc>
        <w:tc>
          <w:tcPr>
            <w:tcW w:w="990" w:type="dxa"/>
            <w:hideMark/>
          </w:tcPr>
          <w:p w14:paraId="1388C478" w14:textId="01F4126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902.0</w:t>
            </w:r>
          </w:p>
        </w:tc>
        <w:tc>
          <w:tcPr>
            <w:tcW w:w="850" w:type="dxa"/>
            <w:noWrap/>
            <w:hideMark/>
          </w:tcPr>
          <w:p w14:paraId="00E5E8FE"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38%</w:t>
            </w:r>
          </w:p>
        </w:tc>
      </w:tr>
      <w:tr w:rsidR="009770B5" w:rsidRPr="00037C61" w14:paraId="159D7A1B" w14:textId="77777777" w:rsidTr="74CEAA85">
        <w:trPr>
          <w:gridAfter w:val="1"/>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0F20CD60" w14:textId="3997535C"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Méhkerék - Salonta</w:t>
            </w:r>
          </w:p>
        </w:tc>
        <w:tc>
          <w:tcPr>
            <w:tcW w:w="0" w:type="dxa"/>
            <w:hideMark/>
          </w:tcPr>
          <w:p w14:paraId="78738678" w14:textId="2351F52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405.5</w:t>
            </w:r>
          </w:p>
        </w:tc>
        <w:tc>
          <w:tcPr>
            <w:tcW w:w="0" w:type="dxa"/>
            <w:hideMark/>
          </w:tcPr>
          <w:p w14:paraId="02FAA0B2" w14:textId="3D6CE138"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427.8</w:t>
            </w:r>
          </w:p>
        </w:tc>
        <w:tc>
          <w:tcPr>
            <w:tcW w:w="0" w:type="dxa"/>
            <w:hideMark/>
          </w:tcPr>
          <w:p w14:paraId="63F38888" w14:textId="1643E88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833.3</w:t>
            </w:r>
          </w:p>
        </w:tc>
        <w:tc>
          <w:tcPr>
            <w:tcW w:w="0" w:type="dxa"/>
            <w:hideMark/>
          </w:tcPr>
          <w:p w14:paraId="10C9A845" w14:textId="71F52CA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300.1</w:t>
            </w:r>
          </w:p>
        </w:tc>
        <w:tc>
          <w:tcPr>
            <w:tcW w:w="0" w:type="dxa"/>
            <w:hideMark/>
          </w:tcPr>
          <w:p w14:paraId="234927E6" w14:textId="14166784"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357.5</w:t>
            </w:r>
          </w:p>
        </w:tc>
        <w:tc>
          <w:tcPr>
            <w:tcW w:w="990" w:type="dxa"/>
            <w:hideMark/>
          </w:tcPr>
          <w:p w14:paraId="488C6B4F" w14:textId="7304222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657.6</w:t>
            </w:r>
          </w:p>
        </w:tc>
        <w:tc>
          <w:tcPr>
            <w:tcW w:w="850" w:type="dxa"/>
            <w:noWrap/>
            <w:hideMark/>
          </w:tcPr>
          <w:p w14:paraId="4DFD9DD9"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-21%</w:t>
            </w:r>
          </w:p>
        </w:tc>
      </w:tr>
      <w:tr w:rsidR="009770B5" w:rsidRPr="00037C61" w14:paraId="2822909D"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55622357" w14:textId="5F74DAA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Létavértes - Săcueni</w:t>
            </w:r>
          </w:p>
        </w:tc>
        <w:tc>
          <w:tcPr>
            <w:tcW w:w="0" w:type="dxa"/>
            <w:hideMark/>
          </w:tcPr>
          <w:p w14:paraId="30F2B006" w14:textId="755C63D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121.6</w:t>
            </w:r>
          </w:p>
        </w:tc>
        <w:tc>
          <w:tcPr>
            <w:tcW w:w="0" w:type="dxa"/>
            <w:hideMark/>
          </w:tcPr>
          <w:p w14:paraId="6957B3D6" w14:textId="67F56CBA"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115.4</w:t>
            </w:r>
          </w:p>
        </w:tc>
        <w:tc>
          <w:tcPr>
            <w:tcW w:w="0" w:type="dxa"/>
            <w:hideMark/>
          </w:tcPr>
          <w:p w14:paraId="649B1AE4" w14:textId="6D605A0D"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237.1</w:t>
            </w:r>
          </w:p>
        </w:tc>
        <w:tc>
          <w:tcPr>
            <w:tcW w:w="0" w:type="dxa"/>
            <w:hideMark/>
          </w:tcPr>
          <w:p w14:paraId="2D638A3A" w14:textId="4BCEE174"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266.3</w:t>
            </w:r>
          </w:p>
        </w:tc>
        <w:tc>
          <w:tcPr>
            <w:tcW w:w="0" w:type="dxa"/>
            <w:hideMark/>
          </w:tcPr>
          <w:p w14:paraId="5EBA8E0A" w14:textId="148F4EE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274.4</w:t>
            </w:r>
          </w:p>
        </w:tc>
        <w:tc>
          <w:tcPr>
            <w:tcW w:w="990" w:type="dxa"/>
            <w:hideMark/>
          </w:tcPr>
          <w:p w14:paraId="35E7ED99" w14:textId="5314260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540.8</w:t>
            </w:r>
          </w:p>
        </w:tc>
        <w:tc>
          <w:tcPr>
            <w:tcW w:w="850" w:type="dxa"/>
            <w:noWrap/>
            <w:hideMark/>
          </w:tcPr>
          <w:p w14:paraId="1D92E9DD"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128%</w:t>
            </w:r>
          </w:p>
        </w:tc>
      </w:tr>
      <w:tr w:rsidR="009770B5" w:rsidRPr="00037C61" w14:paraId="284DA9E9" w14:textId="77777777" w:rsidTr="74CEAA85">
        <w:trPr>
          <w:gridAfter w:val="1"/>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51129BE5" w14:textId="10E9F3B4"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Körösnagyharsány - Cheresig</w:t>
            </w:r>
          </w:p>
        </w:tc>
        <w:tc>
          <w:tcPr>
            <w:tcW w:w="0" w:type="dxa"/>
            <w:hideMark/>
          </w:tcPr>
          <w:p w14:paraId="51F37742" w14:textId="60EA231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0432FB5E" w14:textId="4AB505C5"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32E1F734" w14:textId="4BCBB32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21D54642" w14:textId="5AE4C45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3.8</w:t>
            </w:r>
          </w:p>
        </w:tc>
        <w:tc>
          <w:tcPr>
            <w:tcW w:w="0" w:type="dxa"/>
            <w:hideMark/>
          </w:tcPr>
          <w:p w14:paraId="0DF50694" w14:textId="3042C533"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4.1</w:t>
            </w:r>
          </w:p>
        </w:tc>
        <w:tc>
          <w:tcPr>
            <w:tcW w:w="990" w:type="dxa"/>
            <w:hideMark/>
          </w:tcPr>
          <w:p w14:paraId="0C0A22E0" w14:textId="25F0886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7.9</w:t>
            </w:r>
          </w:p>
        </w:tc>
        <w:tc>
          <w:tcPr>
            <w:tcW w:w="850" w:type="dxa"/>
            <w:noWrap/>
            <w:hideMark/>
          </w:tcPr>
          <w:p w14:paraId="7BE8AD4F"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4B58773D"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467C0D03" w14:textId="37F64926"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Elek - Grăniceri</w:t>
            </w:r>
          </w:p>
        </w:tc>
        <w:tc>
          <w:tcPr>
            <w:tcW w:w="0" w:type="dxa"/>
            <w:hideMark/>
          </w:tcPr>
          <w:p w14:paraId="200BFCDD" w14:textId="79401324"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06F07CC9" w14:textId="5BA9C60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52EFDDF8" w14:textId="62F258F8"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572360B6" w14:textId="312E766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2.2</w:t>
            </w:r>
          </w:p>
        </w:tc>
        <w:tc>
          <w:tcPr>
            <w:tcW w:w="0" w:type="dxa"/>
            <w:hideMark/>
          </w:tcPr>
          <w:p w14:paraId="03421C5C" w14:textId="0FB40BF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2.2</w:t>
            </w:r>
          </w:p>
        </w:tc>
        <w:tc>
          <w:tcPr>
            <w:tcW w:w="990" w:type="dxa"/>
            <w:hideMark/>
          </w:tcPr>
          <w:p w14:paraId="1A469AAA" w14:textId="28B7258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4.4</w:t>
            </w:r>
          </w:p>
        </w:tc>
        <w:tc>
          <w:tcPr>
            <w:tcW w:w="850" w:type="dxa"/>
            <w:noWrap/>
            <w:hideMark/>
          </w:tcPr>
          <w:p w14:paraId="21A829CE"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16C3648B" w14:textId="77777777" w:rsidTr="74CEAA85">
        <w:trPr>
          <w:gridAfter w:val="1"/>
          <w:wAfter w:w="10" w:type="dxa"/>
          <w:trHeight w:val="365"/>
        </w:trPr>
        <w:tc>
          <w:tcPr>
            <w:cnfStyle w:val="001000000000" w:firstRow="0" w:lastRow="0" w:firstColumn="1" w:lastColumn="0" w:oddVBand="0" w:evenVBand="0" w:oddHBand="0" w:evenHBand="0" w:firstRowFirstColumn="0" w:firstRowLastColumn="0" w:lastRowFirstColumn="0" w:lastRowLastColumn="0"/>
            <w:tcW w:w="2479" w:type="dxa"/>
            <w:hideMark/>
          </w:tcPr>
          <w:p w14:paraId="1BE329DE"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Dombegyháza - Variaşu Mic</w:t>
            </w:r>
          </w:p>
        </w:tc>
        <w:tc>
          <w:tcPr>
            <w:tcW w:w="0" w:type="dxa"/>
            <w:hideMark/>
          </w:tcPr>
          <w:p w14:paraId="74C9E0CB" w14:textId="0E664AD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1.0</w:t>
            </w:r>
          </w:p>
        </w:tc>
        <w:tc>
          <w:tcPr>
            <w:tcW w:w="0" w:type="dxa"/>
            <w:hideMark/>
          </w:tcPr>
          <w:p w14:paraId="7FC1BFF5" w14:textId="5FB345A3"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0.9</w:t>
            </w:r>
          </w:p>
        </w:tc>
        <w:tc>
          <w:tcPr>
            <w:tcW w:w="0" w:type="dxa"/>
            <w:hideMark/>
          </w:tcPr>
          <w:p w14:paraId="46EE0FB7" w14:textId="7A2073E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1.9</w:t>
            </w:r>
          </w:p>
        </w:tc>
        <w:tc>
          <w:tcPr>
            <w:tcW w:w="0" w:type="dxa"/>
            <w:hideMark/>
          </w:tcPr>
          <w:p w14:paraId="35DDC71B" w14:textId="135DCB24"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1.9</w:t>
            </w:r>
          </w:p>
        </w:tc>
        <w:tc>
          <w:tcPr>
            <w:tcW w:w="0" w:type="dxa"/>
            <w:hideMark/>
          </w:tcPr>
          <w:p w14:paraId="182C38AB" w14:textId="09A58A4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2.4</w:t>
            </w:r>
          </w:p>
        </w:tc>
        <w:tc>
          <w:tcPr>
            <w:tcW w:w="990" w:type="dxa"/>
            <w:hideMark/>
          </w:tcPr>
          <w:p w14:paraId="7386B423" w14:textId="4FF480FC"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4.3</w:t>
            </w:r>
          </w:p>
        </w:tc>
        <w:tc>
          <w:tcPr>
            <w:tcW w:w="850" w:type="dxa"/>
            <w:noWrap/>
            <w:hideMark/>
          </w:tcPr>
          <w:p w14:paraId="11B98F84"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128%</w:t>
            </w:r>
          </w:p>
        </w:tc>
      </w:tr>
      <w:tr w:rsidR="009770B5" w:rsidRPr="00037C61" w14:paraId="6DA1F900"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60F4D4B4"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Battonya - Turnu</w:t>
            </w:r>
          </w:p>
        </w:tc>
        <w:tc>
          <w:tcPr>
            <w:tcW w:w="0" w:type="dxa"/>
            <w:hideMark/>
          </w:tcPr>
          <w:p w14:paraId="2B90DDAD" w14:textId="4C83EB4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609.4</w:t>
            </w:r>
          </w:p>
        </w:tc>
        <w:tc>
          <w:tcPr>
            <w:tcW w:w="0" w:type="dxa"/>
            <w:hideMark/>
          </w:tcPr>
          <w:p w14:paraId="6F94F8FB" w14:textId="24FE9102"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738.2</w:t>
            </w:r>
          </w:p>
        </w:tc>
        <w:tc>
          <w:tcPr>
            <w:tcW w:w="0" w:type="dxa"/>
            <w:hideMark/>
          </w:tcPr>
          <w:p w14:paraId="4120ABCC" w14:textId="08BA7591"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1347.6</w:t>
            </w:r>
          </w:p>
        </w:tc>
        <w:tc>
          <w:tcPr>
            <w:tcW w:w="0" w:type="dxa"/>
            <w:hideMark/>
          </w:tcPr>
          <w:p w14:paraId="1D6B7945" w14:textId="609E3D9D"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306.4</w:t>
            </w:r>
          </w:p>
        </w:tc>
        <w:tc>
          <w:tcPr>
            <w:tcW w:w="0" w:type="dxa"/>
            <w:hideMark/>
          </w:tcPr>
          <w:p w14:paraId="3F17FC78" w14:textId="138F7E26"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387.3</w:t>
            </w:r>
          </w:p>
        </w:tc>
        <w:tc>
          <w:tcPr>
            <w:tcW w:w="990" w:type="dxa"/>
            <w:hideMark/>
          </w:tcPr>
          <w:p w14:paraId="163D6E79" w14:textId="7A826EA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693.7</w:t>
            </w:r>
          </w:p>
        </w:tc>
        <w:tc>
          <w:tcPr>
            <w:tcW w:w="850" w:type="dxa"/>
            <w:noWrap/>
            <w:hideMark/>
          </w:tcPr>
          <w:p w14:paraId="4DC3DA7E"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-49%</w:t>
            </w:r>
          </w:p>
        </w:tc>
      </w:tr>
      <w:tr w:rsidR="009770B5" w:rsidRPr="00037C61" w14:paraId="177914C0" w14:textId="77777777" w:rsidTr="74CEAA85">
        <w:trPr>
          <w:gridAfter w:val="1"/>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79DA5E0C" w14:textId="52733B23"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Kiszombor - Cenad</w:t>
            </w:r>
          </w:p>
        </w:tc>
        <w:tc>
          <w:tcPr>
            <w:tcW w:w="0" w:type="dxa"/>
            <w:hideMark/>
          </w:tcPr>
          <w:p w14:paraId="4956E5AC" w14:textId="40DEDE1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757.1</w:t>
            </w:r>
          </w:p>
        </w:tc>
        <w:tc>
          <w:tcPr>
            <w:tcW w:w="0" w:type="dxa"/>
            <w:hideMark/>
          </w:tcPr>
          <w:p w14:paraId="25B5E64E" w14:textId="5818542B"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650.0</w:t>
            </w:r>
          </w:p>
        </w:tc>
        <w:tc>
          <w:tcPr>
            <w:tcW w:w="0" w:type="dxa"/>
            <w:hideMark/>
          </w:tcPr>
          <w:p w14:paraId="4E510A9D" w14:textId="1F32079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1407.1</w:t>
            </w:r>
          </w:p>
        </w:tc>
        <w:tc>
          <w:tcPr>
            <w:tcW w:w="0" w:type="dxa"/>
            <w:hideMark/>
          </w:tcPr>
          <w:p w14:paraId="1610FF6E" w14:textId="41C6FDD8"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499.9</w:t>
            </w:r>
          </w:p>
        </w:tc>
        <w:tc>
          <w:tcPr>
            <w:tcW w:w="0" w:type="dxa"/>
            <w:hideMark/>
          </w:tcPr>
          <w:p w14:paraId="2523E2FF" w14:textId="0448897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665.6</w:t>
            </w:r>
          </w:p>
        </w:tc>
        <w:tc>
          <w:tcPr>
            <w:tcW w:w="990" w:type="dxa"/>
            <w:hideMark/>
          </w:tcPr>
          <w:p w14:paraId="6CC827C7" w14:textId="7ACD45F0"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1165.4</w:t>
            </w:r>
          </w:p>
        </w:tc>
        <w:tc>
          <w:tcPr>
            <w:tcW w:w="850" w:type="dxa"/>
            <w:noWrap/>
            <w:hideMark/>
          </w:tcPr>
          <w:p w14:paraId="55AAE0A6"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-17%</w:t>
            </w:r>
          </w:p>
        </w:tc>
      </w:tr>
      <w:tr w:rsidR="009770B5" w:rsidRPr="00037C61" w14:paraId="74E42EEA"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1B1DD86D"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Csanádpalota - Nădlac</w:t>
            </w:r>
          </w:p>
        </w:tc>
        <w:tc>
          <w:tcPr>
            <w:tcW w:w="0" w:type="dxa"/>
            <w:hideMark/>
          </w:tcPr>
          <w:p w14:paraId="63049CCC" w14:textId="318C4302"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430017B9" w14:textId="53A39B2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759AF756" w14:textId="6723BE2D"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550F83FE" w14:textId="7DDE3DA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1.5</w:t>
            </w:r>
          </w:p>
        </w:tc>
        <w:tc>
          <w:tcPr>
            <w:tcW w:w="0" w:type="dxa"/>
            <w:hideMark/>
          </w:tcPr>
          <w:p w14:paraId="4F479AE3" w14:textId="05CE16B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2.6</w:t>
            </w:r>
          </w:p>
        </w:tc>
        <w:tc>
          <w:tcPr>
            <w:tcW w:w="990" w:type="dxa"/>
            <w:hideMark/>
          </w:tcPr>
          <w:p w14:paraId="090DDAB9" w14:textId="3A3EE1E6"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4.1</w:t>
            </w:r>
          </w:p>
        </w:tc>
        <w:tc>
          <w:tcPr>
            <w:tcW w:w="850" w:type="dxa"/>
            <w:noWrap/>
            <w:hideMark/>
          </w:tcPr>
          <w:p w14:paraId="738CA007"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14992CCE" w14:textId="77777777" w:rsidTr="74CEAA85">
        <w:trPr>
          <w:gridAfter w:val="1"/>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70E8C94E"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Zajta - Peleş</w:t>
            </w:r>
          </w:p>
        </w:tc>
        <w:tc>
          <w:tcPr>
            <w:tcW w:w="0" w:type="dxa"/>
            <w:hideMark/>
          </w:tcPr>
          <w:p w14:paraId="2D7FB0BF" w14:textId="0580C4E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16AC4929" w14:textId="7DB0320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6A7F5F17" w14:textId="71A6E0D6"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336FF436" w14:textId="37D5C12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8.7</w:t>
            </w:r>
          </w:p>
        </w:tc>
        <w:tc>
          <w:tcPr>
            <w:tcW w:w="0" w:type="dxa"/>
            <w:hideMark/>
          </w:tcPr>
          <w:p w14:paraId="68F882F2" w14:textId="07D2FF5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10.6</w:t>
            </w:r>
          </w:p>
        </w:tc>
        <w:tc>
          <w:tcPr>
            <w:tcW w:w="990" w:type="dxa"/>
            <w:hideMark/>
          </w:tcPr>
          <w:p w14:paraId="20C47B1F" w14:textId="1B66537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19.3</w:t>
            </w:r>
          </w:p>
        </w:tc>
        <w:tc>
          <w:tcPr>
            <w:tcW w:w="850" w:type="dxa"/>
            <w:noWrap/>
            <w:hideMark/>
          </w:tcPr>
          <w:p w14:paraId="2CB41BBF"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2B9E72D0"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53589A13"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Garbolc - Bercu</w:t>
            </w:r>
          </w:p>
        </w:tc>
        <w:tc>
          <w:tcPr>
            <w:tcW w:w="0" w:type="dxa"/>
            <w:hideMark/>
          </w:tcPr>
          <w:p w14:paraId="091BB06F" w14:textId="27C08A9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064C4A86" w14:textId="607C0D7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37D3B2FF" w14:textId="69D2837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4F86C2F1" w14:textId="372DC571"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2.5</w:t>
            </w:r>
          </w:p>
        </w:tc>
        <w:tc>
          <w:tcPr>
            <w:tcW w:w="0" w:type="dxa"/>
            <w:hideMark/>
          </w:tcPr>
          <w:p w14:paraId="7FF17D60" w14:textId="77598549"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3.6</w:t>
            </w:r>
          </w:p>
        </w:tc>
        <w:tc>
          <w:tcPr>
            <w:tcW w:w="990" w:type="dxa"/>
            <w:hideMark/>
          </w:tcPr>
          <w:p w14:paraId="6E63C64E" w14:textId="04A80DF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6.1</w:t>
            </w:r>
          </w:p>
        </w:tc>
        <w:tc>
          <w:tcPr>
            <w:tcW w:w="850" w:type="dxa"/>
            <w:noWrap/>
            <w:hideMark/>
          </w:tcPr>
          <w:p w14:paraId="04BB970D"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7BE61773" w14:textId="77777777" w:rsidTr="74CEAA85">
        <w:trPr>
          <w:gridAfter w:val="1"/>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78A76C07"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Ömböly - Horea</w:t>
            </w:r>
          </w:p>
        </w:tc>
        <w:tc>
          <w:tcPr>
            <w:tcW w:w="0" w:type="dxa"/>
            <w:hideMark/>
          </w:tcPr>
          <w:p w14:paraId="49E839E9" w14:textId="5F6B5A7D"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6D0272BD" w14:textId="7C09AA25"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11F8A75C" w14:textId="0F48D159"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0B394114" w14:textId="0256560A"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1.3</w:t>
            </w:r>
          </w:p>
        </w:tc>
        <w:tc>
          <w:tcPr>
            <w:tcW w:w="0" w:type="dxa"/>
            <w:hideMark/>
          </w:tcPr>
          <w:p w14:paraId="2E8248C6" w14:textId="47D3D3B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1.3</w:t>
            </w:r>
          </w:p>
        </w:tc>
        <w:tc>
          <w:tcPr>
            <w:tcW w:w="990" w:type="dxa"/>
            <w:hideMark/>
          </w:tcPr>
          <w:p w14:paraId="572EA9B9" w14:textId="056FE4FD"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2.6</w:t>
            </w:r>
          </w:p>
        </w:tc>
        <w:tc>
          <w:tcPr>
            <w:tcW w:w="850" w:type="dxa"/>
            <w:noWrap/>
            <w:hideMark/>
          </w:tcPr>
          <w:p w14:paraId="3431F739"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759FF289"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221"/>
        </w:trPr>
        <w:tc>
          <w:tcPr>
            <w:cnfStyle w:val="001000000000" w:firstRow="0" w:lastRow="0" w:firstColumn="1" w:lastColumn="0" w:oddVBand="0" w:evenVBand="0" w:oddHBand="0" w:evenHBand="0" w:firstRowFirstColumn="0" w:firstRowLastColumn="0" w:lastRowFirstColumn="0" w:lastRowLastColumn="0"/>
            <w:tcW w:w="2479" w:type="dxa"/>
            <w:hideMark/>
          </w:tcPr>
          <w:p w14:paraId="451E9D80"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Gyula (Dénesmajor) - Iermata Neagră</w:t>
            </w:r>
          </w:p>
        </w:tc>
        <w:tc>
          <w:tcPr>
            <w:tcW w:w="0" w:type="dxa"/>
            <w:hideMark/>
          </w:tcPr>
          <w:p w14:paraId="428D01C1" w14:textId="7A1AAA3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3689232E" w14:textId="140578D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46175BED" w14:textId="5A1DAFE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092E6021" w14:textId="713B384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3.0</w:t>
            </w:r>
          </w:p>
        </w:tc>
        <w:tc>
          <w:tcPr>
            <w:tcW w:w="0" w:type="dxa"/>
            <w:hideMark/>
          </w:tcPr>
          <w:p w14:paraId="532A7AF9" w14:textId="0646D9E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2.9</w:t>
            </w:r>
          </w:p>
        </w:tc>
        <w:tc>
          <w:tcPr>
            <w:tcW w:w="990" w:type="dxa"/>
            <w:hideMark/>
          </w:tcPr>
          <w:p w14:paraId="1FBC8A03" w14:textId="38AB7616"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5.8</w:t>
            </w:r>
          </w:p>
        </w:tc>
        <w:tc>
          <w:tcPr>
            <w:tcW w:w="850" w:type="dxa"/>
            <w:noWrap/>
            <w:hideMark/>
          </w:tcPr>
          <w:p w14:paraId="1F07499E"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44DD6289" w14:textId="77777777" w:rsidTr="74CEAA85">
        <w:trPr>
          <w:gridAfter w:val="1"/>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14285E32"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Pocsaj - Mihai Bravu</w:t>
            </w:r>
          </w:p>
        </w:tc>
        <w:tc>
          <w:tcPr>
            <w:tcW w:w="0" w:type="dxa"/>
            <w:hideMark/>
          </w:tcPr>
          <w:p w14:paraId="6BB25158" w14:textId="72B64606"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32E78B1D" w14:textId="5BA12AB9"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77D0B1F8" w14:textId="46826CFB"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1C488084" w14:textId="3694034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0.5</w:t>
            </w:r>
          </w:p>
        </w:tc>
        <w:tc>
          <w:tcPr>
            <w:tcW w:w="0" w:type="dxa"/>
            <w:hideMark/>
          </w:tcPr>
          <w:p w14:paraId="24770087" w14:textId="758525E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0.5</w:t>
            </w:r>
          </w:p>
        </w:tc>
        <w:tc>
          <w:tcPr>
            <w:tcW w:w="990" w:type="dxa"/>
            <w:hideMark/>
          </w:tcPr>
          <w:p w14:paraId="045BF3D8" w14:textId="3A22C4A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1.0</w:t>
            </w:r>
          </w:p>
        </w:tc>
        <w:tc>
          <w:tcPr>
            <w:tcW w:w="850" w:type="dxa"/>
            <w:noWrap/>
            <w:hideMark/>
          </w:tcPr>
          <w:p w14:paraId="56A64CCE"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9770B5" w:rsidRPr="00037C61" w14:paraId="42A6A969"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7C1A0A97"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Bagamér - Voivozi</w:t>
            </w:r>
          </w:p>
        </w:tc>
        <w:tc>
          <w:tcPr>
            <w:tcW w:w="0" w:type="dxa"/>
            <w:hideMark/>
          </w:tcPr>
          <w:p w14:paraId="0E15477B" w14:textId="03FF9786"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616400A4" w14:textId="52136FDE"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0.0</w:t>
            </w:r>
          </w:p>
        </w:tc>
        <w:tc>
          <w:tcPr>
            <w:tcW w:w="0" w:type="dxa"/>
            <w:hideMark/>
          </w:tcPr>
          <w:p w14:paraId="54796DF1" w14:textId="6F9D8DAA"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FF0000"/>
                <w:sz w:val="18"/>
                <w:szCs w:val="18"/>
                <w:lang w:val="en-GB" w:eastAsia="en-GB"/>
              </w:rPr>
            </w:pPr>
            <w:r w:rsidRPr="00037C61">
              <w:rPr>
                <w:rFonts w:cs="Calibri"/>
                <w:sz w:val="18"/>
                <w:szCs w:val="18"/>
                <w:lang w:val="en-GB"/>
              </w:rPr>
              <w:t>0.0</w:t>
            </w:r>
          </w:p>
        </w:tc>
        <w:tc>
          <w:tcPr>
            <w:tcW w:w="0" w:type="dxa"/>
            <w:hideMark/>
          </w:tcPr>
          <w:p w14:paraId="517B92A3" w14:textId="53112E9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0.5</w:t>
            </w:r>
          </w:p>
        </w:tc>
        <w:tc>
          <w:tcPr>
            <w:tcW w:w="0" w:type="dxa"/>
            <w:hideMark/>
          </w:tcPr>
          <w:p w14:paraId="0CB55A20" w14:textId="691D52A2"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0.5</w:t>
            </w:r>
          </w:p>
        </w:tc>
        <w:tc>
          <w:tcPr>
            <w:tcW w:w="990" w:type="dxa"/>
            <w:hideMark/>
          </w:tcPr>
          <w:p w14:paraId="244F281D" w14:textId="5B03BFA5"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cs="Calibri"/>
                <w:sz w:val="18"/>
                <w:szCs w:val="18"/>
                <w:lang w:val="en-GB"/>
              </w:rPr>
              <w:t>1.1</w:t>
            </w:r>
          </w:p>
        </w:tc>
        <w:tc>
          <w:tcPr>
            <w:tcW w:w="850" w:type="dxa"/>
            <w:noWrap/>
            <w:hideMark/>
          </w:tcPr>
          <w:p w14:paraId="0BC293A4"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N/A</w:t>
            </w:r>
          </w:p>
        </w:tc>
      </w:tr>
      <w:tr w:rsidR="001932C6" w:rsidRPr="00037C61" w14:paraId="2697E6A6" w14:textId="77777777" w:rsidTr="74CEAA85">
        <w:trPr>
          <w:trHeight w:val="110"/>
        </w:trPr>
        <w:tc>
          <w:tcPr>
            <w:cnfStyle w:val="001000000000" w:firstRow="0" w:lastRow="0" w:firstColumn="1" w:lastColumn="0" w:oddVBand="0" w:evenVBand="0" w:oddHBand="0" w:evenHBand="0" w:firstRowFirstColumn="0" w:firstRowLastColumn="0" w:lastRowFirstColumn="0" w:lastRowLastColumn="0"/>
            <w:tcW w:w="8999" w:type="dxa"/>
            <w:gridSpan w:val="9"/>
            <w:shd w:val="clear" w:color="auto" w:fill="EAEDF6" w:themeFill="accent2" w:themeFillTint="33"/>
            <w:hideMark/>
          </w:tcPr>
          <w:p w14:paraId="0EBDE8C8" w14:textId="77777777" w:rsidR="001932C6" w:rsidRPr="00037C61" w:rsidRDefault="001932C6" w:rsidP="001932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 xml:space="preserve">Rail border crossings </w:t>
            </w:r>
          </w:p>
        </w:tc>
      </w:tr>
      <w:tr w:rsidR="009770B5" w:rsidRPr="00037C61" w14:paraId="31AEF3B4"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2C78254E"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Lökösháza - Curtici</w:t>
            </w:r>
          </w:p>
        </w:tc>
        <w:tc>
          <w:tcPr>
            <w:tcW w:w="0" w:type="dxa"/>
            <w:hideMark/>
          </w:tcPr>
          <w:p w14:paraId="183BE141" w14:textId="149A34D1"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207.4</w:t>
            </w:r>
          </w:p>
        </w:tc>
        <w:tc>
          <w:tcPr>
            <w:tcW w:w="0" w:type="dxa"/>
            <w:hideMark/>
          </w:tcPr>
          <w:p w14:paraId="4C3D2BC4" w14:textId="56D888DC"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186.7</w:t>
            </w:r>
          </w:p>
        </w:tc>
        <w:tc>
          <w:tcPr>
            <w:tcW w:w="0" w:type="dxa"/>
            <w:hideMark/>
          </w:tcPr>
          <w:p w14:paraId="61C4DE09" w14:textId="5056107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394.1</w:t>
            </w:r>
          </w:p>
        </w:tc>
        <w:tc>
          <w:tcPr>
            <w:tcW w:w="0" w:type="dxa"/>
            <w:hideMark/>
          </w:tcPr>
          <w:p w14:paraId="5886E552" w14:textId="67ACBE3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89.2</w:t>
            </w:r>
          </w:p>
        </w:tc>
        <w:tc>
          <w:tcPr>
            <w:tcW w:w="0" w:type="dxa"/>
            <w:hideMark/>
          </w:tcPr>
          <w:p w14:paraId="4A1863C3" w14:textId="4568C47A"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89.8</w:t>
            </w:r>
          </w:p>
        </w:tc>
        <w:tc>
          <w:tcPr>
            <w:tcW w:w="990" w:type="dxa"/>
            <w:hideMark/>
          </w:tcPr>
          <w:p w14:paraId="24B81C0A" w14:textId="2824F76A"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179.1</w:t>
            </w:r>
          </w:p>
        </w:tc>
        <w:tc>
          <w:tcPr>
            <w:tcW w:w="850" w:type="dxa"/>
            <w:noWrap/>
            <w:hideMark/>
          </w:tcPr>
          <w:p w14:paraId="46186A33"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-55%</w:t>
            </w:r>
          </w:p>
        </w:tc>
      </w:tr>
      <w:tr w:rsidR="009770B5" w:rsidRPr="00037C61" w14:paraId="6539563A" w14:textId="77777777" w:rsidTr="74CEAA85">
        <w:trPr>
          <w:gridAfter w:val="1"/>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1FC81DAE"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Kötegyán - Salonta</w:t>
            </w:r>
          </w:p>
        </w:tc>
        <w:tc>
          <w:tcPr>
            <w:tcW w:w="0" w:type="dxa"/>
            <w:hideMark/>
          </w:tcPr>
          <w:p w14:paraId="5B275528" w14:textId="4D190DF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5.4</w:t>
            </w:r>
          </w:p>
        </w:tc>
        <w:tc>
          <w:tcPr>
            <w:tcW w:w="0" w:type="dxa"/>
            <w:hideMark/>
          </w:tcPr>
          <w:p w14:paraId="0EFABB2C" w14:textId="78D41504"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5.6</w:t>
            </w:r>
          </w:p>
        </w:tc>
        <w:tc>
          <w:tcPr>
            <w:tcW w:w="0" w:type="dxa"/>
            <w:hideMark/>
          </w:tcPr>
          <w:p w14:paraId="43EB4014" w14:textId="1173098A"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11.0</w:t>
            </w:r>
          </w:p>
        </w:tc>
        <w:tc>
          <w:tcPr>
            <w:tcW w:w="0" w:type="dxa"/>
            <w:hideMark/>
          </w:tcPr>
          <w:p w14:paraId="330628D7" w14:textId="438775F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4.7</w:t>
            </w:r>
          </w:p>
        </w:tc>
        <w:tc>
          <w:tcPr>
            <w:tcW w:w="0" w:type="dxa"/>
            <w:hideMark/>
          </w:tcPr>
          <w:p w14:paraId="0E599753" w14:textId="650C6CD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4.6</w:t>
            </w:r>
          </w:p>
        </w:tc>
        <w:tc>
          <w:tcPr>
            <w:tcW w:w="990" w:type="dxa"/>
            <w:hideMark/>
          </w:tcPr>
          <w:p w14:paraId="1E0F0F1D" w14:textId="6B7AABF0"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9.3</w:t>
            </w:r>
          </w:p>
        </w:tc>
        <w:tc>
          <w:tcPr>
            <w:tcW w:w="850" w:type="dxa"/>
            <w:noWrap/>
            <w:hideMark/>
          </w:tcPr>
          <w:p w14:paraId="42C39BB5"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-16%</w:t>
            </w:r>
          </w:p>
        </w:tc>
      </w:tr>
      <w:tr w:rsidR="009770B5" w:rsidRPr="00037C61" w14:paraId="0502252A"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4"/>
        </w:trPr>
        <w:tc>
          <w:tcPr>
            <w:cnfStyle w:val="001000000000" w:firstRow="0" w:lastRow="0" w:firstColumn="1" w:lastColumn="0" w:oddVBand="0" w:evenVBand="0" w:oddHBand="0" w:evenHBand="0" w:firstRowFirstColumn="0" w:firstRowLastColumn="0" w:lastRowFirstColumn="0" w:lastRowLastColumn="0"/>
            <w:tcW w:w="2479" w:type="dxa"/>
            <w:hideMark/>
          </w:tcPr>
          <w:p w14:paraId="63ADE95A"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Biharkeresztes</w:t>
            </w:r>
          </w:p>
        </w:tc>
        <w:tc>
          <w:tcPr>
            <w:tcW w:w="0" w:type="dxa"/>
            <w:hideMark/>
          </w:tcPr>
          <w:p w14:paraId="21DE0C52" w14:textId="49A3062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61.0</w:t>
            </w:r>
          </w:p>
        </w:tc>
        <w:tc>
          <w:tcPr>
            <w:tcW w:w="0" w:type="dxa"/>
            <w:hideMark/>
          </w:tcPr>
          <w:p w14:paraId="5E8B6B79" w14:textId="36C39EC6"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58.7</w:t>
            </w:r>
          </w:p>
        </w:tc>
        <w:tc>
          <w:tcPr>
            <w:tcW w:w="0" w:type="dxa"/>
            <w:hideMark/>
          </w:tcPr>
          <w:p w14:paraId="25A6D7F3" w14:textId="1341FCA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119.6</w:t>
            </w:r>
          </w:p>
        </w:tc>
        <w:tc>
          <w:tcPr>
            <w:tcW w:w="0" w:type="dxa"/>
            <w:hideMark/>
          </w:tcPr>
          <w:p w14:paraId="0CB75AB3" w14:textId="6A9FB239"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88.5</w:t>
            </w:r>
          </w:p>
        </w:tc>
        <w:tc>
          <w:tcPr>
            <w:tcW w:w="0" w:type="dxa"/>
            <w:hideMark/>
          </w:tcPr>
          <w:p w14:paraId="711F3B33" w14:textId="0FB3472D"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85.5</w:t>
            </w:r>
          </w:p>
        </w:tc>
        <w:tc>
          <w:tcPr>
            <w:tcW w:w="990" w:type="dxa"/>
            <w:hideMark/>
          </w:tcPr>
          <w:p w14:paraId="562EF9E1" w14:textId="7A5BB16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174.0</w:t>
            </w:r>
          </w:p>
        </w:tc>
        <w:tc>
          <w:tcPr>
            <w:tcW w:w="850" w:type="dxa"/>
            <w:noWrap/>
            <w:hideMark/>
          </w:tcPr>
          <w:p w14:paraId="63350B5F"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45%</w:t>
            </w:r>
          </w:p>
        </w:tc>
      </w:tr>
      <w:tr w:rsidR="009770B5" w:rsidRPr="00037C61" w14:paraId="6357B9EE" w14:textId="77777777" w:rsidTr="74CEAA85">
        <w:trPr>
          <w:gridAfter w:val="1"/>
          <w:wAfter w:w="10" w:type="dxa"/>
          <w:trHeight w:val="275"/>
        </w:trPr>
        <w:tc>
          <w:tcPr>
            <w:cnfStyle w:val="001000000000" w:firstRow="0" w:lastRow="0" w:firstColumn="1" w:lastColumn="0" w:oddVBand="0" w:evenVBand="0" w:oddHBand="0" w:evenHBand="0" w:firstRowFirstColumn="0" w:firstRowLastColumn="0" w:lastRowFirstColumn="0" w:lastRowLastColumn="0"/>
            <w:tcW w:w="2479" w:type="dxa"/>
            <w:hideMark/>
          </w:tcPr>
          <w:p w14:paraId="3E587414"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Nyirábrány - Valea lui Mihai</w:t>
            </w:r>
          </w:p>
        </w:tc>
        <w:tc>
          <w:tcPr>
            <w:tcW w:w="0" w:type="dxa"/>
            <w:hideMark/>
          </w:tcPr>
          <w:p w14:paraId="626A0977" w14:textId="7CBE129D"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8.8</w:t>
            </w:r>
          </w:p>
        </w:tc>
        <w:tc>
          <w:tcPr>
            <w:tcW w:w="0" w:type="dxa"/>
            <w:hideMark/>
          </w:tcPr>
          <w:p w14:paraId="18FA1125" w14:textId="140558D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8.6</w:t>
            </w:r>
          </w:p>
        </w:tc>
        <w:tc>
          <w:tcPr>
            <w:tcW w:w="0" w:type="dxa"/>
            <w:hideMark/>
          </w:tcPr>
          <w:p w14:paraId="4C707608" w14:textId="7A691B4D"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17.4</w:t>
            </w:r>
          </w:p>
        </w:tc>
        <w:tc>
          <w:tcPr>
            <w:tcW w:w="0" w:type="dxa"/>
            <w:hideMark/>
          </w:tcPr>
          <w:p w14:paraId="116CF696" w14:textId="72E33A06"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14.6</w:t>
            </w:r>
          </w:p>
        </w:tc>
        <w:tc>
          <w:tcPr>
            <w:tcW w:w="0" w:type="dxa"/>
            <w:hideMark/>
          </w:tcPr>
          <w:p w14:paraId="1C3C9EA1" w14:textId="3AB4C2DD"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16.7</w:t>
            </w:r>
          </w:p>
        </w:tc>
        <w:tc>
          <w:tcPr>
            <w:tcW w:w="990" w:type="dxa"/>
            <w:hideMark/>
          </w:tcPr>
          <w:p w14:paraId="5C9E3A90" w14:textId="17D79A7F"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31.3</w:t>
            </w:r>
          </w:p>
        </w:tc>
        <w:tc>
          <w:tcPr>
            <w:tcW w:w="850" w:type="dxa"/>
            <w:noWrap/>
            <w:hideMark/>
          </w:tcPr>
          <w:p w14:paraId="3D39895E"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80%</w:t>
            </w:r>
          </w:p>
        </w:tc>
      </w:tr>
      <w:tr w:rsidR="009770B5" w:rsidRPr="00037C61" w14:paraId="6C7E2979"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365"/>
        </w:trPr>
        <w:tc>
          <w:tcPr>
            <w:cnfStyle w:val="001000000000" w:firstRow="0" w:lastRow="0" w:firstColumn="1" w:lastColumn="0" w:oddVBand="0" w:evenVBand="0" w:oddHBand="0" w:evenHBand="0" w:firstRowFirstColumn="0" w:firstRowLastColumn="0" w:lastRowFirstColumn="0" w:lastRowLastColumn="0"/>
            <w:tcW w:w="2479" w:type="dxa"/>
            <w:hideMark/>
          </w:tcPr>
          <w:p w14:paraId="3784D70C"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Mátészalka (Ágerdőmajor)</w:t>
            </w:r>
          </w:p>
        </w:tc>
        <w:tc>
          <w:tcPr>
            <w:tcW w:w="0" w:type="dxa"/>
            <w:hideMark/>
          </w:tcPr>
          <w:p w14:paraId="7E3ABD4C" w14:textId="786F7A4C"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1.6</w:t>
            </w:r>
          </w:p>
        </w:tc>
        <w:tc>
          <w:tcPr>
            <w:tcW w:w="0" w:type="dxa"/>
            <w:hideMark/>
          </w:tcPr>
          <w:p w14:paraId="2E7D19ED" w14:textId="71B4FC84"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1.6</w:t>
            </w:r>
          </w:p>
        </w:tc>
        <w:tc>
          <w:tcPr>
            <w:tcW w:w="0" w:type="dxa"/>
            <w:hideMark/>
          </w:tcPr>
          <w:p w14:paraId="105862C1" w14:textId="39421D5A"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3.2</w:t>
            </w:r>
          </w:p>
        </w:tc>
        <w:tc>
          <w:tcPr>
            <w:tcW w:w="0" w:type="dxa"/>
            <w:hideMark/>
          </w:tcPr>
          <w:p w14:paraId="29D14ECC" w14:textId="405BA3E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1.7</w:t>
            </w:r>
          </w:p>
        </w:tc>
        <w:tc>
          <w:tcPr>
            <w:tcW w:w="0" w:type="dxa"/>
            <w:hideMark/>
          </w:tcPr>
          <w:p w14:paraId="5DC8A2ED" w14:textId="3AF0136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1.7</w:t>
            </w:r>
          </w:p>
        </w:tc>
        <w:tc>
          <w:tcPr>
            <w:tcW w:w="990" w:type="dxa"/>
            <w:hideMark/>
          </w:tcPr>
          <w:p w14:paraId="751F4E7D" w14:textId="0497CC60"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3.4</w:t>
            </w:r>
          </w:p>
        </w:tc>
        <w:tc>
          <w:tcPr>
            <w:tcW w:w="850" w:type="dxa"/>
            <w:noWrap/>
            <w:hideMark/>
          </w:tcPr>
          <w:p w14:paraId="4D12FCEF"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8%</w:t>
            </w:r>
          </w:p>
        </w:tc>
      </w:tr>
      <w:tr w:rsidR="00457478" w:rsidRPr="00037C61" w14:paraId="4AD141AC" w14:textId="77777777" w:rsidTr="74CEAA85">
        <w:trPr>
          <w:gridAfter w:val="1"/>
          <w:wAfter w:w="10" w:type="dxa"/>
          <w:trHeight w:val="270"/>
        </w:trPr>
        <w:tc>
          <w:tcPr>
            <w:cnfStyle w:val="001000000000" w:firstRow="0" w:lastRow="0" w:firstColumn="1" w:lastColumn="0" w:oddVBand="0" w:evenVBand="0" w:oddHBand="0" w:evenHBand="0" w:firstRowFirstColumn="0" w:firstRowLastColumn="0" w:lastRowFirstColumn="0" w:lastRowLastColumn="0"/>
            <w:tcW w:w="2479" w:type="dxa"/>
            <w:shd w:val="clear" w:color="auto" w:fill="EAEDF6" w:themeFill="accent2" w:themeFillTint="33"/>
            <w:hideMark/>
          </w:tcPr>
          <w:p w14:paraId="3F0A0031"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 xml:space="preserve">TOTAL road crossings </w:t>
            </w:r>
          </w:p>
        </w:tc>
        <w:tc>
          <w:tcPr>
            <w:tcW w:w="0" w:type="dxa"/>
            <w:shd w:val="clear" w:color="auto" w:fill="EAEDF6" w:themeFill="accent2" w:themeFillTint="33"/>
            <w:hideMark/>
          </w:tcPr>
          <w:p w14:paraId="7DB62DBD" w14:textId="5BACC519"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7149.3</w:t>
            </w:r>
          </w:p>
        </w:tc>
        <w:tc>
          <w:tcPr>
            <w:tcW w:w="0" w:type="dxa"/>
            <w:shd w:val="clear" w:color="auto" w:fill="EAEDF6" w:themeFill="accent2" w:themeFillTint="33"/>
            <w:hideMark/>
          </w:tcPr>
          <w:p w14:paraId="5105B8F9" w14:textId="69C5359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7519.4</w:t>
            </w:r>
          </w:p>
        </w:tc>
        <w:tc>
          <w:tcPr>
            <w:tcW w:w="0" w:type="dxa"/>
            <w:shd w:val="clear" w:color="auto" w:fill="EAEDF6" w:themeFill="accent2" w:themeFillTint="33"/>
            <w:hideMark/>
          </w:tcPr>
          <w:p w14:paraId="63961879" w14:textId="4D1D9B62"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14668.7</w:t>
            </w:r>
          </w:p>
        </w:tc>
        <w:tc>
          <w:tcPr>
            <w:tcW w:w="0" w:type="dxa"/>
            <w:shd w:val="clear" w:color="auto" w:fill="EAEDF6" w:themeFill="accent2" w:themeFillTint="33"/>
            <w:hideMark/>
          </w:tcPr>
          <w:p w14:paraId="1035C901" w14:textId="19C5BA55"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11054.0</w:t>
            </w:r>
          </w:p>
        </w:tc>
        <w:tc>
          <w:tcPr>
            <w:tcW w:w="0" w:type="dxa"/>
            <w:shd w:val="clear" w:color="auto" w:fill="EAEDF6" w:themeFill="accent2" w:themeFillTint="33"/>
            <w:hideMark/>
          </w:tcPr>
          <w:p w14:paraId="7A6CE62E" w14:textId="3AD05D75"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14261.0</w:t>
            </w:r>
          </w:p>
        </w:tc>
        <w:tc>
          <w:tcPr>
            <w:tcW w:w="990" w:type="dxa"/>
            <w:shd w:val="clear" w:color="auto" w:fill="EAEDF6" w:themeFill="accent2" w:themeFillTint="33"/>
            <w:hideMark/>
          </w:tcPr>
          <w:p w14:paraId="3EC7631B" w14:textId="5D4ABCA1"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25315.0</w:t>
            </w:r>
          </w:p>
        </w:tc>
        <w:tc>
          <w:tcPr>
            <w:tcW w:w="850" w:type="dxa"/>
            <w:shd w:val="clear" w:color="auto" w:fill="EAEDF6" w:themeFill="accent2" w:themeFillTint="33"/>
            <w:noWrap/>
            <w:hideMark/>
          </w:tcPr>
          <w:p w14:paraId="0231C7F9"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73%</w:t>
            </w:r>
          </w:p>
        </w:tc>
      </w:tr>
      <w:tr w:rsidR="00457478" w:rsidRPr="00037C61" w14:paraId="15554C70" w14:textId="77777777" w:rsidTr="74CEAA85">
        <w:trPr>
          <w:gridAfter w:val="1"/>
          <w:cnfStyle w:val="000000100000" w:firstRow="0" w:lastRow="0" w:firstColumn="0" w:lastColumn="0" w:oddVBand="0" w:evenVBand="0" w:oddHBand="1" w:evenHBand="0" w:firstRowFirstColumn="0" w:firstRowLastColumn="0" w:lastRowFirstColumn="0" w:lastRowLastColumn="0"/>
          <w:wAfter w:w="10" w:type="dxa"/>
          <w:trHeight w:val="180"/>
        </w:trPr>
        <w:tc>
          <w:tcPr>
            <w:cnfStyle w:val="001000000000" w:firstRow="0" w:lastRow="0" w:firstColumn="1" w:lastColumn="0" w:oddVBand="0" w:evenVBand="0" w:oddHBand="0" w:evenHBand="0" w:firstRowFirstColumn="0" w:firstRowLastColumn="0" w:lastRowFirstColumn="0" w:lastRowLastColumn="0"/>
            <w:tcW w:w="2479" w:type="dxa"/>
            <w:shd w:val="clear" w:color="auto" w:fill="EAEDF6" w:themeFill="accent2" w:themeFillTint="33"/>
            <w:hideMark/>
          </w:tcPr>
          <w:p w14:paraId="58D12F63"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 xml:space="preserve">TOTAL rail crossings </w:t>
            </w:r>
          </w:p>
        </w:tc>
        <w:tc>
          <w:tcPr>
            <w:tcW w:w="0" w:type="dxa"/>
            <w:shd w:val="clear" w:color="auto" w:fill="EAEDF6" w:themeFill="accent2" w:themeFillTint="33"/>
            <w:hideMark/>
          </w:tcPr>
          <w:p w14:paraId="6C13D9E1" w14:textId="28E68A9B"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284.1</w:t>
            </w:r>
          </w:p>
        </w:tc>
        <w:tc>
          <w:tcPr>
            <w:tcW w:w="0" w:type="dxa"/>
            <w:shd w:val="clear" w:color="auto" w:fill="EAEDF6" w:themeFill="accent2" w:themeFillTint="33"/>
            <w:hideMark/>
          </w:tcPr>
          <w:p w14:paraId="509A82AD" w14:textId="17D0CF93"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261.1</w:t>
            </w:r>
          </w:p>
        </w:tc>
        <w:tc>
          <w:tcPr>
            <w:tcW w:w="0" w:type="dxa"/>
            <w:shd w:val="clear" w:color="auto" w:fill="EAEDF6" w:themeFill="accent2" w:themeFillTint="33"/>
            <w:hideMark/>
          </w:tcPr>
          <w:p w14:paraId="5293FD17" w14:textId="6F2FD43D"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545.2</w:t>
            </w:r>
          </w:p>
        </w:tc>
        <w:tc>
          <w:tcPr>
            <w:tcW w:w="0" w:type="dxa"/>
            <w:shd w:val="clear" w:color="auto" w:fill="EAEDF6" w:themeFill="accent2" w:themeFillTint="33"/>
            <w:hideMark/>
          </w:tcPr>
          <w:p w14:paraId="126137D2" w14:textId="017B8189"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198.7</w:t>
            </w:r>
          </w:p>
        </w:tc>
        <w:tc>
          <w:tcPr>
            <w:tcW w:w="0" w:type="dxa"/>
            <w:shd w:val="clear" w:color="auto" w:fill="EAEDF6" w:themeFill="accent2" w:themeFillTint="33"/>
            <w:hideMark/>
          </w:tcPr>
          <w:p w14:paraId="36A72C4F" w14:textId="7D6A8BAF"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198.4</w:t>
            </w:r>
          </w:p>
        </w:tc>
        <w:tc>
          <w:tcPr>
            <w:tcW w:w="990" w:type="dxa"/>
            <w:shd w:val="clear" w:color="auto" w:fill="EAEDF6" w:themeFill="accent2" w:themeFillTint="33"/>
            <w:hideMark/>
          </w:tcPr>
          <w:p w14:paraId="465BB54E" w14:textId="20CA802E"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397.1</w:t>
            </w:r>
          </w:p>
        </w:tc>
        <w:tc>
          <w:tcPr>
            <w:tcW w:w="850" w:type="dxa"/>
            <w:shd w:val="clear" w:color="auto" w:fill="EAEDF6" w:themeFill="accent2" w:themeFillTint="33"/>
            <w:noWrap/>
            <w:hideMark/>
          </w:tcPr>
          <w:p w14:paraId="47474CAC" w14:textId="77777777" w:rsidR="009770B5" w:rsidRPr="00037C61" w:rsidRDefault="009770B5" w:rsidP="0045747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-27%</w:t>
            </w:r>
          </w:p>
        </w:tc>
      </w:tr>
      <w:tr w:rsidR="00457478" w:rsidRPr="00037C61" w14:paraId="22F7CB6B" w14:textId="77777777" w:rsidTr="74CEAA85">
        <w:trPr>
          <w:gridAfter w:val="1"/>
          <w:wAfter w:w="10" w:type="dxa"/>
          <w:trHeight w:val="106"/>
        </w:trPr>
        <w:tc>
          <w:tcPr>
            <w:cnfStyle w:val="001000000000" w:firstRow="0" w:lastRow="0" w:firstColumn="1" w:lastColumn="0" w:oddVBand="0" w:evenVBand="0" w:oddHBand="0" w:evenHBand="0" w:firstRowFirstColumn="0" w:firstRowLastColumn="0" w:lastRowFirstColumn="0" w:lastRowLastColumn="0"/>
            <w:tcW w:w="2479" w:type="dxa"/>
            <w:shd w:val="clear" w:color="auto" w:fill="EAEDF6" w:themeFill="accent2" w:themeFillTint="33"/>
            <w:hideMark/>
          </w:tcPr>
          <w:p w14:paraId="04621206" w14:textId="77777777" w:rsidR="009770B5" w:rsidRPr="00037C61" w:rsidRDefault="009770B5" w:rsidP="009770B5">
            <w:pPr>
              <w:jc w:val="left"/>
              <w:rPr>
                <w:rFonts w:eastAsia="Times New Roman" w:cs="Calibri"/>
                <w:color w:val="000000"/>
                <w:sz w:val="18"/>
                <w:szCs w:val="18"/>
                <w:lang w:val="en-GB" w:eastAsia="en-GB"/>
              </w:rPr>
            </w:pPr>
            <w:r w:rsidRPr="00037C61">
              <w:rPr>
                <w:rFonts w:eastAsia="Times New Roman" w:cs="Calibri"/>
                <w:color w:val="000000"/>
                <w:sz w:val="18"/>
                <w:szCs w:val="18"/>
                <w:lang w:val="en-GB" w:eastAsia="en-GB"/>
              </w:rPr>
              <w:t>TOTAL</w:t>
            </w:r>
          </w:p>
        </w:tc>
        <w:tc>
          <w:tcPr>
            <w:tcW w:w="0" w:type="dxa"/>
            <w:shd w:val="clear" w:color="auto" w:fill="EAEDF6" w:themeFill="accent2" w:themeFillTint="33"/>
            <w:noWrap/>
            <w:hideMark/>
          </w:tcPr>
          <w:p w14:paraId="415A1F89" w14:textId="1CC192C3"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7433.4</w:t>
            </w:r>
          </w:p>
        </w:tc>
        <w:tc>
          <w:tcPr>
            <w:tcW w:w="0" w:type="dxa"/>
            <w:shd w:val="clear" w:color="auto" w:fill="EAEDF6" w:themeFill="accent2" w:themeFillTint="33"/>
            <w:noWrap/>
            <w:hideMark/>
          </w:tcPr>
          <w:p w14:paraId="39789CD1" w14:textId="1FD8F3CE"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7780.5</w:t>
            </w:r>
          </w:p>
        </w:tc>
        <w:tc>
          <w:tcPr>
            <w:tcW w:w="0" w:type="dxa"/>
            <w:shd w:val="clear" w:color="auto" w:fill="EAEDF6" w:themeFill="accent2" w:themeFillTint="33"/>
            <w:noWrap/>
            <w:hideMark/>
          </w:tcPr>
          <w:p w14:paraId="6324D3CB" w14:textId="6B4B2440"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15214.0</w:t>
            </w:r>
          </w:p>
        </w:tc>
        <w:tc>
          <w:tcPr>
            <w:tcW w:w="0" w:type="dxa"/>
            <w:shd w:val="clear" w:color="auto" w:fill="EAEDF6" w:themeFill="accent2" w:themeFillTint="33"/>
            <w:noWrap/>
            <w:hideMark/>
          </w:tcPr>
          <w:p w14:paraId="16DDF2BB" w14:textId="26916B68"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11252.7</w:t>
            </w:r>
          </w:p>
        </w:tc>
        <w:tc>
          <w:tcPr>
            <w:tcW w:w="0" w:type="dxa"/>
            <w:shd w:val="clear" w:color="auto" w:fill="EAEDF6" w:themeFill="accent2" w:themeFillTint="33"/>
            <w:noWrap/>
            <w:hideMark/>
          </w:tcPr>
          <w:p w14:paraId="5BB5BD8F" w14:textId="244790A5"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14459.4</w:t>
            </w:r>
          </w:p>
        </w:tc>
        <w:tc>
          <w:tcPr>
            <w:tcW w:w="990" w:type="dxa"/>
            <w:shd w:val="clear" w:color="auto" w:fill="EAEDF6" w:themeFill="accent2" w:themeFillTint="33"/>
            <w:noWrap/>
            <w:hideMark/>
          </w:tcPr>
          <w:p w14:paraId="6635F7AE" w14:textId="4ADE9B74"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sz w:val="18"/>
                <w:szCs w:val="18"/>
                <w:lang w:val="en-GB"/>
              </w:rPr>
              <w:t>25712.1</w:t>
            </w:r>
          </w:p>
        </w:tc>
        <w:tc>
          <w:tcPr>
            <w:tcW w:w="850" w:type="dxa"/>
            <w:shd w:val="clear" w:color="auto" w:fill="EAEDF6" w:themeFill="accent2" w:themeFillTint="33"/>
            <w:noWrap/>
            <w:hideMark/>
          </w:tcPr>
          <w:p w14:paraId="3F6BBB28" w14:textId="77777777" w:rsidR="009770B5" w:rsidRPr="00037C61" w:rsidRDefault="009770B5" w:rsidP="0045747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69%</w:t>
            </w:r>
          </w:p>
        </w:tc>
      </w:tr>
    </w:tbl>
    <w:p w14:paraId="43D94656" w14:textId="2B88731E" w:rsidR="001932C6" w:rsidRPr="00037C61" w:rsidRDefault="001F4DD3" w:rsidP="008E6744">
      <w:pPr>
        <w:rPr>
          <w:i/>
          <w:iCs/>
          <w:color w:val="012751" w:themeColor="text2"/>
          <w:sz w:val="18"/>
          <w:szCs w:val="18"/>
          <w:lang w:val="en-GB"/>
        </w:rPr>
      </w:pPr>
      <w:r w:rsidRPr="00037C61">
        <w:rPr>
          <w:i/>
          <w:iCs/>
          <w:color w:val="012751" w:themeColor="text2"/>
          <w:sz w:val="18"/>
          <w:szCs w:val="18"/>
          <w:lang w:val="en-GB"/>
        </w:rPr>
        <w:t xml:space="preserve">Source: KSH </w:t>
      </w:r>
    </w:p>
    <w:p w14:paraId="7B13E41F" w14:textId="0E9094DF" w:rsidR="002424CB" w:rsidRPr="00037C61" w:rsidRDefault="002424CB" w:rsidP="74CEAA85">
      <w:pPr>
        <w:keepNext/>
        <w:spacing w:after="0"/>
        <w:rPr>
          <w:lang w:val="en-GB"/>
        </w:rPr>
      </w:pPr>
      <w:r w:rsidRPr="00037C61">
        <w:rPr>
          <w:lang w:val="en-GB"/>
        </w:rPr>
        <w:t>Looking at the territorial patterns of border crossing within the four groups of counties on either side of the border (Csongrád-Csanád – Timiș, Békés – Arad, Hajd</w:t>
      </w:r>
      <w:r w:rsidR="00D80AE7" w:rsidRPr="00037C61">
        <w:rPr>
          <w:rFonts w:eastAsia="Calibri" w:cs="Calibri"/>
          <w:color w:val="000000" w:themeColor="text1"/>
          <w:lang w:val="en-GB"/>
        </w:rPr>
        <w:t>ú</w:t>
      </w:r>
      <w:r w:rsidR="00D80AE7" w:rsidRPr="00037C61">
        <w:rPr>
          <w:lang w:val="en-GB"/>
        </w:rPr>
        <w:t xml:space="preserve"> </w:t>
      </w:r>
      <w:r w:rsidRPr="00037C61">
        <w:rPr>
          <w:lang w:val="en-GB"/>
        </w:rPr>
        <w:t xml:space="preserve">-Bihar – Bihor and Szabolcs-Szatmár-Bereg – Satu Mare), data for 2019 shows significantly more traffic </w:t>
      </w:r>
      <w:r w:rsidR="009E756C" w:rsidRPr="00037C61">
        <w:rPr>
          <w:lang w:val="en-GB"/>
        </w:rPr>
        <w:t>in the CS-TM</w:t>
      </w:r>
      <w:r w:rsidR="00ED0383" w:rsidRPr="00037C61">
        <w:rPr>
          <w:lang w:val="en-GB"/>
        </w:rPr>
        <w:t>/AR</w:t>
      </w:r>
      <w:r w:rsidR="009E756C" w:rsidRPr="00037C61">
        <w:rPr>
          <w:lang w:val="en-GB"/>
        </w:rPr>
        <w:t xml:space="preserve"> area, mainly due to the intense usage of the Nagylak - Nădlac Highway crossing (7,404,755 vehicles), to a lesser degree Kiszombor – Cenad (1,165,439 vehicles). This crossing is followed by Ártánd – Borș (5,869,588 vehicles). Via rail, the most traffic is recorded at Lökösháza – Curtici (179,088 crossings), albeit the </w:t>
      </w:r>
      <w:r w:rsidR="009E756C" w:rsidRPr="00037C61">
        <w:rPr>
          <w:lang w:val="en-GB"/>
        </w:rPr>
        <w:lastRenderedPageBreak/>
        <w:t xml:space="preserve">numbers are significantly lower than road transport (only 1.5%), while road travel remains the main cross-border means of transportation. </w:t>
      </w:r>
    </w:p>
    <w:p w14:paraId="030F2F44" w14:textId="77777777" w:rsidR="00C0325D" w:rsidRPr="00037C61" w:rsidRDefault="00C0325D" w:rsidP="00457478">
      <w:pPr>
        <w:keepNext/>
        <w:spacing w:after="0"/>
        <w:rPr>
          <w:lang w:val="en-GB"/>
        </w:rPr>
      </w:pPr>
    </w:p>
    <w:p w14:paraId="5629DBD9" w14:textId="2409E3EB" w:rsidR="009E756C" w:rsidRPr="00037C61" w:rsidRDefault="009E756C" w:rsidP="00457478">
      <w:pPr>
        <w:pStyle w:val="Caption"/>
        <w:keepNext/>
        <w:jc w:val="both"/>
        <w:rPr>
          <w:lang w:val="en-GB"/>
        </w:rPr>
      </w:pPr>
      <w:bookmarkStart w:id="769" w:name="_Toc6461106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119</w:t>
      </w:r>
      <w:r w:rsidR="00412697">
        <w:rPr>
          <w:lang w:val="en-GB"/>
        </w:rPr>
        <w:fldChar w:fldCharType="end"/>
      </w:r>
      <w:r w:rsidRPr="00037C61">
        <w:rPr>
          <w:lang w:val="en-GB"/>
        </w:rPr>
        <w:t xml:space="preserve"> - Road and rail border crossings at county level, by direction, 2019</w:t>
      </w:r>
      <w:bookmarkEnd w:id="769"/>
    </w:p>
    <w:p w14:paraId="0F669E8B" w14:textId="3F66AD5B" w:rsidR="002424CB" w:rsidRPr="00037C61" w:rsidRDefault="00C0325D" w:rsidP="008E6744">
      <w:pPr>
        <w:spacing w:before="240"/>
        <w:rPr>
          <w:noProof/>
          <w:lang w:val="en-GB"/>
        </w:rPr>
      </w:pPr>
      <w:r w:rsidRPr="00037C61">
        <w:rPr>
          <w:noProof/>
          <w:lang w:val="ro-RO" w:eastAsia="ro-RO"/>
        </w:rPr>
        <w:drawing>
          <wp:inline distT="0" distB="0" distL="0" distR="0" wp14:anchorId="1508DABD" wp14:editId="486006CF">
            <wp:extent cx="2863850" cy="2510308"/>
            <wp:effectExtent l="19050" t="19050" r="12700" b="23495"/>
            <wp:docPr id="1" name="Chart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57B1B4-CF17-496C-9B60-9F270D2FF9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r w:rsidRPr="00037C61">
        <w:rPr>
          <w:noProof/>
          <w:lang w:val="en-GB"/>
        </w:rPr>
        <w:t xml:space="preserve"> </w:t>
      </w:r>
      <w:r w:rsidRPr="00037C61">
        <w:rPr>
          <w:noProof/>
          <w:sz w:val="20"/>
          <w:szCs w:val="20"/>
          <w:lang w:val="ro-RO" w:eastAsia="ro-RO"/>
        </w:rPr>
        <w:drawing>
          <wp:inline distT="0" distB="0" distL="0" distR="0" wp14:anchorId="637327B2" wp14:editId="75F8A008">
            <wp:extent cx="2705100" cy="2518410"/>
            <wp:effectExtent l="19050" t="19050" r="19050" b="15240"/>
            <wp:docPr id="799357009" name="Chart 79935700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183E4D-E186-4877-8C96-F0DC40A11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r w:rsidRPr="00037C61" w:rsidDel="00C0325D">
        <w:rPr>
          <w:noProof/>
          <w:lang w:val="en-GB"/>
        </w:rPr>
        <w:t xml:space="preserve"> </w:t>
      </w:r>
      <w:r w:rsidR="002424CB" w:rsidRPr="00037C61">
        <w:rPr>
          <w:noProof/>
          <w:lang w:val="en-GB"/>
        </w:rPr>
        <w:t xml:space="preserve"> </w:t>
      </w:r>
    </w:p>
    <w:p w14:paraId="7C11C91A" w14:textId="18E2DD30" w:rsidR="009E756C" w:rsidRPr="00037C61" w:rsidRDefault="009E756C" w:rsidP="009E756C">
      <w:pPr>
        <w:pStyle w:val="Caption"/>
        <w:jc w:val="both"/>
        <w:rPr>
          <w:lang w:val="en-GB"/>
        </w:rPr>
      </w:pPr>
      <w:r w:rsidRPr="00037C61">
        <w:rPr>
          <w:lang w:val="en-GB"/>
        </w:rPr>
        <w:t>Source: INS, KSH</w:t>
      </w:r>
    </w:p>
    <w:p w14:paraId="2AC3A77D" w14:textId="44FF1AE0" w:rsidR="001F4DD3" w:rsidRPr="00037C61" w:rsidRDefault="001F4DD3" w:rsidP="74CEAA85">
      <w:pPr>
        <w:rPr>
          <w:lang w:val="en-GB"/>
        </w:rPr>
      </w:pPr>
      <w:r w:rsidRPr="00037C61">
        <w:rPr>
          <w:noProof/>
          <w:lang w:val="ro-RO" w:eastAsia="ro-RO"/>
        </w:rPr>
        <w:drawing>
          <wp:anchor distT="0" distB="0" distL="114300" distR="114300" simplePos="0" relativeHeight="251697664" behindDoc="0" locked="0" layoutInCell="1" allowOverlap="1" wp14:anchorId="329D2F0A" wp14:editId="3C57A204">
            <wp:simplePos x="0" y="0"/>
            <wp:positionH relativeFrom="margin">
              <wp:align>right</wp:align>
            </wp:positionH>
            <wp:positionV relativeFrom="paragraph">
              <wp:posOffset>32385</wp:posOffset>
            </wp:positionV>
            <wp:extent cx="3305175" cy="3067050"/>
            <wp:effectExtent l="19050" t="19050" r="9525" b="19050"/>
            <wp:wrapSquare wrapText="bothSides"/>
            <wp:docPr id="23" name="Chart 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3DBDE3A-DEBD-44A9-9ACC-3A9E47C996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14:sizeRelV relativeFrom="margin">
              <wp14:pctHeight>0</wp14:pctHeight>
            </wp14:sizeRelV>
          </wp:anchor>
        </w:drawing>
      </w:r>
      <w:r w:rsidR="001932C6" w:rsidRPr="00037C61">
        <w:rPr>
          <w:lang w:val="en-GB"/>
        </w:rPr>
        <w:t xml:space="preserve">Furthermore, </w:t>
      </w:r>
      <w:r w:rsidRPr="00037C61">
        <w:rPr>
          <w:lang w:val="en-GB"/>
        </w:rPr>
        <w:t xml:space="preserve">at county level, the significant increase in road traffic is primarily concentrated in Csongrád-Csanád – </w:t>
      </w:r>
      <w:r w:rsidR="002A32C4" w:rsidRPr="00037C61">
        <w:rPr>
          <w:lang w:val="en-GB"/>
        </w:rPr>
        <w:t>Arad/Timiș</w:t>
      </w:r>
      <w:r w:rsidRPr="00037C61">
        <w:rPr>
          <w:lang w:val="en-GB"/>
        </w:rPr>
        <w:t>, while sustained growth has been observed in Hajd</w:t>
      </w:r>
      <w:r w:rsidR="12B42FFB" w:rsidRPr="00037C61">
        <w:rPr>
          <w:rFonts w:eastAsia="Calibri" w:cs="Calibri"/>
          <w:color w:val="000000" w:themeColor="text1"/>
          <w:lang w:val="en-GB"/>
        </w:rPr>
        <w:t>ú</w:t>
      </w:r>
      <w:r w:rsidR="12B42FFB" w:rsidRPr="00037C61">
        <w:rPr>
          <w:lang w:val="en-GB"/>
        </w:rPr>
        <w:t xml:space="preserve"> </w:t>
      </w:r>
      <w:r w:rsidRPr="00037C61">
        <w:rPr>
          <w:lang w:val="en-GB"/>
        </w:rPr>
        <w:t xml:space="preserve">-Bihar-Bihor and Szabolcs-Szatmár-Bereg – Satu Mare as well, more accelerated after 2015. </w:t>
      </w:r>
    </w:p>
    <w:p w14:paraId="566155B7" w14:textId="6F304408" w:rsidR="001932C6" w:rsidRPr="00037C61" w:rsidRDefault="001F4DD3" w:rsidP="001932C6">
      <w:pPr>
        <w:rPr>
          <w:lang w:val="en-GB"/>
        </w:rPr>
      </w:pPr>
      <w:r w:rsidRPr="00037C61">
        <w:rPr>
          <w:lang w:val="en-GB"/>
        </w:rPr>
        <w:t xml:space="preserve">Traffic between crossings in Békés – Arad has been decreasing especially due to the opening of the Nagylak - Nădlac (highway) crossing. </w:t>
      </w:r>
    </w:p>
    <w:p w14:paraId="0B2566E1" w14:textId="77777777" w:rsidR="001F4DD3" w:rsidRPr="00037C61" w:rsidRDefault="001F4DD3" w:rsidP="001932C6">
      <w:pPr>
        <w:rPr>
          <w:lang w:val="en-GB"/>
        </w:rPr>
      </w:pPr>
    </w:p>
    <w:p w14:paraId="02B934F0" w14:textId="3AE322C2" w:rsidR="001F4DD3" w:rsidRPr="00037C61" w:rsidRDefault="001F4DD3" w:rsidP="00457478">
      <w:pPr>
        <w:pStyle w:val="Caption"/>
        <w:jc w:val="right"/>
        <w:rPr>
          <w:noProof/>
          <w:lang w:val="en-GB"/>
        </w:rPr>
      </w:pPr>
      <w:bookmarkStart w:id="770" w:name="_Toc6461106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120</w:t>
      </w:r>
      <w:r w:rsidR="00412697">
        <w:rPr>
          <w:lang w:val="en-GB"/>
        </w:rPr>
        <w:fldChar w:fldCharType="end"/>
      </w:r>
      <w:r w:rsidRPr="00037C61">
        <w:rPr>
          <w:lang w:val="en-GB"/>
        </w:rPr>
        <w:t xml:space="preserve"> - Cross-border road traffic dynamic at county level (2009-2019)</w:t>
      </w:r>
      <w:bookmarkEnd w:id="770"/>
    </w:p>
    <w:p w14:paraId="37325ACE" w14:textId="1C1F12E8" w:rsidR="001932C6" w:rsidRPr="00037C61" w:rsidRDefault="001F4DD3" w:rsidP="00457478">
      <w:pPr>
        <w:pStyle w:val="Caption"/>
        <w:jc w:val="right"/>
        <w:rPr>
          <w:lang w:val="en-GB"/>
        </w:rPr>
      </w:pPr>
      <w:r w:rsidRPr="00037C61">
        <w:rPr>
          <w:lang w:val="en-GB"/>
        </w:rPr>
        <w:t xml:space="preserve">Source: KSH </w:t>
      </w:r>
    </w:p>
    <w:p w14:paraId="20EE798A" w14:textId="2B0B904F" w:rsidR="001932C6" w:rsidRPr="00037C61" w:rsidRDefault="001932C6" w:rsidP="001932C6">
      <w:pPr>
        <w:rPr>
          <w:lang w:val="en-GB"/>
        </w:rPr>
      </w:pPr>
    </w:p>
    <w:p w14:paraId="2696A7FD" w14:textId="77777777" w:rsidR="004A3E33" w:rsidRPr="00037C61" w:rsidRDefault="004A3E33" w:rsidP="001932C6">
      <w:pPr>
        <w:rPr>
          <w:lang w:val="en-GB"/>
        </w:rPr>
      </w:pPr>
      <w:r w:rsidRPr="00037C61">
        <w:rPr>
          <w:noProof/>
          <w:lang w:val="ro-RO" w:eastAsia="ro-RO"/>
        </w:rPr>
        <w:lastRenderedPageBreak/>
        <w:drawing>
          <wp:anchor distT="0" distB="0" distL="114300" distR="114300" simplePos="0" relativeHeight="251698688" behindDoc="0" locked="0" layoutInCell="1" allowOverlap="1" wp14:anchorId="72F52B94" wp14:editId="08EF41E8">
            <wp:simplePos x="0" y="0"/>
            <wp:positionH relativeFrom="margin">
              <wp:align>left</wp:align>
            </wp:positionH>
            <wp:positionV relativeFrom="paragraph">
              <wp:posOffset>25400</wp:posOffset>
            </wp:positionV>
            <wp:extent cx="3143250" cy="3333750"/>
            <wp:effectExtent l="19050" t="19050" r="19050" b="19050"/>
            <wp:wrapSquare wrapText="bothSides"/>
            <wp:docPr id="44" name="Chart 4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1A5EA4-184F-4688-90CB-FB67A3A2A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14:sizeRelH relativeFrom="margin">
              <wp14:pctWidth>0</wp14:pctWidth>
            </wp14:sizeRelH>
          </wp:anchor>
        </w:drawing>
      </w:r>
      <w:r w:rsidRPr="00037C61">
        <w:rPr>
          <w:lang w:val="en-GB"/>
        </w:rPr>
        <w:t xml:space="preserve">Rail traffic has witnessed a significant decline, primarily generated by the drastic traffic reduction at the Lökösháza – Curtici border crossing connecting Békés and Arad (-55% traffic). </w:t>
      </w:r>
    </w:p>
    <w:p w14:paraId="67AD9FDA" w14:textId="0CE23483" w:rsidR="001932C6" w:rsidRPr="00037C61" w:rsidRDefault="004A3E33" w:rsidP="001932C6">
      <w:pPr>
        <w:rPr>
          <w:lang w:val="en-GB"/>
        </w:rPr>
      </w:pPr>
      <w:r w:rsidRPr="00037C61">
        <w:rPr>
          <w:lang w:val="en-GB"/>
        </w:rPr>
        <w:t xml:space="preserve">The decline recorded a stabilisation tendency in 2014-2016 and an increase in traffic volume until 2019, mainly due to the higher performance of the Biharkeresztes – Borș point. Nevertheless, with only ca. 40,000 passengers per annum, rail traffic in the cross-border area cannot be considered an attractive, preferred travel means. Critical infrastructure investments might provide an opportunity. </w:t>
      </w:r>
    </w:p>
    <w:p w14:paraId="6430E7FB" w14:textId="201CAE91" w:rsidR="004A3E33" w:rsidRPr="00037C61" w:rsidRDefault="004A3E33" w:rsidP="00457478">
      <w:pPr>
        <w:pStyle w:val="Caption"/>
        <w:jc w:val="left"/>
        <w:rPr>
          <w:noProof/>
          <w:lang w:val="en-GB"/>
        </w:rPr>
      </w:pPr>
      <w:bookmarkStart w:id="771" w:name="_Toc6461106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121</w:t>
      </w:r>
      <w:r w:rsidR="00412697">
        <w:rPr>
          <w:lang w:val="en-GB"/>
        </w:rPr>
        <w:fldChar w:fldCharType="end"/>
      </w:r>
      <w:r w:rsidRPr="00037C61">
        <w:rPr>
          <w:lang w:val="en-GB"/>
        </w:rPr>
        <w:t xml:space="preserve"> - Cross-border rail traffic dynamic at main crossing points</w:t>
      </w:r>
      <w:r w:rsidR="63AEE2D4" w:rsidRPr="00037C61">
        <w:rPr>
          <w:lang w:val="en-GB"/>
        </w:rPr>
        <w:t xml:space="preserve"> </w:t>
      </w:r>
      <w:r w:rsidRPr="00037C61">
        <w:rPr>
          <w:lang w:val="en-GB"/>
        </w:rPr>
        <w:t>(2009-2019)</w:t>
      </w:r>
      <w:bookmarkEnd w:id="771"/>
    </w:p>
    <w:p w14:paraId="4340828B" w14:textId="77777777" w:rsidR="004A3E33" w:rsidRPr="00037C61" w:rsidRDefault="004A3E33" w:rsidP="00457478">
      <w:pPr>
        <w:pStyle w:val="Caption"/>
        <w:jc w:val="left"/>
        <w:rPr>
          <w:lang w:val="en-GB"/>
        </w:rPr>
      </w:pPr>
      <w:r w:rsidRPr="00037C61">
        <w:rPr>
          <w:lang w:val="en-GB"/>
        </w:rPr>
        <w:t xml:space="preserve">Source: KSH </w:t>
      </w:r>
    </w:p>
    <w:p w14:paraId="297B567B" w14:textId="06C8889F" w:rsidR="00ED0383" w:rsidRPr="00037C61" w:rsidRDefault="00ED0383" w:rsidP="008E6744">
      <w:pPr>
        <w:spacing w:before="240"/>
        <w:rPr>
          <w:lang w:val="en-GB"/>
        </w:rPr>
      </w:pPr>
      <w:r w:rsidRPr="00037C61">
        <w:rPr>
          <w:lang w:val="en-GB"/>
        </w:rPr>
        <w:t xml:space="preserve">By vehicle type, the prevalent road border crossing means of transportation is represented by the passenger car (77.17% of total means of transportation). Lorries represent a share of 22.02% of the traffic, between a fourth and a fifth, while motor coaches, busses and motorcycles contribute marginally to the cross-border traffic. The latter have witnessed an important increase in the last 10 years (128% between 2009-2019). </w:t>
      </w:r>
    </w:p>
    <w:p w14:paraId="76AB6914" w14:textId="562DF801" w:rsidR="004A3E33" w:rsidRPr="00037C61" w:rsidRDefault="00ED0383" w:rsidP="008E6744">
      <w:pPr>
        <w:spacing w:before="240"/>
        <w:rPr>
          <w:b/>
          <w:bCs/>
          <w:color w:val="002060"/>
          <w:lang w:val="en-GB"/>
        </w:rPr>
      </w:pPr>
      <w:r w:rsidRPr="00037C61">
        <w:rPr>
          <w:lang w:val="en-GB"/>
        </w:rPr>
        <w:t xml:space="preserve">Passenger car traffic tripled between Szabolcs-Szatmár-Bereg and Satu Mare, suggesting stronger links, and it doubled between Hajdú-Bihar and Bihor – which corroborated with an increase in lorry traffic indicates potential for more economic integration in the area. The </w:t>
      </w:r>
      <w:r w:rsidR="00C0325D" w:rsidRPr="00037C61">
        <w:rPr>
          <w:lang w:val="en-GB"/>
        </w:rPr>
        <w:t xml:space="preserve">effect of </w:t>
      </w:r>
      <w:r w:rsidRPr="00037C61">
        <w:rPr>
          <w:lang w:val="en-GB"/>
        </w:rPr>
        <w:t xml:space="preserve">the A1 </w:t>
      </w:r>
      <w:r w:rsidR="00C0325D" w:rsidRPr="00037C61">
        <w:rPr>
          <w:lang w:val="en-GB"/>
        </w:rPr>
        <w:t xml:space="preserve">connecting Csongrád-Csanád with Arad is visible also in this data, which shows a significant reduction of passenger cars (-22.24%) and busses (-60.68%) in the Békés / Arad and Bihor area. </w:t>
      </w:r>
    </w:p>
    <w:p w14:paraId="6ADC771C" w14:textId="197A7472" w:rsidR="00C0325D" w:rsidRPr="00037C61" w:rsidRDefault="00C0325D" w:rsidP="00457478">
      <w:pPr>
        <w:pStyle w:val="Caption"/>
        <w:keepNext/>
        <w:jc w:val="left"/>
        <w:rPr>
          <w:lang w:val="en-GB"/>
        </w:rPr>
      </w:pPr>
      <w:bookmarkStart w:id="772" w:name="_Toc58237660"/>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38</w:t>
      </w:r>
      <w:r w:rsidRPr="00037C61">
        <w:rPr>
          <w:lang w:val="en-GB"/>
        </w:rPr>
        <w:fldChar w:fldCharType="end"/>
      </w:r>
      <w:r w:rsidRPr="00037C61">
        <w:rPr>
          <w:lang w:val="en-GB"/>
        </w:rPr>
        <w:t xml:space="preserve"> – Road border crossing by vehicle type (2019) and evolution of traffic between 2009-2019</w:t>
      </w:r>
      <w:bookmarkEnd w:id="772"/>
      <w:r w:rsidRPr="00037C61">
        <w:rPr>
          <w:lang w:val="en-GB"/>
        </w:rPr>
        <w:t xml:space="preserve"> </w:t>
      </w:r>
    </w:p>
    <w:tbl>
      <w:tblPr>
        <w:tblStyle w:val="ListTable3-Accent11"/>
        <w:tblW w:w="8897" w:type="dxa"/>
        <w:tblLayout w:type="fixed"/>
        <w:tblLook w:val="04A0" w:firstRow="1" w:lastRow="0" w:firstColumn="1" w:lastColumn="0" w:noHBand="0" w:noVBand="1"/>
      </w:tblPr>
      <w:tblGrid>
        <w:gridCol w:w="1413"/>
        <w:gridCol w:w="792"/>
        <w:gridCol w:w="845"/>
        <w:gridCol w:w="773"/>
        <w:gridCol w:w="708"/>
        <w:gridCol w:w="709"/>
        <w:gridCol w:w="709"/>
        <w:gridCol w:w="709"/>
        <w:gridCol w:w="709"/>
        <w:gridCol w:w="821"/>
        <w:gridCol w:w="709"/>
      </w:tblGrid>
      <w:tr w:rsidR="0051236B" w:rsidRPr="00037C61" w14:paraId="5B36E3B8" w14:textId="77777777" w:rsidTr="00457478">
        <w:trPr>
          <w:cnfStyle w:val="100000000000" w:firstRow="1" w:lastRow="0" w:firstColumn="0" w:lastColumn="0" w:oddVBand="0" w:evenVBand="0" w:oddHBand="0" w:evenHBand="0" w:firstRowFirstColumn="0" w:firstRowLastColumn="0" w:lastRowFirstColumn="0" w:lastRowLastColumn="0"/>
          <w:trHeight w:val="396"/>
        </w:trPr>
        <w:tc>
          <w:tcPr>
            <w:cnfStyle w:val="001000000100" w:firstRow="0" w:lastRow="0" w:firstColumn="1" w:lastColumn="0" w:oddVBand="0" w:evenVBand="0" w:oddHBand="0" w:evenHBand="0" w:firstRowFirstColumn="1" w:firstRowLastColumn="0" w:lastRowFirstColumn="0" w:lastRowLastColumn="0"/>
            <w:tcW w:w="1413" w:type="dxa"/>
            <w:noWrap/>
            <w:hideMark/>
          </w:tcPr>
          <w:p w14:paraId="5D36CCD5" w14:textId="77777777" w:rsidR="0051236B" w:rsidRPr="00037C61" w:rsidRDefault="0051236B">
            <w:pPr>
              <w:jc w:val="left"/>
              <w:rPr>
                <w:rFonts w:cs="Calibri"/>
                <w:sz w:val="18"/>
                <w:szCs w:val="18"/>
                <w:lang w:val="en-GB"/>
              </w:rPr>
            </w:pPr>
          </w:p>
        </w:tc>
        <w:tc>
          <w:tcPr>
            <w:tcW w:w="3827" w:type="dxa"/>
            <w:gridSpan w:val="5"/>
            <w:noWrap/>
            <w:hideMark/>
          </w:tcPr>
          <w:p w14:paraId="1A5CE56B" w14:textId="5D9EFEB4" w:rsidR="0051236B" w:rsidRPr="00037C61" w:rsidRDefault="0051236B">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Road</w:t>
            </w:r>
            <w:r w:rsidR="00C0325D" w:rsidRPr="00037C61">
              <w:rPr>
                <w:rFonts w:cs="Calibri"/>
                <w:sz w:val="20"/>
                <w:szCs w:val="20"/>
                <w:lang w:val="en-GB"/>
              </w:rPr>
              <w:t xml:space="preserve"> border </w:t>
            </w:r>
            <w:r w:rsidRPr="00037C61">
              <w:rPr>
                <w:rFonts w:cs="Calibri"/>
                <w:sz w:val="20"/>
                <w:szCs w:val="20"/>
                <w:lang w:val="en-GB"/>
              </w:rPr>
              <w:t>crossing by vehicle type 2019</w:t>
            </w:r>
          </w:p>
        </w:tc>
        <w:tc>
          <w:tcPr>
            <w:tcW w:w="3657" w:type="dxa"/>
            <w:gridSpan w:val="5"/>
            <w:noWrap/>
            <w:hideMark/>
          </w:tcPr>
          <w:p w14:paraId="78D9EBC5" w14:textId="77001259" w:rsidR="0051236B" w:rsidRPr="00037C61" w:rsidRDefault="0051236B">
            <w:pPr>
              <w:jc w:val="cente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Dynamic 2009-2019 (%)</w:t>
            </w:r>
          </w:p>
        </w:tc>
      </w:tr>
      <w:tr w:rsidR="00D14BB3" w:rsidRPr="00037C61" w14:paraId="0020E813" w14:textId="77777777" w:rsidTr="00471F27">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413" w:type="dxa"/>
            <w:noWrap/>
            <w:hideMark/>
          </w:tcPr>
          <w:p w14:paraId="63CAED1F" w14:textId="77777777" w:rsidR="0051236B" w:rsidRPr="00037C61" w:rsidRDefault="0051236B">
            <w:pPr>
              <w:jc w:val="center"/>
              <w:rPr>
                <w:rFonts w:cs="Calibri"/>
                <w:color w:val="000000"/>
                <w:sz w:val="18"/>
                <w:szCs w:val="18"/>
                <w:lang w:val="en-GB"/>
              </w:rPr>
            </w:pPr>
          </w:p>
        </w:tc>
        <w:tc>
          <w:tcPr>
            <w:tcW w:w="792" w:type="dxa"/>
            <w:noWrap/>
            <w:hideMark/>
          </w:tcPr>
          <w:p w14:paraId="7AF7B1F3" w14:textId="6462CF5B" w:rsidR="0051236B" w:rsidRPr="00037C61" w:rsidRDefault="0051236B">
            <w:pP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 xml:space="preserve">Total </w:t>
            </w:r>
          </w:p>
        </w:tc>
        <w:tc>
          <w:tcPr>
            <w:tcW w:w="845" w:type="dxa"/>
            <w:noWrap/>
            <w:hideMark/>
          </w:tcPr>
          <w:p w14:paraId="0B72A281" w14:textId="77777777" w:rsidR="0051236B" w:rsidRPr="00037C61" w:rsidRDefault="0051236B" w:rsidP="00457478">
            <w:pPr>
              <w:ind w:left="-98"/>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Passenger Cars</w:t>
            </w:r>
          </w:p>
        </w:tc>
        <w:tc>
          <w:tcPr>
            <w:tcW w:w="773" w:type="dxa"/>
            <w:noWrap/>
            <w:hideMark/>
          </w:tcPr>
          <w:p w14:paraId="47D0DFA4" w14:textId="77777777" w:rsidR="0051236B" w:rsidRPr="00037C61" w:rsidRDefault="0051236B">
            <w:pP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Motor Coaches &amp; Buses</w:t>
            </w:r>
          </w:p>
        </w:tc>
        <w:tc>
          <w:tcPr>
            <w:tcW w:w="708" w:type="dxa"/>
            <w:noWrap/>
            <w:hideMark/>
          </w:tcPr>
          <w:p w14:paraId="332079EF" w14:textId="77777777" w:rsidR="0051236B" w:rsidRPr="00037C61" w:rsidRDefault="0051236B">
            <w:pP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Motorcycles</w:t>
            </w:r>
          </w:p>
        </w:tc>
        <w:tc>
          <w:tcPr>
            <w:tcW w:w="709" w:type="dxa"/>
            <w:noWrap/>
            <w:hideMark/>
          </w:tcPr>
          <w:p w14:paraId="7FF29A1D" w14:textId="77777777" w:rsidR="0051236B" w:rsidRPr="00037C61" w:rsidRDefault="0051236B">
            <w:pP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Lorry</w:t>
            </w:r>
          </w:p>
        </w:tc>
        <w:tc>
          <w:tcPr>
            <w:tcW w:w="709" w:type="dxa"/>
            <w:shd w:val="clear" w:color="auto" w:fill="EAEDF6" w:themeFill="accent2" w:themeFillTint="33"/>
            <w:noWrap/>
            <w:hideMark/>
          </w:tcPr>
          <w:p w14:paraId="190F5801" w14:textId="32814497" w:rsidR="0051236B" w:rsidRPr="00037C61" w:rsidRDefault="0051236B" w:rsidP="00457478">
            <w:pPr>
              <w:ind w:left="-105"/>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Total</w:t>
            </w:r>
          </w:p>
        </w:tc>
        <w:tc>
          <w:tcPr>
            <w:tcW w:w="709" w:type="dxa"/>
            <w:shd w:val="clear" w:color="auto" w:fill="EAEDF6" w:themeFill="accent2" w:themeFillTint="33"/>
            <w:noWrap/>
            <w:hideMark/>
          </w:tcPr>
          <w:p w14:paraId="7CAFCF70" w14:textId="77777777" w:rsidR="0051236B" w:rsidRPr="00037C61" w:rsidRDefault="0051236B" w:rsidP="00457478">
            <w:pPr>
              <w:ind w:left="-101" w:right="-104"/>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Passenger Cars</w:t>
            </w:r>
          </w:p>
        </w:tc>
        <w:tc>
          <w:tcPr>
            <w:tcW w:w="709" w:type="dxa"/>
            <w:shd w:val="clear" w:color="auto" w:fill="EAEDF6" w:themeFill="accent2" w:themeFillTint="33"/>
            <w:noWrap/>
            <w:hideMark/>
          </w:tcPr>
          <w:p w14:paraId="7FB5FAEA" w14:textId="77777777" w:rsidR="0051236B" w:rsidRPr="00037C61" w:rsidRDefault="0051236B" w:rsidP="00457478">
            <w:pPr>
              <w:ind w:left="-112"/>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Motor Coaches &amp; Buses</w:t>
            </w:r>
          </w:p>
        </w:tc>
        <w:tc>
          <w:tcPr>
            <w:tcW w:w="821" w:type="dxa"/>
            <w:shd w:val="clear" w:color="auto" w:fill="EAEDF6" w:themeFill="accent2" w:themeFillTint="33"/>
            <w:noWrap/>
            <w:hideMark/>
          </w:tcPr>
          <w:p w14:paraId="0367CD56" w14:textId="77777777" w:rsidR="0051236B" w:rsidRPr="00037C61" w:rsidRDefault="0051236B" w:rsidP="00457478">
            <w:pPr>
              <w:ind w:left="-108"/>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Motorcycles</w:t>
            </w:r>
          </w:p>
        </w:tc>
        <w:tc>
          <w:tcPr>
            <w:tcW w:w="709" w:type="dxa"/>
            <w:shd w:val="clear" w:color="auto" w:fill="EAEDF6" w:themeFill="accent2" w:themeFillTint="33"/>
            <w:noWrap/>
            <w:hideMark/>
          </w:tcPr>
          <w:p w14:paraId="403D0621" w14:textId="77777777" w:rsidR="0051236B" w:rsidRPr="00037C61" w:rsidRDefault="0051236B" w:rsidP="00457478">
            <w:pPr>
              <w:ind w:left="-105"/>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Lorry</w:t>
            </w:r>
          </w:p>
        </w:tc>
      </w:tr>
      <w:tr w:rsidR="00D14BB3" w:rsidRPr="00037C61" w14:paraId="7568A366" w14:textId="77777777" w:rsidTr="00471F27">
        <w:trPr>
          <w:trHeight w:val="622"/>
        </w:trPr>
        <w:tc>
          <w:tcPr>
            <w:cnfStyle w:val="001000000000" w:firstRow="0" w:lastRow="0" w:firstColumn="1" w:lastColumn="0" w:oddVBand="0" w:evenVBand="0" w:oddHBand="0" w:evenHBand="0" w:firstRowFirstColumn="0" w:firstRowLastColumn="0" w:lastRowFirstColumn="0" w:lastRowLastColumn="0"/>
            <w:tcW w:w="1413" w:type="dxa"/>
            <w:hideMark/>
          </w:tcPr>
          <w:p w14:paraId="0973CA57" w14:textId="2088A5D7" w:rsidR="0051236B" w:rsidRPr="00037C61" w:rsidRDefault="0051236B">
            <w:pPr>
              <w:rPr>
                <w:rFonts w:cs="Calibri"/>
                <w:color w:val="000000"/>
                <w:sz w:val="18"/>
                <w:szCs w:val="18"/>
                <w:lang w:val="en-GB"/>
              </w:rPr>
            </w:pPr>
            <w:r w:rsidRPr="00037C61">
              <w:rPr>
                <w:rFonts w:cs="Calibri"/>
                <w:color w:val="000000"/>
                <w:sz w:val="18"/>
                <w:szCs w:val="18"/>
                <w:lang w:val="en-GB"/>
              </w:rPr>
              <w:t>Csongrád-Csanad &lt;-&gt; Timiș</w:t>
            </w:r>
            <w:r w:rsidR="00ED0383" w:rsidRPr="00037C61">
              <w:rPr>
                <w:rFonts w:cs="Calibri"/>
                <w:color w:val="000000"/>
                <w:sz w:val="18"/>
                <w:szCs w:val="18"/>
                <w:lang w:val="en-GB"/>
              </w:rPr>
              <w:t xml:space="preserve"> / Arad</w:t>
            </w:r>
          </w:p>
        </w:tc>
        <w:tc>
          <w:tcPr>
            <w:tcW w:w="792" w:type="dxa"/>
            <w:noWrap/>
            <w:hideMark/>
          </w:tcPr>
          <w:p w14:paraId="3A26303E"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3904672</w:t>
            </w:r>
          </w:p>
        </w:tc>
        <w:tc>
          <w:tcPr>
            <w:tcW w:w="845" w:type="dxa"/>
            <w:noWrap/>
            <w:hideMark/>
          </w:tcPr>
          <w:p w14:paraId="66158B0F"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3004635</w:t>
            </w:r>
          </w:p>
        </w:tc>
        <w:tc>
          <w:tcPr>
            <w:tcW w:w="773" w:type="dxa"/>
            <w:noWrap/>
            <w:hideMark/>
          </w:tcPr>
          <w:p w14:paraId="6384B97B"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28314</w:t>
            </w:r>
          </w:p>
        </w:tc>
        <w:tc>
          <w:tcPr>
            <w:tcW w:w="708" w:type="dxa"/>
            <w:noWrap/>
            <w:hideMark/>
          </w:tcPr>
          <w:p w14:paraId="75CC8743"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2343</w:t>
            </w:r>
          </w:p>
        </w:tc>
        <w:tc>
          <w:tcPr>
            <w:tcW w:w="709" w:type="dxa"/>
            <w:noWrap/>
            <w:hideMark/>
          </w:tcPr>
          <w:p w14:paraId="426DFE8A"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869380</w:t>
            </w:r>
          </w:p>
        </w:tc>
        <w:tc>
          <w:tcPr>
            <w:tcW w:w="709" w:type="dxa"/>
            <w:shd w:val="clear" w:color="auto" w:fill="EAEDF6" w:themeFill="accent2" w:themeFillTint="33"/>
            <w:noWrap/>
            <w:hideMark/>
          </w:tcPr>
          <w:p w14:paraId="10CACEE0" w14:textId="77777777" w:rsidR="0051236B" w:rsidRPr="00037C61" w:rsidRDefault="0051236B" w:rsidP="00457478">
            <w:pPr>
              <w:ind w:left="-105"/>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83.19%</w:t>
            </w:r>
          </w:p>
        </w:tc>
        <w:tc>
          <w:tcPr>
            <w:tcW w:w="709" w:type="dxa"/>
            <w:shd w:val="clear" w:color="auto" w:fill="EAEDF6" w:themeFill="accent2" w:themeFillTint="33"/>
            <w:noWrap/>
            <w:hideMark/>
          </w:tcPr>
          <w:p w14:paraId="4F6F1994" w14:textId="77777777" w:rsidR="0051236B" w:rsidRPr="00037C61" w:rsidRDefault="0051236B" w:rsidP="00457478">
            <w:pPr>
              <w:ind w:left="-101"/>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99.50%</w:t>
            </w:r>
          </w:p>
        </w:tc>
        <w:tc>
          <w:tcPr>
            <w:tcW w:w="709" w:type="dxa"/>
            <w:shd w:val="clear" w:color="auto" w:fill="EAEDF6" w:themeFill="accent2" w:themeFillTint="33"/>
            <w:noWrap/>
            <w:hideMark/>
          </w:tcPr>
          <w:p w14:paraId="74351110" w14:textId="77777777" w:rsidR="0051236B" w:rsidRPr="00037C61" w:rsidRDefault="0051236B" w:rsidP="00457478">
            <w:pPr>
              <w:ind w:left="-112"/>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46.86%</w:t>
            </w:r>
          </w:p>
        </w:tc>
        <w:tc>
          <w:tcPr>
            <w:tcW w:w="821" w:type="dxa"/>
            <w:shd w:val="clear" w:color="auto" w:fill="EAEDF6" w:themeFill="accent2" w:themeFillTint="33"/>
            <w:noWrap/>
            <w:hideMark/>
          </w:tcPr>
          <w:p w14:paraId="32DC8BE6" w14:textId="77777777" w:rsidR="0051236B" w:rsidRPr="00037C61" w:rsidRDefault="0051236B" w:rsidP="00457478">
            <w:pPr>
              <w:ind w:left="-108"/>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160.91%</w:t>
            </w:r>
          </w:p>
        </w:tc>
        <w:tc>
          <w:tcPr>
            <w:tcW w:w="709" w:type="dxa"/>
            <w:shd w:val="clear" w:color="auto" w:fill="EAEDF6" w:themeFill="accent2" w:themeFillTint="33"/>
            <w:noWrap/>
            <w:hideMark/>
          </w:tcPr>
          <w:p w14:paraId="51EFBE69" w14:textId="77777777" w:rsidR="0051236B" w:rsidRPr="00037C61" w:rsidRDefault="0051236B" w:rsidP="00457478">
            <w:pPr>
              <w:ind w:left="-105"/>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43.63%</w:t>
            </w:r>
          </w:p>
        </w:tc>
      </w:tr>
      <w:tr w:rsidR="00D14BB3" w:rsidRPr="00037C61" w14:paraId="137AFA2D" w14:textId="77777777" w:rsidTr="00471F27">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413" w:type="dxa"/>
            <w:hideMark/>
          </w:tcPr>
          <w:p w14:paraId="4A51776A" w14:textId="48280889" w:rsidR="0051236B" w:rsidRPr="00037C61" w:rsidRDefault="0051236B">
            <w:pPr>
              <w:jc w:val="left"/>
              <w:rPr>
                <w:rFonts w:cs="Calibri"/>
                <w:color w:val="000000"/>
                <w:sz w:val="18"/>
                <w:szCs w:val="18"/>
                <w:lang w:val="en-GB"/>
              </w:rPr>
            </w:pPr>
            <w:r w:rsidRPr="00037C61">
              <w:rPr>
                <w:rFonts w:cs="Calibri"/>
                <w:color w:val="000000"/>
                <w:sz w:val="18"/>
                <w:szCs w:val="18"/>
                <w:lang w:val="en-GB"/>
              </w:rPr>
              <w:t>Békés &lt;-&gt; Arad</w:t>
            </w:r>
            <w:r w:rsidR="00C0325D" w:rsidRPr="00037C61">
              <w:rPr>
                <w:rFonts w:cs="Calibri"/>
                <w:color w:val="000000"/>
                <w:sz w:val="18"/>
                <w:szCs w:val="18"/>
                <w:lang w:val="en-GB"/>
              </w:rPr>
              <w:t xml:space="preserve"> / Bihor</w:t>
            </w:r>
          </w:p>
        </w:tc>
        <w:tc>
          <w:tcPr>
            <w:tcW w:w="792" w:type="dxa"/>
            <w:noWrap/>
            <w:hideMark/>
          </w:tcPr>
          <w:p w14:paraId="325F04FC"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1005681</w:t>
            </w:r>
          </w:p>
        </w:tc>
        <w:tc>
          <w:tcPr>
            <w:tcW w:w="845" w:type="dxa"/>
            <w:noWrap/>
            <w:hideMark/>
          </w:tcPr>
          <w:p w14:paraId="024F0B78"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682593</w:t>
            </w:r>
          </w:p>
        </w:tc>
        <w:tc>
          <w:tcPr>
            <w:tcW w:w="773" w:type="dxa"/>
            <w:noWrap/>
            <w:hideMark/>
          </w:tcPr>
          <w:p w14:paraId="2D77BEDB"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6416</w:t>
            </w:r>
          </w:p>
        </w:tc>
        <w:tc>
          <w:tcPr>
            <w:tcW w:w="708" w:type="dxa"/>
            <w:noWrap/>
            <w:hideMark/>
          </w:tcPr>
          <w:p w14:paraId="65E19D3E"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2975</w:t>
            </w:r>
          </w:p>
        </w:tc>
        <w:tc>
          <w:tcPr>
            <w:tcW w:w="709" w:type="dxa"/>
            <w:noWrap/>
            <w:hideMark/>
          </w:tcPr>
          <w:p w14:paraId="1B5A4185"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313697</w:t>
            </w:r>
          </w:p>
        </w:tc>
        <w:tc>
          <w:tcPr>
            <w:tcW w:w="709" w:type="dxa"/>
            <w:shd w:val="clear" w:color="auto" w:fill="EAEDF6" w:themeFill="accent2" w:themeFillTint="33"/>
            <w:noWrap/>
            <w:hideMark/>
          </w:tcPr>
          <w:p w14:paraId="709057AA" w14:textId="77777777" w:rsidR="0051236B" w:rsidRPr="00037C61" w:rsidRDefault="0051236B" w:rsidP="00457478">
            <w:pPr>
              <w:ind w:left="-105"/>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-21.47%</w:t>
            </w:r>
          </w:p>
        </w:tc>
        <w:tc>
          <w:tcPr>
            <w:tcW w:w="709" w:type="dxa"/>
            <w:shd w:val="clear" w:color="auto" w:fill="EAEDF6" w:themeFill="accent2" w:themeFillTint="33"/>
            <w:noWrap/>
            <w:hideMark/>
          </w:tcPr>
          <w:p w14:paraId="6C80187B" w14:textId="77777777" w:rsidR="0051236B" w:rsidRPr="00037C61" w:rsidRDefault="0051236B" w:rsidP="00457478">
            <w:pPr>
              <w:ind w:left="-101"/>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-22.24%</w:t>
            </w:r>
          </w:p>
        </w:tc>
        <w:tc>
          <w:tcPr>
            <w:tcW w:w="709" w:type="dxa"/>
            <w:shd w:val="clear" w:color="auto" w:fill="EAEDF6" w:themeFill="accent2" w:themeFillTint="33"/>
            <w:noWrap/>
            <w:hideMark/>
          </w:tcPr>
          <w:p w14:paraId="09380D1D" w14:textId="77777777" w:rsidR="0051236B" w:rsidRPr="00037C61" w:rsidRDefault="0051236B" w:rsidP="00457478">
            <w:pPr>
              <w:ind w:left="-112"/>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-60.68%</w:t>
            </w:r>
          </w:p>
        </w:tc>
        <w:tc>
          <w:tcPr>
            <w:tcW w:w="821" w:type="dxa"/>
            <w:shd w:val="clear" w:color="auto" w:fill="EAEDF6" w:themeFill="accent2" w:themeFillTint="33"/>
            <w:noWrap/>
            <w:hideMark/>
          </w:tcPr>
          <w:p w14:paraId="465BD0B3" w14:textId="77777777" w:rsidR="0051236B" w:rsidRPr="00037C61" w:rsidRDefault="0051236B" w:rsidP="00457478">
            <w:pPr>
              <w:ind w:left="-108"/>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75.83%</w:t>
            </w:r>
          </w:p>
        </w:tc>
        <w:tc>
          <w:tcPr>
            <w:tcW w:w="709" w:type="dxa"/>
            <w:shd w:val="clear" w:color="auto" w:fill="EAEDF6" w:themeFill="accent2" w:themeFillTint="33"/>
            <w:noWrap/>
            <w:hideMark/>
          </w:tcPr>
          <w:p w14:paraId="4B624196" w14:textId="77777777" w:rsidR="0051236B" w:rsidRPr="00037C61" w:rsidRDefault="0051236B" w:rsidP="00457478">
            <w:pPr>
              <w:ind w:left="-105"/>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-18.46%</w:t>
            </w:r>
          </w:p>
        </w:tc>
      </w:tr>
      <w:tr w:rsidR="00D14BB3" w:rsidRPr="00037C61" w14:paraId="33D7F0F9" w14:textId="77777777" w:rsidTr="00471F27">
        <w:trPr>
          <w:trHeight w:val="622"/>
        </w:trPr>
        <w:tc>
          <w:tcPr>
            <w:cnfStyle w:val="001000000000" w:firstRow="0" w:lastRow="0" w:firstColumn="1" w:lastColumn="0" w:oddVBand="0" w:evenVBand="0" w:oddHBand="0" w:evenHBand="0" w:firstRowFirstColumn="0" w:firstRowLastColumn="0" w:lastRowFirstColumn="0" w:lastRowLastColumn="0"/>
            <w:tcW w:w="1413" w:type="dxa"/>
            <w:hideMark/>
          </w:tcPr>
          <w:p w14:paraId="6FDC4C4A" w14:textId="77777777" w:rsidR="0051236B" w:rsidRPr="00037C61" w:rsidRDefault="0051236B">
            <w:pPr>
              <w:jc w:val="left"/>
              <w:rPr>
                <w:rFonts w:cs="Calibri"/>
                <w:color w:val="000000"/>
                <w:sz w:val="18"/>
                <w:szCs w:val="18"/>
                <w:lang w:val="en-GB"/>
              </w:rPr>
            </w:pPr>
            <w:r w:rsidRPr="00037C61">
              <w:rPr>
                <w:rFonts w:cs="Calibri"/>
                <w:color w:val="000000"/>
                <w:sz w:val="18"/>
                <w:szCs w:val="18"/>
                <w:lang w:val="en-GB"/>
              </w:rPr>
              <w:t>Hajdú-Bihar &lt;-&gt; Bihor</w:t>
            </w:r>
          </w:p>
        </w:tc>
        <w:tc>
          <w:tcPr>
            <w:tcW w:w="792" w:type="dxa"/>
            <w:noWrap/>
            <w:hideMark/>
          </w:tcPr>
          <w:p w14:paraId="716798B5"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3388984</w:t>
            </w:r>
          </w:p>
        </w:tc>
        <w:tc>
          <w:tcPr>
            <w:tcW w:w="845" w:type="dxa"/>
            <w:noWrap/>
            <w:hideMark/>
          </w:tcPr>
          <w:p w14:paraId="2E5A5243"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2304595</w:t>
            </w:r>
          </w:p>
        </w:tc>
        <w:tc>
          <w:tcPr>
            <w:tcW w:w="773" w:type="dxa"/>
            <w:noWrap/>
            <w:hideMark/>
          </w:tcPr>
          <w:p w14:paraId="5A12AD94"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30550</w:t>
            </w:r>
          </w:p>
        </w:tc>
        <w:tc>
          <w:tcPr>
            <w:tcW w:w="708" w:type="dxa"/>
            <w:noWrap/>
            <w:hideMark/>
          </w:tcPr>
          <w:p w14:paraId="1999ED6C" w14:textId="77777777" w:rsidR="0051236B" w:rsidRPr="00037C61" w:rsidRDefault="0051236B">
            <w:pPr>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8008</w:t>
            </w:r>
          </w:p>
        </w:tc>
        <w:tc>
          <w:tcPr>
            <w:tcW w:w="709" w:type="dxa"/>
            <w:noWrap/>
            <w:hideMark/>
          </w:tcPr>
          <w:p w14:paraId="4135F5DE" w14:textId="77777777" w:rsidR="0051236B" w:rsidRPr="00037C61" w:rsidRDefault="0051236B" w:rsidP="00457478">
            <w:pPr>
              <w:ind w:left="-114"/>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1045831</w:t>
            </w:r>
          </w:p>
        </w:tc>
        <w:tc>
          <w:tcPr>
            <w:tcW w:w="709" w:type="dxa"/>
            <w:shd w:val="clear" w:color="auto" w:fill="EAEDF6" w:themeFill="accent2" w:themeFillTint="33"/>
            <w:noWrap/>
            <w:hideMark/>
          </w:tcPr>
          <w:p w14:paraId="4E2610E0" w14:textId="77777777" w:rsidR="0051236B" w:rsidRPr="00037C61" w:rsidRDefault="0051236B" w:rsidP="00457478">
            <w:pPr>
              <w:ind w:left="-105"/>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112.05%</w:t>
            </w:r>
          </w:p>
        </w:tc>
        <w:tc>
          <w:tcPr>
            <w:tcW w:w="709" w:type="dxa"/>
            <w:shd w:val="clear" w:color="auto" w:fill="EAEDF6" w:themeFill="accent2" w:themeFillTint="33"/>
            <w:noWrap/>
            <w:hideMark/>
          </w:tcPr>
          <w:p w14:paraId="2562494D" w14:textId="77777777" w:rsidR="0051236B" w:rsidRPr="00037C61" w:rsidRDefault="0051236B" w:rsidP="00457478">
            <w:pPr>
              <w:ind w:left="-101"/>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105.07%</w:t>
            </w:r>
          </w:p>
        </w:tc>
        <w:tc>
          <w:tcPr>
            <w:tcW w:w="709" w:type="dxa"/>
            <w:shd w:val="clear" w:color="auto" w:fill="EAEDF6" w:themeFill="accent2" w:themeFillTint="33"/>
            <w:noWrap/>
            <w:hideMark/>
          </w:tcPr>
          <w:p w14:paraId="46A2E657" w14:textId="77777777" w:rsidR="0051236B" w:rsidRPr="00037C61" w:rsidRDefault="0051236B" w:rsidP="00457478">
            <w:pPr>
              <w:ind w:left="-112"/>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17.74%</w:t>
            </w:r>
          </w:p>
        </w:tc>
        <w:tc>
          <w:tcPr>
            <w:tcW w:w="821" w:type="dxa"/>
            <w:shd w:val="clear" w:color="auto" w:fill="EAEDF6" w:themeFill="accent2" w:themeFillTint="33"/>
            <w:noWrap/>
            <w:hideMark/>
          </w:tcPr>
          <w:p w14:paraId="726B6980" w14:textId="77777777" w:rsidR="0051236B" w:rsidRPr="00037C61" w:rsidRDefault="0051236B" w:rsidP="00457478">
            <w:pPr>
              <w:ind w:left="-108"/>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125.20%</w:t>
            </w:r>
          </w:p>
        </w:tc>
        <w:tc>
          <w:tcPr>
            <w:tcW w:w="709" w:type="dxa"/>
            <w:shd w:val="clear" w:color="auto" w:fill="EAEDF6" w:themeFill="accent2" w:themeFillTint="33"/>
            <w:noWrap/>
            <w:hideMark/>
          </w:tcPr>
          <w:p w14:paraId="1DBB41CC" w14:textId="77777777" w:rsidR="0051236B" w:rsidRPr="00037C61" w:rsidRDefault="0051236B" w:rsidP="00457478">
            <w:pPr>
              <w:ind w:left="-105"/>
              <w:jc w:val="right"/>
              <w:cnfStyle w:val="000000000000" w:firstRow="0" w:lastRow="0" w:firstColumn="0" w:lastColumn="0" w:oddVBand="0" w:evenVBand="0" w:oddHBand="0"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135.06%</w:t>
            </w:r>
          </w:p>
        </w:tc>
      </w:tr>
      <w:tr w:rsidR="00D14BB3" w:rsidRPr="00037C61" w14:paraId="7A781D13" w14:textId="77777777" w:rsidTr="00471F27">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413" w:type="dxa"/>
            <w:hideMark/>
          </w:tcPr>
          <w:p w14:paraId="7E444D54" w14:textId="77777777" w:rsidR="0051236B" w:rsidRPr="00037C61" w:rsidRDefault="0051236B">
            <w:pPr>
              <w:jc w:val="left"/>
              <w:rPr>
                <w:rFonts w:cs="Calibri"/>
                <w:color w:val="000000"/>
                <w:sz w:val="18"/>
                <w:szCs w:val="18"/>
                <w:lang w:val="en-GB"/>
              </w:rPr>
            </w:pPr>
            <w:r w:rsidRPr="00037C61">
              <w:rPr>
                <w:rFonts w:cs="Calibri"/>
                <w:color w:val="000000"/>
                <w:sz w:val="18"/>
                <w:szCs w:val="18"/>
                <w:lang w:val="en-GB"/>
              </w:rPr>
              <w:t>Szabolcs-Szatmár-Bereg &lt;-&gt; Satu Mare</w:t>
            </w:r>
          </w:p>
        </w:tc>
        <w:tc>
          <w:tcPr>
            <w:tcW w:w="792" w:type="dxa"/>
            <w:noWrap/>
            <w:hideMark/>
          </w:tcPr>
          <w:p w14:paraId="1D579DA8"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2506195</w:t>
            </w:r>
          </w:p>
        </w:tc>
        <w:tc>
          <w:tcPr>
            <w:tcW w:w="845" w:type="dxa"/>
            <w:noWrap/>
            <w:hideMark/>
          </w:tcPr>
          <w:p w14:paraId="4547FF89"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2347010</w:t>
            </w:r>
          </w:p>
        </w:tc>
        <w:tc>
          <w:tcPr>
            <w:tcW w:w="773" w:type="dxa"/>
            <w:noWrap/>
            <w:hideMark/>
          </w:tcPr>
          <w:p w14:paraId="76230BE0"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6059</w:t>
            </w:r>
          </w:p>
        </w:tc>
        <w:tc>
          <w:tcPr>
            <w:tcW w:w="708" w:type="dxa"/>
            <w:noWrap/>
            <w:hideMark/>
          </w:tcPr>
          <w:p w14:paraId="398B79CD"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2771</w:t>
            </w:r>
          </w:p>
        </w:tc>
        <w:tc>
          <w:tcPr>
            <w:tcW w:w="709" w:type="dxa"/>
            <w:noWrap/>
            <w:hideMark/>
          </w:tcPr>
          <w:p w14:paraId="36CC76D4" w14:textId="77777777" w:rsidR="0051236B" w:rsidRPr="00037C61" w:rsidRDefault="0051236B">
            <w:pPr>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150355</w:t>
            </w:r>
          </w:p>
        </w:tc>
        <w:tc>
          <w:tcPr>
            <w:tcW w:w="709" w:type="dxa"/>
            <w:shd w:val="clear" w:color="auto" w:fill="EAEDF6" w:themeFill="accent2" w:themeFillTint="33"/>
            <w:noWrap/>
            <w:hideMark/>
          </w:tcPr>
          <w:p w14:paraId="5CF7762F" w14:textId="77777777" w:rsidR="0051236B" w:rsidRPr="00037C61" w:rsidRDefault="0051236B" w:rsidP="00457478">
            <w:pPr>
              <w:ind w:left="-105"/>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174.10%</w:t>
            </w:r>
          </w:p>
        </w:tc>
        <w:tc>
          <w:tcPr>
            <w:tcW w:w="709" w:type="dxa"/>
            <w:shd w:val="clear" w:color="auto" w:fill="EAEDF6" w:themeFill="accent2" w:themeFillTint="33"/>
            <w:noWrap/>
            <w:hideMark/>
          </w:tcPr>
          <w:p w14:paraId="1C7DDABE" w14:textId="77777777" w:rsidR="0051236B" w:rsidRPr="00037C61" w:rsidRDefault="0051236B" w:rsidP="00457478">
            <w:pPr>
              <w:ind w:left="-101"/>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202.24%</w:t>
            </w:r>
          </w:p>
        </w:tc>
        <w:tc>
          <w:tcPr>
            <w:tcW w:w="709" w:type="dxa"/>
            <w:shd w:val="clear" w:color="auto" w:fill="EAEDF6" w:themeFill="accent2" w:themeFillTint="33"/>
            <w:noWrap/>
            <w:hideMark/>
          </w:tcPr>
          <w:p w14:paraId="233D738E" w14:textId="77777777" w:rsidR="0051236B" w:rsidRPr="00037C61" w:rsidRDefault="0051236B" w:rsidP="00457478">
            <w:pPr>
              <w:ind w:left="-112"/>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30.19%</w:t>
            </w:r>
          </w:p>
        </w:tc>
        <w:tc>
          <w:tcPr>
            <w:tcW w:w="821" w:type="dxa"/>
            <w:shd w:val="clear" w:color="auto" w:fill="EAEDF6" w:themeFill="accent2" w:themeFillTint="33"/>
            <w:noWrap/>
            <w:hideMark/>
          </w:tcPr>
          <w:p w14:paraId="0786E1D6" w14:textId="77777777" w:rsidR="0051236B" w:rsidRPr="00037C61" w:rsidRDefault="0051236B" w:rsidP="00457478">
            <w:pPr>
              <w:ind w:left="-108"/>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201.52%</w:t>
            </w:r>
          </w:p>
        </w:tc>
        <w:tc>
          <w:tcPr>
            <w:tcW w:w="709" w:type="dxa"/>
            <w:shd w:val="clear" w:color="auto" w:fill="EAEDF6" w:themeFill="accent2" w:themeFillTint="33"/>
            <w:noWrap/>
            <w:hideMark/>
          </w:tcPr>
          <w:p w14:paraId="5C927AA6" w14:textId="77777777" w:rsidR="0051236B" w:rsidRPr="00037C61" w:rsidRDefault="0051236B" w:rsidP="00457478">
            <w:pPr>
              <w:ind w:left="-105"/>
              <w:jc w:val="right"/>
              <w:cnfStyle w:val="000000100000" w:firstRow="0" w:lastRow="0" w:firstColumn="0" w:lastColumn="0" w:oddVBand="0" w:evenVBand="0" w:oddHBand="1" w:evenHBand="0" w:firstRowFirstColumn="0" w:firstRowLastColumn="0" w:lastRowFirstColumn="0" w:lastRowLastColumn="0"/>
              <w:rPr>
                <w:rFonts w:cs="Calibri"/>
                <w:color w:val="000000"/>
                <w:sz w:val="16"/>
                <w:szCs w:val="16"/>
                <w:lang w:val="en-GB"/>
              </w:rPr>
            </w:pPr>
            <w:r w:rsidRPr="00037C61">
              <w:rPr>
                <w:rFonts w:cs="Calibri"/>
                <w:color w:val="000000"/>
                <w:sz w:val="16"/>
                <w:szCs w:val="16"/>
                <w:lang w:val="en-GB"/>
              </w:rPr>
              <w:t>13.69%</w:t>
            </w:r>
          </w:p>
        </w:tc>
      </w:tr>
      <w:tr w:rsidR="00D14BB3" w:rsidRPr="00037C61" w14:paraId="1F7C2D5A" w14:textId="77777777" w:rsidTr="00471F27">
        <w:trPr>
          <w:trHeight w:val="622"/>
        </w:trPr>
        <w:tc>
          <w:tcPr>
            <w:cnfStyle w:val="001000000000" w:firstRow="0" w:lastRow="0" w:firstColumn="1" w:lastColumn="0" w:oddVBand="0" w:evenVBand="0" w:oddHBand="0" w:evenHBand="0" w:firstRowFirstColumn="0" w:firstRowLastColumn="0" w:lastRowFirstColumn="0" w:lastRowLastColumn="0"/>
            <w:tcW w:w="1413" w:type="dxa"/>
          </w:tcPr>
          <w:p w14:paraId="7DA6914E" w14:textId="55CBC37C" w:rsidR="00ED0383" w:rsidRPr="00037C61" w:rsidRDefault="00ED0383" w:rsidP="00ED0383">
            <w:pPr>
              <w:jc w:val="left"/>
              <w:rPr>
                <w:rFonts w:cs="Calibri"/>
                <w:color w:val="000000"/>
                <w:sz w:val="18"/>
                <w:szCs w:val="18"/>
                <w:lang w:val="en-GB"/>
              </w:rPr>
            </w:pPr>
            <w:r w:rsidRPr="00037C61">
              <w:rPr>
                <w:rFonts w:cs="Calibri"/>
                <w:color w:val="000000"/>
                <w:sz w:val="18"/>
                <w:szCs w:val="18"/>
                <w:lang w:val="en-GB"/>
              </w:rPr>
              <w:t>TOTAL by percentage and dynamic</w:t>
            </w:r>
          </w:p>
        </w:tc>
        <w:tc>
          <w:tcPr>
            <w:tcW w:w="792" w:type="dxa"/>
            <w:noWrap/>
          </w:tcPr>
          <w:p w14:paraId="7A215BE3" w14:textId="59F2C6E9" w:rsidR="00ED0383" w:rsidRPr="00037C61" w:rsidRDefault="00ED0383" w:rsidP="00457478">
            <w:pPr>
              <w:ind w:left="-165"/>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100%</w:t>
            </w:r>
          </w:p>
        </w:tc>
        <w:tc>
          <w:tcPr>
            <w:tcW w:w="845" w:type="dxa"/>
            <w:noWrap/>
          </w:tcPr>
          <w:p w14:paraId="6CCF0BB9" w14:textId="118B59B5" w:rsidR="00ED0383" w:rsidRPr="00037C61" w:rsidRDefault="00ED0383" w:rsidP="00ED0383">
            <w:pPr>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77.17%</w:t>
            </w:r>
          </w:p>
        </w:tc>
        <w:tc>
          <w:tcPr>
            <w:tcW w:w="773" w:type="dxa"/>
            <w:noWrap/>
          </w:tcPr>
          <w:p w14:paraId="5E01A693" w14:textId="6FBDF3F3" w:rsidR="00ED0383" w:rsidRPr="00037C61" w:rsidRDefault="00ED0383" w:rsidP="00ED0383">
            <w:pPr>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0.66%</w:t>
            </w:r>
          </w:p>
        </w:tc>
        <w:tc>
          <w:tcPr>
            <w:tcW w:w="708" w:type="dxa"/>
            <w:noWrap/>
          </w:tcPr>
          <w:p w14:paraId="006044AD" w14:textId="139F385F" w:rsidR="00ED0383" w:rsidRPr="00037C61" w:rsidRDefault="00ED0383" w:rsidP="00ED0383">
            <w:pPr>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0.15%</w:t>
            </w:r>
          </w:p>
        </w:tc>
        <w:tc>
          <w:tcPr>
            <w:tcW w:w="709" w:type="dxa"/>
            <w:noWrap/>
          </w:tcPr>
          <w:p w14:paraId="08374A36" w14:textId="2EDC3193" w:rsidR="00ED0383" w:rsidRPr="00037C61" w:rsidRDefault="00ED0383" w:rsidP="00457478">
            <w:pPr>
              <w:ind w:left="-114"/>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22.02%</w:t>
            </w:r>
          </w:p>
        </w:tc>
        <w:tc>
          <w:tcPr>
            <w:tcW w:w="0" w:type="dxa"/>
            <w:shd w:val="clear" w:color="auto" w:fill="EAEDF6" w:themeFill="accent2" w:themeFillTint="33"/>
            <w:noWrap/>
          </w:tcPr>
          <w:p w14:paraId="4C26B749" w14:textId="0EE6AA4F" w:rsidR="00ED0383" w:rsidRPr="00037C61" w:rsidRDefault="00ED0383" w:rsidP="00ED0383">
            <w:pPr>
              <w:ind w:left="-105"/>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+ 82%</w:t>
            </w:r>
          </w:p>
        </w:tc>
        <w:tc>
          <w:tcPr>
            <w:tcW w:w="0" w:type="dxa"/>
            <w:shd w:val="clear" w:color="auto" w:fill="EAEDF6" w:themeFill="accent2" w:themeFillTint="33"/>
            <w:noWrap/>
          </w:tcPr>
          <w:p w14:paraId="0452402F" w14:textId="6E982F2D" w:rsidR="00ED0383" w:rsidRPr="00037C61" w:rsidRDefault="00ED0383" w:rsidP="00ED0383">
            <w:pPr>
              <w:ind w:left="-101"/>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+ 95%</w:t>
            </w:r>
          </w:p>
        </w:tc>
        <w:tc>
          <w:tcPr>
            <w:tcW w:w="0" w:type="dxa"/>
            <w:shd w:val="clear" w:color="auto" w:fill="EAEDF6" w:themeFill="accent2" w:themeFillTint="33"/>
            <w:noWrap/>
          </w:tcPr>
          <w:p w14:paraId="6274F901" w14:textId="20E2BDB3" w:rsidR="00ED0383" w:rsidRPr="00037C61" w:rsidRDefault="00ED0383" w:rsidP="00ED0383">
            <w:pPr>
              <w:ind w:left="-112"/>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+ 8%</w:t>
            </w:r>
          </w:p>
        </w:tc>
        <w:tc>
          <w:tcPr>
            <w:tcW w:w="821" w:type="dxa"/>
            <w:shd w:val="clear" w:color="auto" w:fill="EAEDF6" w:themeFill="accent2" w:themeFillTint="33"/>
            <w:noWrap/>
          </w:tcPr>
          <w:p w14:paraId="3C818277" w14:textId="11DDCECE" w:rsidR="00ED0383" w:rsidRPr="00037C61" w:rsidRDefault="00ED0383" w:rsidP="00ED0383">
            <w:pPr>
              <w:ind w:left="-108"/>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+ 128%</w:t>
            </w:r>
          </w:p>
        </w:tc>
        <w:tc>
          <w:tcPr>
            <w:tcW w:w="0" w:type="dxa"/>
            <w:shd w:val="clear" w:color="auto" w:fill="EAEDF6" w:themeFill="accent2" w:themeFillTint="33"/>
            <w:noWrap/>
          </w:tcPr>
          <w:p w14:paraId="4F76E6AC" w14:textId="6C3FF1F2" w:rsidR="00ED0383" w:rsidRPr="00037C61" w:rsidRDefault="00ED0383" w:rsidP="00ED0383">
            <w:pPr>
              <w:ind w:left="-105"/>
              <w:jc w:val="right"/>
              <w:cnfStyle w:val="000000000000" w:firstRow="0" w:lastRow="0" w:firstColumn="0" w:lastColumn="0" w:oddVBand="0" w:evenVBand="0" w:oddHBand="0" w:evenHBand="0" w:firstRowFirstColumn="0" w:firstRowLastColumn="0" w:lastRowFirstColumn="0" w:lastRowLastColumn="0"/>
              <w:rPr>
                <w:rFonts w:cs="Calibri"/>
                <w:b/>
                <w:bCs/>
                <w:color w:val="000000"/>
                <w:sz w:val="18"/>
                <w:szCs w:val="18"/>
                <w:lang w:val="en-GB"/>
              </w:rPr>
            </w:pPr>
            <w:r w:rsidRPr="00037C61">
              <w:rPr>
                <w:b/>
                <w:bCs/>
                <w:sz w:val="18"/>
                <w:szCs w:val="18"/>
                <w:lang w:val="en-GB"/>
              </w:rPr>
              <w:t>+ 52%</w:t>
            </w:r>
          </w:p>
        </w:tc>
      </w:tr>
    </w:tbl>
    <w:p w14:paraId="78A653F5" w14:textId="77777777" w:rsidR="00C0325D" w:rsidRPr="00037C61" w:rsidRDefault="0051236B" w:rsidP="00C0325D">
      <w:pPr>
        <w:pStyle w:val="Caption"/>
        <w:jc w:val="left"/>
        <w:rPr>
          <w:lang w:val="en-GB"/>
        </w:rPr>
      </w:pPr>
      <w:r w:rsidRPr="00037C61" w:rsidDel="008B1865">
        <w:rPr>
          <w:sz w:val="19"/>
          <w:szCs w:val="19"/>
          <w:lang w:val="en-GB"/>
        </w:rPr>
        <w:t xml:space="preserve"> </w:t>
      </w:r>
      <w:r w:rsidR="00C0325D" w:rsidRPr="00037C61">
        <w:rPr>
          <w:lang w:val="en-GB"/>
        </w:rPr>
        <w:t xml:space="preserve">Source: KSH </w:t>
      </w:r>
    </w:p>
    <w:p w14:paraId="37FE5ECE" w14:textId="77777777" w:rsidR="008E6744" w:rsidRPr="00037C61" w:rsidRDefault="008E6744" w:rsidP="00D945F1">
      <w:pPr>
        <w:pStyle w:val="Heading4"/>
        <w:rPr>
          <w:lang w:val="en-GB"/>
        </w:rPr>
      </w:pPr>
      <w:r w:rsidRPr="00037C61">
        <w:rPr>
          <w:lang w:val="en-GB"/>
        </w:rPr>
        <w:lastRenderedPageBreak/>
        <w:t xml:space="preserve">Public transportation: passenger transport options </w:t>
      </w:r>
    </w:p>
    <w:p w14:paraId="3487E605" w14:textId="72C8409F" w:rsidR="008E6744" w:rsidRPr="00037C61" w:rsidRDefault="3F413C9B" w:rsidP="52230E0C">
      <w:pPr>
        <w:rPr>
          <w:b/>
          <w:bCs/>
          <w:color w:val="002060"/>
          <w:lang w:val="en-GB"/>
        </w:rPr>
      </w:pPr>
      <w:r w:rsidRPr="00037C61">
        <w:rPr>
          <w:lang w:val="en-GB"/>
        </w:rPr>
        <w:t>The trend line of the general evolution of public green transportation (trams, and trolleybuses), on the Romanian side of the border, is a nonlinear one, varying from -2,39% till 122,79% in dependence with the year and means of transport. Similar situation is reflected in the Hungarian side of the border, but the interval is between -14,26% and -0,60%. What is interesting to remark is that Timiș has a great improvement on the public transport passenger number, which can show a mentality shift concomitant with successful investments in public transport through Axis 1 ROP (2007-2013) and Axis 4 ROP (2014-2020).</w:t>
      </w:r>
      <w:r w:rsidRPr="00037C61">
        <w:rPr>
          <w:b/>
          <w:bCs/>
          <w:lang w:val="en-GB"/>
        </w:rPr>
        <w:t xml:space="preserve"> </w:t>
      </w:r>
      <w:r w:rsidRPr="00037C61">
        <w:rPr>
          <w:color w:val="000000" w:themeColor="text1"/>
          <w:lang w:val="en-GB"/>
        </w:rPr>
        <w:t xml:space="preserve">The ascendant modification of trend started from 2016, with an increase of 134,31% passengers by tram and 111,27% passengers by bus and trolleybus. </w:t>
      </w:r>
    </w:p>
    <w:p w14:paraId="5C9017D8" w14:textId="3619200D" w:rsidR="008E6744" w:rsidRPr="00037C61" w:rsidRDefault="008E6744" w:rsidP="008E6744">
      <w:pPr>
        <w:pStyle w:val="Caption"/>
        <w:keepNext/>
        <w:jc w:val="both"/>
        <w:rPr>
          <w:lang w:val="en-GB"/>
        </w:rPr>
      </w:pPr>
      <w:bookmarkStart w:id="773" w:name="_Toc58237661"/>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39</w:t>
      </w:r>
      <w:r w:rsidRPr="00037C61">
        <w:rPr>
          <w:lang w:val="en-GB"/>
        </w:rPr>
        <w:fldChar w:fldCharType="end"/>
      </w:r>
      <w:r w:rsidR="00662F53" w:rsidRPr="00037C61">
        <w:rPr>
          <w:lang w:val="en-GB"/>
        </w:rPr>
        <w:t xml:space="preserve"> -</w:t>
      </w:r>
      <w:r w:rsidRPr="00037C61">
        <w:rPr>
          <w:lang w:val="en-GB"/>
        </w:rPr>
        <w:t xml:space="preserve"> Public transportation infrastructure at NUTS3 level</w:t>
      </w:r>
      <w:bookmarkEnd w:id="773"/>
    </w:p>
    <w:tbl>
      <w:tblPr>
        <w:tblStyle w:val="ListTable3-Accent11"/>
        <w:tblW w:w="9067" w:type="dxa"/>
        <w:tblLayout w:type="fixed"/>
        <w:tblLook w:val="04A0" w:firstRow="1" w:lastRow="0" w:firstColumn="1" w:lastColumn="0" w:noHBand="0" w:noVBand="1"/>
      </w:tblPr>
      <w:tblGrid>
        <w:gridCol w:w="1814"/>
        <w:gridCol w:w="1814"/>
        <w:gridCol w:w="1813"/>
        <w:gridCol w:w="1813"/>
        <w:gridCol w:w="1813"/>
      </w:tblGrid>
      <w:tr w:rsidR="008E6744" w:rsidRPr="00944B4A" w14:paraId="5E4D070F" w14:textId="77777777" w:rsidTr="00457478">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0" w:type="dxa"/>
            <w:noWrap/>
          </w:tcPr>
          <w:p w14:paraId="1EEFA4FE" w14:textId="77777777" w:rsidR="008E6744" w:rsidRPr="00037C61" w:rsidRDefault="008E6744" w:rsidP="008E6744">
            <w:pPr>
              <w:jc w:val="center"/>
              <w:rPr>
                <w:rFonts w:cs="Calibri"/>
                <w:b w:val="0"/>
                <w:bCs w:val="0"/>
                <w:sz w:val="18"/>
                <w:szCs w:val="18"/>
                <w:lang w:val="en-GB"/>
              </w:rPr>
            </w:pPr>
            <w:r w:rsidRPr="00037C61">
              <w:rPr>
                <w:rFonts w:cs="Calibri"/>
                <w:sz w:val="18"/>
                <w:szCs w:val="18"/>
                <w:lang w:val="en-GB"/>
              </w:rPr>
              <w:t xml:space="preserve">Public transportation in urban centers// Public transportation infrastructure at NUTS3 level - </w:t>
            </w:r>
          </w:p>
        </w:tc>
        <w:tc>
          <w:tcPr>
            <w:tcW w:w="0" w:type="dxa"/>
            <w:noWrap/>
          </w:tcPr>
          <w:p w14:paraId="6A9970D9" w14:textId="77777777" w:rsidR="008E6744" w:rsidRPr="00037C61" w:rsidRDefault="008E6744" w:rsidP="008E6744">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18"/>
                <w:lang w:val="en-GB"/>
              </w:rPr>
            </w:pPr>
            <w:r w:rsidRPr="00037C61">
              <w:rPr>
                <w:rFonts w:cs="Calibri"/>
                <w:sz w:val="18"/>
                <w:szCs w:val="18"/>
                <w:lang w:val="en-GB"/>
              </w:rPr>
              <w:t>General evolution in 2016 in relation with the previous year</w:t>
            </w:r>
          </w:p>
        </w:tc>
        <w:tc>
          <w:tcPr>
            <w:tcW w:w="0" w:type="dxa"/>
            <w:noWrap/>
          </w:tcPr>
          <w:p w14:paraId="1B8B271A" w14:textId="77777777" w:rsidR="008E6744" w:rsidRPr="00037C61" w:rsidRDefault="008E6744" w:rsidP="008E6744">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18"/>
                <w:lang w:val="en-GB"/>
              </w:rPr>
            </w:pPr>
            <w:r w:rsidRPr="00037C61">
              <w:rPr>
                <w:rFonts w:cs="Calibri"/>
                <w:sz w:val="18"/>
                <w:szCs w:val="18"/>
                <w:lang w:val="en-GB"/>
              </w:rPr>
              <w:t>General evolution in 2017 in relation with the previous year</w:t>
            </w:r>
          </w:p>
        </w:tc>
        <w:tc>
          <w:tcPr>
            <w:tcW w:w="0" w:type="dxa"/>
            <w:noWrap/>
          </w:tcPr>
          <w:p w14:paraId="4467C3FF" w14:textId="77777777" w:rsidR="008E6744" w:rsidRPr="00037C61" w:rsidRDefault="008E6744" w:rsidP="008E6744">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18"/>
                <w:lang w:val="en-GB"/>
              </w:rPr>
            </w:pPr>
            <w:r w:rsidRPr="00037C61">
              <w:rPr>
                <w:rFonts w:cs="Calibri"/>
                <w:sz w:val="18"/>
                <w:szCs w:val="18"/>
                <w:lang w:val="en-GB"/>
              </w:rPr>
              <w:t>General evolution in 2018 in relation with the previous year</w:t>
            </w:r>
          </w:p>
        </w:tc>
        <w:tc>
          <w:tcPr>
            <w:tcW w:w="0" w:type="dxa"/>
            <w:noWrap/>
          </w:tcPr>
          <w:p w14:paraId="5BD6E647" w14:textId="77777777" w:rsidR="008E6744" w:rsidRPr="00037C61" w:rsidRDefault="008E6744" w:rsidP="008E6744">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18"/>
                <w:lang w:val="en-GB"/>
              </w:rPr>
            </w:pPr>
            <w:r w:rsidRPr="00037C61">
              <w:rPr>
                <w:rFonts w:cs="Calibri"/>
                <w:sz w:val="18"/>
                <w:szCs w:val="18"/>
                <w:lang w:val="en-GB"/>
              </w:rPr>
              <w:t>General trend between 2015 and 2018, in comparison with 2015 in relation with the previous year</w:t>
            </w:r>
          </w:p>
        </w:tc>
      </w:tr>
      <w:tr w:rsidR="008E6744" w:rsidRPr="00037C61" w14:paraId="4A0501B8" w14:textId="77777777" w:rsidTr="0045747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noWrap/>
          </w:tcPr>
          <w:p w14:paraId="4C14BF69"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Hajdú-Bihar</w:t>
            </w:r>
          </w:p>
        </w:tc>
        <w:tc>
          <w:tcPr>
            <w:tcW w:w="0" w:type="dxa"/>
            <w:noWrap/>
          </w:tcPr>
          <w:p w14:paraId="53000DBD"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-1,61%</w:t>
            </w:r>
          </w:p>
        </w:tc>
        <w:tc>
          <w:tcPr>
            <w:tcW w:w="0" w:type="dxa"/>
            <w:noWrap/>
          </w:tcPr>
          <w:p w14:paraId="441BE965"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-0,56%</w:t>
            </w:r>
          </w:p>
        </w:tc>
        <w:tc>
          <w:tcPr>
            <w:tcW w:w="0" w:type="dxa"/>
            <w:noWrap/>
          </w:tcPr>
          <w:p w14:paraId="7DD5AA72"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2,84%</w:t>
            </w:r>
          </w:p>
        </w:tc>
        <w:tc>
          <w:tcPr>
            <w:tcW w:w="0" w:type="dxa"/>
            <w:noWrap/>
          </w:tcPr>
          <w:p w14:paraId="08F8C0B1"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0,63%</w:t>
            </w:r>
          </w:p>
        </w:tc>
      </w:tr>
      <w:tr w:rsidR="008E6744" w:rsidRPr="00037C61" w14:paraId="403BAD0D" w14:textId="77777777" w:rsidTr="00457478">
        <w:trPr>
          <w:trHeight w:val="315"/>
        </w:trPr>
        <w:tc>
          <w:tcPr>
            <w:cnfStyle w:val="001000000000" w:firstRow="0" w:lastRow="0" w:firstColumn="1" w:lastColumn="0" w:oddVBand="0" w:evenVBand="0" w:oddHBand="0" w:evenHBand="0" w:firstRowFirstColumn="0" w:firstRowLastColumn="0" w:lastRowFirstColumn="0" w:lastRowLastColumn="0"/>
            <w:tcW w:w="0" w:type="dxa"/>
            <w:noWrap/>
          </w:tcPr>
          <w:p w14:paraId="3D1FCB42"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Szabolcs-Szatmár-Bereg</w:t>
            </w:r>
          </w:p>
        </w:tc>
        <w:tc>
          <w:tcPr>
            <w:tcW w:w="0" w:type="dxa"/>
            <w:noWrap/>
          </w:tcPr>
          <w:p w14:paraId="07C56D89"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-5,25%</w:t>
            </w:r>
          </w:p>
        </w:tc>
        <w:tc>
          <w:tcPr>
            <w:tcW w:w="0" w:type="dxa"/>
            <w:noWrap/>
          </w:tcPr>
          <w:p w14:paraId="3C07C9FB"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-3,97%</w:t>
            </w:r>
          </w:p>
        </w:tc>
        <w:tc>
          <w:tcPr>
            <w:tcW w:w="0" w:type="dxa"/>
            <w:noWrap/>
          </w:tcPr>
          <w:p w14:paraId="11DC7848"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-4,69%</w:t>
            </w:r>
          </w:p>
        </w:tc>
        <w:tc>
          <w:tcPr>
            <w:tcW w:w="0" w:type="dxa"/>
            <w:noWrap/>
          </w:tcPr>
          <w:p w14:paraId="51FF0A51"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-13,27%</w:t>
            </w:r>
          </w:p>
        </w:tc>
      </w:tr>
      <w:tr w:rsidR="008E6744" w:rsidRPr="00037C61" w14:paraId="484DD22D" w14:textId="77777777" w:rsidTr="0045747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noWrap/>
          </w:tcPr>
          <w:p w14:paraId="4C6AAD94"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Békés</w:t>
            </w:r>
          </w:p>
        </w:tc>
        <w:tc>
          <w:tcPr>
            <w:tcW w:w="0" w:type="dxa"/>
            <w:noWrap/>
          </w:tcPr>
          <w:p w14:paraId="3391E926"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-6,71%</w:t>
            </w:r>
          </w:p>
        </w:tc>
        <w:tc>
          <w:tcPr>
            <w:tcW w:w="0" w:type="dxa"/>
            <w:noWrap/>
          </w:tcPr>
          <w:p w14:paraId="7FAA1D3C"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-2,53%</w:t>
            </w:r>
          </w:p>
        </w:tc>
        <w:tc>
          <w:tcPr>
            <w:tcW w:w="0" w:type="dxa"/>
            <w:noWrap/>
          </w:tcPr>
          <w:p w14:paraId="3C307D1C"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-5,70%</w:t>
            </w:r>
          </w:p>
        </w:tc>
        <w:tc>
          <w:tcPr>
            <w:tcW w:w="0" w:type="dxa"/>
            <w:noWrap/>
          </w:tcPr>
          <w:p w14:paraId="2B3C6DD2"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-14,26%</w:t>
            </w:r>
          </w:p>
        </w:tc>
      </w:tr>
      <w:tr w:rsidR="008E6744" w:rsidRPr="00037C61" w14:paraId="64A0DB1B" w14:textId="77777777" w:rsidTr="00457478">
        <w:trPr>
          <w:trHeight w:val="315"/>
        </w:trPr>
        <w:tc>
          <w:tcPr>
            <w:cnfStyle w:val="001000000000" w:firstRow="0" w:lastRow="0" w:firstColumn="1" w:lastColumn="0" w:oddVBand="0" w:evenVBand="0" w:oddHBand="0" w:evenHBand="0" w:firstRowFirstColumn="0" w:firstRowLastColumn="0" w:lastRowFirstColumn="0" w:lastRowLastColumn="0"/>
            <w:tcW w:w="0" w:type="dxa"/>
            <w:noWrap/>
          </w:tcPr>
          <w:p w14:paraId="6C84EDB9" w14:textId="5EA0F7EF" w:rsidR="008E6744" w:rsidRPr="00037C61" w:rsidRDefault="008E6744" w:rsidP="005E0849">
            <w:pPr>
              <w:spacing w:line="259" w:lineRule="auto"/>
              <w:jc w:val="center"/>
              <w:rPr>
                <w:rFonts w:eastAsia="Calibri" w:cs="Calibri"/>
                <w:sz w:val="18"/>
                <w:szCs w:val="18"/>
                <w:lang w:val="en-GB"/>
              </w:rPr>
            </w:pPr>
            <w:r w:rsidRPr="00037C61">
              <w:rPr>
                <w:rFonts w:cs="Calibri"/>
                <w:color w:val="000000" w:themeColor="text1"/>
                <w:sz w:val="18"/>
                <w:szCs w:val="18"/>
                <w:lang w:val="en-GB"/>
              </w:rPr>
              <w:t>Csongrád</w:t>
            </w:r>
            <w:r w:rsidR="03F07CCD" w:rsidRPr="00037C61">
              <w:rPr>
                <w:rFonts w:cs="Calibri"/>
                <w:color w:val="000000" w:themeColor="text1"/>
                <w:sz w:val="18"/>
                <w:szCs w:val="18"/>
                <w:lang w:val="en-GB"/>
              </w:rPr>
              <w:t>- Csanád</w:t>
            </w:r>
          </w:p>
        </w:tc>
        <w:tc>
          <w:tcPr>
            <w:tcW w:w="0" w:type="dxa"/>
            <w:noWrap/>
          </w:tcPr>
          <w:p w14:paraId="42A0C931"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-0,72%</w:t>
            </w:r>
          </w:p>
        </w:tc>
        <w:tc>
          <w:tcPr>
            <w:tcW w:w="0" w:type="dxa"/>
            <w:noWrap/>
          </w:tcPr>
          <w:p w14:paraId="2D5347BA"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-2,84%</w:t>
            </w:r>
          </w:p>
        </w:tc>
        <w:tc>
          <w:tcPr>
            <w:tcW w:w="0" w:type="dxa"/>
            <w:noWrap/>
          </w:tcPr>
          <w:p w14:paraId="6EF365C3"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-0,60%</w:t>
            </w:r>
          </w:p>
        </w:tc>
        <w:tc>
          <w:tcPr>
            <w:tcW w:w="0" w:type="dxa"/>
            <w:noWrap/>
          </w:tcPr>
          <w:p w14:paraId="0A93D6B7"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-4,13%</w:t>
            </w:r>
          </w:p>
        </w:tc>
      </w:tr>
      <w:tr w:rsidR="008E6744" w:rsidRPr="00037C61" w14:paraId="7B143F4C" w14:textId="77777777" w:rsidTr="0045747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0A029698"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Bihor</w:t>
            </w:r>
          </w:p>
        </w:tc>
        <w:tc>
          <w:tcPr>
            <w:tcW w:w="0" w:type="dxa"/>
            <w:noWrap/>
            <w:hideMark/>
          </w:tcPr>
          <w:p w14:paraId="2057FB65"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1,98%</w:t>
            </w:r>
          </w:p>
        </w:tc>
        <w:tc>
          <w:tcPr>
            <w:tcW w:w="0" w:type="dxa"/>
            <w:noWrap/>
            <w:hideMark/>
          </w:tcPr>
          <w:p w14:paraId="6A5411AE"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-1,47%</w:t>
            </w:r>
          </w:p>
        </w:tc>
        <w:tc>
          <w:tcPr>
            <w:tcW w:w="0" w:type="dxa"/>
            <w:noWrap/>
            <w:hideMark/>
          </w:tcPr>
          <w:p w14:paraId="36371EB2"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-0,93%</w:t>
            </w:r>
          </w:p>
        </w:tc>
        <w:tc>
          <w:tcPr>
            <w:tcW w:w="0" w:type="dxa"/>
            <w:noWrap/>
            <w:hideMark/>
          </w:tcPr>
          <w:p w14:paraId="7BA16E5F"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-0,46%</w:t>
            </w:r>
          </w:p>
        </w:tc>
      </w:tr>
      <w:tr w:rsidR="008E6744" w:rsidRPr="00037C61" w14:paraId="5BBBC036" w14:textId="77777777" w:rsidTr="00457478">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52CD5280"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Satu Mare</w:t>
            </w:r>
          </w:p>
        </w:tc>
        <w:tc>
          <w:tcPr>
            <w:tcW w:w="0" w:type="dxa"/>
            <w:noWrap/>
            <w:hideMark/>
          </w:tcPr>
          <w:p w14:paraId="29E2D723"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-2,39%</w:t>
            </w:r>
          </w:p>
        </w:tc>
        <w:tc>
          <w:tcPr>
            <w:tcW w:w="0" w:type="dxa"/>
            <w:noWrap/>
            <w:hideMark/>
          </w:tcPr>
          <w:p w14:paraId="7E641CFF"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0,00%</w:t>
            </w:r>
          </w:p>
        </w:tc>
        <w:tc>
          <w:tcPr>
            <w:tcW w:w="0" w:type="dxa"/>
            <w:noWrap/>
            <w:hideMark/>
          </w:tcPr>
          <w:p w14:paraId="61B9672F"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0,51%</w:t>
            </w:r>
          </w:p>
        </w:tc>
        <w:tc>
          <w:tcPr>
            <w:tcW w:w="0" w:type="dxa"/>
            <w:noWrap/>
            <w:hideMark/>
          </w:tcPr>
          <w:p w14:paraId="20B85C5B"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-1,89%</w:t>
            </w:r>
          </w:p>
        </w:tc>
      </w:tr>
      <w:tr w:rsidR="008E6744" w:rsidRPr="00037C61" w14:paraId="73287CB9" w14:textId="77777777" w:rsidTr="0045747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4CC9B773"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Arad</w:t>
            </w:r>
          </w:p>
        </w:tc>
        <w:tc>
          <w:tcPr>
            <w:tcW w:w="0" w:type="dxa"/>
            <w:noWrap/>
            <w:hideMark/>
          </w:tcPr>
          <w:p w14:paraId="718F9CD4"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No information available</w:t>
            </w:r>
          </w:p>
        </w:tc>
        <w:tc>
          <w:tcPr>
            <w:tcW w:w="0" w:type="dxa"/>
            <w:noWrap/>
            <w:hideMark/>
          </w:tcPr>
          <w:p w14:paraId="2D8059FE"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No information available</w:t>
            </w:r>
          </w:p>
        </w:tc>
        <w:tc>
          <w:tcPr>
            <w:tcW w:w="0" w:type="dxa"/>
            <w:noWrap/>
            <w:hideMark/>
          </w:tcPr>
          <w:p w14:paraId="30092B2F"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No information available</w:t>
            </w:r>
          </w:p>
        </w:tc>
        <w:tc>
          <w:tcPr>
            <w:tcW w:w="0" w:type="dxa"/>
            <w:noWrap/>
            <w:hideMark/>
          </w:tcPr>
          <w:p w14:paraId="6ACA6F9B"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No information available</w:t>
            </w:r>
          </w:p>
        </w:tc>
      </w:tr>
      <w:tr w:rsidR="008E6744" w:rsidRPr="00037C61" w14:paraId="66FD91EB" w14:textId="77777777" w:rsidTr="00457478">
        <w:trPr>
          <w:trHeight w:val="315"/>
        </w:trPr>
        <w:tc>
          <w:tcPr>
            <w:cnfStyle w:val="001000000000" w:firstRow="0" w:lastRow="0" w:firstColumn="1" w:lastColumn="0" w:oddVBand="0" w:evenVBand="0" w:oddHBand="0" w:evenHBand="0" w:firstRowFirstColumn="0" w:firstRowLastColumn="0" w:lastRowFirstColumn="0" w:lastRowLastColumn="0"/>
            <w:tcW w:w="0" w:type="dxa"/>
            <w:noWrap/>
            <w:hideMark/>
          </w:tcPr>
          <w:p w14:paraId="7345C94E" w14:textId="77777777" w:rsidR="008E6744" w:rsidRPr="00037C61" w:rsidRDefault="008E6744" w:rsidP="008E6744">
            <w:pPr>
              <w:jc w:val="center"/>
              <w:rPr>
                <w:rFonts w:cs="Calibri"/>
                <w:color w:val="000000" w:themeColor="text1"/>
                <w:sz w:val="18"/>
                <w:szCs w:val="18"/>
                <w:lang w:val="en-GB"/>
              </w:rPr>
            </w:pPr>
            <w:r w:rsidRPr="00037C61">
              <w:rPr>
                <w:rFonts w:cs="Calibri"/>
                <w:color w:val="000000" w:themeColor="text1"/>
                <w:sz w:val="18"/>
                <w:szCs w:val="18"/>
                <w:lang w:val="en-GB"/>
              </w:rPr>
              <w:t>Timiș</w:t>
            </w:r>
          </w:p>
        </w:tc>
        <w:tc>
          <w:tcPr>
            <w:tcW w:w="0" w:type="dxa"/>
            <w:noWrap/>
            <w:hideMark/>
          </w:tcPr>
          <w:p w14:paraId="5748982A"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122,78%</w:t>
            </w:r>
          </w:p>
        </w:tc>
        <w:tc>
          <w:tcPr>
            <w:tcW w:w="0" w:type="dxa"/>
            <w:noWrap/>
            <w:hideMark/>
          </w:tcPr>
          <w:p w14:paraId="17027394"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4,20%</w:t>
            </w:r>
          </w:p>
        </w:tc>
        <w:tc>
          <w:tcPr>
            <w:tcW w:w="0" w:type="dxa"/>
            <w:noWrap/>
            <w:hideMark/>
          </w:tcPr>
          <w:p w14:paraId="5418B2F5"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-0,63%</w:t>
            </w:r>
          </w:p>
        </w:tc>
        <w:tc>
          <w:tcPr>
            <w:tcW w:w="0" w:type="dxa"/>
            <w:noWrap/>
            <w:hideMark/>
          </w:tcPr>
          <w:p w14:paraId="529631B3"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8"/>
                <w:szCs w:val="18"/>
                <w:lang w:val="en-GB"/>
              </w:rPr>
            </w:pPr>
            <w:r w:rsidRPr="00037C61">
              <w:rPr>
                <w:rFonts w:cs="Calibri"/>
                <w:color w:val="000000" w:themeColor="text1"/>
                <w:sz w:val="18"/>
                <w:szCs w:val="18"/>
                <w:lang w:val="en-GB"/>
              </w:rPr>
              <w:t>122,79%</w:t>
            </w:r>
          </w:p>
        </w:tc>
      </w:tr>
    </w:tbl>
    <w:p w14:paraId="28D3C1CF" w14:textId="77777777" w:rsidR="008E6744" w:rsidRPr="00037C61" w:rsidRDefault="008E6744" w:rsidP="008E6744">
      <w:pPr>
        <w:pStyle w:val="Caption"/>
        <w:jc w:val="both"/>
        <w:rPr>
          <w:lang w:val="en-GB"/>
        </w:rPr>
      </w:pPr>
      <w:r w:rsidRPr="00037C61">
        <w:rPr>
          <w:lang w:val="en-GB"/>
        </w:rPr>
        <w:t>Source: INS Transport of passengers and goods by modes of transport (1.01-30.09.2020)</w:t>
      </w:r>
    </w:p>
    <w:p w14:paraId="6CF692E6" w14:textId="77777777" w:rsidR="00DC06EC" w:rsidRPr="00037C61" w:rsidRDefault="00DC06EC" w:rsidP="008E6744">
      <w:pPr>
        <w:rPr>
          <w:rFonts w:cstheme="minorHAnsi"/>
          <w:lang w:val="en-GB"/>
        </w:rPr>
      </w:pPr>
    </w:p>
    <w:p w14:paraId="5EBEE914" w14:textId="41903C1E" w:rsidR="008E6744" w:rsidRPr="00037C61" w:rsidRDefault="3F413C9B" w:rsidP="3F413C9B">
      <w:pPr>
        <w:rPr>
          <w:b/>
          <w:bCs/>
          <w:color w:val="002060"/>
          <w:lang w:val="en-GB"/>
        </w:rPr>
      </w:pPr>
      <w:r w:rsidRPr="00037C61">
        <w:rPr>
          <w:lang w:val="en-GB"/>
        </w:rPr>
        <w:t xml:space="preserve">However, not all </w:t>
      </w:r>
      <w:r w:rsidR="00D26B7C" w:rsidRPr="00037C61">
        <w:rPr>
          <w:lang w:val="en-GB"/>
        </w:rPr>
        <w:t>data</w:t>
      </w:r>
      <w:r w:rsidRPr="00037C61">
        <w:rPr>
          <w:lang w:val="en-GB"/>
        </w:rPr>
        <w:t xml:space="preserve"> are available or are available to be analyzed in the same form. Traffic volumes, especially cross-border traffic, are among the least available data for the programme area, with significant potential lost through lack of data-driven decision making for possible cooperation.  </w:t>
      </w:r>
    </w:p>
    <w:p w14:paraId="5D009E06" w14:textId="702A9EB5" w:rsidR="008E6744" w:rsidRPr="00037C61" w:rsidRDefault="008E6744" w:rsidP="008E6744">
      <w:pPr>
        <w:pStyle w:val="Caption"/>
        <w:keepNext/>
        <w:jc w:val="left"/>
        <w:rPr>
          <w:lang w:val="en-GB"/>
        </w:rPr>
      </w:pPr>
      <w:bookmarkStart w:id="774" w:name="_Toc58237662"/>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40</w:t>
      </w:r>
      <w:r w:rsidRPr="00037C61">
        <w:rPr>
          <w:lang w:val="en-GB"/>
        </w:rPr>
        <w:fldChar w:fldCharType="end"/>
      </w:r>
      <w:r w:rsidR="00662F53" w:rsidRPr="00037C61">
        <w:rPr>
          <w:lang w:val="en-GB"/>
        </w:rPr>
        <w:t xml:space="preserve"> -</w:t>
      </w:r>
      <w:r w:rsidRPr="00037C61">
        <w:rPr>
          <w:lang w:val="en-GB"/>
        </w:rPr>
        <w:t xml:space="preserve"> Transport of passengers</w:t>
      </w:r>
      <w:bookmarkEnd w:id="774"/>
    </w:p>
    <w:tbl>
      <w:tblPr>
        <w:tblStyle w:val="ListTable3-Accent11"/>
        <w:tblW w:w="9037" w:type="dxa"/>
        <w:tblLayout w:type="fixed"/>
        <w:tblLook w:val="04A0" w:firstRow="1" w:lastRow="0" w:firstColumn="1" w:lastColumn="0" w:noHBand="0" w:noVBand="1"/>
      </w:tblPr>
      <w:tblGrid>
        <w:gridCol w:w="1622"/>
        <w:gridCol w:w="887"/>
        <w:gridCol w:w="1184"/>
        <w:gridCol w:w="1037"/>
        <w:gridCol w:w="1294"/>
        <w:gridCol w:w="1518"/>
        <w:gridCol w:w="1495"/>
      </w:tblGrid>
      <w:tr w:rsidR="008E6744" w:rsidRPr="00037C61" w14:paraId="210162CE" w14:textId="77777777" w:rsidTr="00457478">
        <w:trPr>
          <w:cnfStyle w:val="100000000000" w:firstRow="1" w:lastRow="0" w:firstColumn="0" w:lastColumn="0" w:oddVBand="0" w:evenVBand="0" w:oddHBand="0" w:evenHBand="0" w:firstRowFirstColumn="0" w:firstRowLastColumn="0" w:lastRowFirstColumn="0" w:lastRowLastColumn="0"/>
          <w:trHeight w:val="280"/>
        </w:trPr>
        <w:tc>
          <w:tcPr>
            <w:cnfStyle w:val="001000000100" w:firstRow="0" w:lastRow="0" w:firstColumn="1" w:lastColumn="0" w:oddVBand="0" w:evenVBand="0" w:oddHBand="0" w:evenHBand="0" w:firstRowFirstColumn="1" w:firstRowLastColumn="0" w:lastRowFirstColumn="0" w:lastRowLastColumn="0"/>
            <w:tcW w:w="1622" w:type="dxa"/>
            <w:vMerge w:val="restart"/>
            <w:noWrap/>
            <w:hideMark/>
          </w:tcPr>
          <w:p w14:paraId="7BBB2C62" w14:textId="555F0F9B" w:rsidR="008E6744" w:rsidRPr="00037C61" w:rsidRDefault="008E6744" w:rsidP="008E6744">
            <w:pPr>
              <w:jc w:val="center"/>
              <w:rPr>
                <w:rFonts w:cs="Calibri"/>
                <w:b w:val="0"/>
                <w:bCs w:val="0"/>
                <w:sz w:val="18"/>
                <w:szCs w:val="18"/>
                <w:lang w:val="en-GB"/>
              </w:rPr>
            </w:pPr>
            <w:r w:rsidRPr="00037C61">
              <w:rPr>
                <w:rFonts w:cs="Calibri"/>
                <w:sz w:val="18"/>
                <w:szCs w:val="18"/>
                <w:lang w:val="en-GB"/>
              </w:rPr>
              <w:t>Public transportation in urban centers</w:t>
            </w:r>
            <w:r w:rsidR="00C0325D" w:rsidRPr="00037C61">
              <w:rPr>
                <w:rFonts w:cs="Calibri"/>
                <w:sz w:val="18"/>
                <w:szCs w:val="18"/>
                <w:lang w:val="en-GB"/>
              </w:rPr>
              <w:t xml:space="preserve"> (NUTS 3 level)</w:t>
            </w:r>
          </w:p>
        </w:tc>
        <w:tc>
          <w:tcPr>
            <w:tcW w:w="3108" w:type="dxa"/>
            <w:gridSpan w:val="3"/>
            <w:noWrap/>
            <w:hideMark/>
          </w:tcPr>
          <w:p w14:paraId="56A2B47F" w14:textId="65A07A27" w:rsidR="008E6744" w:rsidRPr="00037C61" w:rsidRDefault="007716E6" w:rsidP="008E6744">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18"/>
                <w:lang w:val="en-GB"/>
              </w:rPr>
            </w:pPr>
            <w:r w:rsidRPr="00037C61">
              <w:rPr>
                <w:rFonts w:cs="Calibri"/>
                <w:sz w:val="18"/>
                <w:szCs w:val="18"/>
                <w:lang w:val="en-GB"/>
              </w:rPr>
              <w:t>Total number of passengers transported by: (</w:t>
            </w:r>
            <w:r w:rsidR="008E6744" w:rsidRPr="00037C61">
              <w:rPr>
                <w:rFonts w:cs="Calibri"/>
                <w:sz w:val="18"/>
                <w:szCs w:val="18"/>
                <w:lang w:val="en-GB"/>
              </w:rPr>
              <w:t>2015</w:t>
            </w:r>
            <w:r w:rsidRPr="00037C61">
              <w:rPr>
                <w:rFonts w:cs="Calibri"/>
                <w:sz w:val="18"/>
                <w:szCs w:val="18"/>
                <w:lang w:val="en-GB"/>
              </w:rPr>
              <w:t>)</w:t>
            </w:r>
          </w:p>
        </w:tc>
        <w:tc>
          <w:tcPr>
            <w:tcW w:w="4307" w:type="dxa"/>
            <w:gridSpan w:val="3"/>
          </w:tcPr>
          <w:p w14:paraId="3AF34095" w14:textId="64A66F3D" w:rsidR="008E6744" w:rsidRPr="00037C61" w:rsidRDefault="008E6744" w:rsidP="008E6744">
            <w:pPr>
              <w:jc w:val="center"/>
              <w:cnfStyle w:val="100000000000" w:firstRow="1" w:lastRow="0" w:firstColumn="0" w:lastColumn="0" w:oddVBand="0" w:evenVBand="0" w:oddHBand="0" w:evenHBand="0" w:firstRowFirstColumn="0" w:firstRowLastColumn="0" w:lastRowFirstColumn="0" w:lastRowLastColumn="0"/>
              <w:rPr>
                <w:rFonts w:cs="Calibri"/>
                <w:b w:val="0"/>
                <w:bCs w:val="0"/>
                <w:sz w:val="18"/>
                <w:szCs w:val="18"/>
                <w:lang w:val="en-GB"/>
              </w:rPr>
            </w:pPr>
            <w:r w:rsidRPr="00037C61">
              <w:rPr>
                <w:rFonts w:cs="Calibri"/>
                <w:sz w:val="18"/>
                <w:szCs w:val="18"/>
                <w:lang w:val="en-GB"/>
              </w:rPr>
              <w:t>Trend between 2015 and 2018</w:t>
            </w:r>
          </w:p>
        </w:tc>
      </w:tr>
      <w:tr w:rsidR="00C0325D" w:rsidRPr="00037C61" w14:paraId="71B0EBF7" w14:textId="77777777" w:rsidTr="00C0325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2" w:type="dxa"/>
            <w:vMerge/>
            <w:noWrap/>
          </w:tcPr>
          <w:p w14:paraId="4D384809" w14:textId="77777777" w:rsidR="008E6744" w:rsidRPr="00037C61" w:rsidRDefault="008E6744" w:rsidP="008E6744">
            <w:pPr>
              <w:jc w:val="center"/>
              <w:rPr>
                <w:rFonts w:cs="Calibri"/>
                <w:b w:val="0"/>
                <w:bCs w:val="0"/>
                <w:color w:val="FFFFFF" w:themeColor="background1"/>
                <w:sz w:val="18"/>
                <w:szCs w:val="18"/>
                <w:lang w:val="en-GB"/>
              </w:rPr>
            </w:pPr>
          </w:p>
        </w:tc>
        <w:tc>
          <w:tcPr>
            <w:tcW w:w="887" w:type="dxa"/>
            <w:shd w:val="clear" w:color="auto" w:fill="034FA3" w:themeFill="accent1"/>
            <w:noWrap/>
          </w:tcPr>
          <w:p w14:paraId="03305AE3" w14:textId="3AE69CCD" w:rsidR="008E6744" w:rsidRPr="00037C61" w:rsidRDefault="00C0325D" w:rsidP="008E6744">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val="en-GB"/>
              </w:rPr>
            </w:pPr>
            <w:r w:rsidRPr="00037C61">
              <w:rPr>
                <w:rFonts w:cs="Calibri"/>
                <w:color w:val="FFFFFF" w:themeColor="background1"/>
                <w:sz w:val="18"/>
                <w:szCs w:val="18"/>
                <w:lang w:val="en-GB"/>
              </w:rPr>
              <w:t xml:space="preserve">Tram </w:t>
            </w:r>
          </w:p>
        </w:tc>
        <w:tc>
          <w:tcPr>
            <w:tcW w:w="1184" w:type="dxa"/>
            <w:shd w:val="clear" w:color="auto" w:fill="034FA3" w:themeFill="accent1"/>
          </w:tcPr>
          <w:p w14:paraId="711B733B" w14:textId="3C1A491A" w:rsidR="008E6744" w:rsidRPr="00037C61" w:rsidRDefault="00C0325D" w:rsidP="008E6744">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val="en-GB"/>
              </w:rPr>
            </w:pPr>
            <w:r w:rsidRPr="00037C61">
              <w:rPr>
                <w:rFonts w:cs="Calibri"/>
                <w:color w:val="FFFFFF" w:themeColor="background1"/>
                <w:sz w:val="18"/>
                <w:szCs w:val="18"/>
                <w:lang w:val="en-GB"/>
              </w:rPr>
              <w:t>B</w:t>
            </w:r>
            <w:r w:rsidR="008E6744" w:rsidRPr="00037C61">
              <w:rPr>
                <w:rFonts w:cs="Calibri"/>
                <w:color w:val="FFFFFF" w:themeColor="background1"/>
                <w:sz w:val="18"/>
                <w:szCs w:val="18"/>
                <w:lang w:val="en-GB"/>
              </w:rPr>
              <w:t>us or trolleybus</w:t>
            </w:r>
          </w:p>
        </w:tc>
        <w:tc>
          <w:tcPr>
            <w:tcW w:w="1037" w:type="dxa"/>
            <w:shd w:val="clear" w:color="auto" w:fill="034FA3" w:themeFill="accent1"/>
          </w:tcPr>
          <w:p w14:paraId="45208430" w14:textId="5773421C" w:rsidR="008E6744" w:rsidRPr="00037C61" w:rsidRDefault="00C0325D" w:rsidP="008E6744">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val="en-GB"/>
              </w:rPr>
            </w:pPr>
            <w:r w:rsidRPr="00037C61">
              <w:rPr>
                <w:rFonts w:cs="Calibri"/>
                <w:color w:val="FFFFFF" w:themeColor="background1"/>
                <w:sz w:val="18"/>
                <w:szCs w:val="18"/>
                <w:lang w:val="en-GB"/>
              </w:rPr>
              <w:t>Total</w:t>
            </w:r>
            <w:r w:rsidR="007716E6" w:rsidRPr="00037C61">
              <w:rPr>
                <w:rFonts w:cs="Calibri"/>
                <w:color w:val="FFFFFF" w:themeColor="background1"/>
                <w:sz w:val="18"/>
                <w:szCs w:val="18"/>
                <w:lang w:val="en-GB"/>
              </w:rPr>
              <w:t xml:space="preserve"> </w:t>
            </w:r>
          </w:p>
        </w:tc>
        <w:tc>
          <w:tcPr>
            <w:tcW w:w="1294" w:type="dxa"/>
            <w:shd w:val="clear" w:color="auto" w:fill="034FA3" w:themeFill="accent1"/>
          </w:tcPr>
          <w:p w14:paraId="0B7C099F" w14:textId="7BBC19F0" w:rsidR="008E6744" w:rsidRPr="00037C61" w:rsidRDefault="00C0325D" w:rsidP="008E6744">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val="en-GB"/>
              </w:rPr>
            </w:pPr>
            <w:r w:rsidRPr="00037C61">
              <w:rPr>
                <w:rFonts w:cs="Calibri"/>
                <w:color w:val="FFFFFF" w:themeColor="background1"/>
                <w:sz w:val="18"/>
                <w:szCs w:val="18"/>
                <w:lang w:val="en-GB"/>
              </w:rPr>
              <w:t>Tram passenger no. dynamic (%)</w:t>
            </w:r>
          </w:p>
        </w:tc>
        <w:tc>
          <w:tcPr>
            <w:tcW w:w="1518" w:type="dxa"/>
            <w:shd w:val="clear" w:color="auto" w:fill="034FA3" w:themeFill="accent1"/>
          </w:tcPr>
          <w:p w14:paraId="3089C69E" w14:textId="7A3C105C" w:rsidR="008E6744" w:rsidRPr="00037C61" w:rsidRDefault="00C0325D" w:rsidP="008E6744">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val="en-GB"/>
              </w:rPr>
            </w:pPr>
            <w:r w:rsidRPr="00037C61">
              <w:rPr>
                <w:rFonts w:cs="Calibri"/>
                <w:color w:val="FFFFFF" w:themeColor="background1"/>
                <w:sz w:val="18"/>
                <w:szCs w:val="18"/>
                <w:lang w:val="en-GB"/>
              </w:rPr>
              <w:t>Bus or trolleybus passenger no. dynamic (%)</w:t>
            </w:r>
          </w:p>
        </w:tc>
        <w:tc>
          <w:tcPr>
            <w:tcW w:w="1494" w:type="dxa"/>
            <w:shd w:val="clear" w:color="auto" w:fill="034FA3" w:themeFill="accent1"/>
          </w:tcPr>
          <w:p w14:paraId="30957B88" w14:textId="2B5007AC" w:rsidR="008E6744" w:rsidRPr="00037C61" w:rsidRDefault="00C0325D" w:rsidP="008E6744">
            <w:pPr>
              <w:jc w:val="center"/>
              <w:cnfStyle w:val="000000100000" w:firstRow="0" w:lastRow="0" w:firstColumn="0" w:lastColumn="0" w:oddVBand="0" w:evenVBand="0" w:oddHBand="1" w:evenHBand="0" w:firstRowFirstColumn="0" w:firstRowLastColumn="0" w:lastRowFirstColumn="0" w:lastRowLastColumn="0"/>
              <w:rPr>
                <w:rFonts w:cs="Calibri"/>
                <w:color w:val="FFFFFF" w:themeColor="background1"/>
                <w:sz w:val="18"/>
                <w:szCs w:val="18"/>
                <w:lang w:val="en-GB"/>
              </w:rPr>
            </w:pPr>
            <w:r w:rsidRPr="00037C61">
              <w:rPr>
                <w:rFonts w:cs="Calibri"/>
                <w:color w:val="FFFFFF" w:themeColor="background1"/>
                <w:sz w:val="18"/>
                <w:szCs w:val="18"/>
                <w:lang w:val="en-GB"/>
              </w:rPr>
              <w:t>Total passenger no. dynamic (%)</w:t>
            </w:r>
          </w:p>
        </w:tc>
      </w:tr>
      <w:tr w:rsidR="008E6744" w:rsidRPr="00037C61" w14:paraId="4CD47755" w14:textId="77777777" w:rsidTr="00457478">
        <w:trPr>
          <w:trHeight w:val="286"/>
        </w:trPr>
        <w:tc>
          <w:tcPr>
            <w:cnfStyle w:val="001000000000" w:firstRow="0" w:lastRow="0" w:firstColumn="1" w:lastColumn="0" w:oddVBand="0" w:evenVBand="0" w:oddHBand="0" w:evenHBand="0" w:firstRowFirstColumn="0" w:firstRowLastColumn="0" w:lastRowFirstColumn="0" w:lastRowLastColumn="0"/>
            <w:tcW w:w="1622" w:type="dxa"/>
            <w:noWrap/>
          </w:tcPr>
          <w:p w14:paraId="2B596196" w14:textId="77777777" w:rsidR="008E6744" w:rsidRPr="00037C61" w:rsidRDefault="008E6744" w:rsidP="008E6744">
            <w:pPr>
              <w:jc w:val="center"/>
              <w:rPr>
                <w:rFonts w:cs="Calibri"/>
                <w:color w:val="000000"/>
                <w:sz w:val="18"/>
                <w:szCs w:val="18"/>
                <w:lang w:val="en-GB"/>
              </w:rPr>
            </w:pPr>
            <w:r w:rsidRPr="00037C61">
              <w:rPr>
                <w:rFonts w:cs="Calibri"/>
                <w:color w:val="000000" w:themeColor="text1"/>
                <w:sz w:val="18"/>
                <w:szCs w:val="18"/>
                <w:lang w:val="en-GB"/>
              </w:rPr>
              <w:t>Hajdú-Bihar</w:t>
            </w:r>
          </w:p>
        </w:tc>
        <w:tc>
          <w:tcPr>
            <w:tcW w:w="887" w:type="dxa"/>
            <w:noWrap/>
          </w:tcPr>
          <w:p w14:paraId="1F017EE7"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20378,2</w:t>
            </w:r>
          </w:p>
        </w:tc>
        <w:tc>
          <w:tcPr>
            <w:tcW w:w="1184" w:type="dxa"/>
          </w:tcPr>
          <w:p w14:paraId="176E1B5E"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81811,6</w:t>
            </w:r>
          </w:p>
        </w:tc>
        <w:tc>
          <w:tcPr>
            <w:tcW w:w="1037" w:type="dxa"/>
          </w:tcPr>
          <w:p w14:paraId="761CA882"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102189,8</w:t>
            </w:r>
          </w:p>
        </w:tc>
        <w:tc>
          <w:tcPr>
            <w:tcW w:w="1294" w:type="dxa"/>
          </w:tcPr>
          <w:p w14:paraId="44796861"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1,06%</w:t>
            </w:r>
          </w:p>
        </w:tc>
        <w:tc>
          <w:tcPr>
            <w:tcW w:w="1518" w:type="dxa"/>
          </w:tcPr>
          <w:p w14:paraId="00A63379"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0,52%</w:t>
            </w:r>
          </w:p>
        </w:tc>
        <w:tc>
          <w:tcPr>
            <w:tcW w:w="1494" w:type="dxa"/>
          </w:tcPr>
          <w:p w14:paraId="03116175"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0,63%</w:t>
            </w:r>
          </w:p>
        </w:tc>
      </w:tr>
      <w:tr w:rsidR="008E6744" w:rsidRPr="00037C61" w14:paraId="47940315" w14:textId="77777777" w:rsidTr="00457478">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22" w:type="dxa"/>
            <w:noWrap/>
          </w:tcPr>
          <w:p w14:paraId="0DF2D534" w14:textId="77777777" w:rsidR="008E6744" w:rsidRPr="00037C61" w:rsidRDefault="008E6744" w:rsidP="008E6744">
            <w:pPr>
              <w:jc w:val="center"/>
              <w:rPr>
                <w:rFonts w:cs="Calibri"/>
                <w:color w:val="000000"/>
                <w:sz w:val="18"/>
                <w:szCs w:val="18"/>
                <w:lang w:val="en-GB"/>
              </w:rPr>
            </w:pPr>
            <w:r w:rsidRPr="00037C61">
              <w:rPr>
                <w:rFonts w:cs="Calibri"/>
                <w:color w:val="000000" w:themeColor="text1"/>
                <w:sz w:val="18"/>
                <w:szCs w:val="18"/>
                <w:lang w:val="en-GB"/>
              </w:rPr>
              <w:t>Szabolcs-Szatmár-Bereg</w:t>
            </w:r>
          </w:p>
        </w:tc>
        <w:tc>
          <w:tcPr>
            <w:tcW w:w="887" w:type="dxa"/>
            <w:noWrap/>
          </w:tcPr>
          <w:p w14:paraId="37E9E48A"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w:t>
            </w:r>
          </w:p>
        </w:tc>
        <w:tc>
          <w:tcPr>
            <w:tcW w:w="1184" w:type="dxa"/>
          </w:tcPr>
          <w:p w14:paraId="22F141E6"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19435,5</w:t>
            </w:r>
          </w:p>
        </w:tc>
        <w:tc>
          <w:tcPr>
            <w:tcW w:w="1037" w:type="dxa"/>
          </w:tcPr>
          <w:p w14:paraId="1C79DE23"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19435,5</w:t>
            </w:r>
          </w:p>
        </w:tc>
        <w:tc>
          <w:tcPr>
            <w:tcW w:w="1294" w:type="dxa"/>
          </w:tcPr>
          <w:p w14:paraId="0A4BA66E"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p>
        </w:tc>
        <w:tc>
          <w:tcPr>
            <w:tcW w:w="1518" w:type="dxa"/>
          </w:tcPr>
          <w:p w14:paraId="133C88E7"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-13,27%</w:t>
            </w:r>
          </w:p>
        </w:tc>
        <w:tc>
          <w:tcPr>
            <w:tcW w:w="1494" w:type="dxa"/>
          </w:tcPr>
          <w:p w14:paraId="145CCF93"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-13,27%</w:t>
            </w:r>
          </w:p>
        </w:tc>
      </w:tr>
      <w:tr w:rsidR="008E6744" w:rsidRPr="00037C61" w14:paraId="23B43FB7" w14:textId="77777777" w:rsidTr="00457478">
        <w:trPr>
          <w:trHeight w:val="280"/>
        </w:trPr>
        <w:tc>
          <w:tcPr>
            <w:cnfStyle w:val="001000000000" w:firstRow="0" w:lastRow="0" w:firstColumn="1" w:lastColumn="0" w:oddVBand="0" w:evenVBand="0" w:oddHBand="0" w:evenHBand="0" w:firstRowFirstColumn="0" w:firstRowLastColumn="0" w:lastRowFirstColumn="0" w:lastRowLastColumn="0"/>
            <w:tcW w:w="1622" w:type="dxa"/>
            <w:noWrap/>
          </w:tcPr>
          <w:p w14:paraId="14471DD0" w14:textId="77777777" w:rsidR="008E6744" w:rsidRPr="00037C61" w:rsidRDefault="008E6744" w:rsidP="008E6744">
            <w:pPr>
              <w:jc w:val="center"/>
              <w:rPr>
                <w:rFonts w:cs="Calibri"/>
                <w:color w:val="000000"/>
                <w:sz w:val="18"/>
                <w:szCs w:val="18"/>
                <w:lang w:val="en-GB"/>
              </w:rPr>
            </w:pPr>
            <w:r w:rsidRPr="00037C61">
              <w:rPr>
                <w:rFonts w:cs="Calibri"/>
                <w:color w:val="000000" w:themeColor="text1"/>
                <w:sz w:val="18"/>
                <w:szCs w:val="18"/>
                <w:lang w:val="en-GB"/>
              </w:rPr>
              <w:t>Békés</w:t>
            </w:r>
          </w:p>
        </w:tc>
        <w:tc>
          <w:tcPr>
            <w:tcW w:w="887" w:type="dxa"/>
            <w:noWrap/>
          </w:tcPr>
          <w:p w14:paraId="074F7E98"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w:t>
            </w:r>
          </w:p>
        </w:tc>
        <w:tc>
          <w:tcPr>
            <w:tcW w:w="1184" w:type="dxa"/>
          </w:tcPr>
          <w:p w14:paraId="0FB85261"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8024,3</w:t>
            </w:r>
          </w:p>
        </w:tc>
        <w:tc>
          <w:tcPr>
            <w:tcW w:w="1037" w:type="dxa"/>
          </w:tcPr>
          <w:p w14:paraId="2D3D1FD1"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8024,3</w:t>
            </w:r>
          </w:p>
        </w:tc>
        <w:tc>
          <w:tcPr>
            <w:tcW w:w="1294" w:type="dxa"/>
          </w:tcPr>
          <w:p w14:paraId="1CFA60D5"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p>
        </w:tc>
        <w:tc>
          <w:tcPr>
            <w:tcW w:w="1518" w:type="dxa"/>
          </w:tcPr>
          <w:p w14:paraId="4C617EEE"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-14,26%</w:t>
            </w:r>
          </w:p>
        </w:tc>
        <w:tc>
          <w:tcPr>
            <w:tcW w:w="1494" w:type="dxa"/>
          </w:tcPr>
          <w:p w14:paraId="534F491A"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-14,26%</w:t>
            </w:r>
          </w:p>
        </w:tc>
      </w:tr>
      <w:tr w:rsidR="008E6744" w:rsidRPr="00037C61" w14:paraId="42458CBE" w14:textId="77777777" w:rsidTr="00457478">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2" w:type="dxa"/>
            <w:noWrap/>
          </w:tcPr>
          <w:p w14:paraId="54FD1E14" w14:textId="6729382C" w:rsidR="008E6744" w:rsidRPr="00037C61" w:rsidRDefault="008E6744" w:rsidP="008E6744">
            <w:pPr>
              <w:jc w:val="center"/>
              <w:rPr>
                <w:rFonts w:cs="Calibri"/>
                <w:color w:val="000000"/>
                <w:sz w:val="18"/>
                <w:szCs w:val="18"/>
                <w:lang w:val="en-GB"/>
              </w:rPr>
            </w:pPr>
            <w:r w:rsidRPr="00037C61">
              <w:rPr>
                <w:rFonts w:cs="Calibri"/>
                <w:color w:val="000000" w:themeColor="text1"/>
                <w:sz w:val="18"/>
                <w:szCs w:val="18"/>
                <w:lang w:val="en-GB"/>
              </w:rPr>
              <w:t>Csongrád</w:t>
            </w:r>
            <w:r w:rsidR="5E35ED8F" w:rsidRPr="00037C61">
              <w:rPr>
                <w:rFonts w:cs="Calibri"/>
                <w:color w:val="000000" w:themeColor="text1"/>
                <w:sz w:val="18"/>
                <w:szCs w:val="18"/>
                <w:lang w:val="en-GB"/>
              </w:rPr>
              <w:t>-Csanád</w:t>
            </w:r>
          </w:p>
        </w:tc>
        <w:tc>
          <w:tcPr>
            <w:tcW w:w="887" w:type="dxa"/>
            <w:noWrap/>
          </w:tcPr>
          <w:p w14:paraId="0D77D3DD"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9006,2</w:t>
            </w:r>
          </w:p>
        </w:tc>
        <w:tc>
          <w:tcPr>
            <w:tcW w:w="1184" w:type="dxa"/>
          </w:tcPr>
          <w:p w14:paraId="49077CA8"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65511,7</w:t>
            </w:r>
          </w:p>
        </w:tc>
        <w:tc>
          <w:tcPr>
            <w:tcW w:w="1037" w:type="dxa"/>
          </w:tcPr>
          <w:p w14:paraId="3F461BC9"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74517,9</w:t>
            </w:r>
          </w:p>
        </w:tc>
        <w:tc>
          <w:tcPr>
            <w:tcW w:w="1294" w:type="dxa"/>
          </w:tcPr>
          <w:p w14:paraId="7FA4D74A"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-2,01%</w:t>
            </w:r>
          </w:p>
        </w:tc>
        <w:tc>
          <w:tcPr>
            <w:tcW w:w="1518" w:type="dxa"/>
          </w:tcPr>
          <w:p w14:paraId="71E439F3"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-4,42%</w:t>
            </w:r>
          </w:p>
        </w:tc>
        <w:tc>
          <w:tcPr>
            <w:tcW w:w="1494" w:type="dxa"/>
          </w:tcPr>
          <w:p w14:paraId="5B901A15"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-4,13%</w:t>
            </w:r>
          </w:p>
        </w:tc>
      </w:tr>
      <w:tr w:rsidR="008E6744" w:rsidRPr="00037C61" w14:paraId="4F04AE47" w14:textId="77777777" w:rsidTr="00457478">
        <w:trPr>
          <w:trHeight w:val="280"/>
        </w:trPr>
        <w:tc>
          <w:tcPr>
            <w:cnfStyle w:val="001000000000" w:firstRow="0" w:lastRow="0" w:firstColumn="1" w:lastColumn="0" w:oddVBand="0" w:evenVBand="0" w:oddHBand="0" w:evenHBand="0" w:firstRowFirstColumn="0" w:firstRowLastColumn="0" w:lastRowFirstColumn="0" w:lastRowLastColumn="0"/>
            <w:tcW w:w="1622" w:type="dxa"/>
            <w:noWrap/>
          </w:tcPr>
          <w:p w14:paraId="01352B32" w14:textId="77777777" w:rsidR="008E6744" w:rsidRPr="00037C61" w:rsidRDefault="008E6744" w:rsidP="008E6744">
            <w:pPr>
              <w:jc w:val="center"/>
              <w:rPr>
                <w:rFonts w:cs="Calibri"/>
                <w:color w:val="000000"/>
                <w:sz w:val="18"/>
                <w:szCs w:val="18"/>
                <w:lang w:val="en-GB"/>
              </w:rPr>
            </w:pPr>
            <w:r w:rsidRPr="00037C61">
              <w:rPr>
                <w:rFonts w:cs="Calibri"/>
                <w:color w:val="000000"/>
                <w:sz w:val="18"/>
                <w:szCs w:val="18"/>
                <w:lang w:val="en-GB"/>
              </w:rPr>
              <w:t>Bihor</w:t>
            </w:r>
          </w:p>
        </w:tc>
        <w:tc>
          <w:tcPr>
            <w:tcW w:w="887" w:type="dxa"/>
            <w:noWrap/>
          </w:tcPr>
          <w:p w14:paraId="6FC6CC4B"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27052</w:t>
            </w:r>
          </w:p>
        </w:tc>
        <w:tc>
          <w:tcPr>
            <w:tcW w:w="1184" w:type="dxa"/>
          </w:tcPr>
          <w:p w14:paraId="38983CC1"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20170</w:t>
            </w:r>
          </w:p>
        </w:tc>
        <w:tc>
          <w:tcPr>
            <w:tcW w:w="1037" w:type="dxa"/>
          </w:tcPr>
          <w:p w14:paraId="435F7F85"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47222</w:t>
            </w:r>
          </w:p>
        </w:tc>
        <w:tc>
          <w:tcPr>
            <w:tcW w:w="1294" w:type="dxa"/>
          </w:tcPr>
          <w:p w14:paraId="41ABEF20"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9,41%</w:t>
            </w:r>
          </w:p>
        </w:tc>
        <w:tc>
          <w:tcPr>
            <w:tcW w:w="1518" w:type="dxa"/>
          </w:tcPr>
          <w:p w14:paraId="7C018858"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-13,69%</w:t>
            </w:r>
          </w:p>
        </w:tc>
        <w:tc>
          <w:tcPr>
            <w:tcW w:w="1494" w:type="dxa"/>
          </w:tcPr>
          <w:p w14:paraId="61D8A37C" w14:textId="77777777" w:rsidR="008E6744" w:rsidRPr="00037C61" w:rsidRDefault="008E6744" w:rsidP="008E6744">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-0,46%</w:t>
            </w:r>
          </w:p>
        </w:tc>
      </w:tr>
      <w:tr w:rsidR="008E6744" w:rsidRPr="00037C61" w14:paraId="539EEF76" w14:textId="77777777" w:rsidTr="00457478">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019EB8A8" w14:textId="77777777" w:rsidR="008E6744" w:rsidRPr="00037C61" w:rsidRDefault="008E6744" w:rsidP="008E6744">
            <w:pPr>
              <w:jc w:val="center"/>
              <w:rPr>
                <w:rFonts w:cs="Calibri"/>
                <w:color w:val="000000"/>
                <w:sz w:val="18"/>
                <w:szCs w:val="18"/>
                <w:lang w:val="en-GB"/>
              </w:rPr>
            </w:pPr>
            <w:r w:rsidRPr="00037C61">
              <w:rPr>
                <w:rFonts w:cs="Calibri"/>
                <w:color w:val="000000"/>
                <w:sz w:val="18"/>
                <w:szCs w:val="18"/>
                <w:lang w:val="en-GB"/>
              </w:rPr>
              <w:t>Satu Mare</w:t>
            </w:r>
          </w:p>
        </w:tc>
        <w:tc>
          <w:tcPr>
            <w:tcW w:w="887" w:type="dxa"/>
            <w:noWrap/>
            <w:hideMark/>
          </w:tcPr>
          <w:p w14:paraId="411EB6DC"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w:t>
            </w:r>
          </w:p>
        </w:tc>
        <w:tc>
          <w:tcPr>
            <w:tcW w:w="1184" w:type="dxa"/>
          </w:tcPr>
          <w:p w14:paraId="5259E7BE"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7990</w:t>
            </w:r>
          </w:p>
        </w:tc>
        <w:tc>
          <w:tcPr>
            <w:tcW w:w="1037" w:type="dxa"/>
          </w:tcPr>
          <w:p w14:paraId="5E1C56D0"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7990</w:t>
            </w:r>
          </w:p>
        </w:tc>
        <w:tc>
          <w:tcPr>
            <w:tcW w:w="1294" w:type="dxa"/>
          </w:tcPr>
          <w:p w14:paraId="003B4DE5"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0,00%</w:t>
            </w:r>
          </w:p>
        </w:tc>
        <w:tc>
          <w:tcPr>
            <w:tcW w:w="1518" w:type="dxa"/>
          </w:tcPr>
          <w:p w14:paraId="7E2805FB"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100,00%</w:t>
            </w:r>
          </w:p>
        </w:tc>
        <w:tc>
          <w:tcPr>
            <w:tcW w:w="1494" w:type="dxa"/>
          </w:tcPr>
          <w:p w14:paraId="607A6C70"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200,00%</w:t>
            </w:r>
          </w:p>
        </w:tc>
      </w:tr>
      <w:tr w:rsidR="00457478" w:rsidRPr="00037C61" w14:paraId="48A87DA3" w14:textId="77777777" w:rsidTr="00457478">
        <w:trPr>
          <w:trHeight w:val="28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1355557D" w14:textId="77777777" w:rsidR="007716E6" w:rsidRPr="00037C61" w:rsidRDefault="007716E6" w:rsidP="007716E6">
            <w:pPr>
              <w:jc w:val="center"/>
              <w:rPr>
                <w:rFonts w:cs="Calibri"/>
                <w:color w:val="000000"/>
                <w:sz w:val="18"/>
                <w:szCs w:val="18"/>
                <w:lang w:val="en-GB"/>
              </w:rPr>
            </w:pPr>
            <w:r w:rsidRPr="00037C61">
              <w:rPr>
                <w:rFonts w:cs="Calibri"/>
                <w:color w:val="000000"/>
                <w:sz w:val="18"/>
                <w:szCs w:val="18"/>
                <w:lang w:val="en-GB"/>
              </w:rPr>
              <w:t>Arad</w:t>
            </w:r>
          </w:p>
        </w:tc>
        <w:tc>
          <w:tcPr>
            <w:tcW w:w="887" w:type="dxa"/>
            <w:noWrap/>
          </w:tcPr>
          <w:p w14:paraId="4BBD6B29" w14:textId="00C0392D" w:rsidR="007716E6" w:rsidRPr="00037C61" w:rsidRDefault="007716E6" w:rsidP="007716E6">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lang w:val="en-GB"/>
              </w:rPr>
            </w:pPr>
            <w:r w:rsidRPr="00037C61">
              <w:rPr>
                <w:rFonts w:cs="Calibri"/>
                <w:color w:val="000000" w:themeColor="text1"/>
                <w:sz w:val="18"/>
                <w:szCs w:val="18"/>
                <w:lang w:val="en-GB"/>
              </w:rPr>
              <w:t>N/A</w:t>
            </w:r>
          </w:p>
        </w:tc>
        <w:tc>
          <w:tcPr>
            <w:tcW w:w="1184" w:type="dxa"/>
          </w:tcPr>
          <w:p w14:paraId="3CC4DA10" w14:textId="695E27A6" w:rsidR="007716E6" w:rsidRPr="00037C61" w:rsidRDefault="007716E6" w:rsidP="007716E6">
            <w:pPr>
              <w:jc w:val="center"/>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color w:val="000000" w:themeColor="text1"/>
                <w:sz w:val="18"/>
                <w:szCs w:val="18"/>
                <w:lang w:val="en-GB"/>
              </w:rPr>
              <w:t>N/A</w:t>
            </w:r>
          </w:p>
        </w:tc>
        <w:tc>
          <w:tcPr>
            <w:tcW w:w="1037" w:type="dxa"/>
          </w:tcPr>
          <w:p w14:paraId="66EE6D4E" w14:textId="5C23F3E6" w:rsidR="007716E6" w:rsidRPr="00037C61" w:rsidRDefault="007716E6" w:rsidP="007716E6">
            <w:pPr>
              <w:jc w:val="center"/>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color w:val="000000" w:themeColor="text1"/>
                <w:sz w:val="18"/>
                <w:szCs w:val="18"/>
                <w:lang w:val="en-GB"/>
              </w:rPr>
              <w:t>N/A</w:t>
            </w:r>
          </w:p>
        </w:tc>
        <w:tc>
          <w:tcPr>
            <w:tcW w:w="1294" w:type="dxa"/>
            <w:shd w:val="clear" w:color="auto" w:fill="auto"/>
          </w:tcPr>
          <w:p w14:paraId="63E42CD7" w14:textId="315D8794" w:rsidR="007716E6" w:rsidRPr="00037C61" w:rsidRDefault="007716E6" w:rsidP="007716E6">
            <w:pPr>
              <w:jc w:val="center"/>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color w:val="000000" w:themeColor="text1"/>
                <w:sz w:val="18"/>
                <w:szCs w:val="18"/>
                <w:lang w:val="en-GB"/>
              </w:rPr>
              <w:t>N/A</w:t>
            </w:r>
          </w:p>
        </w:tc>
        <w:tc>
          <w:tcPr>
            <w:tcW w:w="1518" w:type="dxa"/>
            <w:shd w:val="clear" w:color="auto" w:fill="auto"/>
          </w:tcPr>
          <w:p w14:paraId="43991656" w14:textId="6C271320" w:rsidR="007716E6" w:rsidRPr="00037C61" w:rsidRDefault="007716E6" w:rsidP="007716E6">
            <w:pPr>
              <w:jc w:val="center"/>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color w:val="000000" w:themeColor="text1"/>
                <w:sz w:val="18"/>
                <w:szCs w:val="18"/>
                <w:lang w:val="en-GB"/>
              </w:rPr>
              <w:t>N/A</w:t>
            </w:r>
          </w:p>
        </w:tc>
        <w:tc>
          <w:tcPr>
            <w:tcW w:w="1494" w:type="dxa"/>
            <w:shd w:val="clear" w:color="auto" w:fill="auto"/>
          </w:tcPr>
          <w:p w14:paraId="62FAC019" w14:textId="3215B514" w:rsidR="007716E6" w:rsidRPr="00037C61" w:rsidRDefault="007716E6" w:rsidP="007716E6">
            <w:pPr>
              <w:jc w:val="center"/>
              <w:cnfStyle w:val="000000000000" w:firstRow="0"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color w:val="000000" w:themeColor="text1"/>
                <w:sz w:val="18"/>
                <w:szCs w:val="18"/>
                <w:lang w:val="en-GB"/>
              </w:rPr>
              <w:t>N/A</w:t>
            </w:r>
          </w:p>
        </w:tc>
      </w:tr>
      <w:tr w:rsidR="008E6744" w:rsidRPr="00037C61" w14:paraId="3DAFF010" w14:textId="77777777" w:rsidTr="00457478">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2" w:type="dxa"/>
            <w:noWrap/>
            <w:hideMark/>
          </w:tcPr>
          <w:p w14:paraId="02E8A80A" w14:textId="77777777" w:rsidR="008E6744" w:rsidRPr="00037C61" w:rsidRDefault="008E6744" w:rsidP="008E6744">
            <w:pPr>
              <w:jc w:val="center"/>
              <w:rPr>
                <w:rFonts w:cs="Calibri"/>
                <w:color w:val="000000"/>
                <w:sz w:val="18"/>
                <w:szCs w:val="18"/>
                <w:lang w:val="en-GB"/>
              </w:rPr>
            </w:pPr>
            <w:r w:rsidRPr="00037C61">
              <w:rPr>
                <w:rFonts w:cs="Calibri"/>
                <w:color w:val="000000"/>
                <w:sz w:val="18"/>
                <w:szCs w:val="18"/>
                <w:lang w:val="en-GB"/>
              </w:rPr>
              <w:t>Timiș</w:t>
            </w:r>
          </w:p>
        </w:tc>
        <w:tc>
          <w:tcPr>
            <w:tcW w:w="887" w:type="dxa"/>
            <w:noWrap/>
            <w:hideMark/>
          </w:tcPr>
          <w:p w14:paraId="32834899"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35035</w:t>
            </w:r>
          </w:p>
        </w:tc>
        <w:tc>
          <w:tcPr>
            <w:tcW w:w="1184" w:type="dxa"/>
          </w:tcPr>
          <w:p w14:paraId="7184DB91"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36929</w:t>
            </w:r>
          </w:p>
        </w:tc>
        <w:tc>
          <w:tcPr>
            <w:tcW w:w="1037" w:type="dxa"/>
          </w:tcPr>
          <w:p w14:paraId="10E82D2F"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71964</w:t>
            </w:r>
          </w:p>
        </w:tc>
        <w:tc>
          <w:tcPr>
            <w:tcW w:w="1294" w:type="dxa"/>
          </w:tcPr>
          <w:p w14:paraId="361A1FF1"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160,76%</w:t>
            </w:r>
          </w:p>
        </w:tc>
        <w:tc>
          <w:tcPr>
            <w:tcW w:w="1518" w:type="dxa"/>
          </w:tcPr>
          <w:p w14:paraId="23483F69"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86,75%</w:t>
            </w:r>
          </w:p>
        </w:tc>
        <w:tc>
          <w:tcPr>
            <w:tcW w:w="1494" w:type="dxa"/>
          </w:tcPr>
          <w:p w14:paraId="25B57756" w14:textId="77777777" w:rsidR="008E6744" w:rsidRPr="00037C61" w:rsidRDefault="008E6744" w:rsidP="008E6744">
            <w:pPr>
              <w:jc w:val="center"/>
              <w:cnfStyle w:val="000000100000" w:firstRow="0" w:lastRow="0" w:firstColumn="0" w:lastColumn="0" w:oddVBand="0" w:evenVBand="0" w:oddHBand="1" w:evenHBand="0" w:firstRowFirstColumn="0" w:firstRowLastColumn="0" w:lastRowFirstColumn="0" w:lastRowLastColumn="0"/>
              <w:rPr>
                <w:rFonts w:cs="Calibri"/>
                <w:color w:val="000000"/>
                <w:sz w:val="18"/>
                <w:szCs w:val="18"/>
                <w:lang w:val="en-GB"/>
              </w:rPr>
            </w:pPr>
            <w:r w:rsidRPr="00037C61">
              <w:rPr>
                <w:rFonts w:cs="Calibri"/>
                <w:color w:val="000000"/>
                <w:sz w:val="18"/>
                <w:szCs w:val="18"/>
                <w:lang w:val="en-GB"/>
              </w:rPr>
              <w:t>122,79%</w:t>
            </w:r>
          </w:p>
        </w:tc>
      </w:tr>
    </w:tbl>
    <w:p w14:paraId="21997D24" w14:textId="6D2250C5" w:rsidR="008E6744" w:rsidRPr="00037C61" w:rsidRDefault="008E6744" w:rsidP="008E6744">
      <w:pPr>
        <w:pStyle w:val="Caption"/>
        <w:jc w:val="both"/>
        <w:rPr>
          <w:i w:val="0"/>
          <w:iCs w:val="0"/>
          <w:lang w:val="en-GB"/>
        </w:rPr>
      </w:pPr>
      <w:r w:rsidRPr="00037C61">
        <w:rPr>
          <w:lang w:val="en-GB"/>
        </w:rPr>
        <w:t>Source: INS Transport of passengers and goods by modes of transport (1.01-30.09.2020)</w:t>
      </w:r>
    </w:p>
    <w:p w14:paraId="78374379" w14:textId="77777777" w:rsidR="00716B71" w:rsidRPr="00037C61" w:rsidRDefault="00716B71" w:rsidP="00716B71">
      <w:pPr>
        <w:spacing w:line="256" w:lineRule="auto"/>
        <w:rPr>
          <w:rFonts w:eastAsia="Calibri" w:cs="Calibri"/>
          <w:b/>
          <w:bCs/>
          <w:lang w:val="en-GB"/>
        </w:rPr>
      </w:pPr>
    </w:p>
    <w:p w14:paraId="10AEE61C" w14:textId="2A825F95" w:rsidR="00716B71" w:rsidRPr="00037C61" w:rsidRDefault="00716B71" w:rsidP="00716B71">
      <w:pPr>
        <w:spacing w:line="256" w:lineRule="auto"/>
        <w:rPr>
          <w:rFonts w:eastAsia="Calibri" w:cs="Calibri"/>
          <w:lang w:val="en-GB"/>
        </w:rPr>
      </w:pPr>
      <w:r w:rsidRPr="00037C61">
        <w:rPr>
          <w:rFonts w:eastAsia="Calibri" w:cs="Calibri"/>
          <w:b/>
          <w:bCs/>
          <w:lang w:val="en-GB"/>
        </w:rPr>
        <w:lastRenderedPageBreak/>
        <w:t>Regarding airport access,</w:t>
      </w:r>
      <w:r w:rsidRPr="00037C61">
        <w:rPr>
          <w:rFonts w:eastAsia="Calibri" w:cs="Calibri"/>
          <w:lang w:val="en-GB"/>
        </w:rPr>
        <w:t xml:space="preserve"> the programme area is structured between the catchment area of the Timișoara airport, the largest in the region (1.6 million passengers in 2019) and Debrecen airport (</w:t>
      </w:r>
      <w:r w:rsidR="00C456B5" w:rsidRPr="00037C61">
        <w:rPr>
          <w:rFonts w:eastAsia="Calibri" w:cs="Calibri"/>
          <w:lang w:val="en-GB"/>
        </w:rPr>
        <w:t>380</w:t>
      </w:r>
      <w:r w:rsidRPr="00037C61">
        <w:rPr>
          <w:rFonts w:eastAsia="Calibri" w:cs="Calibri"/>
          <w:lang w:val="en-GB"/>
        </w:rPr>
        <w:t xml:space="preserve">,000 passengers in </w:t>
      </w:r>
      <w:r w:rsidR="00C456B5" w:rsidRPr="00037C61">
        <w:rPr>
          <w:rFonts w:eastAsia="Calibri" w:cs="Calibri"/>
          <w:lang w:val="en-GB"/>
        </w:rPr>
        <w:t>2018</w:t>
      </w:r>
      <w:r w:rsidRPr="00037C61">
        <w:rPr>
          <w:rFonts w:eastAsia="Calibri" w:cs="Calibri"/>
          <w:lang w:val="en-GB"/>
        </w:rPr>
        <w:t xml:space="preserve">), both on a rising trend, with several small and very small airports in direct competition especially in the </w:t>
      </w:r>
      <w:r w:rsidRPr="00037C61">
        <w:rPr>
          <w:lang w:val="en-GB"/>
        </w:rPr>
        <w:t>Debrecen – Oradea –</w:t>
      </w:r>
      <w:r w:rsidR="06CEF32C" w:rsidRPr="00037C61">
        <w:rPr>
          <w:lang w:val="en-GB"/>
        </w:rPr>
        <w:t xml:space="preserve"> </w:t>
      </w:r>
      <w:r w:rsidRPr="00037C61">
        <w:rPr>
          <w:lang w:val="en-GB"/>
        </w:rPr>
        <w:t xml:space="preserve">Nyíregyháza – Satu Mare area, which is moreover in proximity to the Baia Mare international airport.  </w:t>
      </w:r>
    </w:p>
    <w:p w14:paraId="05F363C4" w14:textId="3ABC335F" w:rsidR="002900D7" w:rsidRPr="00037C61" w:rsidRDefault="002900D7" w:rsidP="00457478">
      <w:pPr>
        <w:pStyle w:val="Caption"/>
        <w:keepNext/>
        <w:jc w:val="left"/>
        <w:rPr>
          <w:lang w:val="en-GB"/>
        </w:rPr>
      </w:pPr>
      <w:bookmarkStart w:id="775" w:name="_Toc58237663"/>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41</w:t>
      </w:r>
      <w:r w:rsidRPr="00037C61">
        <w:rPr>
          <w:lang w:val="en-GB"/>
        </w:rPr>
        <w:fldChar w:fldCharType="end"/>
      </w:r>
      <w:r w:rsidRPr="00037C61">
        <w:rPr>
          <w:lang w:val="en-GB"/>
        </w:rPr>
        <w:t xml:space="preserve"> - Airport traffic in the PA, by airport, thousands of passengers (2008-2018)</w:t>
      </w:r>
      <w:bookmarkEnd w:id="775"/>
    </w:p>
    <w:tbl>
      <w:tblPr>
        <w:tblStyle w:val="ListTable3-Accent11"/>
        <w:tblW w:w="9070" w:type="dxa"/>
        <w:tblLook w:val="04A0" w:firstRow="1" w:lastRow="0" w:firstColumn="1" w:lastColumn="0" w:noHBand="0" w:noVBand="1"/>
      </w:tblPr>
      <w:tblGrid>
        <w:gridCol w:w="1047"/>
        <w:gridCol w:w="671"/>
        <w:gridCol w:w="672"/>
        <w:gridCol w:w="687"/>
        <w:gridCol w:w="687"/>
        <w:gridCol w:w="687"/>
        <w:gridCol w:w="634"/>
        <w:gridCol w:w="634"/>
        <w:gridCol w:w="688"/>
        <w:gridCol w:w="688"/>
        <w:gridCol w:w="688"/>
        <w:gridCol w:w="688"/>
        <w:gridCol w:w="599"/>
      </w:tblGrid>
      <w:tr w:rsidR="00457478" w:rsidRPr="00037C61" w14:paraId="2CD617F7" w14:textId="77777777" w:rsidTr="00457478">
        <w:trPr>
          <w:cnfStyle w:val="100000000000" w:firstRow="1" w:lastRow="0" w:firstColumn="0" w:lastColumn="0" w:oddVBand="0" w:evenVBand="0" w:oddHBand="0" w:evenHBand="0" w:firstRowFirstColumn="0" w:firstRowLastColumn="0" w:lastRowFirstColumn="0" w:lastRowLastColumn="0"/>
          <w:trHeight w:val="312"/>
        </w:trPr>
        <w:tc>
          <w:tcPr>
            <w:cnfStyle w:val="001000000100" w:firstRow="0" w:lastRow="0" w:firstColumn="1" w:lastColumn="0" w:oddVBand="0" w:evenVBand="0" w:oddHBand="0" w:evenHBand="0" w:firstRowFirstColumn="1" w:firstRowLastColumn="0" w:lastRowFirstColumn="0" w:lastRowLastColumn="0"/>
            <w:tcW w:w="0" w:type="dxa"/>
            <w:hideMark/>
          </w:tcPr>
          <w:p w14:paraId="64F882B5" w14:textId="77777777" w:rsidR="007E6749" w:rsidRPr="00037C61" w:rsidRDefault="007E6749" w:rsidP="007E6749">
            <w:pPr>
              <w:jc w:val="center"/>
              <w:rPr>
                <w:rFonts w:eastAsia="Times New Roman" w:cs="Calibri"/>
                <w:color w:val="FFFFFF"/>
                <w:sz w:val="16"/>
                <w:szCs w:val="16"/>
                <w:lang w:val="en-GB" w:eastAsia="en-GB"/>
              </w:rPr>
            </w:pPr>
            <w:r w:rsidRPr="00037C61">
              <w:rPr>
                <w:rFonts w:eastAsia="Times New Roman" w:cs="Calibri"/>
                <w:color w:val="FFFFFF"/>
                <w:sz w:val="16"/>
                <w:szCs w:val="16"/>
                <w:lang w:val="en-GB" w:eastAsia="en-GB"/>
              </w:rPr>
              <w:t> </w:t>
            </w:r>
          </w:p>
        </w:tc>
        <w:tc>
          <w:tcPr>
            <w:tcW w:w="0" w:type="dxa"/>
            <w:hideMark/>
          </w:tcPr>
          <w:p w14:paraId="2CBB4188"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2008</w:t>
            </w:r>
          </w:p>
        </w:tc>
        <w:tc>
          <w:tcPr>
            <w:tcW w:w="662" w:type="dxa"/>
            <w:hideMark/>
          </w:tcPr>
          <w:p w14:paraId="26CDC7D6"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2009</w:t>
            </w:r>
          </w:p>
        </w:tc>
        <w:tc>
          <w:tcPr>
            <w:tcW w:w="677" w:type="dxa"/>
            <w:hideMark/>
          </w:tcPr>
          <w:p w14:paraId="3F7836E2"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2010</w:t>
            </w:r>
          </w:p>
        </w:tc>
        <w:tc>
          <w:tcPr>
            <w:tcW w:w="677" w:type="dxa"/>
            <w:hideMark/>
          </w:tcPr>
          <w:p w14:paraId="01DE434A"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2011</w:t>
            </w:r>
          </w:p>
        </w:tc>
        <w:tc>
          <w:tcPr>
            <w:tcW w:w="677" w:type="dxa"/>
            <w:hideMark/>
          </w:tcPr>
          <w:p w14:paraId="46C8106D"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2012</w:t>
            </w:r>
          </w:p>
        </w:tc>
        <w:tc>
          <w:tcPr>
            <w:tcW w:w="625" w:type="dxa"/>
            <w:hideMark/>
          </w:tcPr>
          <w:p w14:paraId="042AF554"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2013</w:t>
            </w:r>
          </w:p>
        </w:tc>
        <w:tc>
          <w:tcPr>
            <w:tcW w:w="625" w:type="dxa"/>
            <w:hideMark/>
          </w:tcPr>
          <w:p w14:paraId="7F1245D1"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2014</w:t>
            </w:r>
          </w:p>
        </w:tc>
        <w:tc>
          <w:tcPr>
            <w:tcW w:w="678" w:type="dxa"/>
            <w:hideMark/>
          </w:tcPr>
          <w:p w14:paraId="7B0D6CDE"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2015</w:t>
            </w:r>
          </w:p>
        </w:tc>
        <w:tc>
          <w:tcPr>
            <w:tcW w:w="678" w:type="dxa"/>
            <w:hideMark/>
          </w:tcPr>
          <w:p w14:paraId="4D1669EC"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2016</w:t>
            </w:r>
          </w:p>
        </w:tc>
        <w:tc>
          <w:tcPr>
            <w:tcW w:w="678" w:type="dxa"/>
            <w:hideMark/>
          </w:tcPr>
          <w:p w14:paraId="6FEA6483"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2017</w:t>
            </w:r>
          </w:p>
        </w:tc>
        <w:tc>
          <w:tcPr>
            <w:tcW w:w="678" w:type="dxa"/>
            <w:hideMark/>
          </w:tcPr>
          <w:p w14:paraId="0E1EF75E"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2018</w:t>
            </w:r>
          </w:p>
        </w:tc>
        <w:tc>
          <w:tcPr>
            <w:tcW w:w="0" w:type="dxa"/>
            <w:noWrap/>
            <w:hideMark/>
          </w:tcPr>
          <w:p w14:paraId="55049BB3" w14:textId="77777777" w:rsidR="007E6749" w:rsidRPr="00037C61" w:rsidRDefault="007E6749" w:rsidP="007E6749">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6"/>
                <w:szCs w:val="16"/>
                <w:lang w:val="en-GB" w:eastAsia="en-GB"/>
              </w:rPr>
            </w:pPr>
            <w:r w:rsidRPr="00037C61">
              <w:rPr>
                <w:rFonts w:eastAsia="Times New Roman" w:cs="Calibri"/>
                <w:color w:val="auto"/>
                <w:sz w:val="16"/>
                <w:szCs w:val="16"/>
                <w:lang w:val="en-GB" w:eastAsia="en-GB"/>
              </w:rPr>
              <w:t>2008-2018</w:t>
            </w:r>
          </w:p>
        </w:tc>
      </w:tr>
      <w:tr w:rsidR="004A5488" w:rsidRPr="00037C61" w14:paraId="199B772B" w14:textId="77777777" w:rsidTr="002900D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FBD1D2" w:themeFill="accent3" w:themeFillTint="33"/>
            <w:hideMark/>
          </w:tcPr>
          <w:p w14:paraId="2C6234D3"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Debrecen</w:t>
            </w:r>
          </w:p>
        </w:tc>
        <w:tc>
          <w:tcPr>
            <w:tcW w:w="0" w:type="dxa"/>
            <w:shd w:val="clear" w:color="auto" w:fill="FBD1D2" w:themeFill="accent3" w:themeFillTint="33"/>
            <w:hideMark/>
          </w:tcPr>
          <w:p w14:paraId="4E91512D"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42.7</w:t>
            </w:r>
          </w:p>
        </w:tc>
        <w:tc>
          <w:tcPr>
            <w:tcW w:w="662" w:type="dxa"/>
            <w:shd w:val="clear" w:color="auto" w:fill="FBD1D2" w:themeFill="accent3" w:themeFillTint="33"/>
            <w:hideMark/>
          </w:tcPr>
          <w:p w14:paraId="37E412F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25.1</w:t>
            </w:r>
          </w:p>
        </w:tc>
        <w:tc>
          <w:tcPr>
            <w:tcW w:w="677" w:type="dxa"/>
            <w:shd w:val="clear" w:color="auto" w:fill="FBD1D2" w:themeFill="accent3" w:themeFillTint="33"/>
            <w:hideMark/>
          </w:tcPr>
          <w:p w14:paraId="43B8BC50"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24.4</w:t>
            </w:r>
          </w:p>
        </w:tc>
        <w:tc>
          <w:tcPr>
            <w:tcW w:w="677" w:type="dxa"/>
            <w:shd w:val="clear" w:color="auto" w:fill="FBD1D2" w:themeFill="accent3" w:themeFillTint="33"/>
            <w:hideMark/>
          </w:tcPr>
          <w:p w14:paraId="211D2B7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19.1</w:t>
            </w:r>
          </w:p>
        </w:tc>
        <w:tc>
          <w:tcPr>
            <w:tcW w:w="677" w:type="dxa"/>
            <w:shd w:val="clear" w:color="auto" w:fill="FBD1D2" w:themeFill="accent3" w:themeFillTint="33"/>
            <w:hideMark/>
          </w:tcPr>
          <w:p w14:paraId="77187AD8"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47.7</w:t>
            </w:r>
          </w:p>
        </w:tc>
        <w:tc>
          <w:tcPr>
            <w:tcW w:w="625" w:type="dxa"/>
            <w:shd w:val="clear" w:color="auto" w:fill="FBD1D2" w:themeFill="accent3" w:themeFillTint="33"/>
            <w:hideMark/>
          </w:tcPr>
          <w:p w14:paraId="012DA6C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129.2</w:t>
            </w:r>
          </w:p>
        </w:tc>
        <w:tc>
          <w:tcPr>
            <w:tcW w:w="625" w:type="dxa"/>
            <w:shd w:val="clear" w:color="auto" w:fill="FBD1D2" w:themeFill="accent3" w:themeFillTint="33"/>
            <w:hideMark/>
          </w:tcPr>
          <w:p w14:paraId="4F64194D"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145.7</w:t>
            </w:r>
          </w:p>
        </w:tc>
        <w:tc>
          <w:tcPr>
            <w:tcW w:w="678" w:type="dxa"/>
            <w:shd w:val="clear" w:color="auto" w:fill="FBD1D2" w:themeFill="accent3" w:themeFillTint="33"/>
            <w:hideMark/>
          </w:tcPr>
          <w:p w14:paraId="4E2B863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172.2</w:t>
            </w:r>
          </w:p>
        </w:tc>
        <w:tc>
          <w:tcPr>
            <w:tcW w:w="678" w:type="dxa"/>
            <w:shd w:val="clear" w:color="auto" w:fill="FBD1D2" w:themeFill="accent3" w:themeFillTint="33"/>
            <w:hideMark/>
          </w:tcPr>
          <w:p w14:paraId="76C9298C"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285.0</w:t>
            </w:r>
          </w:p>
        </w:tc>
        <w:tc>
          <w:tcPr>
            <w:tcW w:w="678" w:type="dxa"/>
            <w:shd w:val="clear" w:color="auto" w:fill="FBD1D2" w:themeFill="accent3" w:themeFillTint="33"/>
            <w:hideMark/>
          </w:tcPr>
          <w:p w14:paraId="1E4BCED5"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318.2</w:t>
            </w:r>
          </w:p>
        </w:tc>
        <w:tc>
          <w:tcPr>
            <w:tcW w:w="678" w:type="dxa"/>
            <w:shd w:val="clear" w:color="auto" w:fill="FBD1D2" w:themeFill="accent3" w:themeFillTint="33"/>
            <w:hideMark/>
          </w:tcPr>
          <w:p w14:paraId="5D4A754E"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381.4</w:t>
            </w:r>
          </w:p>
        </w:tc>
        <w:tc>
          <w:tcPr>
            <w:tcW w:w="0" w:type="dxa"/>
            <w:shd w:val="clear" w:color="auto" w:fill="FBD1D2" w:themeFill="accent3" w:themeFillTint="33"/>
            <w:noWrap/>
            <w:hideMark/>
          </w:tcPr>
          <w:p w14:paraId="0C830675"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794%</w:t>
            </w:r>
          </w:p>
        </w:tc>
      </w:tr>
      <w:tr w:rsidR="004A5488" w:rsidRPr="00037C61" w14:paraId="1CFA906F" w14:textId="77777777" w:rsidTr="002900D7">
        <w:trPr>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FBD1D2" w:themeFill="accent3" w:themeFillTint="33"/>
            <w:hideMark/>
          </w:tcPr>
          <w:p w14:paraId="7C377D17"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Nyíregyháza</w:t>
            </w:r>
          </w:p>
        </w:tc>
        <w:tc>
          <w:tcPr>
            <w:tcW w:w="0" w:type="dxa"/>
            <w:shd w:val="clear" w:color="auto" w:fill="FBD1D2" w:themeFill="accent3" w:themeFillTint="33"/>
            <w:hideMark/>
          </w:tcPr>
          <w:p w14:paraId="77C6DEB4"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62" w:type="dxa"/>
            <w:shd w:val="clear" w:color="auto" w:fill="FBD1D2" w:themeFill="accent3" w:themeFillTint="33"/>
            <w:hideMark/>
          </w:tcPr>
          <w:p w14:paraId="235A8944"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31.3</w:t>
            </w:r>
          </w:p>
        </w:tc>
        <w:tc>
          <w:tcPr>
            <w:tcW w:w="677" w:type="dxa"/>
            <w:shd w:val="clear" w:color="auto" w:fill="FBD1D2" w:themeFill="accent3" w:themeFillTint="33"/>
            <w:hideMark/>
          </w:tcPr>
          <w:p w14:paraId="6350C28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29.6</w:t>
            </w:r>
          </w:p>
        </w:tc>
        <w:tc>
          <w:tcPr>
            <w:tcW w:w="677" w:type="dxa"/>
            <w:shd w:val="clear" w:color="auto" w:fill="FBD1D2" w:themeFill="accent3" w:themeFillTint="33"/>
            <w:hideMark/>
          </w:tcPr>
          <w:p w14:paraId="2C42AFAC"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13.5</w:t>
            </w:r>
          </w:p>
        </w:tc>
        <w:tc>
          <w:tcPr>
            <w:tcW w:w="677" w:type="dxa"/>
            <w:shd w:val="clear" w:color="auto" w:fill="FBD1D2" w:themeFill="accent3" w:themeFillTint="33"/>
            <w:hideMark/>
          </w:tcPr>
          <w:p w14:paraId="155A270A"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17.1</w:t>
            </w:r>
          </w:p>
        </w:tc>
        <w:tc>
          <w:tcPr>
            <w:tcW w:w="625" w:type="dxa"/>
            <w:shd w:val="clear" w:color="auto" w:fill="FBD1D2" w:themeFill="accent3" w:themeFillTint="33"/>
            <w:hideMark/>
          </w:tcPr>
          <w:p w14:paraId="3E985E09"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15.9</w:t>
            </w:r>
          </w:p>
        </w:tc>
        <w:tc>
          <w:tcPr>
            <w:tcW w:w="625" w:type="dxa"/>
            <w:shd w:val="clear" w:color="auto" w:fill="FBD1D2" w:themeFill="accent3" w:themeFillTint="33"/>
            <w:hideMark/>
          </w:tcPr>
          <w:p w14:paraId="765C49F8"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7.8</w:t>
            </w:r>
          </w:p>
        </w:tc>
        <w:tc>
          <w:tcPr>
            <w:tcW w:w="678" w:type="dxa"/>
            <w:shd w:val="clear" w:color="auto" w:fill="FBD1D2" w:themeFill="accent3" w:themeFillTint="33"/>
            <w:hideMark/>
          </w:tcPr>
          <w:p w14:paraId="4D8EB2F8"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27.3</w:t>
            </w:r>
          </w:p>
        </w:tc>
        <w:tc>
          <w:tcPr>
            <w:tcW w:w="678" w:type="dxa"/>
            <w:shd w:val="clear" w:color="auto" w:fill="FBD1D2" w:themeFill="accent3" w:themeFillTint="33"/>
            <w:hideMark/>
          </w:tcPr>
          <w:p w14:paraId="7674A1F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34.3</w:t>
            </w:r>
          </w:p>
        </w:tc>
        <w:tc>
          <w:tcPr>
            <w:tcW w:w="678" w:type="dxa"/>
            <w:shd w:val="clear" w:color="auto" w:fill="FBD1D2" w:themeFill="accent3" w:themeFillTint="33"/>
            <w:hideMark/>
          </w:tcPr>
          <w:p w14:paraId="7375902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29.3</w:t>
            </w:r>
          </w:p>
        </w:tc>
        <w:tc>
          <w:tcPr>
            <w:tcW w:w="678" w:type="dxa"/>
            <w:shd w:val="clear" w:color="auto" w:fill="FBD1D2" w:themeFill="accent3" w:themeFillTint="33"/>
            <w:hideMark/>
          </w:tcPr>
          <w:p w14:paraId="0029622D"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0" w:type="dxa"/>
            <w:shd w:val="clear" w:color="auto" w:fill="FBD1D2" w:themeFill="accent3" w:themeFillTint="33"/>
            <w:noWrap/>
            <w:hideMark/>
          </w:tcPr>
          <w:p w14:paraId="4EA7F8A4"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-6%</w:t>
            </w:r>
          </w:p>
        </w:tc>
      </w:tr>
      <w:tr w:rsidR="004A5488" w:rsidRPr="00037C61" w14:paraId="660A3478" w14:textId="77777777" w:rsidTr="002900D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FBD1D2" w:themeFill="accent3" w:themeFillTint="33"/>
            <w:hideMark/>
          </w:tcPr>
          <w:p w14:paraId="5383C6EB"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Szeged</w:t>
            </w:r>
          </w:p>
        </w:tc>
        <w:tc>
          <w:tcPr>
            <w:tcW w:w="0" w:type="dxa"/>
            <w:shd w:val="clear" w:color="auto" w:fill="FBD1D2" w:themeFill="accent3" w:themeFillTint="33"/>
            <w:hideMark/>
          </w:tcPr>
          <w:p w14:paraId="017301FD"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62" w:type="dxa"/>
            <w:shd w:val="clear" w:color="auto" w:fill="FBD1D2" w:themeFill="accent3" w:themeFillTint="33"/>
            <w:hideMark/>
          </w:tcPr>
          <w:p w14:paraId="341FE78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77" w:type="dxa"/>
            <w:shd w:val="clear" w:color="auto" w:fill="FBD1D2" w:themeFill="accent3" w:themeFillTint="33"/>
            <w:hideMark/>
          </w:tcPr>
          <w:p w14:paraId="47011A3A"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29.2</w:t>
            </w:r>
          </w:p>
        </w:tc>
        <w:tc>
          <w:tcPr>
            <w:tcW w:w="677" w:type="dxa"/>
            <w:shd w:val="clear" w:color="auto" w:fill="FBD1D2" w:themeFill="accent3" w:themeFillTint="33"/>
            <w:hideMark/>
          </w:tcPr>
          <w:p w14:paraId="10580AA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22.1</w:t>
            </w:r>
          </w:p>
        </w:tc>
        <w:tc>
          <w:tcPr>
            <w:tcW w:w="677" w:type="dxa"/>
            <w:shd w:val="clear" w:color="auto" w:fill="FBD1D2" w:themeFill="accent3" w:themeFillTint="33"/>
            <w:hideMark/>
          </w:tcPr>
          <w:p w14:paraId="1C9DC0A0"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24.6</w:t>
            </w:r>
          </w:p>
        </w:tc>
        <w:tc>
          <w:tcPr>
            <w:tcW w:w="625" w:type="dxa"/>
            <w:shd w:val="clear" w:color="auto" w:fill="FBD1D2" w:themeFill="accent3" w:themeFillTint="33"/>
            <w:hideMark/>
          </w:tcPr>
          <w:p w14:paraId="6AF37BAF"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22.6</w:t>
            </w:r>
          </w:p>
        </w:tc>
        <w:tc>
          <w:tcPr>
            <w:tcW w:w="625" w:type="dxa"/>
            <w:shd w:val="clear" w:color="auto" w:fill="FBD1D2" w:themeFill="accent3" w:themeFillTint="33"/>
            <w:hideMark/>
          </w:tcPr>
          <w:p w14:paraId="19DCE64E"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19.9</w:t>
            </w:r>
          </w:p>
        </w:tc>
        <w:tc>
          <w:tcPr>
            <w:tcW w:w="678" w:type="dxa"/>
            <w:shd w:val="clear" w:color="auto" w:fill="FBD1D2" w:themeFill="accent3" w:themeFillTint="33"/>
            <w:hideMark/>
          </w:tcPr>
          <w:p w14:paraId="4A7C106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78" w:type="dxa"/>
            <w:shd w:val="clear" w:color="auto" w:fill="FBD1D2" w:themeFill="accent3" w:themeFillTint="33"/>
            <w:hideMark/>
          </w:tcPr>
          <w:p w14:paraId="148D557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78" w:type="dxa"/>
            <w:shd w:val="clear" w:color="auto" w:fill="FBD1D2" w:themeFill="accent3" w:themeFillTint="33"/>
            <w:hideMark/>
          </w:tcPr>
          <w:p w14:paraId="0D14BC95"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78" w:type="dxa"/>
            <w:shd w:val="clear" w:color="auto" w:fill="FBD1D2" w:themeFill="accent3" w:themeFillTint="33"/>
            <w:hideMark/>
          </w:tcPr>
          <w:p w14:paraId="6F934764"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0" w:type="dxa"/>
            <w:shd w:val="clear" w:color="auto" w:fill="FBD1D2" w:themeFill="accent3" w:themeFillTint="33"/>
            <w:noWrap/>
            <w:hideMark/>
          </w:tcPr>
          <w:p w14:paraId="0026A81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N/A</w:t>
            </w:r>
          </w:p>
        </w:tc>
      </w:tr>
      <w:tr w:rsidR="004A5488" w:rsidRPr="00037C61" w14:paraId="087FED94" w14:textId="77777777" w:rsidTr="002900D7">
        <w:trPr>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EAEDF6" w:themeFill="accent2" w:themeFillTint="33"/>
            <w:hideMark/>
          </w:tcPr>
          <w:p w14:paraId="308BC473"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Oradea</w:t>
            </w:r>
          </w:p>
        </w:tc>
        <w:tc>
          <w:tcPr>
            <w:tcW w:w="0" w:type="dxa"/>
            <w:shd w:val="clear" w:color="auto" w:fill="EAEDF6" w:themeFill="accent2" w:themeFillTint="33"/>
            <w:hideMark/>
          </w:tcPr>
          <w:p w14:paraId="7CFC445E"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38.8</w:t>
            </w:r>
          </w:p>
        </w:tc>
        <w:tc>
          <w:tcPr>
            <w:tcW w:w="662" w:type="dxa"/>
            <w:shd w:val="clear" w:color="auto" w:fill="EAEDF6" w:themeFill="accent2" w:themeFillTint="33"/>
            <w:hideMark/>
          </w:tcPr>
          <w:p w14:paraId="74D7CD1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41.7</w:t>
            </w:r>
          </w:p>
        </w:tc>
        <w:tc>
          <w:tcPr>
            <w:tcW w:w="677" w:type="dxa"/>
            <w:shd w:val="clear" w:color="auto" w:fill="EAEDF6" w:themeFill="accent2" w:themeFillTint="33"/>
            <w:hideMark/>
          </w:tcPr>
          <w:p w14:paraId="15E50B96"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36.5</w:t>
            </w:r>
          </w:p>
        </w:tc>
        <w:tc>
          <w:tcPr>
            <w:tcW w:w="677" w:type="dxa"/>
            <w:shd w:val="clear" w:color="auto" w:fill="EAEDF6" w:themeFill="accent2" w:themeFillTint="33"/>
            <w:hideMark/>
          </w:tcPr>
          <w:p w14:paraId="0EFA2D92"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77" w:type="dxa"/>
            <w:shd w:val="clear" w:color="auto" w:fill="EAEDF6" w:themeFill="accent2" w:themeFillTint="33"/>
            <w:hideMark/>
          </w:tcPr>
          <w:p w14:paraId="2EB2F6BB"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40.4</w:t>
            </w:r>
          </w:p>
        </w:tc>
        <w:tc>
          <w:tcPr>
            <w:tcW w:w="625" w:type="dxa"/>
            <w:shd w:val="clear" w:color="auto" w:fill="EAEDF6" w:themeFill="accent2" w:themeFillTint="33"/>
            <w:hideMark/>
          </w:tcPr>
          <w:p w14:paraId="22B042B8"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3.9</w:t>
            </w:r>
          </w:p>
        </w:tc>
        <w:tc>
          <w:tcPr>
            <w:tcW w:w="625" w:type="dxa"/>
            <w:shd w:val="clear" w:color="auto" w:fill="EAEDF6" w:themeFill="accent2" w:themeFillTint="33"/>
            <w:hideMark/>
          </w:tcPr>
          <w:p w14:paraId="5EFC5E1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36.5</w:t>
            </w:r>
          </w:p>
        </w:tc>
        <w:tc>
          <w:tcPr>
            <w:tcW w:w="678" w:type="dxa"/>
            <w:shd w:val="clear" w:color="auto" w:fill="EAEDF6" w:themeFill="accent2" w:themeFillTint="33"/>
            <w:hideMark/>
          </w:tcPr>
          <w:p w14:paraId="12B1881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8.1</w:t>
            </w:r>
          </w:p>
        </w:tc>
        <w:tc>
          <w:tcPr>
            <w:tcW w:w="678" w:type="dxa"/>
            <w:shd w:val="clear" w:color="auto" w:fill="EAEDF6" w:themeFill="accent2" w:themeFillTint="33"/>
            <w:hideMark/>
          </w:tcPr>
          <w:p w14:paraId="3FBFCDDA"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41.9</w:t>
            </w:r>
          </w:p>
        </w:tc>
        <w:tc>
          <w:tcPr>
            <w:tcW w:w="678" w:type="dxa"/>
            <w:shd w:val="clear" w:color="auto" w:fill="EAEDF6" w:themeFill="accent2" w:themeFillTint="33"/>
            <w:hideMark/>
          </w:tcPr>
          <w:p w14:paraId="3C48EDB3"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162.0</w:t>
            </w:r>
          </w:p>
        </w:tc>
        <w:tc>
          <w:tcPr>
            <w:tcW w:w="678" w:type="dxa"/>
            <w:shd w:val="clear" w:color="auto" w:fill="EAEDF6" w:themeFill="accent2" w:themeFillTint="33"/>
            <w:hideMark/>
          </w:tcPr>
          <w:p w14:paraId="54D3CD22"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220.0</w:t>
            </w:r>
          </w:p>
        </w:tc>
        <w:tc>
          <w:tcPr>
            <w:tcW w:w="0" w:type="dxa"/>
            <w:shd w:val="clear" w:color="auto" w:fill="EAEDF6" w:themeFill="accent2" w:themeFillTint="33"/>
            <w:noWrap/>
            <w:hideMark/>
          </w:tcPr>
          <w:p w14:paraId="5C717AC6"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466%</w:t>
            </w:r>
          </w:p>
        </w:tc>
      </w:tr>
      <w:tr w:rsidR="004A5488" w:rsidRPr="00037C61" w14:paraId="12B61D89" w14:textId="77777777" w:rsidTr="002900D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EAEDF6" w:themeFill="accent2" w:themeFillTint="33"/>
            <w:hideMark/>
          </w:tcPr>
          <w:p w14:paraId="2EC9EC9B"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Timișoara</w:t>
            </w:r>
          </w:p>
        </w:tc>
        <w:tc>
          <w:tcPr>
            <w:tcW w:w="0" w:type="dxa"/>
            <w:shd w:val="clear" w:color="auto" w:fill="EAEDF6" w:themeFill="accent2" w:themeFillTint="33"/>
            <w:hideMark/>
          </w:tcPr>
          <w:p w14:paraId="1386C5BC"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886.1</w:t>
            </w:r>
          </w:p>
        </w:tc>
        <w:tc>
          <w:tcPr>
            <w:tcW w:w="662" w:type="dxa"/>
            <w:shd w:val="clear" w:color="auto" w:fill="EAEDF6" w:themeFill="accent2" w:themeFillTint="33"/>
            <w:hideMark/>
          </w:tcPr>
          <w:p w14:paraId="345C8574"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991.7</w:t>
            </w:r>
          </w:p>
        </w:tc>
        <w:tc>
          <w:tcPr>
            <w:tcW w:w="677" w:type="dxa"/>
            <w:shd w:val="clear" w:color="auto" w:fill="EAEDF6" w:themeFill="accent2" w:themeFillTint="33"/>
            <w:hideMark/>
          </w:tcPr>
          <w:p w14:paraId="5C7889E8"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1136.1</w:t>
            </w:r>
          </w:p>
        </w:tc>
        <w:tc>
          <w:tcPr>
            <w:tcW w:w="677" w:type="dxa"/>
            <w:shd w:val="clear" w:color="auto" w:fill="EAEDF6" w:themeFill="accent2" w:themeFillTint="33"/>
            <w:hideMark/>
          </w:tcPr>
          <w:p w14:paraId="174F702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1202.9</w:t>
            </w:r>
          </w:p>
        </w:tc>
        <w:tc>
          <w:tcPr>
            <w:tcW w:w="677" w:type="dxa"/>
            <w:shd w:val="clear" w:color="auto" w:fill="EAEDF6" w:themeFill="accent2" w:themeFillTint="33"/>
            <w:hideMark/>
          </w:tcPr>
          <w:p w14:paraId="5D8E976E"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1039.1</w:t>
            </w:r>
          </w:p>
        </w:tc>
        <w:tc>
          <w:tcPr>
            <w:tcW w:w="625" w:type="dxa"/>
            <w:shd w:val="clear" w:color="auto" w:fill="EAEDF6" w:themeFill="accent2" w:themeFillTint="33"/>
            <w:hideMark/>
          </w:tcPr>
          <w:p w14:paraId="42543C30"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757.1</w:t>
            </w:r>
          </w:p>
        </w:tc>
        <w:tc>
          <w:tcPr>
            <w:tcW w:w="625" w:type="dxa"/>
            <w:shd w:val="clear" w:color="auto" w:fill="EAEDF6" w:themeFill="accent2" w:themeFillTint="33"/>
            <w:hideMark/>
          </w:tcPr>
          <w:p w14:paraId="3495E67D"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735.5</w:t>
            </w:r>
          </w:p>
        </w:tc>
        <w:tc>
          <w:tcPr>
            <w:tcW w:w="678" w:type="dxa"/>
            <w:shd w:val="clear" w:color="auto" w:fill="EAEDF6" w:themeFill="accent2" w:themeFillTint="33"/>
            <w:hideMark/>
          </w:tcPr>
          <w:p w14:paraId="75B81635"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924.5</w:t>
            </w:r>
          </w:p>
        </w:tc>
        <w:tc>
          <w:tcPr>
            <w:tcW w:w="678" w:type="dxa"/>
            <w:shd w:val="clear" w:color="auto" w:fill="EAEDF6" w:themeFill="accent2" w:themeFillTint="33"/>
            <w:hideMark/>
          </w:tcPr>
          <w:p w14:paraId="3238F66D"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1161.6</w:t>
            </w:r>
          </w:p>
        </w:tc>
        <w:tc>
          <w:tcPr>
            <w:tcW w:w="678" w:type="dxa"/>
            <w:shd w:val="clear" w:color="auto" w:fill="EAEDF6" w:themeFill="accent2" w:themeFillTint="33"/>
            <w:hideMark/>
          </w:tcPr>
          <w:p w14:paraId="4E528126"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1621.5</w:t>
            </w:r>
          </w:p>
        </w:tc>
        <w:tc>
          <w:tcPr>
            <w:tcW w:w="678" w:type="dxa"/>
            <w:shd w:val="clear" w:color="auto" w:fill="EAEDF6" w:themeFill="accent2" w:themeFillTint="33"/>
            <w:hideMark/>
          </w:tcPr>
          <w:p w14:paraId="4E31689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1517.3</w:t>
            </w:r>
          </w:p>
        </w:tc>
        <w:tc>
          <w:tcPr>
            <w:tcW w:w="0" w:type="dxa"/>
            <w:shd w:val="clear" w:color="auto" w:fill="EAEDF6" w:themeFill="accent2" w:themeFillTint="33"/>
            <w:noWrap/>
            <w:hideMark/>
          </w:tcPr>
          <w:p w14:paraId="588573BE"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71%</w:t>
            </w:r>
          </w:p>
        </w:tc>
      </w:tr>
      <w:tr w:rsidR="004A5488" w:rsidRPr="00037C61" w14:paraId="5A8FFCA9" w14:textId="77777777" w:rsidTr="002900D7">
        <w:trPr>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EAEDF6" w:themeFill="accent2" w:themeFillTint="33"/>
            <w:hideMark/>
          </w:tcPr>
          <w:p w14:paraId="6F97DE9E"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Arad</w:t>
            </w:r>
          </w:p>
        </w:tc>
        <w:tc>
          <w:tcPr>
            <w:tcW w:w="0" w:type="dxa"/>
            <w:shd w:val="clear" w:color="auto" w:fill="EAEDF6" w:themeFill="accent2" w:themeFillTint="33"/>
            <w:hideMark/>
          </w:tcPr>
          <w:p w14:paraId="3044490A"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78.0</w:t>
            </w:r>
          </w:p>
        </w:tc>
        <w:tc>
          <w:tcPr>
            <w:tcW w:w="662" w:type="dxa"/>
            <w:shd w:val="clear" w:color="auto" w:fill="EAEDF6" w:themeFill="accent2" w:themeFillTint="33"/>
            <w:hideMark/>
          </w:tcPr>
          <w:p w14:paraId="46B2BF00"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44.7</w:t>
            </w:r>
          </w:p>
        </w:tc>
        <w:tc>
          <w:tcPr>
            <w:tcW w:w="677" w:type="dxa"/>
            <w:shd w:val="clear" w:color="auto" w:fill="EAEDF6" w:themeFill="accent2" w:themeFillTint="33"/>
            <w:hideMark/>
          </w:tcPr>
          <w:p w14:paraId="52564FF2"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8.4</w:t>
            </w:r>
          </w:p>
        </w:tc>
        <w:tc>
          <w:tcPr>
            <w:tcW w:w="677" w:type="dxa"/>
            <w:shd w:val="clear" w:color="auto" w:fill="EAEDF6" w:themeFill="accent2" w:themeFillTint="33"/>
            <w:hideMark/>
          </w:tcPr>
          <w:p w14:paraId="5445D4CC"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w:t>
            </w:r>
          </w:p>
        </w:tc>
        <w:tc>
          <w:tcPr>
            <w:tcW w:w="677" w:type="dxa"/>
            <w:shd w:val="clear" w:color="auto" w:fill="EAEDF6" w:themeFill="accent2" w:themeFillTint="33"/>
            <w:hideMark/>
          </w:tcPr>
          <w:p w14:paraId="160186CE"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14.8</w:t>
            </w:r>
          </w:p>
        </w:tc>
        <w:tc>
          <w:tcPr>
            <w:tcW w:w="625" w:type="dxa"/>
            <w:shd w:val="clear" w:color="auto" w:fill="EAEDF6" w:themeFill="accent2" w:themeFillTint="33"/>
            <w:hideMark/>
          </w:tcPr>
          <w:p w14:paraId="539D478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39.9</w:t>
            </w:r>
          </w:p>
        </w:tc>
        <w:tc>
          <w:tcPr>
            <w:tcW w:w="625" w:type="dxa"/>
            <w:shd w:val="clear" w:color="auto" w:fill="EAEDF6" w:themeFill="accent2" w:themeFillTint="33"/>
            <w:hideMark/>
          </w:tcPr>
          <w:p w14:paraId="53CD025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28.3</w:t>
            </w:r>
          </w:p>
        </w:tc>
        <w:tc>
          <w:tcPr>
            <w:tcW w:w="678" w:type="dxa"/>
            <w:shd w:val="clear" w:color="auto" w:fill="EAEDF6" w:themeFill="accent2" w:themeFillTint="33"/>
            <w:hideMark/>
          </w:tcPr>
          <w:p w14:paraId="7ADED130"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8.5</w:t>
            </w:r>
          </w:p>
        </w:tc>
        <w:tc>
          <w:tcPr>
            <w:tcW w:w="678" w:type="dxa"/>
            <w:shd w:val="clear" w:color="auto" w:fill="EAEDF6" w:themeFill="accent2" w:themeFillTint="33"/>
            <w:hideMark/>
          </w:tcPr>
          <w:p w14:paraId="510C10A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0.0</w:t>
            </w:r>
          </w:p>
        </w:tc>
        <w:tc>
          <w:tcPr>
            <w:tcW w:w="678" w:type="dxa"/>
            <w:shd w:val="clear" w:color="auto" w:fill="EAEDF6" w:themeFill="accent2" w:themeFillTint="33"/>
            <w:hideMark/>
          </w:tcPr>
          <w:p w14:paraId="56E6C36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10.8</w:t>
            </w:r>
          </w:p>
        </w:tc>
        <w:tc>
          <w:tcPr>
            <w:tcW w:w="678" w:type="dxa"/>
            <w:shd w:val="clear" w:color="auto" w:fill="EAEDF6" w:themeFill="accent2" w:themeFillTint="33"/>
            <w:hideMark/>
          </w:tcPr>
          <w:p w14:paraId="6DE45615"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11.4</w:t>
            </w:r>
          </w:p>
        </w:tc>
        <w:tc>
          <w:tcPr>
            <w:tcW w:w="0" w:type="dxa"/>
            <w:shd w:val="clear" w:color="auto" w:fill="EAEDF6" w:themeFill="accent2" w:themeFillTint="33"/>
            <w:noWrap/>
            <w:hideMark/>
          </w:tcPr>
          <w:p w14:paraId="6BC75EE2"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-85%</w:t>
            </w:r>
          </w:p>
        </w:tc>
      </w:tr>
      <w:tr w:rsidR="004A5488" w:rsidRPr="00037C61" w14:paraId="646E6D83" w14:textId="77777777" w:rsidTr="002900D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EAEDF6" w:themeFill="accent2" w:themeFillTint="33"/>
            <w:hideMark/>
          </w:tcPr>
          <w:p w14:paraId="60DCC346"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Satu Mare</w:t>
            </w:r>
          </w:p>
        </w:tc>
        <w:tc>
          <w:tcPr>
            <w:tcW w:w="0" w:type="dxa"/>
            <w:shd w:val="clear" w:color="auto" w:fill="EAEDF6" w:themeFill="accent2" w:themeFillTint="33"/>
            <w:hideMark/>
          </w:tcPr>
          <w:p w14:paraId="103C3324"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7.3</w:t>
            </w:r>
          </w:p>
        </w:tc>
        <w:tc>
          <w:tcPr>
            <w:tcW w:w="662" w:type="dxa"/>
            <w:shd w:val="clear" w:color="auto" w:fill="EAEDF6" w:themeFill="accent2" w:themeFillTint="33"/>
            <w:hideMark/>
          </w:tcPr>
          <w:p w14:paraId="7082B654"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11.1</w:t>
            </w:r>
          </w:p>
        </w:tc>
        <w:tc>
          <w:tcPr>
            <w:tcW w:w="677" w:type="dxa"/>
            <w:shd w:val="clear" w:color="auto" w:fill="EAEDF6" w:themeFill="accent2" w:themeFillTint="33"/>
            <w:hideMark/>
          </w:tcPr>
          <w:p w14:paraId="6199B4F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18.9</w:t>
            </w:r>
          </w:p>
        </w:tc>
        <w:tc>
          <w:tcPr>
            <w:tcW w:w="677" w:type="dxa"/>
            <w:shd w:val="clear" w:color="auto" w:fill="EAEDF6" w:themeFill="accent2" w:themeFillTint="33"/>
            <w:hideMark/>
          </w:tcPr>
          <w:p w14:paraId="60BF6847"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23.5</w:t>
            </w:r>
          </w:p>
        </w:tc>
        <w:tc>
          <w:tcPr>
            <w:tcW w:w="677" w:type="dxa"/>
            <w:shd w:val="clear" w:color="auto" w:fill="EAEDF6" w:themeFill="accent2" w:themeFillTint="33"/>
            <w:hideMark/>
          </w:tcPr>
          <w:p w14:paraId="2A1046C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19.3</w:t>
            </w:r>
          </w:p>
        </w:tc>
        <w:tc>
          <w:tcPr>
            <w:tcW w:w="625" w:type="dxa"/>
            <w:shd w:val="clear" w:color="auto" w:fill="EAEDF6" w:themeFill="accent2" w:themeFillTint="33"/>
            <w:hideMark/>
          </w:tcPr>
          <w:p w14:paraId="4D774795"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16.2</w:t>
            </w:r>
          </w:p>
        </w:tc>
        <w:tc>
          <w:tcPr>
            <w:tcW w:w="625" w:type="dxa"/>
            <w:shd w:val="clear" w:color="auto" w:fill="EAEDF6" w:themeFill="accent2" w:themeFillTint="33"/>
            <w:hideMark/>
          </w:tcPr>
          <w:p w14:paraId="7402076D"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12.6</w:t>
            </w:r>
          </w:p>
        </w:tc>
        <w:tc>
          <w:tcPr>
            <w:tcW w:w="678" w:type="dxa"/>
            <w:shd w:val="clear" w:color="auto" w:fill="EAEDF6" w:themeFill="accent2" w:themeFillTint="33"/>
            <w:hideMark/>
          </w:tcPr>
          <w:p w14:paraId="0CE3DACF"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17.2</w:t>
            </w:r>
          </w:p>
        </w:tc>
        <w:tc>
          <w:tcPr>
            <w:tcW w:w="678" w:type="dxa"/>
            <w:shd w:val="clear" w:color="auto" w:fill="EAEDF6" w:themeFill="accent2" w:themeFillTint="33"/>
            <w:hideMark/>
          </w:tcPr>
          <w:p w14:paraId="1C4DF49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23.8</w:t>
            </w:r>
          </w:p>
        </w:tc>
        <w:tc>
          <w:tcPr>
            <w:tcW w:w="678" w:type="dxa"/>
            <w:shd w:val="clear" w:color="auto" w:fill="EAEDF6" w:themeFill="accent2" w:themeFillTint="33"/>
            <w:hideMark/>
          </w:tcPr>
          <w:p w14:paraId="75AC2F7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60.8</w:t>
            </w:r>
          </w:p>
        </w:tc>
        <w:tc>
          <w:tcPr>
            <w:tcW w:w="678" w:type="dxa"/>
            <w:shd w:val="clear" w:color="auto" w:fill="EAEDF6" w:themeFill="accent2" w:themeFillTint="33"/>
            <w:hideMark/>
          </w:tcPr>
          <w:p w14:paraId="69A52145"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75.7</w:t>
            </w:r>
          </w:p>
        </w:tc>
        <w:tc>
          <w:tcPr>
            <w:tcW w:w="0" w:type="dxa"/>
            <w:shd w:val="clear" w:color="auto" w:fill="EAEDF6" w:themeFill="accent2" w:themeFillTint="33"/>
            <w:noWrap/>
            <w:hideMark/>
          </w:tcPr>
          <w:p w14:paraId="7EFA53D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937%</w:t>
            </w:r>
          </w:p>
        </w:tc>
      </w:tr>
      <w:tr w:rsidR="004A5488" w:rsidRPr="00037C61" w14:paraId="153317E9" w14:textId="77777777" w:rsidTr="002900D7">
        <w:trPr>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FBD1D2" w:themeFill="accent3" w:themeFillTint="33"/>
            <w:hideMark/>
          </w:tcPr>
          <w:p w14:paraId="7B6C2CB4"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Total Hu</w:t>
            </w:r>
          </w:p>
        </w:tc>
        <w:tc>
          <w:tcPr>
            <w:tcW w:w="0" w:type="dxa"/>
            <w:shd w:val="clear" w:color="auto" w:fill="FBD1D2" w:themeFill="accent3" w:themeFillTint="33"/>
            <w:hideMark/>
          </w:tcPr>
          <w:p w14:paraId="7FFBE7BA"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42.7</w:t>
            </w:r>
          </w:p>
        </w:tc>
        <w:tc>
          <w:tcPr>
            <w:tcW w:w="662" w:type="dxa"/>
            <w:shd w:val="clear" w:color="auto" w:fill="FBD1D2" w:themeFill="accent3" w:themeFillTint="33"/>
            <w:hideMark/>
          </w:tcPr>
          <w:p w14:paraId="7DF5D1F6"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56.4</w:t>
            </w:r>
          </w:p>
        </w:tc>
        <w:tc>
          <w:tcPr>
            <w:tcW w:w="677" w:type="dxa"/>
            <w:shd w:val="clear" w:color="auto" w:fill="FBD1D2" w:themeFill="accent3" w:themeFillTint="33"/>
            <w:hideMark/>
          </w:tcPr>
          <w:p w14:paraId="5A84D343"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83.2</w:t>
            </w:r>
          </w:p>
        </w:tc>
        <w:tc>
          <w:tcPr>
            <w:tcW w:w="677" w:type="dxa"/>
            <w:shd w:val="clear" w:color="auto" w:fill="FBD1D2" w:themeFill="accent3" w:themeFillTint="33"/>
            <w:hideMark/>
          </w:tcPr>
          <w:p w14:paraId="34A985C9"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54.7</w:t>
            </w:r>
          </w:p>
        </w:tc>
        <w:tc>
          <w:tcPr>
            <w:tcW w:w="677" w:type="dxa"/>
            <w:shd w:val="clear" w:color="auto" w:fill="FBD1D2" w:themeFill="accent3" w:themeFillTint="33"/>
            <w:hideMark/>
          </w:tcPr>
          <w:p w14:paraId="667E3EB1"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89.5</w:t>
            </w:r>
          </w:p>
        </w:tc>
        <w:tc>
          <w:tcPr>
            <w:tcW w:w="625" w:type="dxa"/>
            <w:shd w:val="clear" w:color="auto" w:fill="FBD1D2" w:themeFill="accent3" w:themeFillTint="33"/>
            <w:hideMark/>
          </w:tcPr>
          <w:p w14:paraId="143801DE"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167.7</w:t>
            </w:r>
          </w:p>
        </w:tc>
        <w:tc>
          <w:tcPr>
            <w:tcW w:w="625" w:type="dxa"/>
            <w:shd w:val="clear" w:color="auto" w:fill="FBD1D2" w:themeFill="accent3" w:themeFillTint="33"/>
            <w:hideMark/>
          </w:tcPr>
          <w:p w14:paraId="43AC54E6"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173.4</w:t>
            </w:r>
          </w:p>
        </w:tc>
        <w:tc>
          <w:tcPr>
            <w:tcW w:w="678" w:type="dxa"/>
            <w:shd w:val="clear" w:color="auto" w:fill="FBD1D2" w:themeFill="accent3" w:themeFillTint="33"/>
            <w:hideMark/>
          </w:tcPr>
          <w:p w14:paraId="4541DEA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199.5</w:t>
            </w:r>
          </w:p>
        </w:tc>
        <w:tc>
          <w:tcPr>
            <w:tcW w:w="678" w:type="dxa"/>
            <w:shd w:val="clear" w:color="auto" w:fill="FBD1D2" w:themeFill="accent3" w:themeFillTint="33"/>
            <w:hideMark/>
          </w:tcPr>
          <w:p w14:paraId="0B08C555"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319.3</w:t>
            </w:r>
          </w:p>
        </w:tc>
        <w:tc>
          <w:tcPr>
            <w:tcW w:w="678" w:type="dxa"/>
            <w:shd w:val="clear" w:color="auto" w:fill="FBD1D2" w:themeFill="accent3" w:themeFillTint="33"/>
            <w:hideMark/>
          </w:tcPr>
          <w:p w14:paraId="6A86F49D"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347.5</w:t>
            </w:r>
          </w:p>
        </w:tc>
        <w:tc>
          <w:tcPr>
            <w:tcW w:w="678" w:type="dxa"/>
            <w:shd w:val="clear" w:color="auto" w:fill="FBD1D2" w:themeFill="accent3" w:themeFillTint="33"/>
            <w:hideMark/>
          </w:tcPr>
          <w:p w14:paraId="566327B7"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381.4</w:t>
            </w:r>
          </w:p>
        </w:tc>
        <w:tc>
          <w:tcPr>
            <w:tcW w:w="0" w:type="dxa"/>
            <w:shd w:val="clear" w:color="auto" w:fill="FBD1D2" w:themeFill="accent3" w:themeFillTint="33"/>
            <w:noWrap/>
            <w:hideMark/>
          </w:tcPr>
          <w:p w14:paraId="34F77AE9"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794%</w:t>
            </w:r>
          </w:p>
        </w:tc>
      </w:tr>
      <w:tr w:rsidR="004A5488" w:rsidRPr="00037C61" w14:paraId="2EB8EB64" w14:textId="77777777" w:rsidTr="002900D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EAEDF6" w:themeFill="accent2" w:themeFillTint="33"/>
            <w:hideMark/>
          </w:tcPr>
          <w:p w14:paraId="64290242"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Total Ro</w:t>
            </w:r>
          </w:p>
        </w:tc>
        <w:tc>
          <w:tcPr>
            <w:tcW w:w="0" w:type="dxa"/>
            <w:shd w:val="clear" w:color="auto" w:fill="EAEDF6" w:themeFill="accent2" w:themeFillTint="33"/>
            <w:hideMark/>
          </w:tcPr>
          <w:p w14:paraId="14489C29"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1010.3</w:t>
            </w:r>
          </w:p>
        </w:tc>
        <w:tc>
          <w:tcPr>
            <w:tcW w:w="662" w:type="dxa"/>
            <w:shd w:val="clear" w:color="auto" w:fill="EAEDF6" w:themeFill="accent2" w:themeFillTint="33"/>
            <w:hideMark/>
          </w:tcPr>
          <w:p w14:paraId="409B7FE0"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1089.3</w:t>
            </w:r>
          </w:p>
        </w:tc>
        <w:tc>
          <w:tcPr>
            <w:tcW w:w="677" w:type="dxa"/>
            <w:shd w:val="clear" w:color="auto" w:fill="EAEDF6" w:themeFill="accent2" w:themeFillTint="33"/>
            <w:hideMark/>
          </w:tcPr>
          <w:p w14:paraId="288589F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1199.8</w:t>
            </w:r>
          </w:p>
        </w:tc>
        <w:tc>
          <w:tcPr>
            <w:tcW w:w="677" w:type="dxa"/>
            <w:shd w:val="clear" w:color="auto" w:fill="EAEDF6" w:themeFill="accent2" w:themeFillTint="33"/>
            <w:hideMark/>
          </w:tcPr>
          <w:p w14:paraId="2609CD07"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1227.5</w:t>
            </w:r>
          </w:p>
        </w:tc>
        <w:tc>
          <w:tcPr>
            <w:tcW w:w="677" w:type="dxa"/>
            <w:shd w:val="clear" w:color="auto" w:fill="EAEDF6" w:themeFill="accent2" w:themeFillTint="33"/>
            <w:hideMark/>
          </w:tcPr>
          <w:p w14:paraId="610B3D4A"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1113.6</w:t>
            </w:r>
          </w:p>
        </w:tc>
        <w:tc>
          <w:tcPr>
            <w:tcW w:w="625" w:type="dxa"/>
            <w:shd w:val="clear" w:color="auto" w:fill="EAEDF6" w:themeFill="accent2" w:themeFillTint="33"/>
            <w:hideMark/>
          </w:tcPr>
          <w:p w14:paraId="073B1F1F"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817.1</w:t>
            </w:r>
          </w:p>
        </w:tc>
        <w:tc>
          <w:tcPr>
            <w:tcW w:w="625" w:type="dxa"/>
            <w:shd w:val="clear" w:color="auto" w:fill="EAEDF6" w:themeFill="accent2" w:themeFillTint="33"/>
            <w:hideMark/>
          </w:tcPr>
          <w:p w14:paraId="0225969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812.9</w:t>
            </w:r>
          </w:p>
        </w:tc>
        <w:tc>
          <w:tcPr>
            <w:tcW w:w="678" w:type="dxa"/>
            <w:shd w:val="clear" w:color="auto" w:fill="EAEDF6" w:themeFill="accent2" w:themeFillTint="33"/>
            <w:hideMark/>
          </w:tcPr>
          <w:p w14:paraId="770E1C41"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958.3</w:t>
            </w:r>
          </w:p>
        </w:tc>
        <w:tc>
          <w:tcPr>
            <w:tcW w:w="678" w:type="dxa"/>
            <w:shd w:val="clear" w:color="auto" w:fill="EAEDF6" w:themeFill="accent2" w:themeFillTint="33"/>
            <w:hideMark/>
          </w:tcPr>
          <w:p w14:paraId="735ED2D0"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1227.3</w:t>
            </w:r>
          </w:p>
        </w:tc>
        <w:tc>
          <w:tcPr>
            <w:tcW w:w="678" w:type="dxa"/>
            <w:shd w:val="clear" w:color="auto" w:fill="EAEDF6" w:themeFill="accent2" w:themeFillTint="33"/>
            <w:hideMark/>
          </w:tcPr>
          <w:p w14:paraId="17CA6762"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1855.2</w:t>
            </w:r>
          </w:p>
        </w:tc>
        <w:tc>
          <w:tcPr>
            <w:tcW w:w="678" w:type="dxa"/>
            <w:shd w:val="clear" w:color="auto" w:fill="EAEDF6" w:themeFill="accent2" w:themeFillTint="33"/>
            <w:hideMark/>
          </w:tcPr>
          <w:p w14:paraId="4AECCAC8"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1824.4</w:t>
            </w:r>
          </w:p>
        </w:tc>
        <w:tc>
          <w:tcPr>
            <w:tcW w:w="0" w:type="dxa"/>
            <w:shd w:val="clear" w:color="auto" w:fill="EAEDF6" w:themeFill="accent2" w:themeFillTint="33"/>
            <w:noWrap/>
            <w:hideMark/>
          </w:tcPr>
          <w:p w14:paraId="792C2CA0" w14:textId="77777777" w:rsidR="007E6749" w:rsidRPr="00037C61" w:rsidRDefault="007E6749" w:rsidP="007E6749">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81%</w:t>
            </w:r>
          </w:p>
        </w:tc>
      </w:tr>
      <w:tr w:rsidR="004A5488" w:rsidRPr="00037C61" w14:paraId="60FDF3BF" w14:textId="77777777" w:rsidTr="002900D7">
        <w:trPr>
          <w:trHeight w:val="312"/>
        </w:trPr>
        <w:tc>
          <w:tcPr>
            <w:cnfStyle w:val="001000000000" w:firstRow="0" w:lastRow="0" w:firstColumn="1" w:lastColumn="0" w:oddVBand="0" w:evenVBand="0" w:oddHBand="0" w:evenHBand="0" w:firstRowFirstColumn="0" w:firstRowLastColumn="0" w:lastRowFirstColumn="0" w:lastRowLastColumn="0"/>
            <w:tcW w:w="0" w:type="dxa"/>
            <w:shd w:val="clear" w:color="auto" w:fill="98A7D5" w:themeFill="accent2"/>
            <w:hideMark/>
          </w:tcPr>
          <w:p w14:paraId="072B1926" w14:textId="77777777" w:rsidR="007E6749" w:rsidRPr="00037C61" w:rsidRDefault="007E6749" w:rsidP="007E6749">
            <w:pPr>
              <w:jc w:val="center"/>
              <w:rPr>
                <w:rFonts w:eastAsia="Times New Roman" w:cs="Calibri"/>
                <w:sz w:val="16"/>
                <w:szCs w:val="16"/>
                <w:lang w:val="en-GB" w:eastAsia="en-GB"/>
              </w:rPr>
            </w:pPr>
            <w:r w:rsidRPr="00037C61">
              <w:rPr>
                <w:rFonts w:eastAsia="Times New Roman" w:cs="Calibri"/>
                <w:sz w:val="16"/>
                <w:szCs w:val="16"/>
                <w:lang w:val="en-GB" w:eastAsia="en-GB"/>
              </w:rPr>
              <w:t>Total</w:t>
            </w:r>
          </w:p>
        </w:tc>
        <w:tc>
          <w:tcPr>
            <w:tcW w:w="0" w:type="dxa"/>
            <w:shd w:val="clear" w:color="auto" w:fill="98A7D5" w:themeFill="accent2"/>
            <w:hideMark/>
          </w:tcPr>
          <w:p w14:paraId="1B7074AA"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1052.9</w:t>
            </w:r>
          </w:p>
        </w:tc>
        <w:tc>
          <w:tcPr>
            <w:tcW w:w="662" w:type="dxa"/>
            <w:shd w:val="clear" w:color="auto" w:fill="98A7D5" w:themeFill="accent2"/>
            <w:hideMark/>
          </w:tcPr>
          <w:p w14:paraId="44385787"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1145.7</w:t>
            </w:r>
          </w:p>
        </w:tc>
        <w:tc>
          <w:tcPr>
            <w:tcW w:w="677" w:type="dxa"/>
            <w:shd w:val="clear" w:color="auto" w:fill="98A7D5" w:themeFill="accent2"/>
            <w:hideMark/>
          </w:tcPr>
          <w:p w14:paraId="4082B19B"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1283.0</w:t>
            </w:r>
          </w:p>
        </w:tc>
        <w:tc>
          <w:tcPr>
            <w:tcW w:w="677" w:type="dxa"/>
            <w:shd w:val="clear" w:color="auto" w:fill="98A7D5" w:themeFill="accent2"/>
            <w:hideMark/>
          </w:tcPr>
          <w:p w14:paraId="70E45FCC"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1282.2</w:t>
            </w:r>
          </w:p>
        </w:tc>
        <w:tc>
          <w:tcPr>
            <w:tcW w:w="677" w:type="dxa"/>
            <w:shd w:val="clear" w:color="auto" w:fill="98A7D5" w:themeFill="accent2"/>
            <w:hideMark/>
          </w:tcPr>
          <w:p w14:paraId="043C02C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1203.1</w:t>
            </w:r>
          </w:p>
        </w:tc>
        <w:tc>
          <w:tcPr>
            <w:tcW w:w="625" w:type="dxa"/>
            <w:shd w:val="clear" w:color="auto" w:fill="98A7D5" w:themeFill="accent2"/>
            <w:hideMark/>
          </w:tcPr>
          <w:p w14:paraId="0D446FAE"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984.9</w:t>
            </w:r>
          </w:p>
        </w:tc>
        <w:tc>
          <w:tcPr>
            <w:tcW w:w="625" w:type="dxa"/>
            <w:shd w:val="clear" w:color="auto" w:fill="98A7D5" w:themeFill="accent2"/>
            <w:hideMark/>
          </w:tcPr>
          <w:p w14:paraId="157D2DB2"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986.3</w:t>
            </w:r>
          </w:p>
        </w:tc>
        <w:tc>
          <w:tcPr>
            <w:tcW w:w="678" w:type="dxa"/>
            <w:shd w:val="clear" w:color="auto" w:fill="98A7D5" w:themeFill="accent2"/>
            <w:hideMark/>
          </w:tcPr>
          <w:p w14:paraId="7E4EC413"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1157.9</w:t>
            </w:r>
          </w:p>
        </w:tc>
        <w:tc>
          <w:tcPr>
            <w:tcW w:w="678" w:type="dxa"/>
            <w:shd w:val="clear" w:color="auto" w:fill="98A7D5" w:themeFill="accent2"/>
            <w:hideMark/>
          </w:tcPr>
          <w:p w14:paraId="2EC518DF"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1546.6</w:t>
            </w:r>
          </w:p>
        </w:tc>
        <w:tc>
          <w:tcPr>
            <w:tcW w:w="678" w:type="dxa"/>
            <w:shd w:val="clear" w:color="auto" w:fill="98A7D5" w:themeFill="accent2"/>
            <w:hideMark/>
          </w:tcPr>
          <w:p w14:paraId="5A57E22D"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2202.7</w:t>
            </w:r>
          </w:p>
        </w:tc>
        <w:tc>
          <w:tcPr>
            <w:tcW w:w="678" w:type="dxa"/>
            <w:shd w:val="clear" w:color="auto" w:fill="98A7D5" w:themeFill="accent2"/>
            <w:hideMark/>
          </w:tcPr>
          <w:p w14:paraId="788CB6E7"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2205.8</w:t>
            </w:r>
          </w:p>
        </w:tc>
        <w:tc>
          <w:tcPr>
            <w:tcW w:w="0" w:type="dxa"/>
            <w:shd w:val="clear" w:color="auto" w:fill="98A7D5" w:themeFill="accent2"/>
            <w:noWrap/>
            <w:hideMark/>
          </w:tcPr>
          <w:p w14:paraId="4951C4F6" w14:textId="77777777" w:rsidR="007E6749" w:rsidRPr="00037C61" w:rsidRDefault="007E6749" w:rsidP="007E6749">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109%</w:t>
            </w:r>
          </w:p>
        </w:tc>
      </w:tr>
    </w:tbl>
    <w:p w14:paraId="2DC523AD" w14:textId="7544409B" w:rsidR="007E6749" w:rsidRPr="00DB74BF" w:rsidRDefault="002900D7" w:rsidP="00457478">
      <w:pPr>
        <w:pStyle w:val="Caption"/>
        <w:keepNext/>
        <w:jc w:val="left"/>
      </w:pPr>
      <w:r w:rsidRPr="00DB74BF">
        <w:t xml:space="preserve">Source: KSH, Airportszeged.hu, Fomterv.hu, ANKER Report, Asociația Aeroporturilor din România (airportaar.ro) </w:t>
      </w:r>
    </w:p>
    <w:p w14:paraId="739A07CD" w14:textId="3137D3AE" w:rsidR="00964D0E" w:rsidRPr="00037C61" w:rsidRDefault="00C456B5" w:rsidP="5CA115F1">
      <w:pPr>
        <w:spacing w:before="240"/>
        <w:rPr>
          <w:lang w:val="en-GB"/>
        </w:rPr>
      </w:pPr>
      <w:r w:rsidRPr="00037C61">
        <w:rPr>
          <w:lang w:val="en-GB"/>
        </w:rPr>
        <w:t>There is a positive trend in overall air traffic in the PA area, with traffic doubling over the last decade. However, growth has been distributed significantly more on the Hungarian side (794% increase in traffic between 2008-2018), due to the very high growth in traffic of the Debrecen Airport. By comparison, Nyíregyháza</w:t>
      </w:r>
      <w:r w:rsidR="00EE5D45" w:rsidRPr="00037C61">
        <w:rPr>
          <w:lang w:val="en-GB"/>
        </w:rPr>
        <w:t xml:space="preserve"> airport contributes marginally to air mobility in the Hungarian side, while Szeged airport has been in operation for the public until 2014. A very strong growth in passengers is recorded also by Oradea (4.6 times increase) and most relevantly Satu Mare (937% increase), although this was partially due to the closure for renovation of the Baia Mare airport in November 2015. </w:t>
      </w:r>
    </w:p>
    <w:p w14:paraId="09477093" w14:textId="14B670F3" w:rsidR="00EE5D45" w:rsidRPr="00037C61" w:rsidRDefault="00EE5D45" w:rsidP="5CA115F1">
      <w:pPr>
        <w:spacing w:before="240"/>
        <w:rPr>
          <w:lang w:val="en-GB"/>
        </w:rPr>
      </w:pPr>
      <w:r w:rsidRPr="00037C61">
        <w:rPr>
          <w:lang w:val="en-GB"/>
        </w:rPr>
        <w:t xml:space="preserve">There is a clear dominance of the international airport of Timișoara in what concerns provision of services to Timișoara, Arad, Szeged and to an extent </w:t>
      </w:r>
      <w:r w:rsidRPr="00037C61">
        <w:rPr>
          <w:rFonts w:eastAsia="Calibri" w:cs="Calibri"/>
          <w:lang w:val="en-GB"/>
        </w:rPr>
        <w:t xml:space="preserve">Békéscsaba. </w:t>
      </w:r>
      <w:r w:rsidRPr="00037C61">
        <w:rPr>
          <w:lang w:val="en-GB"/>
        </w:rPr>
        <w:t>Calculating a catchment area equivalent to the surface reachable in 2 hours, Szeged is in access range for both the Budapest airport as well as Timișoara, hence investments in the extension of airport infrastructure would be less efficient from the economic standpoint. T</w:t>
      </w:r>
      <w:r w:rsidRPr="00037C61">
        <w:rPr>
          <w:rFonts w:eastAsia="Calibri" w:cs="Calibri"/>
          <w:lang w:val="en-GB"/>
        </w:rPr>
        <w:t>he northern four counties are more disputed, in a competition which creates inefficiencies instead of facilitating optimal airport accessibility to the biggest gateway through cross-border mobility.</w:t>
      </w:r>
    </w:p>
    <w:p w14:paraId="778967B8" w14:textId="4A09293A" w:rsidR="008E6744" w:rsidRPr="00037C61" w:rsidRDefault="008E6744" w:rsidP="005E0849">
      <w:pPr>
        <w:pStyle w:val="Heading4"/>
        <w:rPr>
          <w:rFonts w:cstheme="minorHAnsi"/>
          <w:bCs/>
          <w:lang w:val="en-GB"/>
        </w:rPr>
      </w:pPr>
      <w:r w:rsidRPr="00037C61">
        <w:rPr>
          <w:rFonts w:cstheme="minorHAnsi"/>
          <w:bCs/>
          <w:lang w:val="en-GB"/>
        </w:rPr>
        <w:t xml:space="preserve">Road freight transport </w:t>
      </w:r>
    </w:p>
    <w:p w14:paraId="6D5CFE58" w14:textId="419E7332" w:rsidR="008E6744" w:rsidRPr="00037C61" w:rsidRDefault="008E6744" w:rsidP="5CA115F1">
      <w:pPr>
        <w:spacing w:before="240"/>
        <w:rPr>
          <w:lang w:val="en-GB"/>
        </w:rPr>
      </w:pPr>
      <w:r w:rsidRPr="00037C61">
        <w:rPr>
          <w:lang w:val="en-GB"/>
        </w:rPr>
        <w:t xml:space="preserve">Analyzing </w:t>
      </w:r>
      <w:r w:rsidR="008745A7" w:rsidRPr="00037C61">
        <w:rPr>
          <w:lang w:val="en-GB"/>
        </w:rPr>
        <w:t>E</w:t>
      </w:r>
      <w:r w:rsidRPr="00037C61">
        <w:rPr>
          <w:lang w:val="en-GB"/>
        </w:rPr>
        <w:t xml:space="preserve">urostat data on road freight transport we observe that for most of the regions the unloading freight is marginally higher than the loading freight (exceptions Arad, Bihor), meaning that imported goods represents a higher share. The most performant regions in 2018 regarding road freight transport are the Hungarian cross-border regions, with Timiș very close, albeit it was the leader in 2015. </w:t>
      </w:r>
    </w:p>
    <w:p w14:paraId="76B62A17" w14:textId="4579A7E5" w:rsidR="00F75A73" w:rsidRPr="00037C61" w:rsidRDefault="00F75A73" w:rsidP="5CA115F1">
      <w:pPr>
        <w:spacing w:before="240"/>
        <w:rPr>
          <w:lang w:val="en-GB"/>
        </w:rPr>
      </w:pPr>
    </w:p>
    <w:p w14:paraId="672AD9A0" w14:textId="77777777" w:rsidR="00F75A73" w:rsidRPr="00037C61" w:rsidRDefault="00F75A73" w:rsidP="5CA115F1">
      <w:pPr>
        <w:spacing w:before="240"/>
        <w:rPr>
          <w:lang w:val="en-GB"/>
        </w:rPr>
      </w:pPr>
    </w:p>
    <w:p w14:paraId="30D302E4" w14:textId="032DD867" w:rsidR="00662F53" w:rsidRPr="00037C61" w:rsidRDefault="00662F53" w:rsidP="00662F53">
      <w:pPr>
        <w:pStyle w:val="Caption"/>
        <w:keepNext/>
        <w:jc w:val="left"/>
        <w:rPr>
          <w:lang w:val="en-GB"/>
        </w:rPr>
      </w:pPr>
      <w:bookmarkStart w:id="776" w:name="_Toc58237664"/>
      <w:r w:rsidRPr="00037C61">
        <w:rPr>
          <w:lang w:val="en-GB"/>
        </w:rPr>
        <w:lastRenderedPageBreak/>
        <w:t xml:space="preserve">Table </w:t>
      </w:r>
      <w:r w:rsidR="00AB694E" w:rsidRPr="00037C61">
        <w:rPr>
          <w:lang w:val="en-GB"/>
        </w:rPr>
        <w:fldChar w:fldCharType="begin"/>
      </w:r>
      <w:r w:rsidR="00AB694E" w:rsidRPr="00037C61">
        <w:rPr>
          <w:lang w:val="en-GB"/>
        </w:rPr>
        <w:instrText xml:space="preserve"> SEQ Table \* ARABIC </w:instrText>
      </w:r>
      <w:r w:rsidR="00AB694E" w:rsidRPr="00037C61">
        <w:rPr>
          <w:lang w:val="en-GB"/>
        </w:rPr>
        <w:fldChar w:fldCharType="separate"/>
      </w:r>
      <w:r w:rsidR="005A7BD8">
        <w:rPr>
          <w:noProof/>
          <w:lang w:val="en-GB"/>
        </w:rPr>
        <w:t>42</w:t>
      </w:r>
      <w:r w:rsidR="00AB694E" w:rsidRPr="00037C61">
        <w:rPr>
          <w:noProof/>
          <w:lang w:val="en-GB"/>
        </w:rPr>
        <w:fldChar w:fldCharType="end"/>
      </w:r>
      <w:r w:rsidRPr="00037C61">
        <w:rPr>
          <w:lang w:val="en-GB"/>
        </w:rPr>
        <w:t xml:space="preserve"> - Road freight transport loading and unloading in 1000s tons per year</w:t>
      </w:r>
      <w:bookmarkEnd w:id="776"/>
    </w:p>
    <w:tbl>
      <w:tblPr>
        <w:tblStyle w:val="ListTable3-Accent11"/>
        <w:tblW w:w="9010" w:type="dxa"/>
        <w:tblLook w:val="04A0" w:firstRow="1" w:lastRow="0" w:firstColumn="1" w:lastColumn="0" w:noHBand="0" w:noVBand="1"/>
      </w:tblPr>
      <w:tblGrid>
        <w:gridCol w:w="1109"/>
        <w:gridCol w:w="925"/>
        <w:gridCol w:w="1026"/>
        <w:gridCol w:w="925"/>
        <w:gridCol w:w="1024"/>
        <w:gridCol w:w="925"/>
        <w:gridCol w:w="1024"/>
        <w:gridCol w:w="1026"/>
        <w:gridCol w:w="1026"/>
      </w:tblGrid>
      <w:tr w:rsidR="008E6744" w:rsidRPr="00944B4A" w14:paraId="5B7767CD" w14:textId="77777777" w:rsidTr="5CA115F1">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0" w:type="auto"/>
            <w:gridSpan w:val="9"/>
            <w:hideMark/>
          </w:tcPr>
          <w:p w14:paraId="23966397" w14:textId="2542CE9D" w:rsidR="008E6744" w:rsidRPr="00037C61" w:rsidRDefault="008E6744" w:rsidP="008E6744">
            <w:pPr>
              <w:jc w:val="center"/>
              <w:rPr>
                <w:rFonts w:eastAsia="Times New Roman" w:cs="Calibri"/>
                <w:sz w:val="20"/>
                <w:szCs w:val="20"/>
                <w:lang w:val="en-GB"/>
              </w:rPr>
            </w:pPr>
            <w:r w:rsidRPr="00037C61">
              <w:rPr>
                <w:rFonts w:eastAsia="Times New Roman" w:cs="Calibri"/>
                <w:sz w:val="20"/>
                <w:szCs w:val="20"/>
                <w:lang w:val="en-GB"/>
              </w:rPr>
              <w:t xml:space="preserve">Road freight transport loading and unloading in 1000s </w:t>
            </w:r>
            <w:r w:rsidR="00471F27" w:rsidRPr="00037C61">
              <w:rPr>
                <w:rFonts w:eastAsia="Times New Roman" w:cs="Calibri"/>
                <w:sz w:val="20"/>
                <w:szCs w:val="20"/>
                <w:lang w:val="en-GB"/>
              </w:rPr>
              <w:t>tons</w:t>
            </w:r>
            <w:r w:rsidRPr="00037C61">
              <w:rPr>
                <w:rFonts w:eastAsia="Times New Roman" w:cs="Calibri"/>
                <w:sz w:val="20"/>
                <w:szCs w:val="20"/>
                <w:lang w:val="en-GB"/>
              </w:rPr>
              <w:t xml:space="preserve"> per year</w:t>
            </w:r>
          </w:p>
        </w:tc>
      </w:tr>
      <w:tr w:rsidR="008E6744" w:rsidRPr="00037C61" w14:paraId="19A4AE3E" w14:textId="77777777" w:rsidTr="5CA11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ED61C69"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Region</w:t>
            </w:r>
          </w:p>
        </w:tc>
        <w:tc>
          <w:tcPr>
            <w:tcW w:w="0" w:type="auto"/>
            <w:gridSpan w:val="2"/>
            <w:hideMark/>
          </w:tcPr>
          <w:p w14:paraId="470CA210"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2015</w:t>
            </w:r>
          </w:p>
        </w:tc>
        <w:tc>
          <w:tcPr>
            <w:tcW w:w="0" w:type="auto"/>
            <w:gridSpan w:val="2"/>
            <w:hideMark/>
          </w:tcPr>
          <w:p w14:paraId="4AB22950"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2016</w:t>
            </w:r>
          </w:p>
        </w:tc>
        <w:tc>
          <w:tcPr>
            <w:tcW w:w="0" w:type="auto"/>
            <w:gridSpan w:val="2"/>
            <w:hideMark/>
          </w:tcPr>
          <w:p w14:paraId="2FE7B250"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2017</w:t>
            </w:r>
          </w:p>
        </w:tc>
        <w:tc>
          <w:tcPr>
            <w:tcW w:w="0" w:type="auto"/>
            <w:gridSpan w:val="2"/>
            <w:hideMark/>
          </w:tcPr>
          <w:p w14:paraId="66B06F24"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2018</w:t>
            </w:r>
          </w:p>
        </w:tc>
      </w:tr>
      <w:tr w:rsidR="008E6744" w:rsidRPr="00037C61" w14:paraId="19FEA18C" w14:textId="77777777" w:rsidTr="5CA115F1">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DBD4528" w14:textId="77777777" w:rsidR="008E6744" w:rsidRPr="00037C61" w:rsidRDefault="008E6744" w:rsidP="008E6744">
            <w:pPr>
              <w:jc w:val="left"/>
              <w:rPr>
                <w:rFonts w:eastAsia="Times New Roman" w:cs="Calibri"/>
                <w:sz w:val="20"/>
                <w:szCs w:val="20"/>
                <w:lang w:val="en-GB"/>
              </w:rPr>
            </w:pPr>
          </w:p>
        </w:tc>
        <w:tc>
          <w:tcPr>
            <w:tcW w:w="0" w:type="auto"/>
            <w:hideMark/>
          </w:tcPr>
          <w:p w14:paraId="4112F80E"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loading</w:t>
            </w:r>
          </w:p>
        </w:tc>
        <w:tc>
          <w:tcPr>
            <w:tcW w:w="0" w:type="auto"/>
            <w:hideMark/>
          </w:tcPr>
          <w:p w14:paraId="0FC319D7"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unloading</w:t>
            </w:r>
          </w:p>
        </w:tc>
        <w:tc>
          <w:tcPr>
            <w:tcW w:w="0" w:type="auto"/>
            <w:hideMark/>
          </w:tcPr>
          <w:p w14:paraId="4AC2FE09"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loading</w:t>
            </w:r>
          </w:p>
        </w:tc>
        <w:tc>
          <w:tcPr>
            <w:tcW w:w="0" w:type="auto"/>
            <w:hideMark/>
          </w:tcPr>
          <w:p w14:paraId="35986A33"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unloading</w:t>
            </w:r>
          </w:p>
        </w:tc>
        <w:tc>
          <w:tcPr>
            <w:tcW w:w="0" w:type="auto"/>
            <w:hideMark/>
          </w:tcPr>
          <w:p w14:paraId="332EF295"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loading</w:t>
            </w:r>
          </w:p>
        </w:tc>
        <w:tc>
          <w:tcPr>
            <w:tcW w:w="0" w:type="auto"/>
            <w:hideMark/>
          </w:tcPr>
          <w:p w14:paraId="2B1CFF9E"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unloading</w:t>
            </w:r>
          </w:p>
        </w:tc>
        <w:tc>
          <w:tcPr>
            <w:tcW w:w="0" w:type="auto"/>
            <w:hideMark/>
          </w:tcPr>
          <w:p w14:paraId="128720CD"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loading</w:t>
            </w:r>
          </w:p>
        </w:tc>
        <w:tc>
          <w:tcPr>
            <w:tcW w:w="0" w:type="auto"/>
            <w:hideMark/>
          </w:tcPr>
          <w:p w14:paraId="65020820" w14:textId="77777777" w:rsidR="008E6744" w:rsidRPr="00037C61" w:rsidRDefault="008E6744" w:rsidP="008E6744">
            <w:pPr>
              <w:jc w:val="lef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unloading</w:t>
            </w:r>
          </w:p>
        </w:tc>
      </w:tr>
      <w:tr w:rsidR="008E6744" w:rsidRPr="00037C61" w14:paraId="3FBC734B" w14:textId="77777777" w:rsidTr="5CA11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8883D3E"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Hajdú-Bihar</w:t>
            </w:r>
          </w:p>
        </w:tc>
        <w:tc>
          <w:tcPr>
            <w:tcW w:w="0" w:type="auto"/>
            <w:hideMark/>
          </w:tcPr>
          <w:p w14:paraId="7DA25500"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6,140.00</w:t>
            </w:r>
          </w:p>
        </w:tc>
        <w:tc>
          <w:tcPr>
            <w:tcW w:w="0" w:type="auto"/>
            <w:hideMark/>
          </w:tcPr>
          <w:p w14:paraId="57A3ED44"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7,275.00</w:t>
            </w:r>
          </w:p>
        </w:tc>
        <w:tc>
          <w:tcPr>
            <w:tcW w:w="0" w:type="auto"/>
            <w:hideMark/>
          </w:tcPr>
          <w:p w14:paraId="46D224BE"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8,030.00</w:t>
            </w:r>
          </w:p>
        </w:tc>
        <w:tc>
          <w:tcPr>
            <w:tcW w:w="0" w:type="auto"/>
            <w:hideMark/>
          </w:tcPr>
          <w:p w14:paraId="06D85B1A"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8,717.00</w:t>
            </w:r>
          </w:p>
        </w:tc>
        <w:tc>
          <w:tcPr>
            <w:tcW w:w="0" w:type="auto"/>
            <w:hideMark/>
          </w:tcPr>
          <w:p w14:paraId="352BB243"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7,734.00</w:t>
            </w:r>
          </w:p>
        </w:tc>
        <w:tc>
          <w:tcPr>
            <w:tcW w:w="0" w:type="auto"/>
            <w:hideMark/>
          </w:tcPr>
          <w:p w14:paraId="6862888F"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9,190.00</w:t>
            </w:r>
          </w:p>
        </w:tc>
        <w:tc>
          <w:tcPr>
            <w:tcW w:w="0" w:type="auto"/>
            <w:hideMark/>
          </w:tcPr>
          <w:p w14:paraId="271DB616"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10,013.00</w:t>
            </w:r>
          </w:p>
        </w:tc>
        <w:tc>
          <w:tcPr>
            <w:tcW w:w="0" w:type="auto"/>
            <w:hideMark/>
          </w:tcPr>
          <w:p w14:paraId="39DF1F31"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10,920.00</w:t>
            </w:r>
          </w:p>
        </w:tc>
      </w:tr>
      <w:tr w:rsidR="008E6744" w:rsidRPr="00037C61" w14:paraId="1906849A" w14:textId="77777777" w:rsidTr="5CA115F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B9FCB94"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Szabolcs-Szatmár-Bereg</w:t>
            </w:r>
          </w:p>
        </w:tc>
        <w:tc>
          <w:tcPr>
            <w:tcW w:w="0" w:type="auto"/>
            <w:hideMark/>
          </w:tcPr>
          <w:p w14:paraId="7C51C39B"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6,326.00</w:t>
            </w:r>
          </w:p>
        </w:tc>
        <w:tc>
          <w:tcPr>
            <w:tcW w:w="0" w:type="auto"/>
            <w:hideMark/>
          </w:tcPr>
          <w:p w14:paraId="67C9FF27"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7,580.00</w:t>
            </w:r>
          </w:p>
        </w:tc>
        <w:tc>
          <w:tcPr>
            <w:tcW w:w="0" w:type="auto"/>
            <w:hideMark/>
          </w:tcPr>
          <w:p w14:paraId="4B4E6019"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6,031.00</w:t>
            </w:r>
          </w:p>
        </w:tc>
        <w:tc>
          <w:tcPr>
            <w:tcW w:w="0" w:type="auto"/>
            <w:hideMark/>
          </w:tcPr>
          <w:p w14:paraId="18C96C43"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7,003.00</w:t>
            </w:r>
          </w:p>
        </w:tc>
        <w:tc>
          <w:tcPr>
            <w:tcW w:w="0" w:type="auto"/>
            <w:hideMark/>
          </w:tcPr>
          <w:p w14:paraId="024AFD44"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5,950.00</w:t>
            </w:r>
          </w:p>
        </w:tc>
        <w:tc>
          <w:tcPr>
            <w:tcW w:w="0" w:type="auto"/>
            <w:hideMark/>
          </w:tcPr>
          <w:p w14:paraId="11E2D2A7"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6,586.00</w:t>
            </w:r>
          </w:p>
        </w:tc>
        <w:tc>
          <w:tcPr>
            <w:tcW w:w="0" w:type="auto"/>
            <w:hideMark/>
          </w:tcPr>
          <w:p w14:paraId="45B805F2"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7,740.00</w:t>
            </w:r>
          </w:p>
        </w:tc>
        <w:tc>
          <w:tcPr>
            <w:tcW w:w="0" w:type="auto"/>
            <w:hideMark/>
          </w:tcPr>
          <w:p w14:paraId="3FC8E503"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8,754.00</w:t>
            </w:r>
          </w:p>
        </w:tc>
      </w:tr>
      <w:tr w:rsidR="008E6744" w:rsidRPr="00037C61" w14:paraId="5BECF492" w14:textId="77777777" w:rsidTr="5CA11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A19B9A0"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Békés</w:t>
            </w:r>
          </w:p>
        </w:tc>
        <w:tc>
          <w:tcPr>
            <w:tcW w:w="0" w:type="auto"/>
            <w:hideMark/>
          </w:tcPr>
          <w:p w14:paraId="37F2F303"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5,855.00</w:t>
            </w:r>
          </w:p>
        </w:tc>
        <w:tc>
          <w:tcPr>
            <w:tcW w:w="0" w:type="auto"/>
            <w:hideMark/>
          </w:tcPr>
          <w:p w14:paraId="7E61834B"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6,266.00</w:t>
            </w:r>
          </w:p>
        </w:tc>
        <w:tc>
          <w:tcPr>
            <w:tcW w:w="0" w:type="auto"/>
            <w:hideMark/>
          </w:tcPr>
          <w:p w14:paraId="7DF6BFD7"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4,869.00</w:t>
            </w:r>
          </w:p>
        </w:tc>
        <w:tc>
          <w:tcPr>
            <w:tcW w:w="0" w:type="auto"/>
            <w:hideMark/>
          </w:tcPr>
          <w:p w14:paraId="7E2A9503"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5,161.00</w:t>
            </w:r>
          </w:p>
        </w:tc>
        <w:tc>
          <w:tcPr>
            <w:tcW w:w="0" w:type="auto"/>
            <w:hideMark/>
          </w:tcPr>
          <w:p w14:paraId="42A3824F"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5,057.00</w:t>
            </w:r>
          </w:p>
        </w:tc>
        <w:tc>
          <w:tcPr>
            <w:tcW w:w="0" w:type="auto"/>
            <w:hideMark/>
          </w:tcPr>
          <w:p w14:paraId="15CAF209"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5,474.00</w:t>
            </w:r>
          </w:p>
        </w:tc>
        <w:tc>
          <w:tcPr>
            <w:tcW w:w="0" w:type="auto"/>
            <w:hideMark/>
          </w:tcPr>
          <w:p w14:paraId="25B3F4E0"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7,011.00</w:t>
            </w:r>
          </w:p>
        </w:tc>
        <w:tc>
          <w:tcPr>
            <w:tcW w:w="0" w:type="auto"/>
            <w:hideMark/>
          </w:tcPr>
          <w:p w14:paraId="03C5F24C"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7,457.00</w:t>
            </w:r>
          </w:p>
        </w:tc>
      </w:tr>
      <w:tr w:rsidR="008E6744" w:rsidRPr="00037C61" w14:paraId="5C126634" w14:textId="77777777" w:rsidTr="5CA115F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C6F7043" w14:textId="24E001EE"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Csongrád</w:t>
            </w:r>
            <w:r w:rsidR="07CC1586" w:rsidRPr="00037C61">
              <w:rPr>
                <w:rFonts w:eastAsia="Times New Roman" w:cs="Calibri"/>
                <w:sz w:val="20"/>
                <w:szCs w:val="20"/>
                <w:lang w:val="en-GB"/>
              </w:rPr>
              <w:t xml:space="preserve"> Csanád</w:t>
            </w:r>
          </w:p>
        </w:tc>
        <w:tc>
          <w:tcPr>
            <w:tcW w:w="0" w:type="auto"/>
            <w:hideMark/>
          </w:tcPr>
          <w:p w14:paraId="4A329168"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7,318.00</w:t>
            </w:r>
          </w:p>
        </w:tc>
        <w:tc>
          <w:tcPr>
            <w:tcW w:w="0" w:type="auto"/>
            <w:hideMark/>
          </w:tcPr>
          <w:p w14:paraId="11011F2C"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8,496.00</w:t>
            </w:r>
          </w:p>
        </w:tc>
        <w:tc>
          <w:tcPr>
            <w:tcW w:w="0" w:type="auto"/>
            <w:hideMark/>
          </w:tcPr>
          <w:p w14:paraId="73158D09"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5,493.00</w:t>
            </w:r>
          </w:p>
        </w:tc>
        <w:tc>
          <w:tcPr>
            <w:tcW w:w="0" w:type="auto"/>
            <w:hideMark/>
          </w:tcPr>
          <w:p w14:paraId="1CD07900"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6,460.00</w:t>
            </w:r>
          </w:p>
        </w:tc>
        <w:tc>
          <w:tcPr>
            <w:tcW w:w="0" w:type="auto"/>
            <w:hideMark/>
          </w:tcPr>
          <w:p w14:paraId="04BEA9AE"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5,873.00</w:t>
            </w:r>
          </w:p>
        </w:tc>
        <w:tc>
          <w:tcPr>
            <w:tcW w:w="0" w:type="auto"/>
            <w:hideMark/>
          </w:tcPr>
          <w:p w14:paraId="21801FED"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6,509.00</w:t>
            </w:r>
          </w:p>
        </w:tc>
        <w:tc>
          <w:tcPr>
            <w:tcW w:w="0" w:type="auto"/>
            <w:hideMark/>
          </w:tcPr>
          <w:p w14:paraId="4B5584EA"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7,289.00</w:t>
            </w:r>
          </w:p>
        </w:tc>
        <w:tc>
          <w:tcPr>
            <w:tcW w:w="0" w:type="auto"/>
            <w:hideMark/>
          </w:tcPr>
          <w:p w14:paraId="2AD8D93B"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7,895.00</w:t>
            </w:r>
          </w:p>
        </w:tc>
      </w:tr>
      <w:tr w:rsidR="008E6744" w:rsidRPr="00037C61" w14:paraId="6F6AE0C9" w14:textId="77777777" w:rsidTr="5CA11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8E7B474"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Bihor</w:t>
            </w:r>
          </w:p>
        </w:tc>
        <w:tc>
          <w:tcPr>
            <w:tcW w:w="0" w:type="auto"/>
            <w:hideMark/>
          </w:tcPr>
          <w:p w14:paraId="7C029EA1"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4,280.00</w:t>
            </w:r>
          </w:p>
        </w:tc>
        <w:tc>
          <w:tcPr>
            <w:tcW w:w="0" w:type="auto"/>
            <w:hideMark/>
          </w:tcPr>
          <w:p w14:paraId="0B8C7430"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4,383.00</w:t>
            </w:r>
          </w:p>
        </w:tc>
        <w:tc>
          <w:tcPr>
            <w:tcW w:w="0" w:type="auto"/>
            <w:hideMark/>
          </w:tcPr>
          <w:p w14:paraId="265205EB"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4,389.00</w:t>
            </w:r>
          </w:p>
        </w:tc>
        <w:tc>
          <w:tcPr>
            <w:tcW w:w="0" w:type="auto"/>
            <w:hideMark/>
          </w:tcPr>
          <w:p w14:paraId="33B9CFDB"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4,338.00</w:t>
            </w:r>
          </w:p>
        </w:tc>
        <w:tc>
          <w:tcPr>
            <w:tcW w:w="0" w:type="auto"/>
            <w:hideMark/>
          </w:tcPr>
          <w:p w14:paraId="7A67C2F8"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8,414.00</w:t>
            </w:r>
          </w:p>
        </w:tc>
        <w:tc>
          <w:tcPr>
            <w:tcW w:w="0" w:type="auto"/>
            <w:hideMark/>
          </w:tcPr>
          <w:p w14:paraId="79AFB00E"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8,406.00</w:t>
            </w:r>
          </w:p>
        </w:tc>
        <w:tc>
          <w:tcPr>
            <w:tcW w:w="0" w:type="auto"/>
            <w:hideMark/>
          </w:tcPr>
          <w:p w14:paraId="640214FA"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7,004.00</w:t>
            </w:r>
          </w:p>
        </w:tc>
        <w:tc>
          <w:tcPr>
            <w:tcW w:w="0" w:type="auto"/>
            <w:hideMark/>
          </w:tcPr>
          <w:p w14:paraId="3EEB9975"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6,636.00</w:t>
            </w:r>
          </w:p>
        </w:tc>
      </w:tr>
      <w:tr w:rsidR="008E6744" w:rsidRPr="00037C61" w14:paraId="289831CE" w14:textId="77777777" w:rsidTr="5CA115F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23E8391"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Satu Mare</w:t>
            </w:r>
          </w:p>
        </w:tc>
        <w:tc>
          <w:tcPr>
            <w:tcW w:w="0" w:type="auto"/>
            <w:hideMark/>
          </w:tcPr>
          <w:p w14:paraId="634A37F3"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2,675.00</w:t>
            </w:r>
          </w:p>
        </w:tc>
        <w:tc>
          <w:tcPr>
            <w:tcW w:w="0" w:type="auto"/>
            <w:hideMark/>
          </w:tcPr>
          <w:p w14:paraId="3151633C"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2,452.00</w:t>
            </w:r>
          </w:p>
        </w:tc>
        <w:tc>
          <w:tcPr>
            <w:tcW w:w="0" w:type="auto"/>
            <w:hideMark/>
          </w:tcPr>
          <w:p w14:paraId="1A58B53D"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2,266.00</w:t>
            </w:r>
          </w:p>
        </w:tc>
        <w:tc>
          <w:tcPr>
            <w:tcW w:w="0" w:type="auto"/>
            <w:hideMark/>
          </w:tcPr>
          <w:p w14:paraId="582DA0BA"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2,459.00</w:t>
            </w:r>
          </w:p>
        </w:tc>
        <w:tc>
          <w:tcPr>
            <w:tcW w:w="0" w:type="auto"/>
            <w:hideMark/>
          </w:tcPr>
          <w:p w14:paraId="697BE8EB"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3,165.00</w:t>
            </w:r>
          </w:p>
        </w:tc>
        <w:tc>
          <w:tcPr>
            <w:tcW w:w="0" w:type="auto"/>
            <w:hideMark/>
          </w:tcPr>
          <w:p w14:paraId="51A3680C"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3,219.00</w:t>
            </w:r>
          </w:p>
        </w:tc>
        <w:tc>
          <w:tcPr>
            <w:tcW w:w="0" w:type="auto"/>
            <w:hideMark/>
          </w:tcPr>
          <w:p w14:paraId="04DB64B0"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3,334.00</w:t>
            </w:r>
          </w:p>
        </w:tc>
        <w:tc>
          <w:tcPr>
            <w:tcW w:w="0" w:type="auto"/>
            <w:hideMark/>
          </w:tcPr>
          <w:p w14:paraId="6FB25C9F"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3,336.00</w:t>
            </w:r>
          </w:p>
        </w:tc>
      </w:tr>
      <w:tr w:rsidR="008E6744" w:rsidRPr="00037C61" w14:paraId="006338C9" w14:textId="77777777" w:rsidTr="5CA11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1BB70FE" w14:textId="77777777" w:rsidR="008E6744" w:rsidRPr="00037C61" w:rsidRDefault="008E6744" w:rsidP="008E6744">
            <w:pPr>
              <w:jc w:val="left"/>
              <w:rPr>
                <w:rFonts w:eastAsia="Times New Roman" w:cs="Calibri"/>
                <w:sz w:val="20"/>
                <w:szCs w:val="20"/>
                <w:lang w:val="en-GB"/>
              </w:rPr>
            </w:pPr>
            <w:r w:rsidRPr="00037C61">
              <w:rPr>
                <w:rFonts w:eastAsia="Times New Roman" w:cs="Calibri"/>
                <w:sz w:val="20"/>
                <w:szCs w:val="20"/>
                <w:lang w:val="en-GB"/>
              </w:rPr>
              <w:t>Arad</w:t>
            </w:r>
          </w:p>
        </w:tc>
        <w:tc>
          <w:tcPr>
            <w:tcW w:w="0" w:type="auto"/>
            <w:hideMark/>
          </w:tcPr>
          <w:p w14:paraId="3EEAB337"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5,835.00</w:t>
            </w:r>
          </w:p>
        </w:tc>
        <w:tc>
          <w:tcPr>
            <w:tcW w:w="0" w:type="auto"/>
            <w:hideMark/>
          </w:tcPr>
          <w:p w14:paraId="4CEA1108"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5,260.00</w:t>
            </w:r>
          </w:p>
        </w:tc>
        <w:tc>
          <w:tcPr>
            <w:tcW w:w="0" w:type="auto"/>
            <w:hideMark/>
          </w:tcPr>
          <w:p w14:paraId="4A9C47C2"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5,485.00</w:t>
            </w:r>
          </w:p>
        </w:tc>
        <w:tc>
          <w:tcPr>
            <w:tcW w:w="0" w:type="auto"/>
            <w:hideMark/>
          </w:tcPr>
          <w:p w14:paraId="6879ADDF"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5,072.00</w:t>
            </w:r>
          </w:p>
        </w:tc>
        <w:tc>
          <w:tcPr>
            <w:tcW w:w="0" w:type="auto"/>
            <w:hideMark/>
          </w:tcPr>
          <w:p w14:paraId="1F104065"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4,253.00</w:t>
            </w:r>
          </w:p>
        </w:tc>
        <w:tc>
          <w:tcPr>
            <w:tcW w:w="0" w:type="auto"/>
            <w:hideMark/>
          </w:tcPr>
          <w:p w14:paraId="4D832A3F"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3,637.00</w:t>
            </w:r>
          </w:p>
        </w:tc>
        <w:tc>
          <w:tcPr>
            <w:tcW w:w="0" w:type="auto"/>
            <w:hideMark/>
          </w:tcPr>
          <w:p w14:paraId="3BF89EA2"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4,973.00</w:t>
            </w:r>
          </w:p>
        </w:tc>
        <w:tc>
          <w:tcPr>
            <w:tcW w:w="0" w:type="auto"/>
            <w:hideMark/>
          </w:tcPr>
          <w:p w14:paraId="4BEA8E55" w14:textId="77777777" w:rsidR="008E6744" w:rsidRPr="00037C61" w:rsidRDefault="008E6744" w:rsidP="008E6744">
            <w:pPr>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4,352.00</w:t>
            </w:r>
          </w:p>
        </w:tc>
      </w:tr>
      <w:tr w:rsidR="008E6744" w:rsidRPr="00037C61" w14:paraId="310FF588" w14:textId="77777777" w:rsidTr="5CA115F1">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9862BB1" w14:textId="6A4329B6" w:rsidR="008E6744" w:rsidRPr="00037C61" w:rsidRDefault="007716E6" w:rsidP="008E6744">
            <w:pPr>
              <w:jc w:val="left"/>
              <w:rPr>
                <w:rFonts w:eastAsia="Times New Roman" w:cs="Calibri"/>
                <w:sz w:val="20"/>
                <w:szCs w:val="20"/>
                <w:lang w:val="en-GB"/>
              </w:rPr>
            </w:pPr>
            <w:r w:rsidRPr="00037C61">
              <w:rPr>
                <w:rFonts w:eastAsia="Times New Roman" w:cs="Calibri"/>
                <w:sz w:val="20"/>
                <w:szCs w:val="20"/>
                <w:lang w:val="en-GB"/>
              </w:rPr>
              <w:t>Timiș</w:t>
            </w:r>
          </w:p>
        </w:tc>
        <w:tc>
          <w:tcPr>
            <w:tcW w:w="0" w:type="auto"/>
            <w:hideMark/>
          </w:tcPr>
          <w:p w14:paraId="2B4719BE"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9,703.00</w:t>
            </w:r>
          </w:p>
        </w:tc>
        <w:tc>
          <w:tcPr>
            <w:tcW w:w="0" w:type="auto"/>
            <w:hideMark/>
          </w:tcPr>
          <w:p w14:paraId="61B35A39"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10,031.00</w:t>
            </w:r>
          </w:p>
        </w:tc>
        <w:tc>
          <w:tcPr>
            <w:tcW w:w="0" w:type="auto"/>
            <w:hideMark/>
          </w:tcPr>
          <w:p w14:paraId="3899327F"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7,821.00</w:t>
            </w:r>
          </w:p>
        </w:tc>
        <w:tc>
          <w:tcPr>
            <w:tcW w:w="0" w:type="auto"/>
            <w:hideMark/>
          </w:tcPr>
          <w:p w14:paraId="6832FA4A"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8,108.00</w:t>
            </w:r>
          </w:p>
        </w:tc>
        <w:tc>
          <w:tcPr>
            <w:tcW w:w="0" w:type="auto"/>
            <w:hideMark/>
          </w:tcPr>
          <w:p w14:paraId="06B8E604"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7,248.00</w:t>
            </w:r>
          </w:p>
        </w:tc>
        <w:tc>
          <w:tcPr>
            <w:tcW w:w="0" w:type="auto"/>
            <w:hideMark/>
          </w:tcPr>
          <w:p w14:paraId="7E5CE7F7"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7,862.00</w:t>
            </w:r>
          </w:p>
        </w:tc>
        <w:tc>
          <w:tcPr>
            <w:tcW w:w="0" w:type="auto"/>
            <w:hideMark/>
          </w:tcPr>
          <w:p w14:paraId="4D3BD7A1"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6,438.00</w:t>
            </w:r>
          </w:p>
        </w:tc>
        <w:tc>
          <w:tcPr>
            <w:tcW w:w="0" w:type="auto"/>
            <w:hideMark/>
          </w:tcPr>
          <w:p w14:paraId="0BCC20B8" w14:textId="77777777" w:rsidR="008E6744" w:rsidRPr="00037C61" w:rsidRDefault="008E6744" w:rsidP="008E6744">
            <w:pPr>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en-GB"/>
              </w:rPr>
            </w:pPr>
            <w:r w:rsidRPr="00037C61">
              <w:rPr>
                <w:rFonts w:eastAsia="Times New Roman" w:cs="Calibri"/>
                <w:sz w:val="20"/>
                <w:szCs w:val="20"/>
                <w:lang w:val="en-GB"/>
              </w:rPr>
              <w:t>7,155.00</w:t>
            </w:r>
          </w:p>
        </w:tc>
      </w:tr>
    </w:tbl>
    <w:p w14:paraId="4C4B2F35" w14:textId="77777777" w:rsidR="008E6744" w:rsidRPr="00037C61" w:rsidRDefault="3F413C9B" w:rsidP="008E6744">
      <w:pPr>
        <w:pStyle w:val="Caption"/>
        <w:jc w:val="both"/>
        <w:rPr>
          <w:lang w:val="en-GB"/>
        </w:rPr>
      </w:pPr>
      <w:r w:rsidRPr="00037C61">
        <w:rPr>
          <w:lang w:val="en-GB"/>
        </w:rPr>
        <w:t>Source: Eurostat</w:t>
      </w:r>
    </w:p>
    <w:p w14:paraId="4349A931" w14:textId="3AE1BC6F" w:rsidR="008E6744" w:rsidRPr="00037C61" w:rsidRDefault="008E6744" w:rsidP="00D945F1">
      <w:pPr>
        <w:rPr>
          <w:lang w:val="en-GB"/>
        </w:rPr>
      </w:pPr>
    </w:p>
    <w:p w14:paraId="68A6812D" w14:textId="1D6F4344" w:rsidR="008E6744" w:rsidRPr="00037C61" w:rsidRDefault="3F413C9B" w:rsidP="00D945F1">
      <w:pPr>
        <w:spacing w:line="257" w:lineRule="auto"/>
        <w:rPr>
          <w:rFonts w:eastAsia="Calibri" w:cs="Calibri"/>
          <w:lang w:val="en-GB"/>
        </w:rPr>
      </w:pPr>
      <w:r w:rsidRPr="00037C61">
        <w:rPr>
          <w:rFonts w:eastAsia="Calibri" w:cs="Calibri"/>
          <w:lang w:val="en-GB"/>
        </w:rPr>
        <w:t xml:space="preserve">We observe that in the CBC area the highest loading and unloading percentages are in Hajdú-Bihar with 10.920 thousands tones/year in Hungary and in Bihor with 6.636 thousands tones/year in Romania in 2018, with comparable percentages, around 63% and 50%-51% increasing from 2015 till 2018, and the lowest figures are registered in </w:t>
      </w:r>
      <w:r w:rsidR="00D26B7C" w:rsidRPr="00037C61">
        <w:rPr>
          <w:rFonts w:eastAsia="Calibri" w:cs="Calibri"/>
          <w:lang w:val="en-GB"/>
        </w:rPr>
        <w:t>Timiș</w:t>
      </w:r>
      <w:r w:rsidRPr="00037C61">
        <w:rPr>
          <w:rFonts w:eastAsia="Calibri" w:cs="Calibri"/>
          <w:lang w:val="en-GB"/>
        </w:rPr>
        <w:t xml:space="preserve"> with 7.155 thousands tones/year and in Arad with 4.352 thousands tones/year, both of them on loading and unloading, with -33% - -29%  and -15% - -17% decreasing. Even so, </w:t>
      </w:r>
      <w:r w:rsidR="00D26B7C" w:rsidRPr="00037C61">
        <w:rPr>
          <w:rFonts w:eastAsia="Calibri" w:cs="Calibri"/>
          <w:lang w:val="en-GB"/>
        </w:rPr>
        <w:t>Timiș</w:t>
      </w:r>
      <w:r w:rsidRPr="00037C61">
        <w:rPr>
          <w:rFonts w:eastAsia="Calibri" w:cs="Calibri"/>
          <w:lang w:val="en-GB"/>
        </w:rPr>
        <w:t xml:space="preserve"> has the highest number of tones on the Romanian side of the border. </w:t>
      </w:r>
    </w:p>
    <w:p w14:paraId="7B5EE50F" w14:textId="67900859" w:rsidR="008E6744" w:rsidRPr="00037C61" w:rsidRDefault="3F413C9B" w:rsidP="00D945F1">
      <w:pPr>
        <w:spacing w:line="257" w:lineRule="auto"/>
        <w:rPr>
          <w:rFonts w:eastAsia="Calibri" w:cs="Calibri"/>
          <w:lang w:val="en-GB"/>
        </w:rPr>
      </w:pPr>
      <w:r w:rsidRPr="00037C61">
        <w:rPr>
          <w:rFonts w:eastAsia="Calibri" w:cs="Calibri"/>
          <w:lang w:val="en-GB"/>
        </w:rPr>
        <w:t xml:space="preserve">As an overall image on PA, we can observe that, in 2015 both sides of the border had comparable premises to develop, as starting figures (on the Hungarian PA, the total number of thousands tones/year was 55.256 and on the Romanian PA, the total number of thousands tones/year was </w:t>
      </w:r>
      <w:r w:rsidRPr="00037C61">
        <w:rPr>
          <w:rFonts w:ascii="Arial" w:eastAsia="Arial" w:hAnsi="Arial" w:cs="Arial"/>
          <w:color w:val="000000" w:themeColor="text1"/>
          <w:sz w:val="20"/>
          <w:szCs w:val="20"/>
          <w:lang w:val="en-GB"/>
        </w:rPr>
        <w:t xml:space="preserve">44.619), but in 4 years, </w:t>
      </w:r>
      <w:r w:rsidRPr="00037C61">
        <w:rPr>
          <w:rFonts w:eastAsiaTheme="minorEastAsia"/>
          <w:lang w:val="en-GB"/>
        </w:rPr>
        <w:t>the trend of development became different through comparison:</w:t>
      </w:r>
      <w:r w:rsidRPr="00037C61">
        <w:rPr>
          <w:rFonts w:ascii="Arial" w:eastAsia="Arial" w:hAnsi="Arial" w:cs="Arial"/>
          <w:color w:val="000000" w:themeColor="text1"/>
          <w:sz w:val="20"/>
          <w:szCs w:val="20"/>
          <w:lang w:val="en-GB"/>
        </w:rPr>
        <w:t xml:space="preserve"> </w:t>
      </w:r>
      <w:r w:rsidRPr="00037C61">
        <w:rPr>
          <w:rFonts w:eastAsiaTheme="minorEastAsia"/>
          <w:lang w:val="en-GB"/>
        </w:rPr>
        <w:t>the</w:t>
      </w:r>
      <w:r w:rsidRPr="00037C61">
        <w:rPr>
          <w:rFonts w:ascii="Arial" w:eastAsia="Arial" w:hAnsi="Arial" w:cs="Arial"/>
          <w:color w:val="000000" w:themeColor="text1"/>
          <w:sz w:val="20"/>
          <w:szCs w:val="20"/>
          <w:lang w:val="en-GB"/>
        </w:rPr>
        <w:t xml:space="preserve"> </w:t>
      </w:r>
      <w:r w:rsidRPr="00037C61">
        <w:rPr>
          <w:rFonts w:eastAsia="Calibri" w:cs="Calibri"/>
          <w:lang w:val="en-GB"/>
        </w:rPr>
        <w:t>Hungarian PA increased its figures with 21,40% and the Romanian PA decreased its figures with 3,12.</w:t>
      </w:r>
    </w:p>
    <w:p w14:paraId="78C51D9F" w14:textId="77777777" w:rsidR="008E6744" w:rsidRPr="00037C61" w:rsidRDefault="008E6744" w:rsidP="008E6744">
      <w:pPr>
        <w:keepNext/>
        <w:rPr>
          <w:lang w:val="en-GB"/>
        </w:rPr>
      </w:pPr>
      <w:r w:rsidRPr="00037C61">
        <w:rPr>
          <w:noProof/>
          <w:lang w:val="ro-RO" w:eastAsia="ro-RO"/>
        </w:rPr>
        <w:lastRenderedPageBreak/>
        <w:drawing>
          <wp:inline distT="0" distB="0" distL="0" distR="0" wp14:anchorId="3653749D" wp14:editId="7E6A7145">
            <wp:extent cx="5727700" cy="4411133"/>
            <wp:effectExtent l="0" t="0" r="6350" b="8890"/>
            <wp:docPr id="85" name="Chart 8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827DA3-9E8F-0240-ABB0-F8CA47079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3D0E54CD" w14:textId="2AF4FE5B" w:rsidR="008E6744" w:rsidRPr="00037C61" w:rsidRDefault="008E6744" w:rsidP="008E6744">
      <w:pPr>
        <w:pStyle w:val="Caption"/>
        <w:jc w:val="both"/>
        <w:rPr>
          <w:rFonts w:cstheme="minorHAnsi"/>
          <w:lang w:val="en-GB"/>
        </w:rPr>
      </w:pPr>
      <w:bookmarkStart w:id="777" w:name="_Toc52954833"/>
      <w:bookmarkStart w:id="778" w:name="_Toc6461107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122</w:t>
      </w:r>
      <w:r w:rsidR="00412697">
        <w:rPr>
          <w:lang w:val="en-GB"/>
        </w:rPr>
        <w:fldChar w:fldCharType="end"/>
      </w:r>
      <w:r w:rsidRPr="00037C61">
        <w:rPr>
          <w:lang w:val="en-GB"/>
        </w:rPr>
        <w:t xml:space="preserve"> - Road freight transport loading/unloading 2015-2018</w:t>
      </w:r>
      <w:bookmarkEnd w:id="777"/>
      <w:bookmarkEnd w:id="778"/>
    </w:p>
    <w:p w14:paraId="69D80693" w14:textId="77777777" w:rsidR="008E6744" w:rsidRPr="00037C61" w:rsidRDefault="008E6744" w:rsidP="008E6744">
      <w:pPr>
        <w:pStyle w:val="Caption"/>
        <w:jc w:val="both"/>
        <w:rPr>
          <w:lang w:val="en-GB"/>
        </w:rPr>
      </w:pPr>
      <w:r w:rsidRPr="00037C61">
        <w:rPr>
          <w:lang w:val="en-GB"/>
        </w:rPr>
        <w:t>Source: INS, Eurostat</w:t>
      </w:r>
    </w:p>
    <w:p w14:paraId="4400E1D8" w14:textId="57554B6A" w:rsidR="008E6744" w:rsidRPr="00037C61" w:rsidRDefault="00450C2E" w:rsidP="005E0849">
      <w:pPr>
        <w:pStyle w:val="Heading3"/>
      </w:pPr>
      <w:r w:rsidRPr="00037C61" w:rsidDel="00450C2E">
        <w:t xml:space="preserve"> </w:t>
      </w:r>
      <w:bookmarkStart w:id="779" w:name="_Toc50359120"/>
      <w:bookmarkStart w:id="780" w:name="_Toc52954694"/>
      <w:bookmarkStart w:id="781" w:name="_Toc53137215"/>
      <w:r w:rsidR="003A195C" w:rsidRPr="00037C61" w:rsidDel="003A195C">
        <w:t xml:space="preserve"> </w:t>
      </w:r>
      <w:bookmarkStart w:id="782" w:name="_Toc64619554"/>
      <w:r w:rsidR="003A195C" w:rsidRPr="00037C61">
        <w:t>T</w:t>
      </w:r>
      <w:bookmarkStart w:id="783" w:name="_Toc50723342"/>
      <w:r w:rsidR="008E6744" w:rsidRPr="00037C61">
        <w:t>echnical infrastructures</w:t>
      </w:r>
      <w:bookmarkEnd w:id="779"/>
      <w:bookmarkEnd w:id="780"/>
      <w:bookmarkEnd w:id="781"/>
      <w:bookmarkEnd w:id="782"/>
      <w:bookmarkEnd w:id="783"/>
    </w:p>
    <w:p w14:paraId="7E3AF7BF" w14:textId="68A66359" w:rsidR="00F10191" w:rsidRPr="00037C61" w:rsidRDefault="00F10191" w:rsidP="00457478">
      <w:pPr>
        <w:rPr>
          <w:lang w:val="en-GB"/>
        </w:rPr>
      </w:pPr>
      <w:r w:rsidRPr="00037C61">
        <w:rPr>
          <w:lang w:val="en-GB"/>
        </w:rPr>
        <w:t xml:space="preserve">Basic infrastructure accessibility is only available for the Romanian side and can thus not provide a comparative overview of distribution and endowment at the PA level. </w:t>
      </w:r>
    </w:p>
    <w:p w14:paraId="2511DADE" w14:textId="77777777" w:rsidR="008E6744" w:rsidRPr="00037C61" w:rsidRDefault="008E6744" w:rsidP="00D945F1">
      <w:pPr>
        <w:pStyle w:val="Heading4"/>
        <w:rPr>
          <w:lang w:val="en-GB"/>
        </w:rPr>
      </w:pPr>
      <w:r w:rsidRPr="00037C61">
        <w:rPr>
          <w:lang w:val="en-GB"/>
        </w:rPr>
        <w:t>Consumption per capita: energy and water</w:t>
      </w:r>
    </w:p>
    <w:p w14:paraId="49B0FF42" w14:textId="24FC147E" w:rsidR="00C95D96" w:rsidRPr="00037C61" w:rsidRDefault="008E6744" w:rsidP="005E0849">
      <w:pPr>
        <w:pStyle w:val="InterregROHUBullet1"/>
        <w:numPr>
          <w:ilvl w:val="0"/>
          <w:numId w:val="0"/>
        </w:numPr>
      </w:pPr>
      <w:r w:rsidRPr="00037C61">
        <w:t>Regarding the energy consumption,</w:t>
      </w:r>
      <w:r w:rsidR="00C86C9E" w:rsidRPr="00037C61">
        <w:t xml:space="preserve"> whilst the impact of the investments realized between 2009 and 2018 on both sides of the border is still to be assessed, it shall be stressed that the average energy consumption per capita is not available at county level (NUTS3) in both sides of the border. </w:t>
      </w:r>
    </w:p>
    <w:p w14:paraId="4DD674CA" w14:textId="45EA09ED" w:rsidR="008E6744" w:rsidRPr="00037C61" w:rsidRDefault="00C86C9E" w:rsidP="008E6744">
      <w:pPr>
        <w:rPr>
          <w:lang w:val="en-GB"/>
        </w:rPr>
      </w:pPr>
      <w:r w:rsidRPr="00037C61">
        <w:rPr>
          <w:lang w:val="en-GB"/>
        </w:rPr>
        <w:t>In this respect, f</w:t>
      </w:r>
      <w:r w:rsidR="008E6744" w:rsidRPr="00037C61">
        <w:rPr>
          <w:lang w:val="en-GB"/>
        </w:rPr>
        <w:t xml:space="preserve">igures at national level showing a quantity of energy available to be consummated in Romania </w:t>
      </w:r>
      <w:r w:rsidR="00F379E7" w:rsidRPr="00037C61">
        <w:rPr>
          <w:lang w:val="en-GB"/>
        </w:rPr>
        <w:t>and</w:t>
      </w:r>
      <w:r w:rsidR="008E6744" w:rsidRPr="00037C61">
        <w:rPr>
          <w:lang w:val="en-GB"/>
        </w:rPr>
        <w:t xml:space="preserve"> Hungary, as presented below,</w:t>
      </w:r>
      <w:r w:rsidR="00F379E7" w:rsidRPr="00037C61">
        <w:rPr>
          <w:lang w:val="en-GB"/>
        </w:rPr>
        <w:t xml:space="preserve"> show an almost linear pattern since 2009</w:t>
      </w:r>
      <w:r w:rsidR="00E07B1C" w:rsidRPr="00037C61">
        <w:rPr>
          <w:lang w:val="en-GB"/>
        </w:rPr>
        <w:t>, although a certain increase is observed in both countries (+2,5% in Romania and +9,7% in Hungary)</w:t>
      </w:r>
      <w:r w:rsidR="00F379E7" w:rsidRPr="00037C61">
        <w:rPr>
          <w:lang w:val="en-GB"/>
        </w:rPr>
        <w:t xml:space="preserve">. </w:t>
      </w:r>
    </w:p>
    <w:p w14:paraId="374B3C8E" w14:textId="77777777" w:rsidR="008E6744" w:rsidRPr="00037C61" w:rsidRDefault="008E6744" w:rsidP="008E6744">
      <w:pPr>
        <w:pStyle w:val="InterregROHUBullet1"/>
        <w:keepNext/>
        <w:numPr>
          <w:ilvl w:val="0"/>
          <w:numId w:val="0"/>
        </w:numPr>
        <w:spacing w:after="0"/>
        <w:jc w:val="center"/>
      </w:pPr>
      <w:r w:rsidRPr="00037C61">
        <w:rPr>
          <w:noProof/>
          <w:lang w:val="ro-RO" w:eastAsia="ro-RO"/>
        </w:rPr>
        <w:lastRenderedPageBreak/>
        <w:drawing>
          <wp:inline distT="0" distB="0" distL="0" distR="0" wp14:anchorId="122FE890" wp14:editId="2DEEBC62">
            <wp:extent cx="5725670" cy="2583180"/>
            <wp:effectExtent l="0" t="0" r="889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742888" cy="2590948"/>
                    </a:xfrm>
                    <a:prstGeom prst="rect">
                      <a:avLst/>
                    </a:prstGeom>
                  </pic:spPr>
                </pic:pic>
              </a:graphicData>
            </a:graphic>
          </wp:inline>
        </w:drawing>
      </w:r>
    </w:p>
    <w:p w14:paraId="5C5EDEE3" w14:textId="24CD7D2B" w:rsidR="008E6744" w:rsidRPr="00037C61" w:rsidRDefault="008E6744" w:rsidP="008E6744">
      <w:pPr>
        <w:pStyle w:val="Caption"/>
        <w:jc w:val="left"/>
        <w:rPr>
          <w:lang w:val="en-GB"/>
        </w:rPr>
      </w:pPr>
      <w:bookmarkStart w:id="784" w:name="_Toc52954839"/>
      <w:bookmarkStart w:id="785" w:name="_Toc6461107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123</w:t>
      </w:r>
      <w:r w:rsidR="00412697">
        <w:rPr>
          <w:lang w:val="en-GB"/>
        </w:rPr>
        <w:fldChar w:fldCharType="end"/>
      </w:r>
      <w:r w:rsidRPr="00037C61">
        <w:rPr>
          <w:lang w:val="en-GB"/>
        </w:rPr>
        <w:t xml:space="preserve"> - Energy consumption per capita 2009-2018</w:t>
      </w:r>
      <w:bookmarkEnd w:id="784"/>
      <w:bookmarkEnd w:id="785"/>
    </w:p>
    <w:p w14:paraId="3E99995C" w14:textId="77777777" w:rsidR="008E6744" w:rsidRPr="00037C61" w:rsidRDefault="3F413C9B" w:rsidP="008E6744">
      <w:pPr>
        <w:pStyle w:val="Caption"/>
        <w:jc w:val="both"/>
        <w:rPr>
          <w:lang w:val="en-GB"/>
        </w:rPr>
      </w:pPr>
      <w:r w:rsidRPr="00037C61">
        <w:rPr>
          <w:lang w:val="en-GB"/>
        </w:rPr>
        <w:t xml:space="preserve">Source: INS, energy consumption per capita data per NUT3 between 2009 – 2019 and https://appsso.eurostat.ec.europa.eu/nui/show.do   Supply, transformation and consumption of electricity </w:t>
      </w:r>
    </w:p>
    <w:p w14:paraId="1CA41143" w14:textId="794816CC" w:rsidR="3F413C9B" w:rsidRPr="00037C61" w:rsidRDefault="3F413C9B" w:rsidP="00D945F1">
      <w:pPr>
        <w:rPr>
          <w:lang w:val="en-GB"/>
        </w:rPr>
      </w:pPr>
    </w:p>
    <w:p w14:paraId="5D9F8C57" w14:textId="0CDB45BA" w:rsidR="00E07B1C" w:rsidRPr="00037C61" w:rsidRDefault="00E07B1C" w:rsidP="00D945F1">
      <w:pPr>
        <w:rPr>
          <w:lang w:val="en-GB"/>
        </w:rPr>
      </w:pPr>
      <w:r w:rsidRPr="00037C61">
        <w:rPr>
          <w:lang w:val="en-GB"/>
        </w:rPr>
        <w:t xml:space="preserve">As the reduction of conventional energy consumption will be a priority for all member states under the Energy and Climate Change package 2030, further analysis of energy consumption trends at territorial level is needed to understand the extent to which local resources and energy production local systems could contribute to an effective increase in the share of renewable energy production and the overall energy efficiency of local economic and social systems. </w:t>
      </w:r>
    </w:p>
    <w:p w14:paraId="4F52B5BC" w14:textId="26C68601" w:rsidR="3F413C9B" w:rsidRPr="00037C61" w:rsidRDefault="3F413C9B">
      <w:pPr>
        <w:rPr>
          <w:rFonts w:eastAsia="Calibri" w:cs="Calibri"/>
          <w:lang w:val="en-GB"/>
        </w:rPr>
      </w:pPr>
      <w:r w:rsidRPr="00037C61">
        <w:rPr>
          <w:rFonts w:eastAsia="Calibri" w:cs="Calibri"/>
          <w:b/>
          <w:bCs/>
          <w:color w:val="000000" w:themeColor="text1"/>
          <w:lang w:val="en-GB"/>
        </w:rPr>
        <w:t>In relation with water consumption,</w:t>
      </w:r>
      <w:r w:rsidRPr="00037C61">
        <w:rPr>
          <w:rFonts w:eastAsia="Calibri" w:cs="Calibri"/>
          <w:color w:val="000000" w:themeColor="text1"/>
          <w:lang w:val="en-GB"/>
        </w:rPr>
        <w:t xml:space="preserve"> </w:t>
      </w:r>
      <w:r w:rsidR="002A2F54" w:rsidRPr="00037C61">
        <w:rPr>
          <w:rFonts w:eastAsia="Calibri" w:cs="Calibri"/>
          <w:color w:val="000000" w:themeColor="text1"/>
          <w:lang w:val="en-GB"/>
        </w:rPr>
        <w:t xml:space="preserve">data for the PA is available in per-capita consumption for the period 2009-2014 and indicates a general decreasing trend across all PA counties except </w:t>
      </w:r>
      <w:r w:rsidR="002A2F54" w:rsidRPr="00037C61">
        <w:rPr>
          <w:rFonts w:cs="Arial"/>
          <w:color w:val="000000"/>
          <w:lang w:val="en-GB"/>
        </w:rPr>
        <w:t xml:space="preserve">Hajdú-Bihar where a small increase is recorded (1.32%), with the county nevertheless recording the lowest value out of the Hungarian PA area. </w:t>
      </w:r>
      <w:r w:rsidR="002A2F54" w:rsidRPr="00037C61">
        <w:rPr>
          <w:rFonts w:eastAsia="Calibri" w:cs="Calibri"/>
          <w:lang w:val="en-GB"/>
        </w:rPr>
        <w:t>The water consumption fluctuates between 28.8 (Satu Mare) and 53.2 (Timiș) m</w:t>
      </w:r>
      <w:r w:rsidR="002A2F54" w:rsidRPr="00037C61">
        <w:rPr>
          <w:rFonts w:eastAsia="Calibri" w:cs="Calibri"/>
          <w:vertAlign w:val="superscript"/>
          <w:lang w:val="en-GB"/>
        </w:rPr>
        <w:t>3</w:t>
      </w:r>
      <w:r w:rsidR="002A2F54" w:rsidRPr="00037C61">
        <w:rPr>
          <w:rFonts w:eastAsia="Calibri" w:cs="Calibri"/>
          <w:lang w:val="en-GB"/>
        </w:rPr>
        <w:t xml:space="preserve">/person/year, with nearly a quarter (23%) higher per capita average in the Romanian PA area than in the Hungarian one. Resource consumption, including water, is a key factor of sustainable development, and recent climate change impacts such as increased drought and desertification tendencies represent factors which can be reduced with more awareness from the general population and a general water-saving approach. </w:t>
      </w:r>
    </w:p>
    <w:p w14:paraId="1A873F65" w14:textId="7A9FCECB" w:rsidR="008E6744" w:rsidRPr="00037C61" w:rsidRDefault="3F413C9B" w:rsidP="00D945F1">
      <w:pPr>
        <w:pStyle w:val="Caption"/>
        <w:keepNext/>
        <w:jc w:val="left"/>
        <w:rPr>
          <w:lang w:val="en-GB"/>
        </w:rPr>
      </w:pPr>
      <w:bookmarkStart w:id="786" w:name="_Toc58237665"/>
      <w:r w:rsidRPr="00037C61">
        <w:rPr>
          <w:lang w:val="en-GB"/>
        </w:rPr>
        <w:t xml:space="preserve">Table </w:t>
      </w:r>
      <w:r w:rsidRPr="00037C61">
        <w:rPr>
          <w:lang w:val="en-GB"/>
        </w:rPr>
        <w:fldChar w:fldCharType="begin"/>
      </w:r>
      <w:r w:rsidRPr="00037C61">
        <w:rPr>
          <w:lang w:val="en-GB"/>
        </w:rPr>
        <w:instrText>SEQ Table \* ARABIC</w:instrText>
      </w:r>
      <w:r w:rsidRPr="00037C61">
        <w:rPr>
          <w:lang w:val="en-GB"/>
        </w:rPr>
        <w:fldChar w:fldCharType="separate"/>
      </w:r>
      <w:r w:rsidR="005A7BD8">
        <w:rPr>
          <w:noProof/>
          <w:lang w:val="en-GB"/>
        </w:rPr>
        <w:t>43</w:t>
      </w:r>
      <w:r w:rsidRPr="00037C61">
        <w:rPr>
          <w:lang w:val="en-GB"/>
        </w:rPr>
        <w:fldChar w:fldCharType="end"/>
      </w:r>
      <w:r w:rsidR="00662F53" w:rsidRPr="00037C61">
        <w:rPr>
          <w:lang w:val="en-GB"/>
        </w:rPr>
        <w:t xml:space="preserve"> -</w:t>
      </w:r>
      <w:r w:rsidRPr="00037C61">
        <w:rPr>
          <w:lang w:val="en-GB"/>
        </w:rPr>
        <w:t xml:space="preserve"> Water consumption per capita </w:t>
      </w:r>
      <w:r w:rsidR="002A2F54" w:rsidRPr="00037C61">
        <w:rPr>
          <w:lang w:val="en-GB"/>
        </w:rPr>
        <w:t>in the PA counties (2014 and 2009-2014 trend)</w:t>
      </w:r>
      <w:bookmarkEnd w:id="786"/>
      <w:r w:rsidR="002A2F54" w:rsidRPr="00037C61">
        <w:rPr>
          <w:lang w:val="en-GB"/>
        </w:rPr>
        <w:t xml:space="preserve"> </w:t>
      </w:r>
    </w:p>
    <w:tbl>
      <w:tblPr>
        <w:tblStyle w:val="ListTable3-Accent11"/>
        <w:tblW w:w="8915" w:type="dxa"/>
        <w:tblLook w:val="04A0" w:firstRow="1" w:lastRow="0" w:firstColumn="1" w:lastColumn="0" w:noHBand="0" w:noVBand="1"/>
      </w:tblPr>
      <w:tblGrid>
        <w:gridCol w:w="3445"/>
        <w:gridCol w:w="236"/>
        <w:gridCol w:w="3210"/>
        <w:gridCol w:w="1941"/>
        <w:gridCol w:w="83"/>
      </w:tblGrid>
      <w:tr w:rsidR="002A2F54" w:rsidRPr="00037C61" w14:paraId="029D3F45" w14:textId="77777777" w:rsidTr="74CEAA85">
        <w:trPr>
          <w:cnfStyle w:val="100000000000" w:firstRow="1" w:lastRow="0" w:firstColumn="0" w:lastColumn="0" w:oddVBand="0" w:evenVBand="0" w:oddHBand="0" w:evenHBand="0" w:firstRowFirstColumn="0" w:firstRowLastColumn="0" w:lastRowFirstColumn="0" w:lastRowLastColumn="0"/>
          <w:trHeight w:val="172"/>
        </w:trPr>
        <w:tc>
          <w:tcPr>
            <w:cnfStyle w:val="001000000100" w:firstRow="0" w:lastRow="0" w:firstColumn="1" w:lastColumn="0" w:oddVBand="0" w:evenVBand="0" w:oddHBand="0" w:evenHBand="0" w:firstRowFirstColumn="1" w:firstRowLastColumn="0" w:lastRowFirstColumn="0" w:lastRowLastColumn="0"/>
            <w:tcW w:w="3445" w:type="dxa"/>
          </w:tcPr>
          <w:p w14:paraId="55FC6870" w14:textId="77777777" w:rsidR="002A2F54" w:rsidRPr="00037C61" w:rsidRDefault="002A2F54" w:rsidP="008E6744">
            <w:pPr>
              <w:rPr>
                <w:rFonts w:cs="Arial"/>
                <w:lang w:val="en-GB"/>
              </w:rPr>
            </w:pPr>
            <w:r w:rsidRPr="00037C61">
              <w:rPr>
                <w:rFonts w:cs="Arial"/>
                <w:lang w:val="en-GB"/>
              </w:rPr>
              <w:t xml:space="preserve">Water consumption per capita </w:t>
            </w:r>
          </w:p>
          <w:p w14:paraId="7EF23E24" w14:textId="290F969A" w:rsidR="002A2F54" w:rsidRPr="00037C61" w:rsidRDefault="002A2F54" w:rsidP="008E6744">
            <w:pPr>
              <w:rPr>
                <w:rFonts w:cs="Arial"/>
                <w:lang w:val="en-GB"/>
              </w:rPr>
            </w:pPr>
            <w:r w:rsidRPr="00037C61">
              <w:rPr>
                <w:rFonts w:cs="Arial"/>
                <w:lang w:val="en-GB"/>
              </w:rPr>
              <w:t>(m</w:t>
            </w:r>
            <w:r w:rsidRPr="00037C61">
              <w:rPr>
                <w:rFonts w:cs="Arial"/>
                <w:vertAlign w:val="superscript"/>
                <w:lang w:val="en-GB"/>
              </w:rPr>
              <w:t>3</w:t>
            </w:r>
            <w:r w:rsidRPr="00037C61">
              <w:rPr>
                <w:rFonts w:cs="Arial"/>
                <w:lang w:val="en-GB"/>
              </w:rPr>
              <w:t xml:space="preserve"> / person/y) </w:t>
            </w:r>
          </w:p>
        </w:tc>
        <w:tc>
          <w:tcPr>
            <w:tcW w:w="3446" w:type="dxa"/>
            <w:gridSpan w:val="2"/>
            <w:tcBorders>
              <w:bottom w:val="nil"/>
              <w:right w:val="nil"/>
            </w:tcBorders>
          </w:tcPr>
          <w:p w14:paraId="5197CA1A" w14:textId="08B68D92" w:rsidR="002A2F54" w:rsidRPr="00037C61" w:rsidRDefault="002A2F54" w:rsidP="00457478">
            <w:pPr>
              <w:jc w:val="center"/>
              <w:cnfStyle w:val="100000000000" w:firstRow="1" w:lastRow="0" w:firstColumn="0" w:lastColumn="0" w:oddVBand="0" w:evenVBand="0" w:oddHBand="0" w:evenHBand="0" w:firstRowFirstColumn="0" w:firstRowLastColumn="0" w:lastRowFirstColumn="0" w:lastRowLastColumn="0"/>
              <w:rPr>
                <w:rFonts w:cs="Arial"/>
                <w:lang w:val="en-GB"/>
              </w:rPr>
            </w:pPr>
            <w:r w:rsidRPr="00037C61">
              <w:rPr>
                <w:rFonts w:cs="Arial"/>
                <w:lang w:val="en-GB"/>
              </w:rPr>
              <w:t>2014</w:t>
            </w:r>
          </w:p>
        </w:tc>
        <w:tc>
          <w:tcPr>
            <w:tcW w:w="2024" w:type="dxa"/>
            <w:gridSpan w:val="2"/>
            <w:noWrap/>
          </w:tcPr>
          <w:p w14:paraId="47311B11" w14:textId="56115B4D" w:rsidR="002A2F54" w:rsidRPr="00037C61" w:rsidRDefault="002A2F54" w:rsidP="008E6744">
            <w:pPr>
              <w:cnfStyle w:val="100000000000" w:firstRow="1" w:lastRow="0" w:firstColumn="0" w:lastColumn="0" w:oddVBand="0" w:evenVBand="0" w:oddHBand="0" w:evenHBand="0" w:firstRowFirstColumn="0" w:firstRowLastColumn="0" w:lastRowFirstColumn="0" w:lastRowLastColumn="0"/>
              <w:rPr>
                <w:rFonts w:cs="Arial"/>
                <w:lang w:val="en-GB"/>
              </w:rPr>
            </w:pPr>
            <w:r w:rsidRPr="00037C61">
              <w:rPr>
                <w:rFonts w:cs="Arial"/>
                <w:lang w:val="en-GB"/>
              </w:rPr>
              <w:t>Trend (2009-2014)</w:t>
            </w:r>
          </w:p>
        </w:tc>
      </w:tr>
      <w:tr w:rsidR="00E40568" w:rsidRPr="00037C61" w14:paraId="6FA6349B" w14:textId="77777777" w:rsidTr="74CEAA85">
        <w:trPr>
          <w:gridAfter w:val="1"/>
          <w:cnfStyle w:val="000000100000" w:firstRow="0" w:lastRow="0" w:firstColumn="0" w:lastColumn="0" w:oddVBand="0" w:evenVBand="0" w:oddHBand="1" w:evenHBand="0" w:firstRowFirstColumn="0" w:firstRowLastColumn="0" w:lastRowFirstColumn="0" w:lastRowLastColumn="0"/>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783E8568" w14:textId="77777777" w:rsidR="00E40568" w:rsidRPr="00037C61" w:rsidRDefault="00E40568" w:rsidP="008E6744">
            <w:pPr>
              <w:rPr>
                <w:rFonts w:cs="Arial"/>
                <w:color w:val="000000"/>
                <w:lang w:val="en-GB"/>
              </w:rPr>
            </w:pPr>
            <w:r w:rsidRPr="00037C61">
              <w:rPr>
                <w:rFonts w:cs="Arial"/>
                <w:color w:val="000000"/>
                <w:lang w:val="en-GB"/>
              </w:rPr>
              <w:t>Hajdú-Bihar</w:t>
            </w:r>
          </w:p>
        </w:tc>
        <w:tc>
          <w:tcPr>
            <w:tcW w:w="3210" w:type="dxa"/>
            <w:noWrap/>
            <w:hideMark/>
          </w:tcPr>
          <w:p w14:paraId="0BB5C144"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30,30</w:t>
            </w:r>
          </w:p>
        </w:tc>
        <w:tc>
          <w:tcPr>
            <w:tcW w:w="1941" w:type="dxa"/>
            <w:noWrap/>
            <w:hideMark/>
          </w:tcPr>
          <w:p w14:paraId="56C40D17"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1,32%</w:t>
            </w:r>
          </w:p>
        </w:tc>
      </w:tr>
      <w:tr w:rsidR="00E40568" w:rsidRPr="00037C61" w14:paraId="76B12792" w14:textId="77777777" w:rsidTr="74CEAA85">
        <w:trPr>
          <w:gridAfter w:val="1"/>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563D01BD" w14:textId="77777777" w:rsidR="00E40568" w:rsidRPr="00037C61" w:rsidRDefault="00E40568" w:rsidP="008E6744">
            <w:pPr>
              <w:rPr>
                <w:rFonts w:cs="Arial"/>
                <w:color w:val="000000"/>
                <w:lang w:val="en-GB"/>
              </w:rPr>
            </w:pPr>
            <w:r w:rsidRPr="00037C61">
              <w:rPr>
                <w:rFonts w:cs="Arial"/>
                <w:color w:val="000000"/>
                <w:lang w:val="en-GB"/>
              </w:rPr>
              <w:t>Szabolcs-Szatmár-Bereg</w:t>
            </w:r>
          </w:p>
        </w:tc>
        <w:tc>
          <w:tcPr>
            <w:tcW w:w="3210" w:type="dxa"/>
            <w:noWrap/>
            <w:hideMark/>
          </w:tcPr>
          <w:p w14:paraId="0B6FEEE6"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31,00</w:t>
            </w:r>
          </w:p>
        </w:tc>
        <w:tc>
          <w:tcPr>
            <w:tcW w:w="1941" w:type="dxa"/>
            <w:noWrap/>
            <w:hideMark/>
          </w:tcPr>
          <w:p w14:paraId="602CB75B"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-11,61%</w:t>
            </w:r>
          </w:p>
        </w:tc>
      </w:tr>
      <w:tr w:rsidR="00E40568" w:rsidRPr="00037C61" w14:paraId="0A0DC55B" w14:textId="77777777" w:rsidTr="74CEAA85">
        <w:trPr>
          <w:gridAfter w:val="1"/>
          <w:cnfStyle w:val="000000100000" w:firstRow="0" w:lastRow="0" w:firstColumn="0" w:lastColumn="0" w:oddVBand="0" w:evenVBand="0" w:oddHBand="1" w:evenHBand="0" w:firstRowFirstColumn="0" w:firstRowLastColumn="0" w:lastRowFirstColumn="0" w:lastRowLastColumn="0"/>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0547FD2F" w14:textId="77777777" w:rsidR="00E40568" w:rsidRPr="00037C61" w:rsidRDefault="00E40568" w:rsidP="008E6744">
            <w:pPr>
              <w:rPr>
                <w:rFonts w:cs="Arial"/>
                <w:color w:val="000000"/>
                <w:lang w:val="en-GB"/>
              </w:rPr>
            </w:pPr>
            <w:r w:rsidRPr="00037C61">
              <w:rPr>
                <w:rFonts w:cs="Arial"/>
                <w:color w:val="000000"/>
                <w:lang w:val="en-GB"/>
              </w:rPr>
              <w:t>Békés</w:t>
            </w:r>
          </w:p>
        </w:tc>
        <w:tc>
          <w:tcPr>
            <w:tcW w:w="3210" w:type="dxa"/>
            <w:noWrap/>
            <w:hideMark/>
          </w:tcPr>
          <w:p w14:paraId="3622C6A1"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33,10</w:t>
            </w:r>
          </w:p>
        </w:tc>
        <w:tc>
          <w:tcPr>
            <w:tcW w:w="1941" w:type="dxa"/>
            <w:noWrap/>
            <w:hideMark/>
          </w:tcPr>
          <w:p w14:paraId="6F2AD8E4"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-7,25%</w:t>
            </w:r>
          </w:p>
        </w:tc>
      </w:tr>
      <w:tr w:rsidR="00E40568" w:rsidRPr="00037C61" w14:paraId="7EE265AC" w14:textId="77777777" w:rsidTr="74CEAA85">
        <w:trPr>
          <w:gridAfter w:val="1"/>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4D58DB78" w14:textId="21848996" w:rsidR="00E40568" w:rsidRPr="00037C61" w:rsidRDefault="00E40568" w:rsidP="008E6744">
            <w:pPr>
              <w:rPr>
                <w:rFonts w:cs="Arial"/>
                <w:color w:val="000000"/>
                <w:lang w:val="en-GB"/>
              </w:rPr>
            </w:pPr>
            <w:r w:rsidRPr="00037C61">
              <w:rPr>
                <w:rFonts w:cs="Arial"/>
                <w:color w:val="000000" w:themeColor="text1"/>
                <w:lang w:val="en-GB"/>
              </w:rPr>
              <w:t>Csongrád</w:t>
            </w:r>
            <w:r w:rsidR="66F4FBB2" w:rsidRPr="00037C61">
              <w:rPr>
                <w:rFonts w:cs="Arial"/>
                <w:color w:val="000000" w:themeColor="text1"/>
                <w:lang w:val="en-GB"/>
              </w:rPr>
              <w:t>-</w:t>
            </w:r>
            <w:r w:rsidRPr="00037C61">
              <w:rPr>
                <w:rFonts w:cs="Arial"/>
                <w:color w:val="000000" w:themeColor="text1"/>
                <w:lang w:val="en-GB"/>
              </w:rPr>
              <w:t>Csanád</w:t>
            </w:r>
          </w:p>
        </w:tc>
        <w:tc>
          <w:tcPr>
            <w:tcW w:w="3210" w:type="dxa"/>
            <w:noWrap/>
            <w:hideMark/>
          </w:tcPr>
          <w:p w14:paraId="6D8A0222"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36,60</w:t>
            </w:r>
          </w:p>
        </w:tc>
        <w:tc>
          <w:tcPr>
            <w:tcW w:w="1941" w:type="dxa"/>
            <w:noWrap/>
            <w:hideMark/>
          </w:tcPr>
          <w:p w14:paraId="6280D70C"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-14,21%</w:t>
            </w:r>
          </w:p>
        </w:tc>
      </w:tr>
      <w:tr w:rsidR="00E40568" w:rsidRPr="00037C61" w14:paraId="609FDA13" w14:textId="77777777" w:rsidTr="74CEAA85">
        <w:trPr>
          <w:gridAfter w:val="1"/>
          <w:cnfStyle w:val="000000100000" w:firstRow="0" w:lastRow="0" w:firstColumn="0" w:lastColumn="0" w:oddVBand="0" w:evenVBand="0" w:oddHBand="1" w:evenHBand="0" w:firstRowFirstColumn="0" w:firstRowLastColumn="0" w:lastRowFirstColumn="0" w:lastRowLastColumn="0"/>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4E637E6E" w14:textId="77777777" w:rsidR="00E40568" w:rsidRPr="00037C61" w:rsidRDefault="00E40568" w:rsidP="008E6744">
            <w:pPr>
              <w:rPr>
                <w:rFonts w:cs="Arial"/>
                <w:color w:val="000000"/>
                <w:lang w:val="en-GB"/>
              </w:rPr>
            </w:pPr>
            <w:r w:rsidRPr="00037C61">
              <w:rPr>
                <w:rFonts w:cs="Arial"/>
                <w:color w:val="000000"/>
                <w:lang w:val="en-GB"/>
              </w:rPr>
              <w:t>Bihor</w:t>
            </w:r>
          </w:p>
        </w:tc>
        <w:tc>
          <w:tcPr>
            <w:tcW w:w="3210" w:type="dxa"/>
            <w:noWrap/>
            <w:hideMark/>
          </w:tcPr>
          <w:p w14:paraId="4A88DCCC"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36,27</w:t>
            </w:r>
          </w:p>
        </w:tc>
        <w:tc>
          <w:tcPr>
            <w:tcW w:w="1941" w:type="dxa"/>
            <w:noWrap/>
            <w:hideMark/>
          </w:tcPr>
          <w:p w14:paraId="7F8B5FE3"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-7,90%</w:t>
            </w:r>
          </w:p>
        </w:tc>
      </w:tr>
      <w:tr w:rsidR="00E40568" w:rsidRPr="00037C61" w14:paraId="6237240F" w14:textId="77777777" w:rsidTr="74CEAA85">
        <w:trPr>
          <w:gridAfter w:val="1"/>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6F7E00D6" w14:textId="77777777" w:rsidR="00E40568" w:rsidRPr="00037C61" w:rsidRDefault="00E40568" w:rsidP="008E6744">
            <w:pPr>
              <w:rPr>
                <w:rFonts w:cs="Arial"/>
                <w:color w:val="000000"/>
                <w:lang w:val="en-GB"/>
              </w:rPr>
            </w:pPr>
            <w:r w:rsidRPr="00037C61">
              <w:rPr>
                <w:rFonts w:cs="Arial"/>
                <w:color w:val="000000"/>
                <w:lang w:val="en-GB"/>
              </w:rPr>
              <w:t>Satu Mare</w:t>
            </w:r>
          </w:p>
        </w:tc>
        <w:tc>
          <w:tcPr>
            <w:tcW w:w="3210" w:type="dxa"/>
            <w:noWrap/>
            <w:hideMark/>
          </w:tcPr>
          <w:p w14:paraId="37C66514"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28,80</w:t>
            </w:r>
          </w:p>
        </w:tc>
        <w:tc>
          <w:tcPr>
            <w:tcW w:w="1941" w:type="dxa"/>
            <w:noWrap/>
            <w:hideMark/>
          </w:tcPr>
          <w:p w14:paraId="51209305"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-7,58%</w:t>
            </w:r>
          </w:p>
        </w:tc>
      </w:tr>
      <w:tr w:rsidR="00E40568" w:rsidRPr="00037C61" w14:paraId="2038EEC1" w14:textId="77777777" w:rsidTr="74CEAA85">
        <w:trPr>
          <w:gridAfter w:val="1"/>
          <w:cnfStyle w:val="000000100000" w:firstRow="0" w:lastRow="0" w:firstColumn="0" w:lastColumn="0" w:oddVBand="0" w:evenVBand="0" w:oddHBand="1" w:evenHBand="0" w:firstRowFirstColumn="0" w:firstRowLastColumn="0" w:lastRowFirstColumn="0" w:lastRowLastColumn="0"/>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786F4E41" w14:textId="77777777" w:rsidR="00E40568" w:rsidRPr="00037C61" w:rsidRDefault="00E40568" w:rsidP="008E6744">
            <w:pPr>
              <w:rPr>
                <w:rFonts w:cs="Arial"/>
                <w:color w:val="000000"/>
                <w:lang w:val="en-GB"/>
              </w:rPr>
            </w:pPr>
            <w:r w:rsidRPr="00037C61">
              <w:rPr>
                <w:rFonts w:cs="Arial"/>
                <w:color w:val="000000"/>
                <w:lang w:val="en-GB"/>
              </w:rPr>
              <w:t>Arad</w:t>
            </w:r>
          </w:p>
        </w:tc>
        <w:tc>
          <w:tcPr>
            <w:tcW w:w="3210" w:type="dxa"/>
            <w:noWrap/>
            <w:hideMark/>
          </w:tcPr>
          <w:p w14:paraId="2D900C41"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42,45</w:t>
            </w:r>
          </w:p>
        </w:tc>
        <w:tc>
          <w:tcPr>
            <w:tcW w:w="1941" w:type="dxa"/>
            <w:noWrap/>
            <w:hideMark/>
          </w:tcPr>
          <w:p w14:paraId="0A32D9C2" w14:textId="77777777" w:rsidR="00E40568" w:rsidRPr="00037C61" w:rsidRDefault="00E40568" w:rsidP="00457478">
            <w:pPr>
              <w:jc w:val="center"/>
              <w:cnfStyle w:val="000000100000" w:firstRow="0" w:lastRow="0" w:firstColumn="0" w:lastColumn="0" w:oddVBand="0" w:evenVBand="0" w:oddHBand="1" w:evenHBand="0" w:firstRowFirstColumn="0" w:firstRowLastColumn="0" w:lastRowFirstColumn="0" w:lastRowLastColumn="0"/>
              <w:rPr>
                <w:rFonts w:cs="Arial"/>
                <w:color w:val="000000"/>
                <w:lang w:val="en-GB"/>
              </w:rPr>
            </w:pPr>
            <w:r w:rsidRPr="00037C61">
              <w:rPr>
                <w:rFonts w:cs="Arial"/>
                <w:color w:val="000000"/>
                <w:lang w:val="en-GB"/>
              </w:rPr>
              <w:t>-13,22%</w:t>
            </w:r>
          </w:p>
        </w:tc>
      </w:tr>
      <w:tr w:rsidR="00E40568" w:rsidRPr="00037C61" w14:paraId="5C4A3642" w14:textId="77777777" w:rsidTr="74CEAA85">
        <w:trPr>
          <w:gridAfter w:val="1"/>
          <w:wAfter w:w="83" w:type="dxa"/>
          <w:trHeight w:val="172"/>
        </w:trPr>
        <w:tc>
          <w:tcPr>
            <w:cnfStyle w:val="001000000000" w:firstRow="0" w:lastRow="0" w:firstColumn="1" w:lastColumn="0" w:oddVBand="0" w:evenVBand="0" w:oddHBand="0" w:evenHBand="0" w:firstRowFirstColumn="0" w:firstRowLastColumn="0" w:lastRowFirstColumn="0" w:lastRowLastColumn="0"/>
            <w:tcW w:w="3681" w:type="dxa"/>
            <w:gridSpan w:val="2"/>
            <w:noWrap/>
            <w:hideMark/>
          </w:tcPr>
          <w:p w14:paraId="432C23C0" w14:textId="77777777" w:rsidR="00E40568" w:rsidRPr="00037C61" w:rsidRDefault="00E40568" w:rsidP="008E6744">
            <w:pPr>
              <w:rPr>
                <w:rFonts w:cs="Arial"/>
                <w:color w:val="000000"/>
                <w:lang w:val="en-GB"/>
              </w:rPr>
            </w:pPr>
            <w:r w:rsidRPr="00037C61">
              <w:rPr>
                <w:rFonts w:cs="Arial"/>
                <w:color w:val="000000"/>
                <w:lang w:val="en-GB"/>
              </w:rPr>
              <w:t>Timiș</w:t>
            </w:r>
          </w:p>
        </w:tc>
        <w:tc>
          <w:tcPr>
            <w:tcW w:w="3210" w:type="dxa"/>
            <w:noWrap/>
            <w:hideMark/>
          </w:tcPr>
          <w:p w14:paraId="3F20B0B7"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lang w:val="en-GB"/>
              </w:rPr>
              <w:t>53,23</w:t>
            </w:r>
          </w:p>
        </w:tc>
        <w:tc>
          <w:tcPr>
            <w:tcW w:w="1941" w:type="dxa"/>
            <w:noWrap/>
            <w:hideMark/>
          </w:tcPr>
          <w:p w14:paraId="64283B1D" w14:textId="77777777" w:rsidR="00E40568" w:rsidRPr="00037C61" w:rsidRDefault="00E40568" w:rsidP="00457478">
            <w:pPr>
              <w:jc w:val="center"/>
              <w:cnfStyle w:val="000000000000" w:firstRow="0" w:lastRow="0" w:firstColumn="0" w:lastColumn="0" w:oddVBand="0" w:evenVBand="0" w:oddHBand="0" w:evenHBand="0" w:firstRowFirstColumn="0" w:firstRowLastColumn="0" w:lastRowFirstColumn="0" w:lastRowLastColumn="0"/>
              <w:rPr>
                <w:rFonts w:cs="Arial"/>
                <w:color w:val="000000"/>
                <w:lang w:val="en-GB"/>
              </w:rPr>
            </w:pPr>
            <w:r w:rsidRPr="00037C61">
              <w:rPr>
                <w:rFonts w:cs="Arial"/>
                <w:color w:val="000000" w:themeColor="text1"/>
                <w:lang w:val="en-GB"/>
              </w:rPr>
              <w:t>-5,28%</w:t>
            </w:r>
          </w:p>
        </w:tc>
      </w:tr>
    </w:tbl>
    <w:p w14:paraId="26106841" w14:textId="72E86C24" w:rsidR="008E6744" w:rsidRPr="00037C61" w:rsidRDefault="45504615" w:rsidP="45504615">
      <w:pPr>
        <w:pStyle w:val="Caption"/>
        <w:jc w:val="both"/>
        <w:rPr>
          <w:rFonts w:cs="Arial"/>
          <w:color w:val="000000"/>
          <w:sz w:val="20"/>
          <w:szCs w:val="20"/>
          <w:highlight w:val="red"/>
          <w:lang w:val="en-GB"/>
        </w:rPr>
      </w:pPr>
      <w:r w:rsidRPr="00037C61">
        <w:rPr>
          <w:lang w:val="en-GB"/>
        </w:rPr>
        <w:t>Source: INS, water consumption per capita data per NUT3 between 2009 – 2019</w:t>
      </w:r>
      <w:r w:rsidR="002A2F54" w:rsidRPr="00037C61">
        <w:rPr>
          <w:lang w:val="en-GB"/>
        </w:rPr>
        <w:t>, KSH</w:t>
      </w:r>
    </w:p>
    <w:p w14:paraId="0FAC7983" w14:textId="77777777" w:rsidR="00C95D96" w:rsidRPr="00037C61" w:rsidRDefault="00C95D96" w:rsidP="008E6744">
      <w:pPr>
        <w:pStyle w:val="InterregROHUBullet1"/>
        <w:numPr>
          <w:ilvl w:val="0"/>
          <w:numId w:val="0"/>
        </w:numPr>
      </w:pPr>
    </w:p>
    <w:p w14:paraId="2C58A128" w14:textId="598992BE" w:rsidR="005A119E" w:rsidRPr="00037C61" w:rsidRDefault="00FF238E" w:rsidP="000449DE">
      <w:pPr>
        <w:pStyle w:val="InterregROHUBullet1"/>
        <w:numPr>
          <w:ilvl w:val="0"/>
          <w:numId w:val="0"/>
        </w:numPr>
      </w:pPr>
      <w:r w:rsidRPr="00037C61">
        <w:rPr>
          <w:b/>
          <w:bCs w:val="0"/>
        </w:rPr>
        <w:lastRenderedPageBreak/>
        <w:t>Regarding heating distribution</w:t>
      </w:r>
      <w:r w:rsidRPr="00037C61">
        <w:t xml:space="preserve">, </w:t>
      </w:r>
      <w:r w:rsidR="002A2F54" w:rsidRPr="00037C61">
        <w:t xml:space="preserve">both PA countries offer data in this respect, yet </w:t>
      </w:r>
      <w:r w:rsidR="003E769E" w:rsidRPr="00037C61">
        <w:t xml:space="preserve">indicators do not have comparability. </w:t>
      </w:r>
    </w:p>
    <w:p w14:paraId="583DF474" w14:textId="69B05277" w:rsidR="003E769E" w:rsidRPr="00037C61" w:rsidRDefault="003E769E" w:rsidP="000449DE">
      <w:pPr>
        <w:pStyle w:val="InterregROHUBullet1"/>
        <w:numPr>
          <w:ilvl w:val="0"/>
          <w:numId w:val="0"/>
        </w:numPr>
      </w:pPr>
      <w:r w:rsidRPr="00037C61">
        <w:t xml:space="preserve">In Romania, where the situation can be assessed via distributed thermal energy to household recipients, only three counties have centralized heating networks, while only Bihor records a growth in thermal energy provision from a centralized heating system. The sharp decline in Timiș is also due to the reduction in 50% of the localities served by central heating systems (from 4 in 2009 to 2 in 2019). </w:t>
      </w:r>
    </w:p>
    <w:p w14:paraId="062C9722" w14:textId="560294FF" w:rsidR="003E769E" w:rsidRPr="00037C61" w:rsidRDefault="005A119E" w:rsidP="000449DE">
      <w:pPr>
        <w:pStyle w:val="InterregROHUBullet1"/>
        <w:numPr>
          <w:ilvl w:val="0"/>
          <w:numId w:val="0"/>
        </w:numPr>
      </w:pPr>
      <w:r w:rsidRPr="00037C61">
        <w:t xml:space="preserve">In Hungary, an overview of the number of dwellings connected to centralized heating systems indicates a general stagnation, with a very sharp decline in Békés, which also records a marginal number of connected dwellings overall. </w:t>
      </w:r>
    </w:p>
    <w:p w14:paraId="3C1ADEBE" w14:textId="2496E074" w:rsidR="005A119E" w:rsidRPr="00037C61" w:rsidRDefault="005A119E" w:rsidP="000449DE">
      <w:pPr>
        <w:pStyle w:val="InterregROHUBullet1"/>
        <w:numPr>
          <w:ilvl w:val="0"/>
          <w:numId w:val="0"/>
        </w:numPr>
      </w:pPr>
      <w:r w:rsidRPr="00037C61">
        <w:t xml:space="preserve">The relevance of this data </w:t>
      </w:r>
      <w:r w:rsidR="002D00B2" w:rsidRPr="00037C61">
        <w:t xml:space="preserve">is high when linked with the very large potential of geothermal energy specifically for heating living spaces and domestic water (an approach already implemented by some settlements individually such as Nădlac, Curtici) and with the total number of dwellings in the region. While the latter is collected in Hungary only at census years for the county level, it is clear that the number of connected dwellings currently is much lower than the existing potential. Hajdú-Bihar for example, the county with the most developed heating distribution network, records only 15.05% of the total number of dwellings inventoried at the 2011 census (229,951 dwellings, according to KSH). The situation is similar in Romania, leading to an untapped potential to generate sustainable heating efficiencies in the PA. </w:t>
      </w:r>
    </w:p>
    <w:p w14:paraId="05D0E222" w14:textId="1226D97F" w:rsidR="005A119E" w:rsidRPr="00037C61" w:rsidRDefault="005A119E" w:rsidP="00457478">
      <w:pPr>
        <w:pStyle w:val="Caption"/>
        <w:keepNext/>
        <w:jc w:val="left"/>
        <w:rPr>
          <w:lang w:val="en-GB"/>
        </w:rPr>
      </w:pPr>
      <w:bookmarkStart w:id="787" w:name="_Toc58237666"/>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44</w:t>
      </w:r>
      <w:r w:rsidRPr="00037C61">
        <w:rPr>
          <w:lang w:val="en-GB"/>
        </w:rPr>
        <w:fldChar w:fldCharType="end"/>
      </w:r>
      <w:r w:rsidRPr="00037C61">
        <w:rPr>
          <w:lang w:val="en-GB"/>
        </w:rPr>
        <w:t xml:space="preserve"> - Dynamics in heating distribution at county level, 2009-2019</w:t>
      </w:r>
      <w:bookmarkEnd w:id="787"/>
    </w:p>
    <w:tbl>
      <w:tblPr>
        <w:tblStyle w:val="ListTable3-Accent11"/>
        <w:tblW w:w="9417" w:type="dxa"/>
        <w:tblLook w:val="04A0" w:firstRow="1" w:lastRow="0" w:firstColumn="1" w:lastColumn="0" w:noHBand="0" w:noVBand="1"/>
      </w:tblPr>
      <w:tblGrid>
        <w:gridCol w:w="2523"/>
        <w:gridCol w:w="1075"/>
        <w:gridCol w:w="1223"/>
        <w:gridCol w:w="1075"/>
        <w:gridCol w:w="1223"/>
        <w:gridCol w:w="1075"/>
        <w:gridCol w:w="1223"/>
      </w:tblGrid>
      <w:tr w:rsidR="003E769E" w:rsidRPr="00037C61" w14:paraId="65C34D2A" w14:textId="77777777" w:rsidTr="00457478">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0" w:type="dxa"/>
            <w:noWrap/>
            <w:hideMark/>
          </w:tcPr>
          <w:p w14:paraId="0E603929" w14:textId="77777777" w:rsidR="003E769E" w:rsidRPr="00037C61" w:rsidRDefault="003E769E" w:rsidP="003E769E">
            <w:pPr>
              <w:jc w:val="left"/>
              <w:rPr>
                <w:rFonts w:ascii="Times New Roman" w:eastAsia="Times New Roman" w:hAnsi="Times New Roman" w:cs="Times New Roman"/>
                <w:sz w:val="24"/>
                <w:szCs w:val="24"/>
                <w:lang w:val="en-GB" w:eastAsia="en-GB"/>
              </w:rPr>
            </w:pPr>
          </w:p>
        </w:tc>
        <w:tc>
          <w:tcPr>
            <w:tcW w:w="2298" w:type="dxa"/>
            <w:gridSpan w:val="2"/>
            <w:noWrap/>
            <w:hideMark/>
          </w:tcPr>
          <w:p w14:paraId="1C7D95C4" w14:textId="77777777" w:rsidR="003E769E" w:rsidRPr="00037C61" w:rsidRDefault="003E769E" w:rsidP="003E769E">
            <w:pPr>
              <w:jc w:val="center"/>
              <w:cnfStyle w:val="100000000000" w:firstRow="1" w:lastRow="0" w:firstColumn="0" w:lastColumn="0" w:oddVBand="0" w:evenVBand="0" w:oddHBand="0" w:evenHBand="0" w:firstRowFirstColumn="0" w:firstRowLastColumn="0" w:lastRowFirstColumn="0" w:lastRowLastColumn="0"/>
              <w:rPr>
                <w:rFonts w:eastAsia="Times New Roman" w:cs="Calibri"/>
                <w:lang w:val="en-GB" w:eastAsia="en-GB"/>
              </w:rPr>
            </w:pPr>
            <w:r w:rsidRPr="00037C61">
              <w:rPr>
                <w:rFonts w:eastAsia="Times New Roman" w:cs="Calibri"/>
                <w:color w:val="auto"/>
                <w:lang w:val="en-GB" w:eastAsia="en-GB"/>
              </w:rPr>
              <w:t>2009</w:t>
            </w:r>
          </w:p>
        </w:tc>
        <w:tc>
          <w:tcPr>
            <w:tcW w:w="2298" w:type="dxa"/>
            <w:gridSpan w:val="2"/>
            <w:noWrap/>
            <w:hideMark/>
          </w:tcPr>
          <w:p w14:paraId="18E738B4" w14:textId="77777777" w:rsidR="003E769E" w:rsidRPr="00037C61" w:rsidRDefault="003E769E" w:rsidP="003E769E">
            <w:pPr>
              <w:jc w:val="center"/>
              <w:cnfStyle w:val="100000000000" w:firstRow="1" w:lastRow="0" w:firstColumn="0" w:lastColumn="0" w:oddVBand="0" w:evenVBand="0" w:oddHBand="0" w:evenHBand="0" w:firstRowFirstColumn="0" w:firstRowLastColumn="0" w:lastRowFirstColumn="0" w:lastRowLastColumn="0"/>
              <w:rPr>
                <w:rFonts w:eastAsia="Times New Roman" w:cs="Calibri"/>
                <w:lang w:val="en-GB" w:eastAsia="en-GB"/>
              </w:rPr>
            </w:pPr>
            <w:r w:rsidRPr="00037C61">
              <w:rPr>
                <w:rFonts w:eastAsia="Times New Roman" w:cs="Calibri"/>
                <w:color w:val="auto"/>
                <w:lang w:val="en-GB" w:eastAsia="en-GB"/>
              </w:rPr>
              <w:t>2019</w:t>
            </w:r>
          </w:p>
        </w:tc>
        <w:tc>
          <w:tcPr>
            <w:tcW w:w="2298" w:type="dxa"/>
            <w:gridSpan w:val="2"/>
            <w:noWrap/>
            <w:hideMark/>
          </w:tcPr>
          <w:p w14:paraId="79770337" w14:textId="35095C9C" w:rsidR="003E769E" w:rsidRPr="00037C61" w:rsidRDefault="003E769E" w:rsidP="003E769E">
            <w:pPr>
              <w:jc w:val="left"/>
              <w:cnfStyle w:val="100000000000" w:firstRow="1" w:lastRow="0" w:firstColumn="0" w:lastColumn="0" w:oddVBand="0" w:evenVBand="0" w:oddHBand="0" w:evenHBand="0" w:firstRowFirstColumn="0" w:firstRowLastColumn="0" w:lastRowFirstColumn="0" w:lastRowLastColumn="0"/>
              <w:rPr>
                <w:rFonts w:eastAsia="Times New Roman" w:cs="Calibri"/>
                <w:lang w:val="en-GB" w:eastAsia="en-GB"/>
              </w:rPr>
            </w:pPr>
            <w:r w:rsidRPr="00037C61">
              <w:rPr>
                <w:rFonts w:eastAsia="Times New Roman" w:cs="Calibri"/>
                <w:color w:val="auto"/>
                <w:lang w:val="en-GB" w:eastAsia="en-GB"/>
              </w:rPr>
              <w:t>2009-2019</w:t>
            </w:r>
            <w:r w:rsidRPr="00037C61">
              <w:rPr>
                <w:rFonts w:eastAsia="Times New Roman" w:cs="Calibri"/>
                <w:lang w:val="en-GB" w:eastAsia="en-GB"/>
              </w:rPr>
              <w:t xml:space="preserve"> (%)</w:t>
            </w:r>
          </w:p>
        </w:tc>
      </w:tr>
      <w:tr w:rsidR="003E769E" w:rsidRPr="00037C61" w14:paraId="5D45F29D" w14:textId="77777777" w:rsidTr="004574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034FA3" w:themeFill="accent1"/>
            <w:noWrap/>
            <w:hideMark/>
          </w:tcPr>
          <w:p w14:paraId="10742B96" w14:textId="77777777" w:rsidR="003E769E" w:rsidRPr="00037C61" w:rsidRDefault="003E769E" w:rsidP="003E769E">
            <w:pPr>
              <w:jc w:val="left"/>
              <w:rPr>
                <w:rFonts w:eastAsia="Times New Roman" w:cs="Calibri"/>
                <w:color w:val="FFFFFF" w:themeColor="background1"/>
                <w:lang w:val="en-GB" w:eastAsia="en-GB"/>
              </w:rPr>
            </w:pPr>
          </w:p>
        </w:tc>
        <w:tc>
          <w:tcPr>
            <w:tcW w:w="1075" w:type="dxa"/>
            <w:shd w:val="clear" w:color="auto" w:fill="034FA3" w:themeFill="accent1"/>
            <w:noWrap/>
            <w:hideMark/>
          </w:tcPr>
          <w:p w14:paraId="53B8DF79" w14:textId="77777777" w:rsidR="003E769E" w:rsidRPr="00037C61" w:rsidRDefault="003E769E" w:rsidP="003E769E">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lang w:val="en-GB" w:eastAsia="en-GB"/>
              </w:rPr>
            </w:pPr>
            <w:r w:rsidRPr="00037C61">
              <w:rPr>
                <w:rFonts w:eastAsia="Times New Roman" w:cs="Calibri"/>
                <w:color w:val="FFFFFF" w:themeColor="background1"/>
                <w:lang w:val="en-GB" w:eastAsia="en-GB"/>
              </w:rPr>
              <w:t>No. Dwellings</w:t>
            </w:r>
          </w:p>
        </w:tc>
        <w:tc>
          <w:tcPr>
            <w:tcW w:w="0" w:type="dxa"/>
            <w:shd w:val="clear" w:color="auto" w:fill="034FA3" w:themeFill="accent1"/>
            <w:noWrap/>
            <w:hideMark/>
          </w:tcPr>
          <w:p w14:paraId="766217D2" w14:textId="6F9DF1A4" w:rsidR="003E769E" w:rsidRPr="00037C61" w:rsidRDefault="003E769E" w:rsidP="003E769E">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lang w:val="en-GB" w:eastAsia="en-GB"/>
              </w:rPr>
            </w:pPr>
            <w:r w:rsidRPr="00037C61">
              <w:rPr>
                <w:rFonts w:eastAsia="Times New Roman" w:cs="Calibri"/>
                <w:color w:val="FFFFFF" w:themeColor="background1"/>
                <w:lang w:val="en-GB" w:eastAsia="en-GB"/>
              </w:rPr>
              <w:t>Gcal distributed</w:t>
            </w:r>
          </w:p>
        </w:tc>
        <w:tc>
          <w:tcPr>
            <w:tcW w:w="1075" w:type="dxa"/>
            <w:shd w:val="clear" w:color="auto" w:fill="034FA3" w:themeFill="accent1"/>
            <w:noWrap/>
            <w:hideMark/>
          </w:tcPr>
          <w:p w14:paraId="2C38BE97" w14:textId="77777777" w:rsidR="003E769E" w:rsidRPr="00037C61" w:rsidRDefault="003E769E" w:rsidP="003E769E">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lang w:val="en-GB" w:eastAsia="en-GB"/>
              </w:rPr>
            </w:pPr>
            <w:r w:rsidRPr="00037C61">
              <w:rPr>
                <w:rFonts w:eastAsia="Times New Roman" w:cs="Calibri"/>
                <w:color w:val="FFFFFF" w:themeColor="background1"/>
                <w:lang w:val="en-GB" w:eastAsia="en-GB"/>
              </w:rPr>
              <w:t>No. Dwellings</w:t>
            </w:r>
          </w:p>
        </w:tc>
        <w:tc>
          <w:tcPr>
            <w:tcW w:w="0" w:type="dxa"/>
            <w:shd w:val="clear" w:color="auto" w:fill="034FA3" w:themeFill="accent1"/>
            <w:noWrap/>
            <w:hideMark/>
          </w:tcPr>
          <w:p w14:paraId="17F45E88" w14:textId="77777777" w:rsidR="003E769E" w:rsidRPr="00037C61" w:rsidRDefault="003E769E" w:rsidP="003E769E">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lang w:val="en-GB" w:eastAsia="en-GB"/>
              </w:rPr>
            </w:pPr>
            <w:r w:rsidRPr="00037C61">
              <w:rPr>
                <w:rFonts w:eastAsia="Times New Roman" w:cs="Calibri"/>
                <w:color w:val="FFFFFF" w:themeColor="background1"/>
                <w:lang w:val="en-GB" w:eastAsia="en-GB"/>
              </w:rPr>
              <w:t>Gcal distributed</w:t>
            </w:r>
          </w:p>
        </w:tc>
        <w:tc>
          <w:tcPr>
            <w:tcW w:w="1075" w:type="dxa"/>
            <w:shd w:val="clear" w:color="auto" w:fill="034FA3" w:themeFill="accent1"/>
            <w:noWrap/>
            <w:hideMark/>
          </w:tcPr>
          <w:p w14:paraId="14DB3950" w14:textId="77777777" w:rsidR="003E769E" w:rsidRPr="00037C61" w:rsidRDefault="003E769E" w:rsidP="003E769E">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lang w:val="en-GB" w:eastAsia="en-GB"/>
              </w:rPr>
            </w:pPr>
            <w:r w:rsidRPr="00037C61">
              <w:rPr>
                <w:rFonts w:eastAsia="Times New Roman" w:cs="Calibri"/>
                <w:color w:val="FFFFFF" w:themeColor="background1"/>
                <w:lang w:val="en-GB" w:eastAsia="en-GB"/>
              </w:rPr>
              <w:t>No. Dwellings</w:t>
            </w:r>
          </w:p>
        </w:tc>
        <w:tc>
          <w:tcPr>
            <w:tcW w:w="0" w:type="dxa"/>
            <w:shd w:val="clear" w:color="auto" w:fill="034FA3" w:themeFill="accent1"/>
            <w:noWrap/>
            <w:hideMark/>
          </w:tcPr>
          <w:p w14:paraId="3932647D" w14:textId="77777777" w:rsidR="003E769E" w:rsidRPr="00037C61" w:rsidRDefault="003E769E" w:rsidP="003E769E">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FFFFFF" w:themeColor="background1"/>
                <w:lang w:val="en-GB" w:eastAsia="en-GB"/>
              </w:rPr>
            </w:pPr>
            <w:r w:rsidRPr="00037C61">
              <w:rPr>
                <w:rFonts w:eastAsia="Times New Roman" w:cs="Calibri"/>
                <w:color w:val="FFFFFF" w:themeColor="background1"/>
                <w:lang w:val="en-GB" w:eastAsia="en-GB"/>
              </w:rPr>
              <w:t>Gcal distributed</w:t>
            </w:r>
          </w:p>
        </w:tc>
      </w:tr>
      <w:tr w:rsidR="005A119E" w:rsidRPr="00037C61" w14:paraId="3EB3144B" w14:textId="77777777" w:rsidTr="005A119E">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5F795DC1"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Hajdú-Bihar</w:t>
            </w:r>
          </w:p>
        </w:tc>
        <w:tc>
          <w:tcPr>
            <w:tcW w:w="1075" w:type="dxa"/>
            <w:noWrap/>
            <w:hideMark/>
          </w:tcPr>
          <w:p w14:paraId="4E0EA475"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34342</w:t>
            </w:r>
          </w:p>
        </w:tc>
        <w:tc>
          <w:tcPr>
            <w:tcW w:w="1223" w:type="dxa"/>
            <w:noWrap/>
            <w:hideMark/>
          </w:tcPr>
          <w:p w14:paraId="22C7F333"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1075" w:type="dxa"/>
            <w:noWrap/>
            <w:hideMark/>
          </w:tcPr>
          <w:p w14:paraId="6BC9A512"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34615</w:t>
            </w:r>
          </w:p>
        </w:tc>
        <w:tc>
          <w:tcPr>
            <w:tcW w:w="1223" w:type="dxa"/>
            <w:noWrap/>
            <w:hideMark/>
          </w:tcPr>
          <w:p w14:paraId="31CE9090"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1075" w:type="dxa"/>
            <w:noWrap/>
            <w:hideMark/>
          </w:tcPr>
          <w:p w14:paraId="5C8CA2E0"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0.79%</w:t>
            </w:r>
          </w:p>
        </w:tc>
        <w:tc>
          <w:tcPr>
            <w:tcW w:w="1223" w:type="dxa"/>
            <w:noWrap/>
            <w:hideMark/>
          </w:tcPr>
          <w:p w14:paraId="1A515EEB"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r>
      <w:tr w:rsidR="005A119E" w:rsidRPr="00037C61" w14:paraId="2CAE6C65" w14:textId="77777777" w:rsidTr="005A11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771E608D"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Szabolcs-Szatmár-Bereg</w:t>
            </w:r>
          </w:p>
        </w:tc>
        <w:tc>
          <w:tcPr>
            <w:tcW w:w="1075" w:type="dxa"/>
            <w:noWrap/>
            <w:hideMark/>
          </w:tcPr>
          <w:p w14:paraId="636B0339"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19876</w:t>
            </w:r>
          </w:p>
        </w:tc>
        <w:tc>
          <w:tcPr>
            <w:tcW w:w="1223" w:type="dxa"/>
            <w:noWrap/>
            <w:hideMark/>
          </w:tcPr>
          <w:p w14:paraId="1B67813E"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1075" w:type="dxa"/>
            <w:noWrap/>
            <w:hideMark/>
          </w:tcPr>
          <w:p w14:paraId="6CD5F1B3"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19643</w:t>
            </w:r>
          </w:p>
        </w:tc>
        <w:tc>
          <w:tcPr>
            <w:tcW w:w="1223" w:type="dxa"/>
            <w:noWrap/>
            <w:hideMark/>
          </w:tcPr>
          <w:p w14:paraId="66A6597C"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1075" w:type="dxa"/>
            <w:noWrap/>
            <w:hideMark/>
          </w:tcPr>
          <w:p w14:paraId="16C3D4D3"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-1.17%</w:t>
            </w:r>
          </w:p>
        </w:tc>
        <w:tc>
          <w:tcPr>
            <w:tcW w:w="1223" w:type="dxa"/>
            <w:noWrap/>
            <w:hideMark/>
          </w:tcPr>
          <w:p w14:paraId="71C84FE8"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r>
      <w:tr w:rsidR="005A119E" w:rsidRPr="00037C61" w14:paraId="000B5C42" w14:textId="77777777" w:rsidTr="005A119E">
        <w:trPr>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3A8134EF"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Békés</w:t>
            </w:r>
          </w:p>
        </w:tc>
        <w:tc>
          <w:tcPr>
            <w:tcW w:w="1075" w:type="dxa"/>
            <w:noWrap/>
            <w:hideMark/>
          </w:tcPr>
          <w:p w14:paraId="09D8914A"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537</w:t>
            </w:r>
          </w:p>
        </w:tc>
        <w:tc>
          <w:tcPr>
            <w:tcW w:w="1223" w:type="dxa"/>
            <w:noWrap/>
            <w:hideMark/>
          </w:tcPr>
          <w:p w14:paraId="544A7CE7"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1075" w:type="dxa"/>
            <w:noWrap/>
            <w:hideMark/>
          </w:tcPr>
          <w:p w14:paraId="48A68C86"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151</w:t>
            </w:r>
          </w:p>
        </w:tc>
        <w:tc>
          <w:tcPr>
            <w:tcW w:w="1223" w:type="dxa"/>
            <w:noWrap/>
            <w:hideMark/>
          </w:tcPr>
          <w:p w14:paraId="3869CC05"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1075" w:type="dxa"/>
            <w:noWrap/>
            <w:hideMark/>
          </w:tcPr>
          <w:p w14:paraId="4DC49F67"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-71.88%</w:t>
            </w:r>
          </w:p>
        </w:tc>
        <w:tc>
          <w:tcPr>
            <w:tcW w:w="1223" w:type="dxa"/>
            <w:noWrap/>
            <w:hideMark/>
          </w:tcPr>
          <w:p w14:paraId="0B24061E"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r>
      <w:tr w:rsidR="005A119E" w:rsidRPr="00037C61" w14:paraId="733FF309" w14:textId="77777777" w:rsidTr="005A11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4EDEFBA9"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themeColor="text1"/>
                <w:lang w:val="en-GB" w:eastAsia="en-GB"/>
              </w:rPr>
              <w:t>Csongrád Csanád</w:t>
            </w:r>
          </w:p>
        </w:tc>
        <w:tc>
          <w:tcPr>
            <w:tcW w:w="1075" w:type="dxa"/>
            <w:noWrap/>
            <w:hideMark/>
          </w:tcPr>
          <w:p w14:paraId="5B695843"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32847</w:t>
            </w:r>
          </w:p>
        </w:tc>
        <w:tc>
          <w:tcPr>
            <w:tcW w:w="1223" w:type="dxa"/>
            <w:noWrap/>
            <w:hideMark/>
          </w:tcPr>
          <w:p w14:paraId="736BEFF5"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1075" w:type="dxa"/>
            <w:noWrap/>
            <w:hideMark/>
          </w:tcPr>
          <w:p w14:paraId="0EE1803E"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32842</w:t>
            </w:r>
          </w:p>
        </w:tc>
        <w:tc>
          <w:tcPr>
            <w:tcW w:w="1223" w:type="dxa"/>
            <w:noWrap/>
            <w:hideMark/>
          </w:tcPr>
          <w:p w14:paraId="7C019646"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1075" w:type="dxa"/>
            <w:noWrap/>
            <w:hideMark/>
          </w:tcPr>
          <w:p w14:paraId="63EEEDC5"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-0.02%</w:t>
            </w:r>
          </w:p>
        </w:tc>
        <w:tc>
          <w:tcPr>
            <w:tcW w:w="1223" w:type="dxa"/>
            <w:noWrap/>
            <w:hideMark/>
          </w:tcPr>
          <w:p w14:paraId="60247F99"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r>
      <w:tr w:rsidR="003E769E" w:rsidRPr="00037C61" w14:paraId="0E10FA0D" w14:textId="77777777" w:rsidTr="00457478">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75B9408"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Bihor</w:t>
            </w:r>
          </w:p>
        </w:tc>
        <w:tc>
          <w:tcPr>
            <w:tcW w:w="1075" w:type="dxa"/>
            <w:noWrap/>
            <w:hideMark/>
          </w:tcPr>
          <w:p w14:paraId="0F4AE92D" w14:textId="77777777" w:rsidR="003E769E" w:rsidRPr="00037C61" w:rsidRDefault="003E769E" w:rsidP="003E769E">
            <w:pP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GB" w:eastAsia="en-GB"/>
              </w:rPr>
            </w:pPr>
          </w:p>
        </w:tc>
        <w:tc>
          <w:tcPr>
            <w:tcW w:w="0" w:type="dxa"/>
            <w:hideMark/>
          </w:tcPr>
          <w:p w14:paraId="47E016F9"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453343</w:t>
            </w:r>
          </w:p>
        </w:tc>
        <w:tc>
          <w:tcPr>
            <w:tcW w:w="1075" w:type="dxa"/>
            <w:noWrap/>
            <w:hideMark/>
          </w:tcPr>
          <w:p w14:paraId="7ADE2E10"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0" w:type="dxa"/>
            <w:hideMark/>
          </w:tcPr>
          <w:p w14:paraId="389A1353"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469950</w:t>
            </w:r>
          </w:p>
        </w:tc>
        <w:tc>
          <w:tcPr>
            <w:tcW w:w="1075" w:type="dxa"/>
            <w:noWrap/>
            <w:hideMark/>
          </w:tcPr>
          <w:p w14:paraId="09E42635"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0" w:type="dxa"/>
            <w:noWrap/>
            <w:hideMark/>
          </w:tcPr>
          <w:p w14:paraId="109A6492"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3.66%</w:t>
            </w:r>
          </w:p>
        </w:tc>
      </w:tr>
      <w:tr w:rsidR="005A119E" w:rsidRPr="00037C61" w14:paraId="21AA6C22" w14:textId="77777777" w:rsidTr="005A119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23" w:type="dxa"/>
            <w:noWrap/>
            <w:hideMark/>
          </w:tcPr>
          <w:p w14:paraId="3C55835D"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Satu Mare</w:t>
            </w:r>
          </w:p>
        </w:tc>
        <w:tc>
          <w:tcPr>
            <w:tcW w:w="1075" w:type="dxa"/>
            <w:noWrap/>
            <w:hideMark/>
          </w:tcPr>
          <w:p w14:paraId="379D5AEE" w14:textId="77777777" w:rsidR="003E769E" w:rsidRPr="00037C61" w:rsidRDefault="003E769E" w:rsidP="003E769E">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GB" w:eastAsia="en-GB"/>
              </w:rPr>
            </w:pPr>
          </w:p>
        </w:tc>
        <w:tc>
          <w:tcPr>
            <w:tcW w:w="1223" w:type="dxa"/>
            <w:noWrap/>
            <w:hideMark/>
          </w:tcPr>
          <w:p w14:paraId="2AB635A1"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0</w:t>
            </w:r>
          </w:p>
        </w:tc>
        <w:tc>
          <w:tcPr>
            <w:tcW w:w="1075" w:type="dxa"/>
            <w:noWrap/>
            <w:hideMark/>
          </w:tcPr>
          <w:p w14:paraId="2B341ACF"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1223" w:type="dxa"/>
            <w:noWrap/>
            <w:hideMark/>
          </w:tcPr>
          <w:p w14:paraId="08F54F52"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0</w:t>
            </w:r>
          </w:p>
        </w:tc>
        <w:tc>
          <w:tcPr>
            <w:tcW w:w="1075" w:type="dxa"/>
            <w:noWrap/>
            <w:hideMark/>
          </w:tcPr>
          <w:p w14:paraId="45F0A147"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1223" w:type="dxa"/>
            <w:noWrap/>
            <w:hideMark/>
          </w:tcPr>
          <w:p w14:paraId="3B680C3E"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0.00%</w:t>
            </w:r>
          </w:p>
        </w:tc>
      </w:tr>
      <w:tr w:rsidR="003E769E" w:rsidRPr="00037C61" w14:paraId="3530483D" w14:textId="77777777" w:rsidTr="00457478">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2032461"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Arad</w:t>
            </w:r>
          </w:p>
        </w:tc>
        <w:tc>
          <w:tcPr>
            <w:tcW w:w="1075" w:type="dxa"/>
            <w:noWrap/>
            <w:hideMark/>
          </w:tcPr>
          <w:p w14:paraId="6D975069" w14:textId="77777777" w:rsidR="003E769E" w:rsidRPr="00037C61" w:rsidRDefault="003E769E" w:rsidP="003E769E">
            <w:pP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GB" w:eastAsia="en-GB"/>
              </w:rPr>
            </w:pPr>
          </w:p>
        </w:tc>
        <w:tc>
          <w:tcPr>
            <w:tcW w:w="0" w:type="dxa"/>
            <w:hideMark/>
          </w:tcPr>
          <w:p w14:paraId="60F4CEAB"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399127</w:t>
            </w:r>
          </w:p>
        </w:tc>
        <w:tc>
          <w:tcPr>
            <w:tcW w:w="1075" w:type="dxa"/>
            <w:noWrap/>
            <w:hideMark/>
          </w:tcPr>
          <w:p w14:paraId="2AA96025"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0" w:type="dxa"/>
            <w:hideMark/>
          </w:tcPr>
          <w:p w14:paraId="3EDA461B"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130027</w:t>
            </w:r>
          </w:p>
        </w:tc>
        <w:tc>
          <w:tcPr>
            <w:tcW w:w="1075" w:type="dxa"/>
            <w:noWrap/>
            <w:hideMark/>
          </w:tcPr>
          <w:p w14:paraId="56C04B68"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p>
        </w:tc>
        <w:tc>
          <w:tcPr>
            <w:tcW w:w="0" w:type="dxa"/>
            <w:noWrap/>
            <w:hideMark/>
          </w:tcPr>
          <w:p w14:paraId="2A19A734" w14:textId="77777777" w:rsidR="003E769E" w:rsidRPr="00037C61" w:rsidRDefault="003E769E" w:rsidP="003E769E">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-67.42%</w:t>
            </w:r>
          </w:p>
        </w:tc>
      </w:tr>
      <w:tr w:rsidR="003E769E" w:rsidRPr="00037C61" w14:paraId="7D6ECD30" w14:textId="77777777" w:rsidTr="0045747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850178A" w14:textId="77777777" w:rsidR="003E769E" w:rsidRPr="00037C61" w:rsidRDefault="003E769E" w:rsidP="003E769E">
            <w:pPr>
              <w:rPr>
                <w:rFonts w:eastAsia="Times New Roman" w:cs="Calibri"/>
                <w:color w:val="000000"/>
                <w:lang w:val="en-GB" w:eastAsia="en-GB"/>
              </w:rPr>
            </w:pPr>
            <w:r w:rsidRPr="00037C61">
              <w:rPr>
                <w:rFonts w:eastAsia="Times New Roman" w:cs="Arial"/>
                <w:color w:val="000000"/>
                <w:lang w:val="en-GB" w:eastAsia="en-GB"/>
              </w:rPr>
              <w:t>Timiș</w:t>
            </w:r>
          </w:p>
        </w:tc>
        <w:tc>
          <w:tcPr>
            <w:tcW w:w="1075" w:type="dxa"/>
            <w:noWrap/>
            <w:hideMark/>
          </w:tcPr>
          <w:p w14:paraId="53A3D8A1" w14:textId="77777777" w:rsidR="003E769E" w:rsidRPr="00037C61" w:rsidRDefault="003E769E" w:rsidP="003E769E">
            <w:pP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GB" w:eastAsia="en-GB"/>
              </w:rPr>
            </w:pPr>
          </w:p>
        </w:tc>
        <w:tc>
          <w:tcPr>
            <w:tcW w:w="0" w:type="dxa"/>
            <w:hideMark/>
          </w:tcPr>
          <w:p w14:paraId="4FBA8DFA"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730636</w:t>
            </w:r>
          </w:p>
        </w:tc>
        <w:tc>
          <w:tcPr>
            <w:tcW w:w="1075" w:type="dxa"/>
            <w:noWrap/>
            <w:hideMark/>
          </w:tcPr>
          <w:p w14:paraId="42E58277"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0" w:type="dxa"/>
            <w:hideMark/>
          </w:tcPr>
          <w:p w14:paraId="79CAF67A"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317758</w:t>
            </w:r>
          </w:p>
        </w:tc>
        <w:tc>
          <w:tcPr>
            <w:tcW w:w="1075" w:type="dxa"/>
            <w:noWrap/>
            <w:hideMark/>
          </w:tcPr>
          <w:p w14:paraId="7A5EB20F"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p>
        </w:tc>
        <w:tc>
          <w:tcPr>
            <w:tcW w:w="0" w:type="dxa"/>
            <w:noWrap/>
            <w:hideMark/>
          </w:tcPr>
          <w:p w14:paraId="1DE1E083" w14:textId="77777777" w:rsidR="003E769E" w:rsidRPr="00037C61" w:rsidRDefault="003E769E" w:rsidP="003E769E">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-56.51%</w:t>
            </w:r>
          </w:p>
        </w:tc>
      </w:tr>
    </w:tbl>
    <w:p w14:paraId="003D7BF8" w14:textId="65C3FCEC" w:rsidR="003E769E" w:rsidRPr="00037C61" w:rsidRDefault="005A119E" w:rsidP="00457478">
      <w:pPr>
        <w:pStyle w:val="Caption"/>
        <w:keepNext/>
        <w:jc w:val="left"/>
        <w:rPr>
          <w:lang w:val="en-GB"/>
        </w:rPr>
      </w:pPr>
      <w:r w:rsidRPr="00037C61">
        <w:rPr>
          <w:lang w:val="en-GB"/>
        </w:rPr>
        <w:t xml:space="preserve">Source: KSH, INS </w:t>
      </w:r>
    </w:p>
    <w:p w14:paraId="2C9B1F20" w14:textId="77777777" w:rsidR="00C95D96" w:rsidRPr="00037C61" w:rsidRDefault="00C95D96" w:rsidP="005E0849">
      <w:pPr>
        <w:pStyle w:val="InterregROHUBullet1"/>
        <w:numPr>
          <w:ilvl w:val="0"/>
          <w:numId w:val="0"/>
        </w:numPr>
      </w:pPr>
    </w:p>
    <w:p w14:paraId="79FD3502" w14:textId="4725F42E" w:rsidR="008E6744" w:rsidRPr="00037C61" w:rsidRDefault="002D00B2" w:rsidP="008E6744">
      <w:pPr>
        <w:pStyle w:val="InterregROHUBullet1"/>
        <w:numPr>
          <w:ilvl w:val="0"/>
          <w:numId w:val="0"/>
        </w:numPr>
        <w:spacing w:after="0"/>
        <w:rPr>
          <w:rFonts w:cs="Arial"/>
          <w:color w:val="000000"/>
        </w:rPr>
      </w:pPr>
      <w:r w:rsidRPr="00037C61">
        <w:t>Overall, while data access with respect to basic infrastructure is very low in the PA (in Hungary, the way of collecting data is at d</w:t>
      </w:r>
      <w:r w:rsidRPr="00037C61">
        <w:rPr>
          <w:rFonts w:cs="Arial"/>
          <w:color w:val="000000"/>
        </w:rPr>
        <w:t>wellings level and in Romania is at population level)</w:t>
      </w:r>
      <w:r w:rsidRPr="00037C61">
        <w:t xml:space="preserve">, </w:t>
      </w:r>
      <w:r w:rsidR="008E6744" w:rsidRPr="00037C61">
        <w:t xml:space="preserve">the </w:t>
      </w:r>
      <w:r w:rsidRPr="00037C61">
        <w:t>information</w:t>
      </w:r>
      <w:r w:rsidR="008E6744" w:rsidRPr="00037C61">
        <w:t xml:space="preserve"> collected give</w:t>
      </w:r>
      <w:r w:rsidRPr="00037C61">
        <w:t>s</w:t>
      </w:r>
      <w:r w:rsidR="008E6744" w:rsidRPr="00037C61">
        <w:t xml:space="preserve"> us a general perspective over the microregional situation</w:t>
      </w:r>
      <w:r w:rsidR="008E6744" w:rsidRPr="00037C61">
        <w:rPr>
          <w:rFonts w:cs="Arial"/>
          <w:color w:val="000000"/>
        </w:rPr>
        <w:t>:</w:t>
      </w:r>
    </w:p>
    <w:p w14:paraId="2A623F0A" w14:textId="3DA4FBCC" w:rsidR="008E6744" w:rsidRPr="00037C61" w:rsidRDefault="00E40568" w:rsidP="005E0849">
      <w:pPr>
        <w:pStyle w:val="InterregROHUBullet1"/>
        <w:ind w:left="851"/>
      </w:pPr>
      <w:r w:rsidRPr="00037C61">
        <w:t xml:space="preserve">Regarding access to water infrastructure, </w:t>
      </w:r>
      <w:r w:rsidR="008E6744" w:rsidRPr="00037C61">
        <w:t>the trend of dwellings connected to the public water increased the most in Csongrád</w:t>
      </w:r>
      <w:r w:rsidR="58BCB68F" w:rsidRPr="00037C61">
        <w:t>-Csan</w:t>
      </w:r>
      <w:r w:rsidR="58BCB68F" w:rsidRPr="00037C61">
        <w:rPr>
          <w:rFonts w:eastAsia="Calibri" w:cs="Calibri"/>
          <w:bCs w:val="0"/>
          <w:color w:val="000000" w:themeColor="text1"/>
        </w:rPr>
        <w:t>ád</w:t>
      </w:r>
      <w:r w:rsidR="008E6744" w:rsidRPr="00037C61">
        <w:t xml:space="preserve"> county with a percentage of 5,27% in 2018 in comparison with 2010, being a double percentage than the one specific to stock of dwellings’ increase (2,21% in the same period of time and in the same county), showing that the connection demands are higher than the emergence of new dwellings;</w:t>
      </w:r>
    </w:p>
    <w:p w14:paraId="5D5DA2BB" w14:textId="16157031" w:rsidR="008E6744" w:rsidRPr="00037C61" w:rsidRDefault="00E40568" w:rsidP="005E0849">
      <w:pPr>
        <w:pStyle w:val="InterregROHUBullet1"/>
        <w:ind w:left="851"/>
      </w:pPr>
      <w:r w:rsidRPr="00037C61">
        <w:t>T</w:t>
      </w:r>
      <w:r w:rsidR="008E6744" w:rsidRPr="00037C61">
        <w:t>he</w:t>
      </w:r>
      <w:r w:rsidR="008E6744" w:rsidRPr="00037C61">
        <w:rPr>
          <w:bCs w:val="0"/>
        </w:rPr>
        <w:t xml:space="preserve"> trend of dwellings without connected to public water network</w:t>
      </w:r>
      <w:r w:rsidR="008E6744" w:rsidRPr="00037C61">
        <w:t xml:space="preserve"> is increasing mostly in Hajdú-Bihar county, with a very high rate than the stock of dwellings’ increase, </w:t>
      </w:r>
      <w:r w:rsidR="008E6744" w:rsidRPr="00037C61">
        <w:rPr>
          <w:bCs w:val="0"/>
        </w:rPr>
        <w:t xml:space="preserve">showing that </w:t>
      </w:r>
      <w:r w:rsidR="008E6744" w:rsidRPr="00037C61">
        <w:rPr>
          <w:bCs w:val="0"/>
        </w:rPr>
        <w:lastRenderedPageBreak/>
        <w:t>a large disconnection requests are present, which indicates a low level possibilities of payment and directly the presence of disadvantaged areas</w:t>
      </w:r>
      <w:r w:rsidR="008E6744" w:rsidRPr="00037C61">
        <w:t>;</w:t>
      </w:r>
    </w:p>
    <w:p w14:paraId="596F1941" w14:textId="1233D9F8" w:rsidR="008E6744" w:rsidRPr="00037C61" w:rsidRDefault="00E40568" w:rsidP="005E0849">
      <w:pPr>
        <w:pStyle w:val="InterregROHUBullet1"/>
        <w:ind w:left="851"/>
      </w:pPr>
      <w:r w:rsidRPr="00037C61">
        <w:t>R</w:t>
      </w:r>
      <w:r w:rsidR="008E6744" w:rsidRPr="00037C61">
        <w:t>egarding the sewage network: the rate of increasing of dwellings connected to the public sewerage is ascendent in all counties (the highest is in Békés county  with 35,39%) amid declining disconnections (the lowest is normally also in Békés county  with 40,78%);</w:t>
      </w:r>
      <w:r w:rsidR="1F589172" w:rsidRPr="00037C61">
        <w:t xml:space="preserve"> </w:t>
      </w:r>
      <w:r w:rsidR="008E6744" w:rsidRPr="00037C61">
        <w:t>regarding the number of household gas consumers, there is also presented a small increase in each county, with the exception of Csongrád</w:t>
      </w:r>
      <w:r w:rsidR="00DE7D07">
        <w:t>-Csan</w:t>
      </w:r>
      <w:r w:rsidR="00DE7D07" w:rsidRPr="005F773B">
        <w:rPr>
          <w:rFonts w:ascii="Arial" w:hAnsi="Arial" w:cs="Arial"/>
          <w:sz w:val="20"/>
          <w:szCs w:val="20"/>
          <w:shd w:val="clear" w:color="auto" w:fill="FFFFFF"/>
        </w:rPr>
        <w:t>ád</w:t>
      </w:r>
      <w:r w:rsidR="008E6744" w:rsidRPr="00037C61">
        <w:t xml:space="preserve"> county, where is a registered a decrease of - 2,15% amid increasing the stock of dwellings – this aspect is normal, taking into consideration the rate of stock of dwellings increasing almost equal to number of household without gas consumption.</w:t>
      </w:r>
    </w:p>
    <w:p w14:paraId="64250FE8" w14:textId="0A66BDF5" w:rsidR="00CB4482" w:rsidRPr="00037C61" w:rsidRDefault="00CB4482" w:rsidP="00457478">
      <w:pPr>
        <w:pStyle w:val="Heading4"/>
        <w:rPr>
          <w:lang w:val="en-GB"/>
        </w:rPr>
      </w:pPr>
      <w:r w:rsidRPr="00037C61">
        <w:rPr>
          <w:lang w:val="en-GB"/>
        </w:rPr>
        <w:t xml:space="preserve">ICT infrastructure, access and usage </w:t>
      </w:r>
    </w:p>
    <w:p w14:paraId="77ABDC8B" w14:textId="1FC5C0D4" w:rsidR="00656F7A" w:rsidRPr="00037C61" w:rsidRDefault="00656F7A" w:rsidP="002A2F54">
      <w:pPr>
        <w:pStyle w:val="InterregROHUBullet1"/>
        <w:numPr>
          <w:ilvl w:val="0"/>
          <w:numId w:val="0"/>
        </w:numPr>
        <w:spacing w:after="0"/>
      </w:pPr>
      <w:r w:rsidRPr="00037C61">
        <w:rPr>
          <w:noProof/>
          <w:lang w:val="ro-RO" w:eastAsia="ro-RO"/>
        </w:rPr>
        <w:drawing>
          <wp:anchor distT="0" distB="0" distL="114300" distR="114300" simplePos="0" relativeHeight="251654656" behindDoc="0" locked="0" layoutInCell="1" allowOverlap="1" wp14:anchorId="68DD5F48" wp14:editId="08ABC7E4">
            <wp:simplePos x="0" y="0"/>
            <wp:positionH relativeFrom="column">
              <wp:align>right</wp:align>
            </wp:positionH>
            <wp:positionV relativeFrom="paragraph">
              <wp:posOffset>0</wp:posOffset>
            </wp:positionV>
            <wp:extent cx="2940050" cy="3454400"/>
            <wp:effectExtent l="0" t="0" r="0" b="0"/>
            <wp:wrapSquare wrapText="bothSides"/>
            <wp:docPr id="338285370" name="Picture 79935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22"/>
                    <pic:cNvPicPr/>
                  </pic:nvPicPr>
                  <pic:blipFill>
                    <a:blip r:embed="rId251">
                      <a:extLst>
                        <a:ext uri="{28A0092B-C50C-407E-A947-70E740481C1C}">
                          <a14:useLocalDpi xmlns:a14="http://schemas.microsoft.com/office/drawing/2010/main" val="0"/>
                        </a:ext>
                      </a:extLst>
                    </a:blip>
                    <a:stretch>
                      <a:fillRect/>
                    </a:stretch>
                  </pic:blipFill>
                  <pic:spPr>
                    <a:xfrm>
                      <a:off x="0" y="0"/>
                      <a:ext cx="2940050" cy="3454400"/>
                    </a:xfrm>
                    <a:prstGeom prst="rect">
                      <a:avLst/>
                    </a:prstGeom>
                  </pic:spPr>
                </pic:pic>
              </a:graphicData>
            </a:graphic>
            <wp14:sizeRelH relativeFrom="page">
              <wp14:pctWidth>0</wp14:pctWidth>
            </wp14:sizeRelH>
            <wp14:sizeRelV relativeFrom="page">
              <wp14:pctHeight>0</wp14:pctHeight>
            </wp14:sizeRelV>
          </wp:anchor>
        </w:drawing>
      </w:r>
      <w:r w:rsidR="00CB4482" w:rsidRPr="00037C61">
        <w:t>A</w:t>
      </w:r>
      <w:r w:rsidR="004E50D2" w:rsidRPr="00037C61">
        <w:t xml:space="preserve"> key infrastructure for the development of services and better cross-border integration is </w:t>
      </w:r>
      <w:r w:rsidR="00CB4482" w:rsidRPr="00037C61">
        <w:t xml:space="preserve">represented by the </w:t>
      </w:r>
      <w:r w:rsidR="003C020A" w:rsidRPr="00037C61">
        <w:t>ICT</w:t>
      </w:r>
      <w:r w:rsidR="004E50D2" w:rsidRPr="00037C61">
        <w:t xml:space="preserve"> infrastructure. </w:t>
      </w:r>
      <w:r w:rsidR="00CB4482" w:rsidRPr="00037C61">
        <w:t xml:space="preserve">As part of its Europe 2020 strategy, in 2010 the EU set </w:t>
      </w:r>
      <w:r w:rsidR="003C020A" w:rsidRPr="00037C61">
        <w:t xml:space="preserve">the 2020 target to </w:t>
      </w:r>
      <w:r w:rsidR="00CB4482" w:rsidRPr="00037C61">
        <w:t>provide all Europeans with fast broadband (over 30 Mbps)</w:t>
      </w:r>
      <w:r w:rsidR="003C020A" w:rsidRPr="00037C61">
        <w:t>, and to</w:t>
      </w:r>
      <w:r w:rsidR="00CB4482" w:rsidRPr="00037C61">
        <w:t xml:space="preserve"> ensure take-up by 50 % or more of European households to ultra-fast broadband (over 100 Mbps). </w:t>
      </w:r>
    </w:p>
    <w:p w14:paraId="5C18A64B" w14:textId="77777777" w:rsidR="00656F7A" w:rsidRPr="00037C61" w:rsidRDefault="00656F7A" w:rsidP="002A2F54">
      <w:pPr>
        <w:pStyle w:val="InterregROHUBullet1"/>
        <w:numPr>
          <w:ilvl w:val="0"/>
          <w:numId w:val="0"/>
        </w:numPr>
        <w:spacing w:after="0"/>
      </w:pPr>
    </w:p>
    <w:p w14:paraId="76EF4DB6" w14:textId="6500217D" w:rsidR="003C020A" w:rsidRPr="00037C61" w:rsidRDefault="00656F7A" w:rsidP="002A2F54">
      <w:pPr>
        <w:pStyle w:val="InterregROHUBullet1"/>
        <w:numPr>
          <w:ilvl w:val="0"/>
          <w:numId w:val="0"/>
        </w:numPr>
        <w:spacing w:after="0"/>
      </w:pPr>
      <w:r w:rsidRPr="00037C61">
        <w:t xml:space="preserve">Ensuring broadband access, and especially rural broadband, remains a challenge for the </w:t>
      </w:r>
      <w:r w:rsidR="003C020A" w:rsidRPr="00037C61">
        <w:t>PA and especially the Romanian counties of Arad and Bihor, which record under 90% broadband coverage a</w:t>
      </w:r>
      <w:r w:rsidRPr="00037C61">
        <w:t>ccording to the Broadband coverage in Europe Report 2019 (EC, DG-CNCT, 2020)</w:t>
      </w:r>
      <w:r w:rsidR="003C020A" w:rsidRPr="00037C61">
        <w:t xml:space="preserve">. </w:t>
      </w:r>
    </w:p>
    <w:p w14:paraId="5111AB20" w14:textId="77777777" w:rsidR="003C020A" w:rsidRPr="00037C61" w:rsidRDefault="003C020A" w:rsidP="002A2F54">
      <w:pPr>
        <w:pStyle w:val="InterregROHUBullet1"/>
        <w:numPr>
          <w:ilvl w:val="0"/>
          <w:numId w:val="0"/>
        </w:numPr>
        <w:spacing w:after="0"/>
      </w:pPr>
    </w:p>
    <w:p w14:paraId="20072D28" w14:textId="70E3FC30" w:rsidR="003C020A" w:rsidRPr="00037C61" w:rsidRDefault="003C020A" w:rsidP="003C020A">
      <w:pPr>
        <w:pStyle w:val="Caption"/>
        <w:jc w:val="right"/>
        <w:rPr>
          <w:lang w:val="en-GB"/>
        </w:rPr>
      </w:pPr>
      <w:bookmarkStart w:id="788" w:name="_Toc6461107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124</w:t>
      </w:r>
      <w:r w:rsidR="00412697">
        <w:rPr>
          <w:lang w:val="en-GB"/>
        </w:rPr>
        <w:fldChar w:fldCharType="end"/>
      </w:r>
      <w:r w:rsidRPr="00037C61">
        <w:rPr>
          <w:lang w:val="en-GB"/>
        </w:rPr>
        <w:t xml:space="preserve"> - Overall fixed broadband coverage, 2019, at NUTS 3 level in Europe</w:t>
      </w:r>
      <w:bookmarkEnd w:id="788"/>
    </w:p>
    <w:p w14:paraId="4A769D66" w14:textId="60EE1621" w:rsidR="003C020A" w:rsidRPr="00037C61" w:rsidRDefault="003C020A" w:rsidP="00457478">
      <w:pPr>
        <w:pStyle w:val="Caption"/>
        <w:jc w:val="right"/>
        <w:rPr>
          <w:lang w:val="en-GB"/>
        </w:rPr>
      </w:pPr>
      <w:r w:rsidRPr="00037C61">
        <w:rPr>
          <w:lang w:val="en-GB"/>
        </w:rPr>
        <w:t>Source: Broadband coverage in Europe Report 2019, DG-CNCT, 2020</w:t>
      </w:r>
    </w:p>
    <w:p w14:paraId="1E183EBC" w14:textId="51831CFA" w:rsidR="00656F7A" w:rsidRPr="00037C61" w:rsidRDefault="00656F7A" w:rsidP="002A2F54">
      <w:pPr>
        <w:pStyle w:val="InterregROHUBullet1"/>
        <w:numPr>
          <w:ilvl w:val="0"/>
          <w:numId w:val="0"/>
        </w:numPr>
        <w:spacing w:after="0"/>
      </w:pPr>
    </w:p>
    <w:p w14:paraId="5A2C9A95" w14:textId="46B32836" w:rsidR="00CB4482" w:rsidRPr="00037C61" w:rsidRDefault="00CB4482" w:rsidP="002A2F54">
      <w:pPr>
        <w:pStyle w:val="InterregROHUBullet1"/>
        <w:numPr>
          <w:ilvl w:val="0"/>
          <w:numId w:val="0"/>
        </w:numPr>
        <w:spacing w:after="0"/>
      </w:pPr>
      <w:r w:rsidRPr="00037C61">
        <w:t xml:space="preserve"> </w:t>
      </w:r>
    </w:p>
    <w:p w14:paraId="53C257B5" w14:textId="043A1838" w:rsidR="00CB4482" w:rsidRPr="00037C61" w:rsidRDefault="00CB4482" w:rsidP="002A2F54">
      <w:pPr>
        <w:pStyle w:val="InterregROHUBullet1"/>
        <w:numPr>
          <w:ilvl w:val="0"/>
          <w:numId w:val="0"/>
        </w:numPr>
        <w:spacing w:after="0"/>
      </w:pPr>
      <w:r w:rsidRPr="00037C61">
        <w:rPr>
          <w:b/>
          <w:bCs w:val="0"/>
        </w:rPr>
        <w:t>In Romania and the four analysed counties</w:t>
      </w:r>
      <w:r w:rsidRPr="00037C61">
        <w:t xml:space="preserve">, whilst NGA coverage levels remained below the EU average despite the recorded annual increases, coverage of very high capacity networks, i.e. DOCSIS 3.1 and FTTP, was much higher than EU average (up to 93.6% in Timiș). By mid-2019, 68.1% of all homes and 39.1% of rural homes in Romania were passed by networks potentially capable of delivering gigabit speeds, and this figure is even higher in the PA. Arad and Bihor counties are underperforming in terms of fixed broadband coverage (under 90%). </w:t>
      </w:r>
    </w:p>
    <w:p w14:paraId="4F84C9BA" w14:textId="55B53509" w:rsidR="00656F7A" w:rsidRPr="00037C61" w:rsidRDefault="00656F7A" w:rsidP="002A2F54">
      <w:pPr>
        <w:pStyle w:val="InterregROHUBullet1"/>
        <w:numPr>
          <w:ilvl w:val="0"/>
          <w:numId w:val="0"/>
        </w:numPr>
        <w:spacing w:after="0"/>
      </w:pPr>
    </w:p>
    <w:p w14:paraId="485B34D9" w14:textId="5DE19D53" w:rsidR="00CB4482" w:rsidRPr="00037C61" w:rsidRDefault="00CB4482">
      <w:pPr>
        <w:pStyle w:val="InterregROHUBullet1"/>
        <w:spacing w:after="0"/>
      </w:pPr>
      <w:r w:rsidRPr="00037C61">
        <w:rPr>
          <w:b/>
        </w:rPr>
        <w:t xml:space="preserve">In Hungary, </w:t>
      </w:r>
      <w:r w:rsidR="00656F7A" w:rsidRPr="00037C61">
        <w:t xml:space="preserve">NGA coverage also recorded improvements, in 2019 nearly 9 in 10 (89.6%) Hungarian households having access to NGA broadband services. This figure is higher in Bekes and Csongrád-Csanád, but lower in </w:t>
      </w:r>
      <w:r w:rsidR="423EFC9B" w:rsidRPr="00037C61">
        <w:rPr>
          <w:rFonts w:eastAsia="Calibri" w:cs="Calibri"/>
          <w:color w:val="000000" w:themeColor="text1"/>
        </w:rPr>
        <w:t>Hajdú</w:t>
      </w:r>
      <w:r w:rsidR="00656F7A" w:rsidRPr="00037C61">
        <w:t xml:space="preserve">-Bihar and Szabolcs-Szatmár-Bereg (82.1%). Fast improvement was recorded in rural NGA coverage levels, mainly to the fast deployment of FTTP, though these figures are below the Romanian ones. Regional broadband coverage is slightly higher than in the Romanian PA, with values ranging over 91.2% (yet lower than the national average). </w:t>
      </w:r>
    </w:p>
    <w:p w14:paraId="470ADC83" w14:textId="2361B274" w:rsidR="003C020A" w:rsidRPr="00037C61" w:rsidRDefault="003C020A" w:rsidP="00457478">
      <w:pPr>
        <w:pStyle w:val="Caption"/>
        <w:keepNext/>
        <w:jc w:val="left"/>
        <w:rPr>
          <w:lang w:val="en-GB"/>
        </w:rPr>
      </w:pPr>
      <w:bookmarkStart w:id="789" w:name="_Toc58237667"/>
      <w:r w:rsidRPr="00037C61">
        <w:rPr>
          <w:lang w:val="en-GB"/>
        </w:rPr>
        <w:lastRenderedPageBreak/>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45</w:t>
      </w:r>
      <w:r w:rsidRPr="00037C61">
        <w:rPr>
          <w:lang w:val="en-GB"/>
        </w:rPr>
        <w:fldChar w:fldCharType="end"/>
      </w:r>
      <w:r w:rsidRPr="00037C61">
        <w:rPr>
          <w:lang w:val="en-GB"/>
        </w:rPr>
        <w:t xml:space="preserve"> - State of ICT infrastructure development in the PA counties (2019)</w:t>
      </w:r>
      <w:bookmarkEnd w:id="789"/>
    </w:p>
    <w:tbl>
      <w:tblPr>
        <w:tblStyle w:val="ListTable3-Accent11"/>
        <w:tblW w:w="8708" w:type="dxa"/>
        <w:tblLook w:val="04A0" w:firstRow="1" w:lastRow="0" w:firstColumn="1" w:lastColumn="0" w:noHBand="0" w:noVBand="1"/>
      </w:tblPr>
      <w:tblGrid>
        <w:gridCol w:w="1609"/>
        <w:gridCol w:w="1080"/>
        <w:gridCol w:w="941"/>
        <w:gridCol w:w="1271"/>
        <w:gridCol w:w="619"/>
        <w:gridCol w:w="671"/>
        <w:gridCol w:w="619"/>
        <w:gridCol w:w="949"/>
        <w:gridCol w:w="949"/>
      </w:tblGrid>
      <w:tr w:rsidR="00457478" w:rsidRPr="00037C61" w14:paraId="6B5A6DFD" w14:textId="77777777" w:rsidTr="3C1461C6">
        <w:trPr>
          <w:cnfStyle w:val="100000000000" w:firstRow="1" w:lastRow="0" w:firstColumn="0" w:lastColumn="0" w:oddVBand="0" w:evenVBand="0" w:oddHBand="0" w:evenHBand="0" w:firstRowFirstColumn="0" w:firstRowLastColumn="0" w:lastRowFirstColumn="0" w:lastRowLastColumn="0"/>
          <w:trHeight w:val="1180"/>
        </w:trPr>
        <w:tc>
          <w:tcPr>
            <w:cnfStyle w:val="001000000100" w:firstRow="0" w:lastRow="0" w:firstColumn="1" w:lastColumn="0" w:oddVBand="0" w:evenVBand="0" w:oddHBand="0" w:evenHBand="0" w:firstRowFirstColumn="1" w:firstRowLastColumn="0" w:lastRowFirstColumn="0" w:lastRowLastColumn="0"/>
            <w:tcW w:w="1609" w:type="dxa"/>
            <w:hideMark/>
          </w:tcPr>
          <w:p w14:paraId="1D04C3E1" w14:textId="77777777" w:rsidR="00CB4482" w:rsidRPr="00037C61" w:rsidRDefault="00CB4482" w:rsidP="00CB4482">
            <w:pPr>
              <w:jc w:val="center"/>
              <w:rPr>
                <w:rFonts w:eastAsia="Times New Roman" w:cs="Calibri"/>
                <w:b w:val="0"/>
                <w:bCs w:val="0"/>
                <w:color w:val="FFFFFF"/>
                <w:sz w:val="16"/>
                <w:szCs w:val="16"/>
                <w:lang w:val="en-GB" w:eastAsia="en-GB"/>
              </w:rPr>
            </w:pPr>
            <w:r w:rsidRPr="00037C61">
              <w:rPr>
                <w:rFonts w:eastAsia="Times New Roman" w:cs="Calibri"/>
                <w:color w:val="FFFFFF"/>
                <w:sz w:val="16"/>
                <w:szCs w:val="16"/>
                <w:lang w:val="en-GB" w:eastAsia="en-GB"/>
              </w:rPr>
              <w:t>NUTS3 Region</w:t>
            </w:r>
          </w:p>
          <w:p w14:paraId="2B342AE0" w14:textId="77777777" w:rsidR="00CB4482" w:rsidRPr="00037C61" w:rsidRDefault="00CB4482" w:rsidP="00CB4482">
            <w:pPr>
              <w:jc w:val="center"/>
              <w:rPr>
                <w:rFonts w:eastAsia="Times New Roman" w:cs="Calibri"/>
                <w:b w:val="0"/>
                <w:bCs w:val="0"/>
                <w:color w:val="FFFFFF"/>
                <w:sz w:val="16"/>
                <w:szCs w:val="16"/>
                <w:lang w:val="en-GB" w:eastAsia="en-GB"/>
              </w:rPr>
            </w:pPr>
          </w:p>
          <w:p w14:paraId="3CA26F20" w14:textId="097C597F" w:rsidR="00CB4482" w:rsidRPr="00037C61" w:rsidRDefault="00CB4482" w:rsidP="00CB4482">
            <w:pPr>
              <w:jc w:val="center"/>
              <w:rPr>
                <w:rFonts w:eastAsia="Times New Roman" w:cs="Calibri"/>
                <w:color w:val="FFFFFF"/>
                <w:sz w:val="16"/>
                <w:szCs w:val="16"/>
                <w:lang w:val="en-GB" w:eastAsia="en-GB"/>
              </w:rPr>
            </w:pPr>
            <w:r w:rsidRPr="00037C61">
              <w:rPr>
                <w:rFonts w:eastAsia="Times New Roman" w:cs="Calibri"/>
                <w:color w:val="FFFFFF"/>
                <w:sz w:val="16"/>
                <w:szCs w:val="16"/>
                <w:lang w:val="en-GB" w:eastAsia="en-GB"/>
              </w:rPr>
              <w:t>(2019)</w:t>
            </w:r>
          </w:p>
        </w:tc>
        <w:tc>
          <w:tcPr>
            <w:tcW w:w="1080" w:type="dxa"/>
            <w:hideMark/>
          </w:tcPr>
          <w:p w14:paraId="3E8E04FA"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Overall fixed broadband coverage</w:t>
            </w:r>
          </w:p>
        </w:tc>
        <w:tc>
          <w:tcPr>
            <w:tcW w:w="941" w:type="dxa"/>
            <w:hideMark/>
          </w:tcPr>
          <w:p w14:paraId="6961C94D"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Overall NGA coverage</w:t>
            </w:r>
          </w:p>
        </w:tc>
        <w:tc>
          <w:tcPr>
            <w:tcW w:w="1271" w:type="dxa"/>
            <w:hideMark/>
          </w:tcPr>
          <w:p w14:paraId="6774910C"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Overall Fixed Very High Capacity Network (VHCN) coverage</w:t>
            </w:r>
          </w:p>
        </w:tc>
        <w:tc>
          <w:tcPr>
            <w:tcW w:w="619" w:type="dxa"/>
            <w:noWrap/>
            <w:hideMark/>
          </w:tcPr>
          <w:p w14:paraId="7DED5FC8"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DSL</w:t>
            </w:r>
          </w:p>
        </w:tc>
        <w:tc>
          <w:tcPr>
            <w:tcW w:w="671" w:type="dxa"/>
            <w:noWrap/>
            <w:hideMark/>
          </w:tcPr>
          <w:p w14:paraId="1680877A"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VDSL</w:t>
            </w:r>
          </w:p>
        </w:tc>
        <w:tc>
          <w:tcPr>
            <w:tcW w:w="619" w:type="dxa"/>
            <w:noWrap/>
            <w:hideMark/>
          </w:tcPr>
          <w:p w14:paraId="55F31567"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FTTP</w:t>
            </w:r>
          </w:p>
        </w:tc>
        <w:tc>
          <w:tcPr>
            <w:tcW w:w="949" w:type="dxa"/>
            <w:hideMark/>
          </w:tcPr>
          <w:p w14:paraId="6988EA1B"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Cable modem DOCSIS 3.0</w:t>
            </w:r>
          </w:p>
        </w:tc>
        <w:tc>
          <w:tcPr>
            <w:tcW w:w="949" w:type="dxa"/>
            <w:noWrap/>
            <w:hideMark/>
          </w:tcPr>
          <w:p w14:paraId="02AABE7D" w14:textId="77777777" w:rsidR="00CB4482" w:rsidRPr="00037C61" w:rsidRDefault="00CB4482" w:rsidP="00CB4482">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FFFFFF"/>
                <w:sz w:val="16"/>
                <w:szCs w:val="16"/>
                <w:lang w:val="en-GB" w:eastAsia="en-GB"/>
              </w:rPr>
            </w:pPr>
            <w:r w:rsidRPr="00037C61">
              <w:rPr>
                <w:rFonts w:eastAsia="Times New Roman" w:cs="Calibri"/>
                <w:color w:val="FFFFFF"/>
                <w:sz w:val="16"/>
                <w:szCs w:val="16"/>
                <w:lang w:val="en-GB" w:eastAsia="en-GB"/>
              </w:rPr>
              <w:t>LTE</w:t>
            </w:r>
          </w:p>
        </w:tc>
      </w:tr>
      <w:tr w:rsidR="00457478" w:rsidRPr="00037C61" w14:paraId="10865B89" w14:textId="77777777" w:rsidTr="3C1461C6">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FBD1D2" w:themeFill="accent3" w:themeFillTint="33"/>
            <w:noWrap/>
            <w:hideMark/>
          </w:tcPr>
          <w:p w14:paraId="073A860A"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HUNGARY TOTAL</w:t>
            </w:r>
          </w:p>
        </w:tc>
        <w:tc>
          <w:tcPr>
            <w:tcW w:w="1080" w:type="dxa"/>
            <w:shd w:val="clear" w:color="auto" w:fill="FBD1D2" w:themeFill="accent3" w:themeFillTint="33"/>
            <w:noWrap/>
            <w:hideMark/>
          </w:tcPr>
          <w:p w14:paraId="6B34F33D"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95.5%</w:t>
            </w:r>
          </w:p>
        </w:tc>
        <w:tc>
          <w:tcPr>
            <w:tcW w:w="941" w:type="dxa"/>
            <w:shd w:val="clear" w:color="auto" w:fill="FBD1D2" w:themeFill="accent3" w:themeFillTint="33"/>
            <w:noWrap/>
            <w:hideMark/>
          </w:tcPr>
          <w:p w14:paraId="6964618B"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89.6%</w:t>
            </w:r>
          </w:p>
        </w:tc>
        <w:tc>
          <w:tcPr>
            <w:tcW w:w="1271" w:type="dxa"/>
            <w:shd w:val="clear" w:color="auto" w:fill="FBD1D2" w:themeFill="accent3" w:themeFillTint="33"/>
            <w:noWrap/>
            <w:hideMark/>
          </w:tcPr>
          <w:p w14:paraId="4AFF1166"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42.6%</w:t>
            </w:r>
          </w:p>
        </w:tc>
        <w:tc>
          <w:tcPr>
            <w:tcW w:w="619" w:type="dxa"/>
            <w:shd w:val="clear" w:color="auto" w:fill="FBD1D2" w:themeFill="accent3" w:themeFillTint="33"/>
            <w:noWrap/>
            <w:hideMark/>
          </w:tcPr>
          <w:p w14:paraId="364B5238"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87.4%</w:t>
            </w:r>
          </w:p>
        </w:tc>
        <w:tc>
          <w:tcPr>
            <w:tcW w:w="671" w:type="dxa"/>
            <w:shd w:val="clear" w:color="auto" w:fill="FBD1D2" w:themeFill="accent3" w:themeFillTint="33"/>
            <w:noWrap/>
            <w:hideMark/>
          </w:tcPr>
          <w:p w14:paraId="029DF1DC"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50.7%</w:t>
            </w:r>
          </w:p>
        </w:tc>
        <w:tc>
          <w:tcPr>
            <w:tcW w:w="619" w:type="dxa"/>
            <w:shd w:val="clear" w:color="auto" w:fill="FBD1D2" w:themeFill="accent3" w:themeFillTint="33"/>
            <w:noWrap/>
            <w:hideMark/>
          </w:tcPr>
          <w:p w14:paraId="380D695D"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42.6%</w:t>
            </w:r>
          </w:p>
        </w:tc>
        <w:tc>
          <w:tcPr>
            <w:tcW w:w="949" w:type="dxa"/>
            <w:shd w:val="clear" w:color="auto" w:fill="FBD1D2" w:themeFill="accent3" w:themeFillTint="33"/>
            <w:noWrap/>
            <w:hideMark/>
          </w:tcPr>
          <w:p w14:paraId="758FD717"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74.5%</w:t>
            </w:r>
          </w:p>
        </w:tc>
        <w:tc>
          <w:tcPr>
            <w:tcW w:w="949" w:type="dxa"/>
            <w:shd w:val="clear" w:color="auto" w:fill="FBD1D2" w:themeFill="accent3" w:themeFillTint="33"/>
            <w:noWrap/>
            <w:hideMark/>
          </w:tcPr>
          <w:p w14:paraId="302EDAA3"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99.2%</w:t>
            </w:r>
          </w:p>
        </w:tc>
      </w:tr>
      <w:tr w:rsidR="00457478" w:rsidRPr="00037C61" w14:paraId="589A6FE4" w14:textId="77777777" w:rsidTr="3C1461C6">
        <w:trPr>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FBD1D2" w:themeFill="accent3" w:themeFillTint="33"/>
            <w:noWrap/>
            <w:hideMark/>
          </w:tcPr>
          <w:p w14:paraId="0D7252B7"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Hajdú-Bihar</w:t>
            </w:r>
          </w:p>
        </w:tc>
        <w:tc>
          <w:tcPr>
            <w:tcW w:w="1080" w:type="dxa"/>
            <w:shd w:val="clear" w:color="auto" w:fill="FBD1D2" w:themeFill="accent3" w:themeFillTint="33"/>
            <w:noWrap/>
            <w:hideMark/>
          </w:tcPr>
          <w:p w14:paraId="75DBF5F1"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93.8%</w:t>
            </w:r>
          </w:p>
        </w:tc>
        <w:tc>
          <w:tcPr>
            <w:tcW w:w="941" w:type="dxa"/>
            <w:shd w:val="clear" w:color="auto" w:fill="FBD1D2" w:themeFill="accent3" w:themeFillTint="33"/>
            <w:noWrap/>
            <w:hideMark/>
          </w:tcPr>
          <w:p w14:paraId="127718FD"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83.7%</w:t>
            </w:r>
          </w:p>
        </w:tc>
        <w:tc>
          <w:tcPr>
            <w:tcW w:w="1271" w:type="dxa"/>
            <w:shd w:val="clear" w:color="auto" w:fill="FBD1D2" w:themeFill="accent3" w:themeFillTint="33"/>
            <w:noWrap/>
            <w:hideMark/>
          </w:tcPr>
          <w:p w14:paraId="7E064DE4"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36.8%</w:t>
            </w:r>
          </w:p>
        </w:tc>
        <w:tc>
          <w:tcPr>
            <w:tcW w:w="619" w:type="dxa"/>
            <w:shd w:val="clear" w:color="auto" w:fill="FBD1D2" w:themeFill="accent3" w:themeFillTint="33"/>
            <w:noWrap/>
            <w:hideMark/>
          </w:tcPr>
          <w:p w14:paraId="52E71592"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84.8%</w:t>
            </w:r>
          </w:p>
        </w:tc>
        <w:tc>
          <w:tcPr>
            <w:tcW w:w="671" w:type="dxa"/>
            <w:shd w:val="clear" w:color="auto" w:fill="FBD1D2" w:themeFill="accent3" w:themeFillTint="33"/>
            <w:noWrap/>
            <w:hideMark/>
          </w:tcPr>
          <w:p w14:paraId="063351B1"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53.7%</w:t>
            </w:r>
          </w:p>
        </w:tc>
        <w:tc>
          <w:tcPr>
            <w:tcW w:w="619" w:type="dxa"/>
            <w:shd w:val="clear" w:color="auto" w:fill="FBD1D2" w:themeFill="accent3" w:themeFillTint="33"/>
            <w:noWrap/>
            <w:hideMark/>
          </w:tcPr>
          <w:p w14:paraId="7B738C67"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36.8%</w:t>
            </w:r>
          </w:p>
        </w:tc>
        <w:tc>
          <w:tcPr>
            <w:tcW w:w="949" w:type="dxa"/>
            <w:shd w:val="clear" w:color="auto" w:fill="FBD1D2" w:themeFill="accent3" w:themeFillTint="33"/>
            <w:noWrap/>
            <w:hideMark/>
          </w:tcPr>
          <w:p w14:paraId="1ADE337F"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64.4%</w:t>
            </w:r>
          </w:p>
        </w:tc>
        <w:tc>
          <w:tcPr>
            <w:tcW w:w="949" w:type="dxa"/>
            <w:shd w:val="clear" w:color="auto" w:fill="FBD1D2" w:themeFill="accent3" w:themeFillTint="33"/>
            <w:noWrap/>
            <w:hideMark/>
          </w:tcPr>
          <w:p w14:paraId="17EF764F"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100.0%</w:t>
            </w:r>
          </w:p>
        </w:tc>
      </w:tr>
      <w:tr w:rsidR="00457478" w:rsidRPr="00037C61" w14:paraId="72342BDC" w14:textId="77777777" w:rsidTr="3C1461C6">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FBD1D2" w:themeFill="accent3" w:themeFillTint="33"/>
            <w:noWrap/>
            <w:hideMark/>
          </w:tcPr>
          <w:p w14:paraId="37C36AB3"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Szabolcs-Szatmár-Bereg</w:t>
            </w:r>
          </w:p>
        </w:tc>
        <w:tc>
          <w:tcPr>
            <w:tcW w:w="1080" w:type="dxa"/>
            <w:shd w:val="clear" w:color="auto" w:fill="FBD1D2" w:themeFill="accent3" w:themeFillTint="33"/>
            <w:noWrap/>
            <w:hideMark/>
          </w:tcPr>
          <w:p w14:paraId="5EE12BF1"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91.2%</w:t>
            </w:r>
          </w:p>
        </w:tc>
        <w:tc>
          <w:tcPr>
            <w:tcW w:w="941" w:type="dxa"/>
            <w:shd w:val="clear" w:color="auto" w:fill="FBD1D2" w:themeFill="accent3" w:themeFillTint="33"/>
            <w:noWrap/>
            <w:hideMark/>
          </w:tcPr>
          <w:p w14:paraId="7F5FB15C"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82.1%</w:t>
            </w:r>
          </w:p>
        </w:tc>
        <w:tc>
          <w:tcPr>
            <w:tcW w:w="1271" w:type="dxa"/>
            <w:shd w:val="clear" w:color="auto" w:fill="FBD1D2" w:themeFill="accent3" w:themeFillTint="33"/>
            <w:noWrap/>
            <w:hideMark/>
          </w:tcPr>
          <w:p w14:paraId="15241D72"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19.8%</w:t>
            </w:r>
          </w:p>
        </w:tc>
        <w:tc>
          <w:tcPr>
            <w:tcW w:w="619" w:type="dxa"/>
            <w:shd w:val="clear" w:color="auto" w:fill="FBD1D2" w:themeFill="accent3" w:themeFillTint="33"/>
            <w:noWrap/>
            <w:hideMark/>
          </w:tcPr>
          <w:p w14:paraId="258A5E2E"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79.6%</w:t>
            </w:r>
          </w:p>
        </w:tc>
        <w:tc>
          <w:tcPr>
            <w:tcW w:w="671" w:type="dxa"/>
            <w:shd w:val="clear" w:color="auto" w:fill="FBD1D2" w:themeFill="accent3" w:themeFillTint="33"/>
            <w:noWrap/>
            <w:hideMark/>
          </w:tcPr>
          <w:p w14:paraId="484BD44A"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48.0%</w:t>
            </w:r>
          </w:p>
        </w:tc>
        <w:tc>
          <w:tcPr>
            <w:tcW w:w="619" w:type="dxa"/>
            <w:shd w:val="clear" w:color="auto" w:fill="FBD1D2" w:themeFill="accent3" w:themeFillTint="33"/>
            <w:noWrap/>
            <w:hideMark/>
          </w:tcPr>
          <w:p w14:paraId="6DAA564E"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19.8%</w:t>
            </w:r>
          </w:p>
        </w:tc>
        <w:tc>
          <w:tcPr>
            <w:tcW w:w="949" w:type="dxa"/>
            <w:shd w:val="clear" w:color="auto" w:fill="FBD1D2" w:themeFill="accent3" w:themeFillTint="33"/>
            <w:noWrap/>
            <w:hideMark/>
          </w:tcPr>
          <w:p w14:paraId="3ABDDE5B"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60.9%</w:t>
            </w:r>
          </w:p>
        </w:tc>
        <w:tc>
          <w:tcPr>
            <w:tcW w:w="949" w:type="dxa"/>
            <w:shd w:val="clear" w:color="auto" w:fill="FBD1D2" w:themeFill="accent3" w:themeFillTint="33"/>
            <w:noWrap/>
            <w:hideMark/>
          </w:tcPr>
          <w:p w14:paraId="17DF7264"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95.3%</w:t>
            </w:r>
          </w:p>
        </w:tc>
      </w:tr>
      <w:tr w:rsidR="00457478" w:rsidRPr="00037C61" w14:paraId="5D02B353" w14:textId="77777777" w:rsidTr="3C1461C6">
        <w:trPr>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FBD1D2" w:themeFill="accent3" w:themeFillTint="33"/>
            <w:noWrap/>
            <w:hideMark/>
          </w:tcPr>
          <w:p w14:paraId="56838657"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Békés</w:t>
            </w:r>
          </w:p>
        </w:tc>
        <w:tc>
          <w:tcPr>
            <w:tcW w:w="1080" w:type="dxa"/>
            <w:shd w:val="clear" w:color="auto" w:fill="FBD1D2" w:themeFill="accent3" w:themeFillTint="33"/>
            <w:noWrap/>
            <w:hideMark/>
          </w:tcPr>
          <w:p w14:paraId="0EC59558"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94.1%</w:t>
            </w:r>
          </w:p>
        </w:tc>
        <w:tc>
          <w:tcPr>
            <w:tcW w:w="941" w:type="dxa"/>
            <w:shd w:val="clear" w:color="auto" w:fill="FBD1D2" w:themeFill="accent3" w:themeFillTint="33"/>
            <w:noWrap/>
            <w:hideMark/>
          </w:tcPr>
          <w:p w14:paraId="4CFF0D5C"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94.4%</w:t>
            </w:r>
          </w:p>
        </w:tc>
        <w:tc>
          <w:tcPr>
            <w:tcW w:w="1271" w:type="dxa"/>
            <w:shd w:val="clear" w:color="auto" w:fill="FBD1D2" w:themeFill="accent3" w:themeFillTint="33"/>
            <w:noWrap/>
            <w:hideMark/>
          </w:tcPr>
          <w:p w14:paraId="6FB06BB2"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26.1%</w:t>
            </w:r>
          </w:p>
        </w:tc>
        <w:tc>
          <w:tcPr>
            <w:tcW w:w="619" w:type="dxa"/>
            <w:shd w:val="clear" w:color="auto" w:fill="FBD1D2" w:themeFill="accent3" w:themeFillTint="33"/>
            <w:noWrap/>
            <w:hideMark/>
          </w:tcPr>
          <w:p w14:paraId="5E206D5E"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77.5%</w:t>
            </w:r>
          </w:p>
        </w:tc>
        <w:tc>
          <w:tcPr>
            <w:tcW w:w="671" w:type="dxa"/>
            <w:shd w:val="clear" w:color="auto" w:fill="FBD1D2" w:themeFill="accent3" w:themeFillTint="33"/>
            <w:noWrap/>
            <w:hideMark/>
          </w:tcPr>
          <w:p w14:paraId="1D10A9F5"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24.9%</w:t>
            </w:r>
          </w:p>
        </w:tc>
        <w:tc>
          <w:tcPr>
            <w:tcW w:w="619" w:type="dxa"/>
            <w:shd w:val="clear" w:color="auto" w:fill="FBD1D2" w:themeFill="accent3" w:themeFillTint="33"/>
            <w:noWrap/>
            <w:hideMark/>
          </w:tcPr>
          <w:p w14:paraId="0BBBE46A"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26.1%</w:t>
            </w:r>
          </w:p>
        </w:tc>
        <w:tc>
          <w:tcPr>
            <w:tcW w:w="949" w:type="dxa"/>
            <w:shd w:val="clear" w:color="auto" w:fill="FBD1D2" w:themeFill="accent3" w:themeFillTint="33"/>
            <w:noWrap/>
            <w:hideMark/>
          </w:tcPr>
          <w:p w14:paraId="423669C2"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85.4%</w:t>
            </w:r>
          </w:p>
        </w:tc>
        <w:tc>
          <w:tcPr>
            <w:tcW w:w="949" w:type="dxa"/>
            <w:shd w:val="clear" w:color="auto" w:fill="FBD1D2" w:themeFill="accent3" w:themeFillTint="33"/>
            <w:noWrap/>
            <w:hideMark/>
          </w:tcPr>
          <w:p w14:paraId="44D93CEA"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100.0%</w:t>
            </w:r>
          </w:p>
        </w:tc>
      </w:tr>
      <w:tr w:rsidR="00457478" w:rsidRPr="00037C61" w14:paraId="79EAB700" w14:textId="77777777" w:rsidTr="3C1461C6">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FBD1D2" w:themeFill="accent3" w:themeFillTint="33"/>
            <w:noWrap/>
            <w:hideMark/>
          </w:tcPr>
          <w:p w14:paraId="4BA65A95"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Csongrád</w:t>
            </w:r>
          </w:p>
        </w:tc>
        <w:tc>
          <w:tcPr>
            <w:tcW w:w="1080" w:type="dxa"/>
            <w:shd w:val="clear" w:color="auto" w:fill="FBD1D2" w:themeFill="accent3" w:themeFillTint="33"/>
            <w:noWrap/>
            <w:hideMark/>
          </w:tcPr>
          <w:p w14:paraId="47EDE164"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94.4%</w:t>
            </w:r>
          </w:p>
        </w:tc>
        <w:tc>
          <w:tcPr>
            <w:tcW w:w="941" w:type="dxa"/>
            <w:shd w:val="clear" w:color="auto" w:fill="FBD1D2" w:themeFill="accent3" w:themeFillTint="33"/>
            <w:noWrap/>
            <w:hideMark/>
          </w:tcPr>
          <w:p w14:paraId="0BEC9C50"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91.7%</w:t>
            </w:r>
          </w:p>
        </w:tc>
        <w:tc>
          <w:tcPr>
            <w:tcW w:w="1271" w:type="dxa"/>
            <w:shd w:val="clear" w:color="auto" w:fill="FBD1D2" w:themeFill="accent3" w:themeFillTint="33"/>
            <w:noWrap/>
            <w:hideMark/>
          </w:tcPr>
          <w:p w14:paraId="0F355A85"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28.0%</w:t>
            </w:r>
          </w:p>
        </w:tc>
        <w:tc>
          <w:tcPr>
            <w:tcW w:w="619" w:type="dxa"/>
            <w:shd w:val="clear" w:color="auto" w:fill="FBD1D2" w:themeFill="accent3" w:themeFillTint="33"/>
            <w:noWrap/>
            <w:hideMark/>
          </w:tcPr>
          <w:p w14:paraId="0CDE4F4D"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86.0%</w:t>
            </w:r>
          </w:p>
        </w:tc>
        <w:tc>
          <w:tcPr>
            <w:tcW w:w="671" w:type="dxa"/>
            <w:shd w:val="clear" w:color="auto" w:fill="FBD1D2" w:themeFill="accent3" w:themeFillTint="33"/>
            <w:noWrap/>
            <w:hideMark/>
          </w:tcPr>
          <w:p w14:paraId="4794EC2D"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25.3%</w:t>
            </w:r>
          </w:p>
        </w:tc>
        <w:tc>
          <w:tcPr>
            <w:tcW w:w="619" w:type="dxa"/>
            <w:shd w:val="clear" w:color="auto" w:fill="FBD1D2" w:themeFill="accent3" w:themeFillTint="33"/>
            <w:noWrap/>
            <w:hideMark/>
          </w:tcPr>
          <w:p w14:paraId="1669AA67"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28.0%</w:t>
            </w:r>
          </w:p>
        </w:tc>
        <w:tc>
          <w:tcPr>
            <w:tcW w:w="949" w:type="dxa"/>
            <w:shd w:val="clear" w:color="auto" w:fill="FBD1D2" w:themeFill="accent3" w:themeFillTint="33"/>
            <w:noWrap/>
            <w:hideMark/>
          </w:tcPr>
          <w:p w14:paraId="6EBAEA49"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79.9%</w:t>
            </w:r>
          </w:p>
        </w:tc>
        <w:tc>
          <w:tcPr>
            <w:tcW w:w="949" w:type="dxa"/>
            <w:shd w:val="clear" w:color="auto" w:fill="FBD1D2" w:themeFill="accent3" w:themeFillTint="33"/>
            <w:noWrap/>
            <w:hideMark/>
          </w:tcPr>
          <w:p w14:paraId="54E1EA6A"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100.0%</w:t>
            </w:r>
          </w:p>
        </w:tc>
      </w:tr>
      <w:tr w:rsidR="00457478" w:rsidRPr="00037C61" w14:paraId="785EB6BD" w14:textId="77777777" w:rsidTr="3C1461C6">
        <w:trPr>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EAEDF6" w:themeFill="accent2" w:themeFillTint="33"/>
            <w:noWrap/>
            <w:hideMark/>
          </w:tcPr>
          <w:p w14:paraId="3C7B7AAE"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ROMANIA TOTAL</w:t>
            </w:r>
          </w:p>
        </w:tc>
        <w:tc>
          <w:tcPr>
            <w:tcW w:w="1080" w:type="dxa"/>
            <w:shd w:val="clear" w:color="auto" w:fill="EAEDF6" w:themeFill="accent2" w:themeFillTint="33"/>
            <w:noWrap/>
            <w:hideMark/>
          </w:tcPr>
          <w:p w14:paraId="681E2C77"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87.4%</w:t>
            </w:r>
          </w:p>
        </w:tc>
        <w:tc>
          <w:tcPr>
            <w:tcW w:w="941" w:type="dxa"/>
            <w:shd w:val="clear" w:color="auto" w:fill="EAEDF6" w:themeFill="accent2" w:themeFillTint="33"/>
            <w:noWrap/>
            <w:hideMark/>
          </w:tcPr>
          <w:p w14:paraId="689CC777"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82.0%</w:t>
            </w:r>
          </w:p>
        </w:tc>
        <w:tc>
          <w:tcPr>
            <w:tcW w:w="1271" w:type="dxa"/>
            <w:shd w:val="clear" w:color="auto" w:fill="EAEDF6" w:themeFill="accent2" w:themeFillTint="33"/>
            <w:noWrap/>
            <w:hideMark/>
          </w:tcPr>
          <w:p w14:paraId="619D1232"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68.1%</w:t>
            </w:r>
          </w:p>
        </w:tc>
        <w:tc>
          <w:tcPr>
            <w:tcW w:w="619" w:type="dxa"/>
            <w:shd w:val="clear" w:color="auto" w:fill="EAEDF6" w:themeFill="accent2" w:themeFillTint="33"/>
            <w:noWrap/>
            <w:hideMark/>
          </w:tcPr>
          <w:p w14:paraId="61CFEC91"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56.7%</w:t>
            </w:r>
          </w:p>
        </w:tc>
        <w:tc>
          <w:tcPr>
            <w:tcW w:w="671" w:type="dxa"/>
            <w:shd w:val="clear" w:color="auto" w:fill="EAEDF6" w:themeFill="accent2" w:themeFillTint="33"/>
            <w:noWrap/>
            <w:hideMark/>
          </w:tcPr>
          <w:p w14:paraId="00B35FCE"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9.2%</w:t>
            </w:r>
          </w:p>
        </w:tc>
        <w:tc>
          <w:tcPr>
            <w:tcW w:w="619" w:type="dxa"/>
            <w:shd w:val="clear" w:color="auto" w:fill="EAEDF6" w:themeFill="accent2" w:themeFillTint="33"/>
            <w:noWrap/>
            <w:hideMark/>
          </w:tcPr>
          <w:p w14:paraId="4BA89A36"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68.1%</w:t>
            </w:r>
          </w:p>
        </w:tc>
        <w:tc>
          <w:tcPr>
            <w:tcW w:w="949" w:type="dxa"/>
            <w:shd w:val="clear" w:color="auto" w:fill="EAEDF6" w:themeFill="accent2" w:themeFillTint="33"/>
            <w:noWrap/>
            <w:hideMark/>
          </w:tcPr>
          <w:p w14:paraId="1E30E329"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42.8%</w:t>
            </w:r>
          </w:p>
        </w:tc>
        <w:tc>
          <w:tcPr>
            <w:tcW w:w="949" w:type="dxa"/>
            <w:shd w:val="clear" w:color="auto" w:fill="EAEDF6" w:themeFill="accent2" w:themeFillTint="33"/>
            <w:noWrap/>
            <w:hideMark/>
          </w:tcPr>
          <w:p w14:paraId="0712D414"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6"/>
                <w:szCs w:val="16"/>
                <w:lang w:val="en-GB" w:eastAsia="en-GB"/>
              </w:rPr>
            </w:pPr>
            <w:r w:rsidRPr="00037C61">
              <w:rPr>
                <w:rFonts w:eastAsia="Times New Roman" w:cs="Calibri"/>
                <w:b/>
                <w:bCs/>
                <w:color w:val="000000"/>
                <w:sz w:val="16"/>
                <w:szCs w:val="16"/>
                <w:lang w:val="en-GB" w:eastAsia="en-GB"/>
              </w:rPr>
              <w:t>99.1%</w:t>
            </w:r>
          </w:p>
        </w:tc>
      </w:tr>
      <w:tr w:rsidR="00457478" w:rsidRPr="00037C61" w14:paraId="0B09D39F" w14:textId="77777777" w:rsidTr="3C1461C6">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EAEDF6" w:themeFill="accent2" w:themeFillTint="33"/>
            <w:noWrap/>
            <w:hideMark/>
          </w:tcPr>
          <w:p w14:paraId="649568B2"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Bihor</w:t>
            </w:r>
          </w:p>
        </w:tc>
        <w:tc>
          <w:tcPr>
            <w:tcW w:w="1080" w:type="dxa"/>
            <w:shd w:val="clear" w:color="auto" w:fill="EAEDF6" w:themeFill="accent2" w:themeFillTint="33"/>
            <w:noWrap/>
            <w:hideMark/>
          </w:tcPr>
          <w:p w14:paraId="52DE4E34"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87.4%</w:t>
            </w:r>
          </w:p>
        </w:tc>
        <w:tc>
          <w:tcPr>
            <w:tcW w:w="941" w:type="dxa"/>
            <w:shd w:val="clear" w:color="auto" w:fill="EAEDF6" w:themeFill="accent2" w:themeFillTint="33"/>
            <w:noWrap/>
            <w:hideMark/>
          </w:tcPr>
          <w:p w14:paraId="356AFD0E"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82.5%</w:t>
            </w:r>
          </w:p>
        </w:tc>
        <w:tc>
          <w:tcPr>
            <w:tcW w:w="1271" w:type="dxa"/>
            <w:shd w:val="clear" w:color="auto" w:fill="EAEDF6" w:themeFill="accent2" w:themeFillTint="33"/>
            <w:noWrap/>
            <w:hideMark/>
          </w:tcPr>
          <w:p w14:paraId="647AC598"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66.4%</w:t>
            </w:r>
          </w:p>
        </w:tc>
        <w:tc>
          <w:tcPr>
            <w:tcW w:w="619" w:type="dxa"/>
            <w:shd w:val="clear" w:color="auto" w:fill="EAEDF6" w:themeFill="accent2" w:themeFillTint="33"/>
            <w:noWrap/>
            <w:hideMark/>
          </w:tcPr>
          <w:p w14:paraId="54FB4B4F"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74.8%</w:t>
            </w:r>
          </w:p>
        </w:tc>
        <w:tc>
          <w:tcPr>
            <w:tcW w:w="671" w:type="dxa"/>
            <w:shd w:val="clear" w:color="auto" w:fill="EAEDF6" w:themeFill="accent2" w:themeFillTint="33"/>
            <w:noWrap/>
            <w:hideMark/>
          </w:tcPr>
          <w:p w14:paraId="4784EF8A"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0.9%</w:t>
            </w:r>
          </w:p>
        </w:tc>
        <w:tc>
          <w:tcPr>
            <w:tcW w:w="619" w:type="dxa"/>
            <w:shd w:val="clear" w:color="auto" w:fill="EAEDF6" w:themeFill="accent2" w:themeFillTint="33"/>
            <w:noWrap/>
            <w:hideMark/>
          </w:tcPr>
          <w:p w14:paraId="0C03823B"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66.4%</w:t>
            </w:r>
          </w:p>
        </w:tc>
        <w:tc>
          <w:tcPr>
            <w:tcW w:w="949" w:type="dxa"/>
            <w:shd w:val="clear" w:color="auto" w:fill="EAEDF6" w:themeFill="accent2" w:themeFillTint="33"/>
            <w:noWrap/>
            <w:hideMark/>
          </w:tcPr>
          <w:p w14:paraId="7DA7B94B"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31.4%</w:t>
            </w:r>
          </w:p>
        </w:tc>
        <w:tc>
          <w:tcPr>
            <w:tcW w:w="949" w:type="dxa"/>
            <w:shd w:val="clear" w:color="auto" w:fill="EAEDF6" w:themeFill="accent2" w:themeFillTint="33"/>
            <w:noWrap/>
            <w:hideMark/>
          </w:tcPr>
          <w:p w14:paraId="15236C99"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99.6%</w:t>
            </w:r>
          </w:p>
        </w:tc>
      </w:tr>
      <w:tr w:rsidR="00457478" w:rsidRPr="00037C61" w14:paraId="1AA8480F" w14:textId="77777777" w:rsidTr="3C1461C6">
        <w:trPr>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EAEDF6" w:themeFill="accent2" w:themeFillTint="33"/>
            <w:noWrap/>
            <w:hideMark/>
          </w:tcPr>
          <w:p w14:paraId="13082A6B"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Satu Mare</w:t>
            </w:r>
          </w:p>
        </w:tc>
        <w:tc>
          <w:tcPr>
            <w:tcW w:w="1080" w:type="dxa"/>
            <w:shd w:val="clear" w:color="auto" w:fill="EAEDF6" w:themeFill="accent2" w:themeFillTint="33"/>
            <w:noWrap/>
            <w:hideMark/>
          </w:tcPr>
          <w:p w14:paraId="3B50126E"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93.3%</w:t>
            </w:r>
          </w:p>
        </w:tc>
        <w:tc>
          <w:tcPr>
            <w:tcW w:w="941" w:type="dxa"/>
            <w:shd w:val="clear" w:color="auto" w:fill="EAEDF6" w:themeFill="accent2" w:themeFillTint="33"/>
            <w:noWrap/>
            <w:hideMark/>
          </w:tcPr>
          <w:p w14:paraId="09DFCB59"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86.4%</w:t>
            </w:r>
          </w:p>
        </w:tc>
        <w:tc>
          <w:tcPr>
            <w:tcW w:w="1271" w:type="dxa"/>
            <w:shd w:val="clear" w:color="auto" w:fill="EAEDF6" w:themeFill="accent2" w:themeFillTint="33"/>
            <w:noWrap/>
            <w:hideMark/>
          </w:tcPr>
          <w:p w14:paraId="6988D073"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72.7%</w:t>
            </w:r>
          </w:p>
        </w:tc>
        <w:tc>
          <w:tcPr>
            <w:tcW w:w="619" w:type="dxa"/>
            <w:shd w:val="clear" w:color="auto" w:fill="EAEDF6" w:themeFill="accent2" w:themeFillTint="33"/>
            <w:noWrap/>
            <w:hideMark/>
          </w:tcPr>
          <w:p w14:paraId="40B1B1AE"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86.6%</w:t>
            </w:r>
          </w:p>
        </w:tc>
        <w:tc>
          <w:tcPr>
            <w:tcW w:w="671" w:type="dxa"/>
            <w:shd w:val="clear" w:color="auto" w:fill="EAEDF6" w:themeFill="accent2" w:themeFillTint="33"/>
            <w:noWrap/>
            <w:hideMark/>
          </w:tcPr>
          <w:p w14:paraId="7BFA3B3F"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5.2%</w:t>
            </w:r>
          </w:p>
        </w:tc>
        <w:tc>
          <w:tcPr>
            <w:tcW w:w="619" w:type="dxa"/>
            <w:shd w:val="clear" w:color="auto" w:fill="EAEDF6" w:themeFill="accent2" w:themeFillTint="33"/>
            <w:noWrap/>
            <w:hideMark/>
          </w:tcPr>
          <w:p w14:paraId="5F41587B"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72.7%</w:t>
            </w:r>
          </w:p>
        </w:tc>
        <w:tc>
          <w:tcPr>
            <w:tcW w:w="949" w:type="dxa"/>
            <w:shd w:val="clear" w:color="auto" w:fill="EAEDF6" w:themeFill="accent2" w:themeFillTint="33"/>
            <w:noWrap/>
            <w:hideMark/>
          </w:tcPr>
          <w:p w14:paraId="68EC48D6"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23.6%</w:t>
            </w:r>
          </w:p>
        </w:tc>
        <w:tc>
          <w:tcPr>
            <w:tcW w:w="949" w:type="dxa"/>
            <w:shd w:val="clear" w:color="auto" w:fill="EAEDF6" w:themeFill="accent2" w:themeFillTint="33"/>
            <w:noWrap/>
            <w:hideMark/>
          </w:tcPr>
          <w:p w14:paraId="59BBF4B9"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100.0%</w:t>
            </w:r>
          </w:p>
        </w:tc>
      </w:tr>
      <w:tr w:rsidR="00457478" w:rsidRPr="00037C61" w14:paraId="453ACEAD" w14:textId="77777777" w:rsidTr="3C1461C6">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EAEDF6" w:themeFill="accent2" w:themeFillTint="33"/>
            <w:noWrap/>
            <w:hideMark/>
          </w:tcPr>
          <w:p w14:paraId="44E11BAD" w14:textId="77777777"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sz w:val="16"/>
                <w:szCs w:val="16"/>
                <w:lang w:val="en-GB" w:eastAsia="en-GB"/>
              </w:rPr>
              <w:t>Arad</w:t>
            </w:r>
          </w:p>
        </w:tc>
        <w:tc>
          <w:tcPr>
            <w:tcW w:w="1080" w:type="dxa"/>
            <w:shd w:val="clear" w:color="auto" w:fill="EAEDF6" w:themeFill="accent2" w:themeFillTint="33"/>
            <w:noWrap/>
            <w:hideMark/>
          </w:tcPr>
          <w:p w14:paraId="0AEF867B"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85.3%</w:t>
            </w:r>
          </w:p>
        </w:tc>
        <w:tc>
          <w:tcPr>
            <w:tcW w:w="941" w:type="dxa"/>
            <w:shd w:val="clear" w:color="auto" w:fill="EAEDF6" w:themeFill="accent2" w:themeFillTint="33"/>
            <w:noWrap/>
            <w:hideMark/>
          </w:tcPr>
          <w:p w14:paraId="2206CCDD"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82.2%</w:t>
            </w:r>
          </w:p>
        </w:tc>
        <w:tc>
          <w:tcPr>
            <w:tcW w:w="1271" w:type="dxa"/>
            <w:shd w:val="clear" w:color="auto" w:fill="EAEDF6" w:themeFill="accent2" w:themeFillTint="33"/>
            <w:noWrap/>
            <w:hideMark/>
          </w:tcPr>
          <w:p w14:paraId="79EE0C41"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70.6%</w:t>
            </w:r>
          </w:p>
        </w:tc>
        <w:tc>
          <w:tcPr>
            <w:tcW w:w="619" w:type="dxa"/>
            <w:shd w:val="clear" w:color="auto" w:fill="EAEDF6" w:themeFill="accent2" w:themeFillTint="33"/>
            <w:noWrap/>
            <w:hideMark/>
          </w:tcPr>
          <w:p w14:paraId="3C590EE0"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57.5%</w:t>
            </w:r>
          </w:p>
        </w:tc>
        <w:tc>
          <w:tcPr>
            <w:tcW w:w="671" w:type="dxa"/>
            <w:shd w:val="clear" w:color="auto" w:fill="EAEDF6" w:themeFill="accent2" w:themeFillTint="33"/>
            <w:noWrap/>
            <w:hideMark/>
          </w:tcPr>
          <w:p w14:paraId="3F9C8B8E"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0.2%</w:t>
            </w:r>
          </w:p>
        </w:tc>
        <w:tc>
          <w:tcPr>
            <w:tcW w:w="619" w:type="dxa"/>
            <w:shd w:val="clear" w:color="auto" w:fill="EAEDF6" w:themeFill="accent2" w:themeFillTint="33"/>
            <w:noWrap/>
            <w:hideMark/>
          </w:tcPr>
          <w:p w14:paraId="4019B0F8"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70.6%</w:t>
            </w:r>
          </w:p>
        </w:tc>
        <w:tc>
          <w:tcPr>
            <w:tcW w:w="949" w:type="dxa"/>
            <w:shd w:val="clear" w:color="auto" w:fill="EAEDF6" w:themeFill="accent2" w:themeFillTint="33"/>
            <w:noWrap/>
            <w:hideMark/>
          </w:tcPr>
          <w:p w14:paraId="34A6F5BB"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23.0%</w:t>
            </w:r>
          </w:p>
        </w:tc>
        <w:tc>
          <w:tcPr>
            <w:tcW w:w="949" w:type="dxa"/>
            <w:shd w:val="clear" w:color="auto" w:fill="EAEDF6" w:themeFill="accent2" w:themeFillTint="33"/>
            <w:noWrap/>
            <w:hideMark/>
          </w:tcPr>
          <w:p w14:paraId="5D273C22" w14:textId="77777777" w:rsidR="00CB4482" w:rsidRPr="00037C61" w:rsidRDefault="00CB4482" w:rsidP="00CB4482">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98.2%</w:t>
            </w:r>
          </w:p>
        </w:tc>
      </w:tr>
      <w:tr w:rsidR="00457478" w:rsidRPr="00037C61" w14:paraId="025CD955" w14:textId="77777777" w:rsidTr="3C1461C6">
        <w:trPr>
          <w:trHeight w:val="208"/>
        </w:trPr>
        <w:tc>
          <w:tcPr>
            <w:cnfStyle w:val="001000000000" w:firstRow="0" w:lastRow="0" w:firstColumn="1" w:lastColumn="0" w:oddVBand="0" w:evenVBand="0" w:oddHBand="0" w:evenHBand="0" w:firstRowFirstColumn="0" w:firstRowLastColumn="0" w:lastRowFirstColumn="0" w:lastRowLastColumn="0"/>
            <w:tcW w:w="1609" w:type="dxa"/>
            <w:shd w:val="clear" w:color="auto" w:fill="EAEDF6" w:themeFill="accent2" w:themeFillTint="33"/>
            <w:noWrap/>
            <w:hideMark/>
          </w:tcPr>
          <w:p w14:paraId="7C179305" w14:textId="46EF965D" w:rsidR="00CB4482" w:rsidRPr="00037C61" w:rsidRDefault="00CB4482" w:rsidP="00CB4482">
            <w:pPr>
              <w:jc w:val="left"/>
              <w:rPr>
                <w:rFonts w:eastAsia="Times New Roman" w:cs="Calibri"/>
                <w:color w:val="000000"/>
                <w:sz w:val="16"/>
                <w:szCs w:val="16"/>
                <w:lang w:val="en-GB" w:eastAsia="en-GB"/>
              </w:rPr>
            </w:pPr>
            <w:r w:rsidRPr="00037C61">
              <w:rPr>
                <w:rFonts w:eastAsia="Times New Roman" w:cs="Calibri"/>
                <w:color w:val="000000" w:themeColor="text1"/>
                <w:sz w:val="16"/>
                <w:szCs w:val="16"/>
                <w:lang w:val="en-GB" w:eastAsia="en-GB"/>
              </w:rPr>
              <w:t>Timi</w:t>
            </w:r>
            <w:r w:rsidR="4AAF4392" w:rsidRPr="00037C61">
              <w:rPr>
                <w:rFonts w:eastAsia="Times New Roman" w:cs="Calibri"/>
                <w:color w:val="000000" w:themeColor="text1"/>
                <w:sz w:val="16"/>
                <w:szCs w:val="16"/>
                <w:lang w:val="en-GB" w:eastAsia="en-GB"/>
              </w:rPr>
              <w:t>ș</w:t>
            </w:r>
          </w:p>
        </w:tc>
        <w:tc>
          <w:tcPr>
            <w:tcW w:w="1080" w:type="dxa"/>
            <w:shd w:val="clear" w:color="auto" w:fill="EAEDF6" w:themeFill="accent2" w:themeFillTint="33"/>
            <w:noWrap/>
            <w:hideMark/>
          </w:tcPr>
          <w:p w14:paraId="2F700E4B"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96.8%</w:t>
            </w:r>
          </w:p>
        </w:tc>
        <w:tc>
          <w:tcPr>
            <w:tcW w:w="941" w:type="dxa"/>
            <w:shd w:val="clear" w:color="auto" w:fill="EAEDF6" w:themeFill="accent2" w:themeFillTint="33"/>
            <w:noWrap/>
            <w:hideMark/>
          </w:tcPr>
          <w:p w14:paraId="78E1273D"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96.8%</w:t>
            </w:r>
          </w:p>
        </w:tc>
        <w:tc>
          <w:tcPr>
            <w:tcW w:w="1271" w:type="dxa"/>
            <w:shd w:val="clear" w:color="auto" w:fill="EAEDF6" w:themeFill="accent2" w:themeFillTint="33"/>
            <w:noWrap/>
            <w:hideMark/>
          </w:tcPr>
          <w:p w14:paraId="70AB40C0"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93.6%</w:t>
            </w:r>
          </w:p>
        </w:tc>
        <w:tc>
          <w:tcPr>
            <w:tcW w:w="619" w:type="dxa"/>
            <w:shd w:val="clear" w:color="auto" w:fill="EAEDF6" w:themeFill="accent2" w:themeFillTint="33"/>
            <w:noWrap/>
            <w:hideMark/>
          </w:tcPr>
          <w:p w14:paraId="74DFEDAC"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51.1%</w:t>
            </w:r>
          </w:p>
        </w:tc>
        <w:tc>
          <w:tcPr>
            <w:tcW w:w="671" w:type="dxa"/>
            <w:shd w:val="clear" w:color="auto" w:fill="EAEDF6" w:themeFill="accent2" w:themeFillTint="33"/>
            <w:noWrap/>
            <w:hideMark/>
          </w:tcPr>
          <w:p w14:paraId="4DADDD4A"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14.1%</w:t>
            </w:r>
          </w:p>
        </w:tc>
        <w:tc>
          <w:tcPr>
            <w:tcW w:w="619" w:type="dxa"/>
            <w:shd w:val="clear" w:color="auto" w:fill="EAEDF6" w:themeFill="accent2" w:themeFillTint="33"/>
            <w:noWrap/>
            <w:hideMark/>
          </w:tcPr>
          <w:p w14:paraId="3D03C16E"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93.6%</w:t>
            </w:r>
          </w:p>
        </w:tc>
        <w:tc>
          <w:tcPr>
            <w:tcW w:w="949" w:type="dxa"/>
            <w:shd w:val="clear" w:color="auto" w:fill="EAEDF6" w:themeFill="accent2" w:themeFillTint="33"/>
            <w:noWrap/>
            <w:hideMark/>
          </w:tcPr>
          <w:p w14:paraId="54207D70"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70.7%</w:t>
            </w:r>
          </w:p>
        </w:tc>
        <w:tc>
          <w:tcPr>
            <w:tcW w:w="949" w:type="dxa"/>
            <w:shd w:val="clear" w:color="auto" w:fill="EAEDF6" w:themeFill="accent2" w:themeFillTint="33"/>
            <w:noWrap/>
            <w:hideMark/>
          </w:tcPr>
          <w:p w14:paraId="63CB1E78" w14:textId="77777777" w:rsidR="00CB4482" w:rsidRPr="00037C61" w:rsidRDefault="00CB4482" w:rsidP="00CB4482">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GB" w:eastAsia="en-GB"/>
              </w:rPr>
            </w:pPr>
            <w:r w:rsidRPr="00037C61">
              <w:rPr>
                <w:rFonts w:eastAsia="Times New Roman" w:cs="Calibri"/>
                <w:color w:val="000000"/>
                <w:sz w:val="16"/>
                <w:szCs w:val="16"/>
                <w:lang w:val="en-GB" w:eastAsia="en-GB"/>
              </w:rPr>
              <w:t>99.6%</w:t>
            </w:r>
          </w:p>
        </w:tc>
      </w:tr>
    </w:tbl>
    <w:p w14:paraId="28FCE1FE" w14:textId="4B52C753" w:rsidR="00CB4482" w:rsidRPr="00037C61" w:rsidRDefault="003C020A" w:rsidP="003C020A">
      <w:pPr>
        <w:pStyle w:val="Caption"/>
        <w:keepNext/>
        <w:jc w:val="left"/>
        <w:rPr>
          <w:lang w:val="en-GB"/>
        </w:rPr>
      </w:pPr>
      <w:r w:rsidRPr="00037C61">
        <w:rPr>
          <w:lang w:val="en-GB"/>
        </w:rPr>
        <w:t>Source: Broadband coverage in Europe Report 2019, DG-CNCT, 2020</w:t>
      </w:r>
    </w:p>
    <w:p w14:paraId="41B59A3D" w14:textId="616F0AC6" w:rsidR="003C020A" w:rsidRPr="00037C61" w:rsidRDefault="003C020A" w:rsidP="003C020A">
      <w:pPr>
        <w:rPr>
          <w:lang w:val="en-GB"/>
        </w:rPr>
      </w:pPr>
    </w:p>
    <w:p w14:paraId="1342E7C5" w14:textId="7FDBE1F6" w:rsidR="003C020A" w:rsidRPr="00037C61" w:rsidRDefault="007638CA" w:rsidP="003C020A">
      <w:pPr>
        <w:rPr>
          <w:lang w:val="en-GB"/>
        </w:rPr>
      </w:pPr>
      <w:r w:rsidRPr="00037C61">
        <w:rPr>
          <w:noProof/>
          <w:lang w:val="ro-RO" w:eastAsia="ro-RO"/>
        </w:rPr>
        <w:drawing>
          <wp:anchor distT="0" distB="0" distL="114300" distR="114300" simplePos="0" relativeHeight="251699712" behindDoc="0" locked="0" layoutInCell="1" allowOverlap="1" wp14:anchorId="6F364ECA" wp14:editId="1D25B83C">
            <wp:simplePos x="0" y="0"/>
            <wp:positionH relativeFrom="column">
              <wp:posOffset>2677160</wp:posOffset>
            </wp:positionH>
            <wp:positionV relativeFrom="paragraph">
              <wp:posOffset>15875</wp:posOffset>
            </wp:positionV>
            <wp:extent cx="2886710" cy="2774950"/>
            <wp:effectExtent l="19050" t="19050" r="27940" b="25400"/>
            <wp:wrapSquare wrapText="bothSides"/>
            <wp:docPr id="799357027" name="Chart 79935702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E62B5D-2D2E-483A-9613-8C8069BFB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14:sizeRelV relativeFrom="margin">
              <wp14:pctHeight>0</wp14:pctHeight>
            </wp14:sizeRelV>
          </wp:anchor>
        </w:drawing>
      </w:r>
      <w:r w:rsidR="003C020A" w:rsidRPr="00037C61">
        <w:rPr>
          <w:lang w:val="en-GB"/>
        </w:rPr>
        <w:t xml:space="preserve">As regards the usage of infrastructure, available data at NUTS 2 region level via Eurostat indicates a converging trend between the Romanian and the Hungarian PA sides with respect to the frequency of internet use, with a constantly growing number of users. While weekly internet usage is lower in the Hungarian NUTS 2 regions </w:t>
      </w:r>
      <w:r w:rsidRPr="00037C61">
        <w:rPr>
          <w:lang w:val="en-GB"/>
        </w:rPr>
        <w:t xml:space="preserve">(72%) </w:t>
      </w:r>
      <w:r w:rsidR="003C020A" w:rsidRPr="00037C61">
        <w:rPr>
          <w:lang w:val="en-GB"/>
        </w:rPr>
        <w:t>as compared to the national average</w:t>
      </w:r>
      <w:r w:rsidRPr="00037C61">
        <w:rPr>
          <w:lang w:val="en-GB"/>
        </w:rPr>
        <w:t xml:space="preserve"> (75%)</w:t>
      </w:r>
      <w:r w:rsidR="003C020A" w:rsidRPr="00037C61">
        <w:rPr>
          <w:lang w:val="en-GB"/>
        </w:rPr>
        <w:t xml:space="preserve">, in Vest </w:t>
      </w:r>
      <w:r w:rsidRPr="00037C61">
        <w:rPr>
          <w:lang w:val="en-GB"/>
        </w:rPr>
        <w:t xml:space="preserve">(60%) and Nord-Vest (65%), these values are higher than the Romanian national average (57%). </w:t>
      </w:r>
    </w:p>
    <w:p w14:paraId="79A69207" w14:textId="108C2909" w:rsidR="007638CA" w:rsidRPr="00037C61" w:rsidRDefault="007638CA" w:rsidP="007638CA">
      <w:pPr>
        <w:pStyle w:val="Caption"/>
        <w:jc w:val="right"/>
        <w:rPr>
          <w:lang w:val="en-GB"/>
        </w:rPr>
      </w:pPr>
      <w:bookmarkStart w:id="790" w:name="_Toc6461107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125</w:t>
      </w:r>
      <w:r w:rsidR="00412697">
        <w:rPr>
          <w:lang w:val="en-GB"/>
        </w:rPr>
        <w:fldChar w:fldCharType="end"/>
      </w:r>
      <w:r w:rsidRPr="00037C61">
        <w:rPr>
          <w:lang w:val="en-GB"/>
        </w:rPr>
        <w:t xml:space="preserve"> - Frequency of internet access: once a week (including every day) - % of population</w:t>
      </w:r>
      <w:bookmarkEnd w:id="790"/>
    </w:p>
    <w:p w14:paraId="70EC0BB7" w14:textId="7B9EE4BE" w:rsidR="007638CA" w:rsidRPr="00037C61" w:rsidRDefault="007638CA" w:rsidP="00457478">
      <w:pPr>
        <w:pStyle w:val="Caption"/>
        <w:jc w:val="right"/>
        <w:rPr>
          <w:lang w:val="en-GB"/>
        </w:rPr>
      </w:pPr>
      <w:r w:rsidRPr="00037C61">
        <w:rPr>
          <w:lang w:val="en-GB"/>
        </w:rPr>
        <w:t>Source: EUROSTAT, [ISOC_R_IUSE_I]</w:t>
      </w:r>
    </w:p>
    <w:p w14:paraId="5CED93E1" w14:textId="77777777" w:rsidR="007638CA" w:rsidRPr="00037C61" w:rsidRDefault="007638CA" w:rsidP="003C020A">
      <w:pPr>
        <w:rPr>
          <w:lang w:val="en-GB"/>
        </w:rPr>
      </w:pPr>
    </w:p>
    <w:p w14:paraId="1E4DA36B" w14:textId="6C2914AE" w:rsidR="003C020A" w:rsidRPr="00037C61" w:rsidRDefault="007638CA" w:rsidP="003C020A">
      <w:pPr>
        <w:rPr>
          <w:lang w:val="en-GB"/>
        </w:rPr>
      </w:pPr>
      <w:r w:rsidRPr="00037C61">
        <w:rPr>
          <w:lang w:val="en-GB"/>
        </w:rPr>
        <w:t xml:space="preserve">A significant discrepancy however may be </w:t>
      </w:r>
      <w:r w:rsidR="004366E1" w:rsidRPr="00037C61">
        <w:rPr>
          <w:lang w:val="en-GB"/>
        </w:rPr>
        <w:t>highlighted in what concerns adoption of internet as a channel for trade or finance management. The percentage of individuals using internet banking services in Romania is still very low, at 8% nationally, with a higher level recorded in the North-West region (13%) and a lower one in West (only 6% in 2019). By comparison, the percentage of citizens in Észak-Alföld and Dél-Alföld using internet banking is 40% (2019, Euro</w:t>
      </w:r>
      <w:r w:rsidR="21AC7F24" w:rsidRPr="00037C61">
        <w:rPr>
          <w:lang w:val="en-GB"/>
        </w:rPr>
        <w:t>s</w:t>
      </w:r>
      <w:r w:rsidR="004366E1" w:rsidRPr="00037C61">
        <w:rPr>
          <w:lang w:val="en-GB"/>
        </w:rPr>
        <w:t xml:space="preserve">tat). Similarly, selling goods or services online is achieved by only 1% of the population in Vest and 4% in Nord-Vest, lower than 10% (Dél-Alföld) and 14% (Észak-Alföld) in 2019. E-commerce usage in Hungary has however declined in recent years after a steep increase until 2014/15, which is a pattern in synergy with an economic turn-around post-crisis and the initial recovery period. </w:t>
      </w:r>
    </w:p>
    <w:p w14:paraId="5CC46F65" w14:textId="77777777" w:rsidR="004366E1" w:rsidRPr="00037C61" w:rsidRDefault="004366E1" w:rsidP="003C020A">
      <w:pPr>
        <w:rPr>
          <w:lang w:val="en-GB"/>
        </w:rPr>
      </w:pPr>
    </w:p>
    <w:p w14:paraId="76395B66" w14:textId="6E202505" w:rsidR="003C020A" w:rsidRPr="00037C61" w:rsidRDefault="003C020A" w:rsidP="003C020A">
      <w:pPr>
        <w:rPr>
          <w:lang w:val="en-GB"/>
        </w:rPr>
      </w:pPr>
    </w:p>
    <w:p w14:paraId="1D5DC310" w14:textId="627A13AD" w:rsidR="004366E1" w:rsidRPr="00037C61" w:rsidRDefault="004366E1" w:rsidP="00457478">
      <w:pPr>
        <w:pStyle w:val="Caption"/>
        <w:keepNext/>
        <w:jc w:val="both"/>
        <w:rPr>
          <w:lang w:val="en-GB"/>
        </w:rPr>
      </w:pPr>
      <w:bookmarkStart w:id="791" w:name="_Toc64611074"/>
      <w:r w:rsidRPr="00037C61">
        <w:rPr>
          <w:lang w:val="en-GB"/>
        </w:rPr>
        <w:lastRenderedPageBreak/>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126</w:t>
      </w:r>
      <w:r w:rsidR="00412697">
        <w:rPr>
          <w:lang w:val="en-GB"/>
        </w:rPr>
        <w:fldChar w:fldCharType="end"/>
      </w:r>
      <w:r w:rsidRPr="00037C61">
        <w:rPr>
          <w:lang w:val="en-GB"/>
        </w:rPr>
        <w:t xml:space="preserve"> - Internet use for selling goods or services and internet banking, at NUTS 2 level</w:t>
      </w:r>
      <w:bookmarkEnd w:id="791"/>
    </w:p>
    <w:p w14:paraId="432902A6" w14:textId="539B1806" w:rsidR="003C020A" w:rsidRPr="00037C61" w:rsidRDefault="004366E1" w:rsidP="003C020A">
      <w:pPr>
        <w:rPr>
          <w:noProof/>
          <w:lang w:val="en-GB"/>
        </w:rPr>
      </w:pPr>
      <w:r w:rsidRPr="00037C61">
        <w:rPr>
          <w:noProof/>
          <w:lang w:val="ro-RO" w:eastAsia="ro-RO"/>
        </w:rPr>
        <mc:AlternateContent>
          <mc:Choice Requires="wpg">
            <w:drawing>
              <wp:inline distT="0" distB="0" distL="0" distR="0" wp14:anchorId="5A63BBCF" wp14:editId="2369EBB3">
                <wp:extent cx="5687060" cy="2673350"/>
                <wp:effectExtent l="19050" t="19050" r="27940" b="12700"/>
                <wp:docPr id="799357043" name="Group 799357043"/>
                <wp:cNvGraphicFramePr/>
                <a:graphic xmlns:a="http://schemas.openxmlformats.org/drawingml/2006/main">
                  <a:graphicData uri="http://schemas.microsoft.com/office/word/2010/wordprocessingGroup">
                    <wpg:wgp>
                      <wpg:cNvGrpSpPr/>
                      <wpg:grpSpPr>
                        <a:xfrm>
                          <a:off x="0" y="0"/>
                          <a:ext cx="5687060" cy="2673350"/>
                          <a:chOff x="0" y="0"/>
                          <a:chExt cx="5687060" cy="2673350"/>
                        </a:xfrm>
                      </wpg:grpSpPr>
                      <wpg:graphicFrame>
                        <wpg:cNvPr id="799357039" name="Chart 799357039">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35BF09-602D-4F6B-A254-0787DB23922E}"/>
                            </a:ext>
                          </a:extLst>
                        </wpg:cNvPr>
                        <wpg:cNvFrPr/>
                        <wpg:xfrm>
                          <a:off x="0" y="0"/>
                          <a:ext cx="2791460" cy="2673350"/>
                        </wpg:xfrm>
                        <a:graphic>
                          <a:graphicData uri="http://schemas.openxmlformats.org/drawingml/2006/chart">
                            <c:chart xmlns:c="http://schemas.openxmlformats.org/drawingml/2006/chart" xmlns:r="http://schemas.openxmlformats.org/officeDocument/2006/relationships" r:id="rId253"/>
                          </a:graphicData>
                        </a:graphic>
                      </wpg:graphicFrame>
                      <wpg:graphicFrame>
                        <wpg:cNvPr id="799357040" name="Chart 79935704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1F11C9-D542-438F-9AEC-B101611C2212}"/>
                            </a:ext>
                          </a:extLst>
                        </wpg:cNvPr>
                        <wpg:cNvFrPr/>
                        <wpg:xfrm>
                          <a:off x="2794000" y="0"/>
                          <a:ext cx="2893060" cy="2673350"/>
                        </wpg:xfrm>
                        <a:graphic>
                          <a:graphicData uri="http://schemas.openxmlformats.org/drawingml/2006/chart">
                            <c:chart xmlns:c="http://schemas.openxmlformats.org/drawingml/2006/chart" xmlns:r="http://schemas.openxmlformats.org/officeDocument/2006/relationships" r:id="rId254"/>
                          </a:graphicData>
                        </a:graphic>
                      </wpg:graphicFrame>
                    </wpg:wg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A2026C9">
              <v:group id="Group 799357043" style="width:447.8pt;height:210.5pt;mso-position-horizontal-relative:char;mso-position-vertical-relative:line" coordsize="56870,26733" o:spid="_x0000_s1026" w14:anchorId="56849C21"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">
                <v:shape id="Chart 799357039" style="position:absolute;left:-121;top:-121;width:28162;height:27004;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">
                  <v:imagedata o:title="" r:id="rId255"/>
                  <o:lock v:ext="edit" aspectratio="f"/>
                </v:shape>
                <v:shape id="Chart 799357040" style="position:absolute;left:27797;top:-121;width:29200;height:27004;visibility:visibl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">
                  <v:imagedata o:title="" r:id="rId256"/>
                  <o:lock v:ext="edit" aspectratio="f"/>
                </v:shape>
                <w10:anchorlock/>
              </v:group>
            </w:pict>
          </mc:Fallback>
        </mc:AlternateContent>
      </w:r>
      <w:r w:rsidR="007638CA" w:rsidRPr="00037C61">
        <w:rPr>
          <w:noProof/>
          <w:lang w:val="en-GB"/>
        </w:rPr>
        <w:t xml:space="preserve"> </w:t>
      </w:r>
    </w:p>
    <w:p w14:paraId="56A116DC" w14:textId="614B8A27" w:rsidR="004366E1" w:rsidRPr="00037C61" w:rsidRDefault="004366E1" w:rsidP="00457478">
      <w:pPr>
        <w:pStyle w:val="Caption"/>
        <w:keepNext/>
        <w:jc w:val="both"/>
        <w:rPr>
          <w:lang w:val="en-GB"/>
        </w:rPr>
      </w:pPr>
      <w:r w:rsidRPr="00037C61">
        <w:rPr>
          <w:lang w:val="en-GB"/>
        </w:rPr>
        <w:t>Source: EUROSTAT, [ISOC_R_IUSE_I]</w:t>
      </w:r>
    </w:p>
    <w:p w14:paraId="723AA53D" w14:textId="42158AFB" w:rsidR="008E6744" w:rsidRPr="00037C61" w:rsidRDefault="00E40568" w:rsidP="005E0849">
      <w:pPr>
        <w:pStyle w:val="Heading3"/>
      </w:pPr>
      <w:bookmarkStart w:id="792" w:name="_Toc64619555"/>
      <w:r w:rsidRPr="00037C61">
        <w:t>Conclusions</w:t>
      </w:r>
      <w:bookmarkEnd w:id="792"/>
      <w:r w:rsidRPr="00037C61">
        <w:t xml:space="preserve"> </w:t>
      </w:r>
    </w:p>
    <w:p w14:paraId="20EB4D4B" w14:textId="0BB28787" w:rsidR="002666CC" w:rsidRPr="00037C61" w:rsidRDefault="00DA7C4D" w:rsidP="00A86A35">
      <w:pPr>
        <w:pStyle w:val="InterregROHUBullet1"/>
        <w:numPr>
          <w:ilvl w:val="0"/>
          <w:numId w:val="0"/>
        </w:numPr>
      </w:pPr>
      <w:r w:rsidRPr="00037C61">
        <w:t xml:space="preserve">Transport infrastructure represents one of the key enablers for cross-border cooperation, supporting the </w:t>
      </w:r>
      <w:r w:rsidR="003579D3" w:rsidRPr="00037C61">
        <w:t xml:space="preserve">functional integration of the programme area. The cross-border cooperation area between Romania and Hungary is crossed by </w:t>
      </w:r>
      <w:r w:rsidR="003579D3" w:rsidRPr="00037C61">
        <w:rPr>
          <w:b/>
          <w:bCs w:val="0"/>
        </w:rPr>
        <w:t>two main European corridors</w:t>
      </w:r>
      <w:r w:rsidR="003579D3" w:rsidRPr="00037C61">
        <w:t xml:space="preserve"> (Rhine-Danube and Orient/East-Med), providing </w:t>
      </w:r>
      <w:r w:rsidR="003579D3" w:rsidRPr="00037C61">
        <w:rPr>
          <w:b/>
          <w:bCs w:val="0"/>
        </w:rPr>
        <w:t>good accessibility between the southern counties</w:t>
      </w:r>
      <w:r w:rsidR="003579D3" w:rsidRPr="00037C61">
        <w:t xml:space="preserve"> of Csongrád-Csanád, Arad and Timiș, especially in the context of the recent investments in motorways and expressways. New expressways and motorways inaugurated in the 2014-2020 period amount to 226.2 km, and </w:t>
      </w:r>
      <w:r w:rsidR="003579D3" w:rsidRPr="00037C61">
        <w:rPr>
          <w:b/>
          <w:bCs w:val="0"/>
        </w:rPr>
        <w:t>significantly changed the mobility pattern</w:t>
      </w:r>
      <w:r w:rsidR="003579D3" w:rsidRPr="00037C61">
        <w:t xml:space="preserve"> in the southern area of the PA, through the completion of a high-speed link via M43 </w:t>
      </w:r>
      <w:r w:rsidR="003579D3" w:rsidRPr="00037C61">
        <w:rPr>
          <w:rFonts w:cs="Calibri"/>
          <w:bCs w:val="0"/>
        </w:rPr>
        <w:t>Makó-Csanádpalota and A1 Timișoara-Lugoj, albeit causing a</w:t>
      </w:r>
      <w:r w:rsidR="003579D3" w:rsidRPr="00037C61">
        <w:rPr>
          <w:rFonts w:cs="Calibri"/>
          <w:b/>
        </w:rPr>
        <w:t xml:space="preserve"> drop in travel originating or crossing Békés.</w:t>
      </w:r>
      <w:r w:rsidR="003579D3" w:rsidRPr="00037C61">
        <w:rPr>
          <w:rFonts w:cs="Calibri"/>
          <w:bCs w:val="0"/>
        </w:rPr>
        <w:t xml:space="preserve"> </w:t>
      </w:r>
      <w:r w:rsidR="003579D3" w:rsidRPr="00037C61">
        <w:t xml:space="preserve">There is </w:t>
      </w:r>
      <w:r w:rsidR="002666CC" w:rsidRPr="00037C61">
        <w:t xml:space="preserve">strong </w:t>
      </w:r>
      <w:r w:rsidR="003579D3" w:rsidRPr="00037C61">
        <w:t xml:space="preserve">potential in increasing cross-border mobility after the delivery of </w:t>
      </w:r>
      <w:r w:rsidR="002666CC" w:rsidRPr="00037C61">
        <w:t xml:space="preserve">further highway / expressway sections in the 2021-2027 programming period (M4, M44 and M49 on the Hungarian side, A1 Lugoj-Deva and A3 3C in Romania), which will positively impact CB accessibility. The </w:t>
      </w:r>
      <w:r w:rsidR="002666CC" w:rsidRPr="00037C61">
        <w:rPr>
          <w:b/>
          <w:bCs w:val="0"/>
        </w:rPr>
        <w:t>Comprehensive Network corridors connection between Nyíregyháza – Debrecen – Oradea – Zalău and Arad-Oradea,</w:t>
      </w:r>
      <w:r w:rsidR="002666CC" w:rsidRPr="00037C61">
        <w:t xml:space="preserve"> facilitating linkages along the border, are considered relevant projects to be upgraded by the European Commission (DG Mobility and Transport). </w:t>
      </w:r>
    </w:p>
    <w:p w14:paraId="75268724" w14:textId="4F81871D" w:rsidR="00DA7C4D" w:rsidRPr="00037C61" w:rsidRDefault="002666CC" w:rsidP="00A86A35">
      <w:pPr>
        <w:pStyle w:val="InterregROHUBullet1"/>
        <w:numPr>
          <w:ilvl w:val="0"/>
          <w:numId w:val="0"/>
        </w:numPr>
      </w:pPr>
      <w:r w:rsidRPr="00037C61">
        <w:t xml:space="preserve">Road accessibility is relatively reduced </w:t>
      </w:r>
      <w:r w:rsidR="003F1363" w:rsidRPr="00037C61">
        <w:t>when compared with other western European regions</w:t>
      </w:r>
      <w:r w:rsidR="00130883" w:rsidRPr="00037C61">
        <w:t>,</w:t>
      </w:r>
      <w:r w:rsidR="003F1363" w:rsidRPr="00037C61">
        <w:t xml:space="preserve"> </w:t>
      </w:r>
      <w:r w:rsidR="00F53430" w:rsidRPr="00037C61">
        <w:t>despite</w:t>
      </w:r>
      <w:r w:rsidR="003F1363" w:rsidRPr="00037C61">
        <w:t xml:space="preserve"> the lack of natural obstacles</w:t>
      </w:r>
      <w:r w:rsidR="00F53430" w:rsidRPr="00037C61">
        <w:t>.</w:t>
      </w:r>
      <w:r w:rsidR="00130883" w:rsidRPr="00037C61">
        <w:t xml:space="preserve"> There are currently 11 road and 5 rail crossing points between Romania and Hungary, relatively evenly distributed with an average spacing of ca. 43 km.</w:t>
      </w:r>
      <w:r w:rsidR="00F53430" w:rsidRPr="00037C61">
        <w:t xml:space="preserve"> The overall cross</w:t>
      </w:r>
      <w:r w:rsidRPr="00037C61">
        <w:t xml:space="preserve">-border efficiency ratio </w:t>
      </w:r>
      <w:r w:rsidR="00F53430" w:rsidRPr="00037C61">
        <w:t xml:space="preserve">is </w:t>
      </w:r>
      <w:r w:rsidR="00F53430" w:rsidRPr="00037C61">
        <w:rPr>
          <w:b/>
        </w:rPr>
        <w:t>modest, with a lower performance of transport by car recorded on the Romanian side</w:t>
      </w:r>
      <w:r w:rsidR="00F53430" w:rsidRPr="00037C61">
        <w:t xml:space="preserve">. The lowest performance is recorded in Békés, Bihor and Satu Mare, and while the latter two have seen upwards mobility trends, Békés county has witnessed a decline in cross-border mobility due to competing routes which can potentially have a </w:t>
      </w:r>
      <w:r w:rsidR="00F53430" w:rsidRPr="00037C61">
        <w:rPr>
          <w:b/>
        </w:rPr>
        <w:t>negative impact on the attractiveness</w:t>
      </w:r>
      <w:r w:rsidR="00F53430" w:rsidRPr="00037C61">
        <w:t xml:space="preserve"> </w:t>
      </w:r>
      <w:r w:rsidR="00130883" w:rsidRPr="00037C61">
        <w:t xml:space="preserve">of the county, reflected otherwise in an accelerated ageing and depopulation trend. </w:t>
      </w:r>
      <w:r w:rsidR="00F53430" w:rsidRPr="00037C61">
        <w:t xml:space="preserve"> </w:t>
      </w:r>
    </w:p>
    <w:p w14:paraId="14A4CAC4" w14:textId="10D51A41" w:rsidR="00130883" w:rsidRPr="00037C61" w:rsidRDefault="00130883" w:rsidP="00A86A35">
      <w:pPr>
        <w:pStyle w:val="InterregROHUBullet1"/>
        <w:numPr>
          <w:ilvl w:val="0"/>
          <w:numId w:val="0"/>
        </w:numPr>
      </w:pPr>
      <w:r w:rsidRPr="00037C61">
        <w:rPr>
          <w:b/>
          <w:bCs w:val="0"/>
        </w:rPr>
        <w:t>Road infrastructure</w:t>
      </w:r>
      <w:r w:rsidRPr="00037C61">
        <w:t xml:space="preserve"> has continued to develop over the past decade in the PA, an effect of investments in infrastructure leading to road length increases especially in Arad (12.63%) and Timiș (9.93%). Road improvements in the period 2016-2019 led to the upgrading of a total of 812.70 km of roads in the PA, </w:t>
      </w:r>
      <w:r w:rsidR="00BF3DD3" w:rsidRPr="00037C61">
        <w:t xml:space="preserve">with significant increases in percentage of modernized roads especially in Romania (25% increase in Satu Mare), nevertheless producing concrete quality of life improvements throughout the PA. </w:t>
      </w:r>
    </w:p>
    <w:p w14:paraId="5A5CF179" w14:textId="75E659B3" w:rsidR="00BF3DD3" w:rsidRPr="00037C61" w:rsidRDefault="00BF3DD3" w:rsidP="00A86A35">
      <w:pPr>
        <w:pStyle w:val="InterregROHUBullet1"/>
        <w:numPr>
          <w:ilvl w:val="0"/>
          <w:numId w:val="0"/>
        </w:numPr>
      </w:pPr>
      <w:r w:rsidRPr="00037C61">
        <w:rPr>
          <w:b/>
        </w:rPr>
        <w:lastRenderedPageBreak/>
        <w:t>Road accidents</w:t>
      </w:r>
      <w:r w:rsidRPr="00037C61">
        <w:t xml:space="preserve"> remain a significant issue in the PA, with an increasing trend over the last 10 years and a peak in 2015-2016.</w:t>
      </w:r>
      <w:r w:rsidR="4F0F6B52" w:rsidRPr="00037C61">
        <w:t xml:space="preserve"> </w:t>
      </w:r>
      <w:r w:rsidRPr="00037C61">
        <w:t xml:space="preserve">There is a strong disparity in the region between road accidents (and thus safety) in Romania and in Hungary, with the Hungarian counties recording up to three times higher accident values, prompting the need for new measures regarding road safety and mobility behavior. </w:t>
      </w:r>
    </w:p>
    <w:p w14:paraId="11BB2926" w14:textId="19DC49E5" w:rsidR="0020433A" w:rsidRPr="00037C61" w:rsidRDefault="00C85F70" w:rsidP="00A86A35">
      <w:pPr>
        <w:pStyle w:val="InterregROHUBullet1"/>
        <w:numPr>
          <w:ilvl w:val="0"/>
          <w:numId w:val="0"/>
        </w:numPr>
      </w:pPr>
      <w:r w:rsidRPr="00037C61">
        <w:rPr>
          <w:b/>
        </w:rPr>
        <w:t>Rail infrastructure investments</w:t>
      </w:r>
      <w:r w:rsidRPr="00037C61">
        <w:t xml:space="preserve"> and upgrading have been predominantly performed on the Hungarian side (line 120, 100). Békéscsaba, Curtici, Lőkösháza, Püspökladány, Arad and Oradea represent the best-connected settlements with respect to the rail network – however, actual </w:t>
      </w:r>
      <w:r w:rsidRPr="00037C61">
        <w:rPr>
          <w:b/>
        </w:rPr>
        <w:t xml:space="preserve">rail service is significantly higher on the Arad – </w:t>
      </w:r>
      <w:r w:rsidR="724E5175" w:rsidRPr="00037C61">
        <w:rPr>
          <w:b/>
        </w:rPr>
        <w:t>Békéscsaba</w:t>
      </w:r>
      <w:r w:rsidRPr="00037C61">
        <w:rPr>
          <w:b/>
        </w:rPr>
        <w:t xml:space="preserve"> route</w:t>
      </w:r>
      <w:r w:rsidRPr="00037C61">
        <w:t xml:space="preserve"> than the Oradea – Berettyóújfalu one, with 10 </w:t>
      </w:r>
      <w:r w:rsidR="0020433A" w:rsidRPr="00037C61">
        <w:t xml:space="preserve">EN and IR trains providing service on the former line and 2 on the latter (one each way). These connections are part of the Wien / Budapest – București / Brașov / Timișoara routes and thus unsuitable to cross-border commuting due to the timetable of arrivals and departures from main urban centers. </w:t>
      </w:r>
    </w:p>
    <w:p w14:paraId="2B225C84" w14:textId="31A0C982" w:rsidR="000A230F" w:rsidRPr="00037C61" w:rsidRDefault="32A2DE59" w:rsidP="00A86A35">
      <w:pPr>
        <w:pStyle w:val="InterregROHUBullet1"/>
        <w:numPr>
          <w:ilvl w:val="0"/>
          <w:numId w:val="0"/>
        </w:numPr>
      </w:pPr>
      <w:r w:rsidRPr="00037C61">
        <w:rPr>
          <w:b/>
        </w:rPr>
        <w:t>Road traffic volume</w:t>
      </w:r>
      <w:r w:rsidRPr="00037C61">
        <w:t xml:space="preserve"> has increased very strongly over the past 10 years (73%), with the Nagylak - Nădlac (highway) crossing as the main link between the two national territories of the PA. The border crossing between Csongrád-Csanád and Timiș/Arad represents the highest utilized one, followed by the Hajdú -Bihar - Bihor one. The main crossing between Szabolcs-Szatmár-Bereg and Satu Mare (Csengersima – Petea) has witnessed a </w:t>
      </w:r>
      <w:r w:rsidRPr="00037C61">
        <w:rPr>
          <w:b/>
        </w:rPr>
        <w:t>2.5 times increase in traffic over 10 years</w:t>
      </w:r>
      <w:r w:rsidRPr="00037C61">
        <w:t xml:space="preserve">, a very strong trend underlying a tendency of integration at cross-border level in spite of underdeveloped infrastructure outside the Core and Comprehensive TEN-T networks. This is a relevant indication of the potential of cross-border linkages, manifesting in the functional dimension, as passenger car traffic tripled between Szabolcs-Szatmár-Bereg and Satu Mare, and otherwise doubled between Hajdú-Bihar and Bihor over the period 2009-2019. </w:t>
      </w:r>
      <w:r w:rsidRPr="00037C61">
        <w:rPr>
          <w:b/>
        </w:rPr>
        <w:t>Hajdú-Bihar – Bihor is a growing trade route</w:t>
      </w:r>
      <w:r w:rsidRPr="00037C61">
        <w:t xml:space="preserve">, with a 135% increase in lorry border crossing traffic, and a 50-63% increase in road freight transport loading and unloading. Freight transport patterns indicate a </w:t>
      </w:r>
      <w:r w:rsidRPr="00037C61">
        <w:rPr>
          <w:b/>
        </w:rPr>
        <w:t>shift in attractiveness,</w:t>
      </w:r>
      <w:r w:rsidRPr="00037C61">
        <w:t xml:space="preserve"> with the northern four counties witnessing higher freight volumes, and Timiș, Arad, Csongrád-Csanád recording reductions in freight loading and/or unloading between 2015-2018. </w:t>
      </w:r>
    </w:p>
    <w:p w14:paraId="4A6C351C" w14:textId="0C9BA6A3" w:rsidR="00490F66" w:rsidRPr="00037C61" w:rsidRDefault="00490F66" w:rsidP="00490F66">
      <w:pPr>
        <w:rPr>
          <w:lang w:val="en-GB"/>
        </w:rPr>
      </w:pPr>
      <w:r w:rsidRPr="00037C61">
        <w:rPr>
          <w:b/>
          <w:bCs/>
          <w:lang w:val="en-GB"/>
        </w:rPr>
        <w:t>Rail traffic has witnessed a strong decline until 2014,</w:t>
      </w:r>
      <w:r w:rsidRPr="00037C61">
        <w:rPr>
          <w:lang w:val="en-GB"/>
        </w:rPr>
        <w:t xml:space="preserve"> with a continuously decreasing usage of the Lökösháza – Curtici border crossing connecting Békés and Arad (-55% traffic). This trend was reversed at PA level due to the higher performance of the Biharkeresztes – Borș point, albeit overall rail traffic is an almost insignificant fraction of the terrestrial transport of passengers in the area (only 1.5%), while road travel remains the main cross-border means of transportation.</w:t>
      </w:r>
    </w:p>
    <w:p w14:paraId="4A547DC0" w14:textId="787262AB" w:rsidR="000A083D" w:rsidRPr="00037C61" w:rsidRDefault="000A083D" w:rsidP="00490F66">
      <w:pPr>
        <w:rPr>
          <w:lang w:val="en-GB"/>
        </w:rPr>
      </w:pPr>
      <w:r w:rsidRPr="00037C61">
        <w:rPr>
          <w:lang w:val="en-GB"/>
        </w:rPr>
        <w:t xml:space="preserve">The programme area is endowed with </w:t>
      </w:r>
      <w:r w:rsidRPr="00037C61">
        <w:rPr>
          <w:b/>
          <w:bCs/>
          <w:lang w:val="en-GB"/>
        </w:rPr>
        <w:t>6 airports</w:t>
      </w:r>
      <w:r w:rsidRPr="00037C61">
        <w:rPr>
          <w:lang w:val="en-GB"/>
        </w:rPr>
        <w:t xml:space="preserve"> (7 until 2014), of varying sizes and capacities, almost one per each county. The largest airport is Timișoara, in the south, followed by Debrecen in the northern area of the PA. While Timiș, Arad, Bekes and Csongrád-Csanád are primarily serviced by the Timișoara international airport, the competition between Debrecen, Oradea and Satu Mare airports creates </w:t>
      </w:r>
      <w:r w:rsidRPr="00037C61">
        <w:rPr>
          <w:b/>
          <w:bCs/>
          <w:lang w:val="en-GB"/>
        </w:rPr>
        <w:t>inefficiencies in the region.</w:t>
      </w:r>
      <w:r w:rsidRPr="00037C61">
        <w:rPr>
          <w:lang w:val="en-GB"/>
        </w:rPr>
        <w:t xml:space="preserve"> Beside the very small airports of Arad and Nyíregyháza, all others have witnessed </w:t>
      </w:r>
      <w:r w:rsidRPr="00037C61">
        <w:rPr>
          <w:b/>
          <w:bCs/>
          <w:lang w:val="en-GB"/>
        </w:rPr>
        <w:t>strong increases in passenger traffic</w:t>
      </w:r>
      <w:r w:rsidRPr="00037C61">
        <w:rPr>
          <w:lang w:val="en-GB"/>
        </w:rPr>
        <w:t xml:space="preserve"> between 2008-2018, up to 8 (Debrecen) or 9.4 times (Satu Mare) the passenger count in 2008, indicating there is still room for growth and an increased attractiveness of the PA region overall. </w:t>
      </w:r>
    </w:p>
    <w:p w14:paraId="574023B2" w14:textId="68AD5EFF" w:rsidR="004E50D2" w:rsidRPr="00037C61" w:rsidRDefault="004E50D2" w:rsidP="00490F66">
      <w:pPr>
        <w:rPr>
          <w:lang w:val="en-GB"/>
        </w:rPr>
      </w:pPr>
      <w:r w:rsidRPr="00037C61">
        <w:rPr>
          <w:lang w:val="en-GB"/>
        </w:rPr>
        <w:t xml:space="preserve">With respect to </w:t>
      </w:r>
      <w:r w:rsidRPr="00037C61">
        <w:rPr>
          <w:b/>
          <w:bCs/>
          <w:lang w:val="en-GB"/>
        </w:rPr>
        <w:t>technical infrastructures,</w:t>
      </w:r>
      <w:r w:rsidRPr="00037C61">
        <w:rPr>
          <w:lang w:val="en-GB"/>
        </w:rPr>
        <w:t xml:space="preserve"> patterns of energy consumption per capita at national level show linearity, while water consumption has significantly decreased across the PA. Centralized heating distribution is underdeveloped in the area, leaving the market to individual, less efficient or higher-polluting solutions such as wood burning or microstations / boilers. There is significant potential for developing geothermal (and other RES) heating systems in the area, but it is underutilized. </w:t>
      </w:r>
    </w:p>
    <w:p w14:paraId="25AF48F5" w14:textId="0E3F092E" w:rsidR="00E011D8" w:rsidRPr="00037C61" w:rsidRDefault="004366E1" w:rsidP="00490F66">
      <w:pPr>
        <w:rPr>
          <w:lang w:val="en-GB"/>
        </w:rPr>
      </w:pPr>
      <w:r w:rsidRPr="00037C61">
        <w:rPr>
          <w:b/>
          <w:bCs/>
          <w:lang w:val="en-GB"/>
        </w:rPr>
        <w:lastRenderedPageBreak/>
        <w:t>ICT infrastructure access</w:t>
      </w:r>
      <w:r w:rsidRPr="00037C61">
        <w:rPr>
          <w:lang w:val="en-GB"/>
        </w:rPr>
        <w:t xml:space="preserve"> especially in rural areas represents still a challenge in the programme area, with underperforming counties such as Arad and Bihor recording under 90% broadband coverage. Still, the area has taken significant strides forward in the last years and records higher values than the national averages in Romania for broadband fixed coverage, NGA, VHCN (except Bihor), DSL (except Timiș), FTTP, and in Hungary for LTE (100% except for Szabolcs-Szatmár-Bereg). The Hungarian counties record lower than national average performance and coverage of </w:t>
      </w:r>
      <w:r w:rsidR="005C7B97" w:rsidRPr="00037C61">
        <w:rPr>
          <w:lang w:val="en-GB"/>
        </w:rPr>
        <w:t>fixed broadband, VHCN, DSL, FTTP</w:t>
      </w:r>
      <w:r w:rsidR="00E011D8" w:rsidRPr="00037C61">
        <w:rPr>
          <w:lang w:val="en-GB"/>
        </w:rPr>
        <w:t xml:space="preserve">, aspects which are critical to enabling services (especially public services) in a digital area and which became even more relevant in the current Covid-19 pandemic. </w:t>
      </w:r>
    </w:p>
    <w:p w14:paraId="5252CB42" w14:textId="314A9568" w:rsidR="0020433A" w:rsidRPr="00037C61" w:rsidRDefault="00E011D8" w:rsidP="00A86A35">
      <w:pPr>
        <w:pStyle w:val="InterregROHUBullet1"/>
        <w:numPr>
          <w:ilvl w:val="0"/>
          <w:numId w:val="0"/>
        </w:numPr>
      </w:pPr>
      <w:r w:rsidRPr="00037C61">
        <w:t xml:space="preserve">While the Hungarian PA counties have a </w:t>
      </w:r>
      <w:r w:rsidRPr="00037C61">
        <w:rPr>
          <w:b/>
        </w:rPr>
        <w:t>wider gap to close with respect to ICT infrastructure</w:t>
      </w:r>
      <w:r w:rsidRPr="00037C61">
        <w:t xml:space="preserve">, </w:t>
      </w:r>
      <w:r w:rsidRPr="00037C61">
        <w:rPr>
          <w:b/>
        </w:rPr>
        <w:t>the use of internet and internet services is lower in Romania,</w:t>
      </w:r>
      <w:r w:rsidRPr="00037C61">
        <w:t xml:space="preserve"> albeit there is convergence in weekly internet usage between the two countries and the NUTS 2 regions corresponding to the 8 counties in the PA. However, there is a </w:t>
      </w:r>
      <w:r w:rsidRPr="00037C61">
        <w:rPr>
          <w:b/>
        </w:rPr>
        <w:t>higher reticence of internet usage for e-commerce and internet banking</w:t>
      </w:r>
      <w:r w:rsidRPr="00037C61">
        <w:t xml:space="preserve"> in Romania, and this is visible in the stagnating usage over the past decade, with a widening digital service gap between the Romanian and Hungarian analysed regions. </w:t>
      </w:r>
    </w:p>
    <w:p w14:paraId="53CF7436" w14:textId="58AA1E39" w:rsidR="00490F66" w:rsidRPr="00037C61" w:rsidRDefault="00490F66" w:rsidP="00A86A35">
      <w:pPr>
        <w:pStyle w:val="InterregROHUBullet1"/>
        <w:numPr>
          <w:ilvl w:val="0"/>
          <w:numId w:val="0"/>
        </w:numPr>
      </w:pPr>
    </w:p>
    <w:p w14:paraId="11564C0C" w14:textId="77777777" w:rsidR="00490F66" w:rsidRPr="00037C61" w:rsidRDefault="00490F66" w:rsidP="00A86A35">
      <w:pPr>
        <w:pStyle w:val="InterregROHUBullet1"/>
        <w:numPr>
          <w:ilvl w:val="0"/>
          <w:numId w:val="0"/>
        </w:numPr>
      </w:pPr>
    </w:p>
    <w:p w14:paraId="7AC523E9" w14:textId="77777777" w:rsidR="0020433A" w:rsidRPr="00037C61" w:rsidRDefault="0020433A" w:rsidP="00A86A35">
      <w:pPr>
        <w:pStyle w:val="InterregROHUBullet1"/>
        <w:numPr>
          <w:ilvl w:val="0"/>
          <w:numId w:val="0"/>
        </w:numPr>
      </w:pPr>
    </w:p>
    <w:p w14:paraId="51D1CA5A" w14:textId="77777777" w:rsidR="002666CC" w:rsidRPr="00037C61" w:rsidRDefault="002666CC" w:rsidP="00A86A35">
      <w:pPr>
        <w:pStyle w:val="InterregROHUBullet1"/>
        <w:numPr>
          <w:ilvl w:val="0"/>
          <w:numId w:val="0"/>
        </w:numPr>
      </w:pPr>
    </w:p>
    <w:p w14:paraId="0BD5C58D" w14:textId="621B712E" w:rsidR="002666CC" w:rsidRPr="00037C61" w:rsidRDefault="002666CC" w:rsidP="00A86A35">
      <w:pPr>
        <w:pStyle w:val="InterregROHUBullet1"/>
        <w:numPr>
          <w:ilvl w:val="0"/>
          <w:numId w:val="0"/>
        </w:numPr>
        <w:sectPr w:rsidR="002666CC" w:rsidRPr="00037C61" w:rsidSect="009E4103">
          <w:pgSz w:w="11906" w:h="16838"/>
          <w:pgMar w:top="1713" w:right="1440" w:bottom="1440" w:left="1440" w:header="708" w:footer="828" w:gutter="0"/>
          <w:cols w:space="708"/>
          <w:docGrid w:linePitch="360"/>
        </w:sectPr>
      </w:pPr>
    </w:p>
    <w:p w14:paraId="13E79911" w14:textId="71894BB6" w:rsidR="0007064A" w:rsidRPr="00037C61" w:rsidRDefault="45504615" w:rsidP="002D7A7D">
      <w:pPr>
        <w:pStyle w:val="Heading3"/>
      </w:pPr>
      <w:bookmarkStart w:id="793" w:name="_Toc53137218"/>
      <w:bookmarkStart w:id="794" w:name="_Toc64619556"/>
      <w:r w:rsidRPr="00037C61">
        <w:lastRenderedPageBreak/>
        <w:t>SWOT Analysis: Infrastructure capital</w:t>
      </w:r>
      <w:bookmarkEnd w:id="793"/>
      <w:bookmarkEnd w:id="794"/>
      <w:r w:rsidRPr="00037C61">
        <w:t xml:space="preserve"> </w:t>
      </w:r>
    </w:p>
    <w:tbl>
      <w:tblPr>
        <w:tblStyle w:val="ListTable3-Accent11"/>
        <w:tblW w:w="14029" w:type="dxa"/>
        <w:tblLook w:val="04A0" w:firstRow="1" w:lastRow="0" w:firstColumn="1" w:lastColumn="0" w:noHBand="0" w:noVBand="1"/>
      </w:tblPr>
      <w:tblGrid>
        <w:gridCol w:w="3114"/>
        <w:gridCol w:w="4678"/>
        <w:gridCol w:w="3396"/>
        <w:gridCol w:w="2841"/>
      </w:tblGrid>
      <w:tr w:rsidR="001E7158" w:rsidRPr="00037C61" w14:paraId="2E4310D5" w14:textId="77777777" w:rsidTr="00F75A73">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100" w:firstRow="0" w:lastRow="0" w:firstColumn="1" w:lastColumn="0" w:oddVBand="0" w:evenVBand="0" w:oddHBand="0" w:evenHBand="0" w:firstRowFirstColumn="1" w:firstRowLastColumn="0" w:lastRowFirstColumn="0" w:lastRowLastColumn="0"/>
            <w:tcW w:w="3114" w:type="dxa"/>
            <w:hideMark/>
          </w:tcPr>
          <w:p w14:paraId="4D18A7E0" w14:textId="77777777" w:rsidR="00AA178B" w:rsidRPr="00037C61" w:rsidRDefault="00AA178B" w:rsidP="00476743">
            <w:pPr>
              <w:pStyle w:val="NormalWeb"/>
              <w:spacing w:before="0" w:beforeAutospacing="0" w:after="0" w:afterAutospacing="0"/>
              <w:jc w:val="center"/>
              <w:rPr>
                <w:b w:val="0"/>
                <w:bCs w:val="0"/>
                <w:lang w:val="en-GB"/>
              </w:rPr>
            </w:pPr>
            <w:r w:rsidRPr="00037C61">
              <w:rPr>
                <w:rFonts w:ascii="Calibri" w:hAnsi="Calibri"/>
                <w:b w:val="0"/>
                <w:bCs w:val="0"/>
                <w:sz w:val="18"/>
                <w:lang w:val="en-GB"/>
              </w:rPr>
              <w:t>Strengths</w:t>
            </w:r>
          </w:p>
        </w:tc>
        <w:tc>
          <w:tcPr>
            <w:tcW w:w="4678" w:type="dxa"/>
            <w:hideMark/>
          </w:tcPr>
          <w:p w14:paraId="45ED0F9F" w14:textId="77777777" w:rsidR="00AA178B" w:rsidRPr="00037C61" w:rsidRDefault="00AA178B" w:rsidP="00476743">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37C61">
              <w:rPr>
                <w:rFonts w:ascii="Calibri" w:hAnsi="Calibri"/>
                <w:b w:val="0"/>
                <w:bCs w:val="0"/>
                <w:sz w:val="18"/>
                <w:lang w:val="en-GB"/>
              </w:rPr>
              <w:t>Weaknesses</w:t>
            </w:r>
          </w:p>
        </w:tc>
        <w:tc>
          <w:tcPr>
            <w:tcW w:w="3396" w:type="dxa"/>
            <w:hideMark/>
          </w:tcPr>
          <w:p w14:paraId="327D1909" w14:textId="77777777" w:rsidR="00AA178B" w:rsidRPr="00037C61" w:rsidRDefault="00AA178B" w:rsidP="00476743">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37C61">
              <w:rPr>
                <w:rFonts w:ascii="Calibri" w:hAnsi="Calibri"/>
                <w:b w:val="0"/>
                <w:bCs w:val="0"/>
                <w:sz w:val="18"/>
                <w:lang w:val="en-GB"/>
              </w:rPr>
              <w:t>Opportunities</w:t>
            </w:r>
          </w:p>
        </w:tc>
        <w:tc>
          <w:tcPr>
            <w:tcW w:w="2841" w:type="dxa"/>
            <w:hideMark/>
          </w:tcPr>
          <w:p w14:paraId="043632AF" w14:textId="77777777" w:rsidR="00AA178B" w:rsidRPr="00037C61" w:rsidRDefault="00AA178B" w:rsidP="00476743">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b w:val="0"/>
                <w:bCs w:val="0"/>
                <w:lang w:val="en-GB"/>
              </w:rPr>
            </w:pPr>
            <w:r w:rsidRPr="00037C61">
              <w:rPr>
                <w:rFonts w:ascii="Calibri" w:hAnsi="Calibri"/>
                <w:b w:val="0"/>
                <w:bCs w:val="0"/>
                <w:sz w:val="18"/>
                <w:lang w:val="en-GB"/>
              </w:rPr>
              <w:t>Threats</w:t>
            </w:r>
          </w:p>
        </w:tc>
      </w:tr>
      <w:tr w:rsidR="001E7158" w:rsidRPr="00944B4A" w14:paraId="05B4AB22" w14:textId="77777777" w:rsidTr="74CEAA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5DE98A21" w14:textId="7CB69E3B" w:rsidR="00AA178B" w:rsidRPr="00037C61" w:rsidRDefault="00AA178B" w:rsidP="00476743">
            <w:pPr>
              <w:pStyle w:val="InterregROHUBullet1"/>
              <w:ind w:left="306"/>
              <w:rPr>
                <w:b w:val="0"/>
                <w:sz w:val="20"/>
                <w:szCs w:val="20"/>
              </w:rPr>
            </w:pPr>
            <w:r w:rsidRPr="00037C61">
              <w:rPr>
                <w:b w:val="0"/>
                <w:sz w:val="20"/>
                <w:szCs w:val="20"/>
              </w:rPr>
              <w:t xml:space="preserve">The PA </w:t>
            </w:r>
            <w:r w:rsidR="00E0752A" w:rsidRPr="00037C61">
              <w:rPr>
                <w:b w:val="0"/>
                <w:sz w:val="20"/>
                <w:szCs w:val="20"/>
              </w:rPr>
              <w:t xml:space="preserve">border </w:t>
            </w:r>
            <w:r w:rsidRPr="00037C61">
              <w:rPr>
                <w:b w:val="0"/>
                <w:sz w:val="20"/>
                <w:szCs w:val="20"/>
              </w:rPr>
              <w:t xml:space="preserve">is crossed by two European corridors (motorway/rail) providing </w:t>
            </w:r>
            <w:r w:rsidR="007909AE">
              <w:rPr>
                <w:b w:val="0"/>
                <w:sz w:val="20"/>
                <w:szCs w:val="20"/>
              </w:rPr>
              <w:t>more improved</w:t>
            </w:r>
            <w:r w:rsidR="007909AE" w:rsidRPr="00037C61">
              <w:rPr>
                <w:b w:val="0"/>
                <w:sz w:val="20"/>
                <w:szCs w:val="20"/>
              </w:rPr>
              <w:t xml:space="preserve"> </w:t>
            </w:r>
            <w:r w:rsidRPr="00037C61">
              <w:rPr>
                <w:b w:val="0"/>
                <w:sz w:val="20"/>
                <w:szCs w:val="20"/>
              </w:rPr>
              <w:t>accessibility to the southern area</w:t>
            </w:r>
            <w:r w:rsidR="007909AE">
              <w:rPr>
                <w:b w:val="0"/>
                <w:sz w:val="20"/>
                <w:szCs w:val="20"/>
              </w:rPr>
              <w:t xml:space="preserve"> </w:t>
            </w:r>
          </w:p>
          <w:p w14:paraId="6364EA27" w14:textId="77777777" w:rsidR="00AA178B" w:rsidRPr="00037C61" w:rsidRDefault="00AA178B" w:rsidP="00476743">
            <w:pPr>
              <w:pStyle w:val="InterregROHUBullet1"/>
              <w:ind w:left="306"/>
              <w:rPr>
                <w:b w:val="0"/>
                <w:sz w:val="20"/>
                <w:szCs w:val="20"/>
              </w:rPr>
            </w:pPr>
            <w:r w:rsidRPr="00037C61">
              <w:rPr>
                <w:b w:val="0"/>
                <w:sz w:val="20"/>
                <w:szCs w:val="20"/>
              </w:rPr>
              <w:t>The presence of Timișoara Airport as the largest airport in the region and the third-largest in Romania satisfies the mobility demand and is complemented by a number of smaller airports in the northern part of the programme area (among which Debrecen is the second).</w:t>
            </w:r>
          </w:p>
          <w:p w14:paraId="3177D607" w14:textId="5487174A" w:rsidR="00AA178B" w:rsidRPr="00037C61" w:rsidRDefault="338997EF" w:rsidP="00476743">
            <w:pPr>
              <w:pStyle w:val="InterregROHUBullet1"/>
              <w:ind w:left="306"/>
              <w:rPr>
                <w:b w:val="0"/>
                <w:sz w:val="20"/>
                <w:szCs w:val="20"/>
              </w:rPr>
            </w:pPr>
            <w:r w:rsidRPr="00037C61">
              <w:rPr>
                <w:b w:val="0"/>
                <w:sz w:val="20"/>
                <w:szCs w:val="20"/>
              </w:rPr>
              <w:t>Road infrastructure expansions and modernisation investments over the last 2014-2020 period have led to significant improvements in the PA, including the upgrading of a total 812.7 km of road</w:t>
            </w:r>
            <w:r w:rsidR="57977507" w:rsidRPr="00037C61">
              <w:rPr>
                <w:b w:val="0"/>
                <w:sz w:val="20"/>
                <w:szCs w:val="20"/>
              </w:rPr>
              <w:t>.</w:t>
            </w:r>
            <w:r w:rsidRPr="00037C61">
              <w:rPr>
                <w:b w:val="0"/>
                <w:sz w:val="20"/>
                <w:szCs w:val="20"/>
              </w:rPr>
              <w:t xml:space="preserve"> </w:t>
            </w:r>
          </w:p>
          <w:p w14:paraId="05694F2E" w14:textId="706859FB" w:rsidR="00A04686" w:rsidRPr="00037C61" w:rsidRDefault="09BCB105" w:rsidP="43A5E8BA">
            <w:pPr>
              <w:pStyle w:val="InterregROHUBullet1"/>
              <w:ind w:left="306"/>
              <w:rPr>
                <w:b w:val="0"/>
                <w:sz w:val="20"/>
                <w:szCs w:val="20"/>
              </w:rPr>
            </w:pPr>
            <w:r w:rsidRPr="00037C61">
              <w:rPr>
                <w:b w:val="0"/>
                <w:sz w:val="20"/>
                <w:szCs w:val="20"/>
              </w:rPr>
              <w:t>Road traffic volume has constantly increased (72% increase overall), with clear raising attractiveness of routes such as Nagylak - Nădlac (highway) but also Csengersima – Pete</w:t>
            </w:r>
            <w:r w:rsidR="27CF99DD" w:rsidRPr="00037C61">
              <w:rPr>
                <w:b w:val="0"/>
                <w:sz w:val="20"/>
                <w:szCs w:val="20"/>
              </w:rPr>
              <w:t>a</w:t>
            </w:r>
            <w:r w:rsidRPr="00037C61">
              <w:rPr>
                <w:b w:val="0"/>
                <w:sz w:val="20"/>
                <w:szCs w:val="20"/>
              </w:rPr>
              <w:t xml:space="preserve"> (2.5 increase in traffic in </w:t>
            </w:r>
            <w:r w:rsidRPr="00037C61">
              <w:rPr>
                <w:b w:val="0"/>
                <w:sz w:val="20"/>
                <w:szCs w:val="20"/>
              </w:rPr>
              <w:lastRenderedPageBreak/>
              <w:t>10 years) and Hajdú-Bihar – Bihor (double in traffic, idem)</w:t>
            </w:r>
            <w:r w:rsidR="42583B04" w:rsidRPr="00037C61">
              <w:rPr>
                <w:b w:val="0"/>
                <w:sz w:val="20"/>
                <w:szCs w:val="20"/>
              </w:rPr>
              <w:t>.</w:t>
            </w:r>
            <w:r w:rsidRPr="00037C61">
              <w:rPr>
                <w:b w:val="0"/>
                <w:sz w:val="20"/>
                <w:szCs w:val="20"/>
              </w:rPr>
              <w:t xml:space="preserve"> </w:t>
            </w:r>
          </w:p>
          <w:p w14:paraId="4C5BD5CD" w14:textId="6573F702" w:rsidR="00A04686" w:rsidRPr="00037C61" w:rsidRDefault="00A04686" w:rsidP="00476743">
            <w:pPr>
              <w:pStyle w:val="InterregROHUBullet1"/>
              <w:ind w:left="306"/>
              <w:rPr>
                <w:b w:val="0"/>
                <w:sz w:val="20"/>
                <w:szCs w:val="20"/>
              </w:rPr>
            </w:pPr>
            <w:r w:rsidRPr="00037C61">
              <w:rPr>
                <w:b w:val="0"/>
                <w:sz w:val="20"/>
                <w:szCs w:val="20"/>
              </w:rPr>
              <w:t xml:space="preserve">Rising attractiveness for cross-border commerce and freight transport between Hajdú-Bihar – Bihor, which is growing as a trade route in freight volumes and lorry border crossing traffic. </w:t>
            </w:r>
          </w:p>
          <w:p w14:paraId="5D5A87AF" w14:textId="77777777" w:rsidR="00AA178B" w:rsidRPr="00037C61" w:rsidRDefault="00AA178B" w:rsidP="00476743">
            <w:pPr>
              <w:pStyle w:val="InterregROHUBullet1"/>
              <w:numPr>
                <w:ilvl w:val="0"/>
                <w:numId w:val="0"/>
              </w:numPr>
              <w:ind w:left="306"/>
              <w:rPr>
                <w:b w:val="0"/>
                <w:sz w:val="20"/>
                <w:szCs w:val="20"/>
              </w:rPr>
            </w:pPr>
          </w:p>
        </w:tc>
        <w:tc>
          <w:tcPr>
            <w:tcW w:w="4678" w:type="dxa"/>
            <w:hideMark/>
          </w:tcPr>
          <w:p w14:paraId="751426CD" w14:textId="76048784" w:rsidR="00AA178B" w:rsidRPr="00037C61" w:rsidRDefault="00AA178B"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lastRenderedPageBreak/>
              <w:t>Generally lower-than-average transport performance (with the exception of Csongrád-</w:t>
            </w:r>
            <w:r w:rsidRPr="00037C61">
              <w:rPr>
                <w:sz w:val="20"/>
                <w:szCs w:val="20"/>
              </w:rPr>
              <w:t>Csanád</w:t>
            </w:r>
            <w:r w:rsidRPr="00037C61">
              <w:rPr>
                <w:bCs w:val="0"/>
                <w:sz w:val="20"/>
                <w:szCs w:val="20"/>
              </w:rPr>
              <w:t>) and road accessibility, both cross-border as well as within several counties included in the PA.</w:t>
            </w:r>
          </w:p>
          <w:p w14:paraId="21218BB3" w14:textId="12337AC2" w:rsidR="00AA178B" w:rsidRPr="00037C61" w:rsidRDefault="58976B37" w:rsidP="00476743">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Very low rail connectivity,</w:t>
            </w:r>
            <w:r w:rsidR="6CDDAEAF" w:rsidRPr="00037C61">
              <w:rPr>
                <w:sz w:val="20"/>
                <w:szCs w:val="20"/>
              </w:rPr>
              <w:t xml:space="preserve"> and sparse cross-border rail transport offer (6 lines per direction at mostly night-time and afternoon hours)</w:t>
            </w:r>
            <w:r w:rsidRPr="00037C61">
              <w:rPr>
                <w:sz w:val="20"/>
                <w:szCs w:val="20"/>
              </w:rPr>
              <w:t xml:space="preserve"> which makes rail transport unsuitable for cross-border commuting</w:t>
            </w:r>
            <w:r w:rsidR="5A6F1BFE" w:rsidRPr="00037C61">
              <w:rPr>
                <w:sz w:val="20"/>
                <w:szCs w:val="20"/>
              </w:rPr>
              <w:t>.</w:t>
            </w:r>
          </w:p>
          <w:p w14:paraId="76870933" w14:textId="123C0FE6" w:rsidR="00A04686" w:rsidRPr="00037C61" w:rsidRDefault="00A04686"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 xml:space="preserve">Significant decline in rail traffic, especially on the Lökösháza – Curtici border connection (-55% between 2009-2019). Rail traffic only accounts for 1.5% of the total terrestrial passenger traffic. </w:t>
            </w:r>
          </w:p>
          <w:p w14:paraId="1EF90402" w14:textId="77777777" w:rsidR="00AA178B" w:rsidRPr="00037C61" w:rsidRDefault="00AA178B"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Competition between the airports in the region, especially Debrecen, Oradea, Satu Mare but also close neighbour Baia Mare (in the northern part of the PA) represents a hurdle to efficient cross-border transport and an inefficiency due to overlapping catchment areas and similar destination offers.</w:t>
            </w:r>
          </w:p>
          <w:p w14:paraId="521B7A1F" w14:textId="0F73BB27" w:rsidR="00AA178B" w:rsidRPr="00037C61" w:rsidRDefault="00AA178B"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Public transportation infrastructure between major cities is underdeveloped, with no direct train route between Szeged-Timișoara, Nyíregyháza – Satu Mare.</w:t>
            </w:r>
            <w:r w:rsidR="007909AE">
              <w:rPr>
                <w:bCs w:val="0"/>
                <w:sz w:val="20"/>
                <w:szCs w:val="20"/>
              </w:rPr>
              <w:t xml:space="preserve"> The issue of the missing Szeged-Timișoara link is very relevant due to the barrier it poses to exchange between the two university and main research centers, which limits capacity for university student, researchers and lecturers </w:t>
            </w:r>
            <w:r w:rsidR="007909AE">
              <w:rPr>
                <w:bCs w:val="0"/>
                <w:sz w:val="20"/>
                <w:szCs w:val="20"/>
              </w:rPr>
              <w:lastRenderedPageBreak/>
              <w:t xml:space="preserve">mobility, currently supported by the Timișoara – Arad – Szeged motorway. </w:t>
            </w:r>
          </w:p>
          <w:p w14:paraId="50B3DB10" w14:textId="63377CA0" w:rsidR="00AA178B" w:rsidRPr="00037C61" w:rsidRDefault="00AA178B"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 xml:space="preserve">Timișoara`s </w:t>
            </w:r>
            <w:r w:rsidR="00A04686" w:rsidRPr="00037C61">
              <w:rPr>
                <w:bCs w:val="0"/>
                <w:sz w:val="20"/>
                <w:szCs w:val="20"/>
              </w:rPr>
              <w:t xml:space="preserve">accessibility isochrone (60’) </w:t>
            </w:r>
            <w:r w:rsidRPr="00037C61">
              <w:rPr>
                <w:bCs w:val="0"/>
                <w:sz w:val="20"/>
                <w:szCs w:val="20"/>
              </w:rPr>
              <w:t>has a very fragmented distribution - the road infrastructure is underdeveloped, meaning that the relationship with other systems is more difficult.</w:t>
            </w:r>
          </w:p>
          <w:p w14:paraId="1EE7E0A4" w14:textId="33653737" w:rsidR="00AA178B" w:rsidRPr="00037C61" w:rsidRDefault="58976B37" w:rsidP="00476743">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The overall road accidents in the PA are almost 30% higher in the Hungarian side (3099 versus 2312 in 2018).</w:t>
            </w:r>
          </w:p>
          <w:p w14:paraId="64FBE970" w14:textId="448E19BE" w:rsidR="00AA178B" w:rsidRPr="00037C61" w:rsidRDefault="46106A6D" w:rsidP="00457478">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t>High discrepancies in internet usage for services (e-commerce, internet banking) between the Romanian and the Hungarian side</w:t>
            </w:r>
            <w:r w:rsidR="2F2214A9" w:rsidRPr="00037C61">
              <w:rPr>
                <w:sz w:val="20"/>
                <w:szCs w:val="20"/>
              </w:rPr>
              <w:t>.</w:t>
            </w:r>
            <w:r w:rsidRPr="00037C61">
              <w:rPr>
                <w:sz w:val="20"/>
                <w:szCs w:val="20"/>
              </w:rPr>
              <w:t xml:space="preserve"> </w:t>
            </w:r>
          </w:p>
        </w:tc>
        <w:tc>
          <w:tcPr>
            <w:tcW w:w="3396" w:type="dxa"/>
            <w:hideMark/>
          </w:tcPr>
          <w:p w14:paraId="2F3747E7" w14:textId="3403ABF5" w:rsidR="00AA178B" w:rsidRPr="00037C61" w:rsidRDefault="3CEEBA53" w:rsidP="00476743">
            <w:pPr>
              <w:pStyle w:val="InterregROHUBullet1"/>
              <w:ind w:left="306"/>
              <w:cnfStyle w:val="000000100000" w:firstRow="0" w:lastRow="0" w:firstColumn="0" w:lastColumn="0" w:oddVBand="0" w:evenVBand="0" w:oddHBand="1" w:evenHBand="0" w:firstRowFirstColumn="0" w:firstRowLastColumn="0" w:lastRowFirstColumn="0" w:lastRowLastColumn="0"/>
              <w:rPr>
                <w:sz w:val="20"/>
                <w:szCs w:val="20"/>
              </w:rPr>
            </w:pPr>
            <w:r w:rsidRPr="00037C61">
              <w:rPr>
                <w:sz w:val="20"/>
                <w:szCs w:val="20"/>
              </w:rPr>
              <w:lastRenderedPageBreak/>
              <w:t xml:space="preserve">Implementation of planned highway projects in Romania (A9, finalisation of A3 Oradea - Cluj-Napoca, Someș Expres) and Hungary (M44 Békéscsaba - </w:t>
            </w:r>
            <w:hyperlink r:id="rId257" w:history="1">
              <w:r w:rsidRPr="00037C61">
                <w:rPr>
                  <w:sz w:val="20"/>
                  <w:szCs w:val="20"/>
                </w:rPr>
                <w:t>Gyula</w:t>
              </w:r>
            </w:hyperlink>
            <w:r w:rsidRPr="00037C61">
              <w:rPr>
                <w:sz w:val="20"/>
                <w:szCs w:val="20"/>
              </w:rPr>
              <w:t xml:space="preserve"> / </w:t>
            </w:r>
            <w:hyperlink r:id="rId258" w:history="1">
              <w:r w:rsidRPr="00037C61">
                <w:rPr>
                  <w:sz w:val="20"/>
                  <w:szCs w:val="20"/>
                </w:rPr>
                <w:t>Romani</w:t>
              </w:r>
            </w:hyperlink>
            <w:r w:rsidRPr="00037C61">
              <w:rPr>
                <w:sz w:val="20"/>
                <w:szCs w:val="20"/>
              </w:rPr>
              <w:t>a, M4, M49)</w:t>
            </w:r>
            <w:r w:rsidR="76A66F2C" w:rsidRPr="00037C61">
              <w:rPr>
                <w:sz w:val="20"/>
                <w:szCs w:val="20"/>
              </w:rPr>
              <w:t>.</w:t>
            </w:r>
            <w:r w:rsidRPr="00037C61">
              <w:rPr>
                <w:sz w:val="20"/>
                <w:szCs w:val="20"/>
              </w:rPr>
              <w:t> </w:t>
            </w:r>
          </w:p>
          <w:p w14:paraId="60256111" w14:textId="523E473D" w:rsidR="00E0752A" w:rsidRPr="00037C61" w:rsidRDefault="00E0752A"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Comprehensive Network corridors connection between Nyíregyháza – Debrecen – Oradea – Zalău and Arad-Oradea are important routes to be upgraded, as considered by the</w:t>
            </w:r>
            <w:r w:rsidR="00D26B7C" w:rsidRPr="00037C61">
              <w:rPr>
                <w:bCs w:val="0"/>
                <w:sz w:val="20"/>
                <w:szCs w:val="20"/>
              </w:rPr>
              <w:t xml:space="preserve"> </w:t>
            </w:r>
            <w:r w:rsidRPr="00037C61">
              <w:rPr>
                <w:bCs w:val="0"/>
                <w:sz w:val="20"/>
                <w:szCs w:val="20"/>
              </w:rPr>
              <w:t>European Commission (DG Mobility and Transport).</w:t>
            </w:r>
          </w:p>
          <w:p w14:paraId="76CE3711" w14:textId="35060B5E" w:rsidR="00AA178B" w:rsidRPr="00037C61" w:rsidRDefault="0A25D2FF" w:rsidP="00476743">
            <w:pPr>
              <w:pStyle w:val="InterregROHUBullet1"/>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sz w:val="20"/>
                <w:szCs w:val="20"/>
              </w:rPr>
            </w:pPr>
            <w:r w:rsidRPr="00037C61">
              <w:rPr>
                <w:sz w:val="20"/>
                <w:szCs w:val="20"/>
              </w:rPr>
              <w:t xml:space="preserve">There is growing cross-border traffic </w:t>
            </w:r>
            <w:r w:rsidR="400D8FB4" w:rsidRPr="00037C61">
              <w:rPr>
                <w:sz w:val="20"/>
                <w:szCs w:val="20"/>
              </w:rPr>
              <w:t>especially between Bihor</w:t>
            </w:r>
            <w:r w:rsidR="63A04BBF" w:rsidRPr="00037C61">
              <w:rPr>
                <w:sz w:val="20"/>
                <w:szCs w:val="20"/>
              </w:rPr>
              <w:t xml:space="preserve"> and</w:t>
            </w:r>
            <w:r w:rsidR="400D8FB4" w:rsidRPr="00037C61">
              <w:rPr>
                <w:sz w:val="20"/>
                <w:szCs w:val="20"/>
              </w:rPr>
              <w:t xml:space="preserve"> Hajd</w:t>
            </w:r>
            <w:r w:rsidR="629EED2E" w:rsidRPr="00037C61">
              <w:rPr>
                <w:sz w:val="20"/>
                <w:szCs w:val="20"/>
              </w:rPr>
              <w:t>ú-</w:t>
            </w:r>
            <w:r w:rsidR="400D8FB4" w:rsidRPr="00037C61">
              <w:rPr>
                <w:sz w:val="20"/>
                <w:szCs w:val="20"/>
              </w:rPr>
              <w:t xml:space="preserve">Bihar </w:t>
            </w:r>
            <w:r w:rsidRPr="00037C61">
              <w:rPr>
                <w:sz w:val="20"/>
                <w:szCs w:val="20"/>
              </w:rPr>
              <w:t>that potentially makes railroad investment more sustainable.</w:t>
            </w:r>
          </w:p>
          <w:p w14:paraId="4AE5AA66" w14:textId="78F69FE7" w:rsidR="00AA178B" w:rsidRPr="00037C61" w:rsidRDefault="00AA178B" w:rsidP="00471F27">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Recent priority projects on the European Corridors for high-speed rail connecting Budapest with Timișoara, Brașov, Bucharest and Constanța may revive interest in rail transport and provide a viable transport option in the medium term.</w:t>
            </w:r>
          </w:p>
          <w:p w14:paraId="67C6F97F" w14:textId="77777777" w:rsidR="00AA178B" w:rsidRPr="00037C61" w:rsidRDefault="00AA178B" w:rsidP="00476743">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t xml:space="preserve">The traffic volume at the border crossing points is increasing significantly from both sides </w:t>
            </w:r>
            <w:r w:rsidRPr="00037C61">
              <w:rPr>
                <w:bCs w:val="0"/>
                <w:sz w:val="20"/>
                <w:szCs w:val="20"/>
              </w:rPr>
              <w:lastRenderedPageBreak/>
              <w:t>(Romania cross-border area has the highest values – for example 12540598 vs 3459676 in 2019).</w:t>
            </w:r>
          </w:p>
        </w:tc>
        <w:tc>
          <w:tcPr>
            <w:tcW w:w="2841" w:type="dxa"/>
            <w:hideMark/>
          </w:tcPr>
          <w:p w14:paraId="2F9BC3D6" w14:textId="426F590F" w:rsidR="00AA178B" w:rsidRPr="00037C61" w:rsidRDefault="0084216E" w:rsidP="00656DB0">
            <w:pPr>
              <w:pStyle w:val="InterregROHUBullet1"/>
              <w:ind w:left="306"/>
              <w:cnfStyle w:val="000000100000" w:firstRow="0" w:lastRow="0" w:firstColumn="0" w:lastColumn="0" w:oddVBand="0" w:evenVBand="0" w:oddHBand="1" w:evenHBand="0" w:firstRowFirstColumn="0" w:firstRowLastColumn="0" w:lastRowFirstColumn="0" w:lastRowLastColumn="0"/>
              <w:rPr>
                <w:bCs w:val="0"/>
                <w:sz w:val="20"/>
                <w:szCs w:val="20"/>
              </w:rPr>
            </w:pPr>
            <w:r w:rsidRPr="00037C61">
              <w:rPr>
                <w:bCs w:val="0"/>
                <w:sz w:val="20"/>
                <w:szCs w:val="20"/>
              </w:rPr>
              <w:lastRenderedPageBreak/>
              <w:t>There is a risk of low investment impact or misdirection</w:t>
            </w:r>
            <w:r w:rsidR="00656DB0" w:rsidRPr="00037C61">
              <w:rPr>
                <w:bCs w:val="0"/>
                <w:sz w:val="20"/>
                <w:szCs w:val="20"/>
              </w:rPr>
              <w:t>,</w:t>
            </w:r>
            <w:r w:rsidRPr="00037C61">
              <w:rPr>
                <w:bCs w:val="0"/>
                <w:sz w:val="20"/>
                <w:szCs w:val="20"/>
              </w:rPr>
              <w:t xml:space="preserve"> </w:t>
            </w:r>
            <w:r w:rsidR="00656DB0" w:rsidRPr="00037C61">
              <w:rPr>
                <w:bCs w:val="0"/>
                <w:sz w:val="20"/>
                <w:szCs w:val="20"/>
              </w:rPr>
              <w:t>assigne</w:t>
            </w:r>
            <w:r w:rsidR="00A52B11" w:rsidRPr="00037C61">
              <w:rPr>
                <w:bCs w:val="0"/>
                <w:sz w:val="20"/>
                <w:szCs w:val="20"/>
              </w:rPr>
              <w:t>ment of</w:t>
            </w:r>
            <w:r w:rsidR="00656DB0" w:rsidRPr="00037C61">
              <w:rPr>
                <w:bCs w:val="0"/>
                <w:sz w:val="20"/>
                <w:szCs w:val="20"/>
              </w:rPr>
              <w:t xml:space="preserve"> resources for low-impact interventions </w:t>
            </w:r>
            <w:r w:rsidRPr="00037C61">
              <w:rPr>
                <w:bCs w:val="0"/>
                <w:sz w:val="20"/>
                <w:szCs w:val="20"/>
              </w:rPr>
              <w:t xml:space="preserve">due to the current lack of comparable data, which in turn prevents the creation of a full understanding of funding requirements for cross-border mobility and mitigation of energy poverty. Comparable data regarding basic infrastructure accessibility as well as on cross-border mobility and per capita energy consumption would be a significant asset/added value, that would result in the possibility of a better collaboration within the PA. </w:t>
            </w:r>
          </w:p>
        </w:tc>
      </w:tr>
    </w:tbl>
    <w:p w14:paraId="44E11410" w14:textId="19424236" w:rsidR="5CA115F1" w:rsidRPr="00037C61" w:rsidRDefault="5CA115F1">
      <w:pPr>
        <w:rPr>
          <w:lang w:val="en-GB"/>
        </w:rPr>
      </w:pPr>
    </w:p>
    <w:p w14:paraId="2F18C43A" w14:textId="22F2BE5A" w:rsidR="009804B7" w:rsidRPr="00037C61" w:rsidRDefault="009804B7" w:rsidP="00A86A35">
      <w:pPr>
        <w:pStyle w:val="InterregROHUBullet1"/>
        <w:numPr>
          <w:ilvl w:val="0"/>
          <w:numId w:val="0"/>
        </w:numPr>
      </w:pPr>
      <w:r w:rsidRPr="00037C61">
        <w:br w:type="page"/>
      </w:r>
    </w:p>
    <w:p w14:paraId="557D5ACF" w14:textId="77777777" w:rsidR="0007064A" w:rsidRPr="00037C61" w:rsidRDefault="0007064A" w:rsidP="00A86A35">
      <w:pPr>
        <w:pStyle w:val="InterregROHUBullet1"/>
        <w:numPr>
          <w:ilvl w:val="0"/>
          <w:numId w:val="0"/>
        </w:numPr>
        <w:sectPr w:rsidR="0007064A" w:rsidRPr="00037C61" w:rsidSect="0007064A">
          <w:headerReference w:type="default" r:id="rId259"/>
          <w:footerReference w:type="first" r:id="rId260"/>
          <w:pgSz w:w="16838" w:h="11906" w:orient="landscape"/>
          <w:pgMar w:top="1440" w:right="1713" w:bottom="1440" w:left="1440" w:header="708" w:footer="828" w:gutter="0"/>
          <w:cols w:space="708"/>
          <w:docGrid w:linePitch="360"/>
        </w:sectPr>
      </w:pPr>
    </w:p>
    <w:p w14:paraId="7593EAD2" w14:textId="46A47B3E" w:rsidR="0007064A" w:rsidRPr="00037C61" w:rsidRDefault="0007064A" w:rsidP="00A86A35">
      <w:pPr>
        <w:pStyle w:val="InterregROHUBullet1"/>
        <w:numPr>
          <w:ilvl w:val="0"/>
          <w:numId w:val="0"/>
        </w:numPr>
      </w:pPr>
    </w:p>
    <w:p w14:paraId="40D7E59D" w14:textId="53C20375" w:rsidR="00DC79F0" w:rsidRPr="00037C61" w:rsidRDefault="76158E8F" w:rsidP="00DC79F0">
      <w:pPr>
        <w:pStyle w:val="Heading2"/>
      </w:pPr>
      <w:bookmarkStart w:id="795" w:name="_Toc64619557"/>
      <w:r w:rsidRPr="00037C61">
        <w:t>Governance</w:t>
      </w:r>
      <w:r w:rsidR="00865211" w:rsidRPr="00037C61">
        <w:t xml:space="preserve"> and</w:t>
      </w:r>
      <w:r w:rsidRPr="00037C61">
        <w:t xml:space="preserve"> relational capital</w:t>
      </w:r>
      <w:bookmarkEnd w:id="795"/>
      <w:r w:rsidRPr="00037C61">
        <w:t xml:space="preserve"> </w:t>
      </w:r>
    </w:p>
    <w:p w14:paraId="1EA2E0F6" w14:textId="4D3D1552" w:rsidR="76158E8F" w:rsidRPr="00037C61" w:rsidRDefault="76158E8F" w:rsidP="76158E8F">
      <w:pPr>
        <w:spacing w:line="257" w:lineRule="auto"/>
        <w:rPr>
          <w:rFonts w:eastAsia="Calibri" w:cs="Calibri"/>
          <w:lang w:val="en-GB"/>
        </w:rPr>
      </w:pPr>
      <w:r w:rsidRPr="00037C61">
        <w:rPr>
          <w:rFonts w:eastAsia="Calibri" w:cs="Calibri"/>
          <w:lang w:val="en-GB"/>
        </w:rPr>
        <w:t xml:space="preserve">The multi-level governance structure of the cross-border program area between Romania and Hungary comprises of the </w:t>
      </w:r>
      <w:r w:rsidRPr="00037C61">
        <w:rPr>
          <w:rFonts w:eastAsia="Calibri" w:cs="Calibri"/>
          <w:i/>
          <w:iCs/>
          <w:lang w:val="en-GB"/>
        </w:rPr>
        <w:t>de jure</w:t>
      </w:r>
      <w:r w:rsidRPr="00037C61">
        <w:rPr>
          <w:rFonts w:eastAsia="Calibri" w:cs="Calibri"/>
          <w:lang w:val="en-GB"/>
        </w:rPr>
        <w:t xml:space="preserve"> administrative levels in both countries, which are complemented by a number of additional territorial structures without administrative function, but with a significant</w:t>
      </w:r>
      <w:r w:rsidR="18A077F3" w:rsidRPr="00037C61">
        <w:rPr>
          <w:rFonts w:eastAsia="Calibri" w:cs="Calibri"/>
          <w:lang w:val="en-GB"/>
        </w:rPr>
        <w:t xml:space="preserve"> </w:t>
      </w:r>
      <w:r w:rsidRPr="00037C61">
        <w:rPr>
          <w:rFonts w:eastAsia="Calibri" w:cs="Calibri"/>
          <w:lang w:val="en-GB"/>
        </w:rPr>
        <w:t xml:space="preserve">role in </w:t>
      </w:r>
      <w:r w:rsidRPr="00037C61">
        <w:rPr>
          <w:rFonts w:eastAsia="Calibri" w:cs="Calibri"/>
          <w:b/>
          <w:bCs/>
          <w:lang w:val="en-GB"/>
        </w:rPr>
        <w:t>facilitating cooperation</w:t>
      </w:r>
      <w:r w:rsidRPr="00037C61">
        <w:rPr>
          <w:rFonts w:eastAsia="Calibri" w:cs="Calibri"/>
          <w:lang w:val="en-GB"/>
        </w:rPr>
        <w:t xml:space="preserve"> either at cross-border level or in local contexts within the national boundaries. </w:t>
      </w:r>
    </w:p>
    <w:p w14:paraId="3B67DAA8" w14:textId="7728F65B" w:rsidR="00286861" w:rsidRPr="00037C61" w:rsidRDefault="00286861" w:rsidP="76158E8F">
      <w:pPr>
        <w:spacing w:line="257" w:lineRule="auto"/>
        <w:rPr>
          <w:lang w:val="en-GB"/>
        </w:rPr>
      </w:pPr>
      <w:r w:rsidRPr="00037C61">
        <w:rPr>
          <w:rFonts w:eastAsia="Calibri" w:cs="Calibri"/>
          <w:lang w:val="en-GB"/>
        </w:rPr>
        <w:t xml:space="preserve">From a political science perspective, cross-border governance can be regarded as a form of foreign policy at the border of Romania and Hungary. Cross-border governance articulates the expression of power (at national, regional and European level), decision-making, political culture and institutions, and is furthermore strongly influenced by the structure of the interrelations between key stakeholders. It can be considered </w:t>
      </w:r>
      <w:r w:rsidRPr="00037C61">
        <w:rPr>
          <w:rFonts w:eastAsia="Calibri" w:cs="Calibri"/>
          <w:i/>
          <w:iCs/>
          <w:lang w:val="en-GB"/>
        </w:rPr>
        <w:t xml:space="preserve">„a political process built through innovation, experimentation, error, and re-evaluation within the unique set of institutional constraints imposed by the fragmented international context” </w:t>
      </w:r>
      <w:r w:rsidRPr="00037C61">
        <w:rPr>
          <w:rFonts w:eastAsia="Calibri" w:cs="Calibri"/>
          <w:lang w:val="en-GB"/>
        </w:rPr>
        <w:t>(Nelles and Durand, 2014).</w:t>
      </w:r>
    </w:p>
    <w:p w14:paraId="4014672A" w14:textId="2EA363EC" w:rsidR="00AB2C7D" w:rsidRPr="00037C61" w:rsidRDefault="00AB2C7D" w:rsidP="00AB2C7D">
      <w:pPr>
        <w:pStyle w:val="Heading3"/>
      </w:pPr>
      <w:bookmarkStart w:id="796" w:name="_Toc53137220"/>
      <w:bookmarkStart w:id="797" w:name="_Toc53137351"/>
      <w:bookmarkStart w:id="798" w:name="_Toc64619558"/>
      <w:r w:rsidRPr="00037C61">
        <w:t>Administrative structure of the programming area</w:t>
      </w:r>
      <w:bookmarkEnd w:id="796"/>
      <w:bookmarkEnd w:id="797"/>
      <w:bookmarkEnd w:id="798"/>
      <w:r w:rsidRPr="00037C61">
        <w:t xml:space="preserve"> </w:t>
      </w:r>
    </w:p>
    <w:p w14:paraId="01E07D44" w14:textId="641531FB" w:rsidR="00AB2C7D" w:rsidRPr="00037C61" w:rsidRDefault="001C55FB" w:rsidP="005E0849">
      <w:pPr>
        <w:rPr>
          <w:lang w:val="en-GB"/>
        </w:rPr>
      </w:pPr>
      <w:r w:rsidRPr="00037C61">
        <w:rPr>
          <w:noProof/>
          <w:lang w:val="ro-RO" w:eastAsia="ro-RO"/>
        </w:rPr>
        <w:drawing>
          <wp:anchor distT="0" distB="0" distL="114300" distR="114300" simplePos="0" relativeHeight="251670016" behindDoc="0" locked="0" layoutInCell="1" allowOverlap="1" wp14:anchorId="030844F0" wp14:editId="08D4D796">
            <wp:simplePos x="0" y="0"/>
            <wp:positionH relativeFrom="margin">
              <wp:align>right</wp:align>
            </wp:positionH>
            <wp:positionV relativeFrom="paragraph">
              <wp:posOffset>44450</wp:posOffset>
            </wp:positionV>
            <wp:extent cx="2977515" cy="2964180"/>
            <wp:effectExtent l="38100" t="38100" r="32385" b="457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61" cstate="print">
                      <a:extLst>
                        <a:ext uri="{28A0092B-C50C-407E-A947-70E740481C1C}">
                          <a14:useLocalDpi xmlns:a14="http://schemas.microsoft.com/office/drawing/2010/main" val="0"/>
                        </a:ext>
                      </a:extLst>
                    </a:blip>
                    <a:stretch>
                      <a:fillRect/>
                    </a:stretch>
                  </pic:blipFill>
                  <pic:spPr bwMode="auto">
                    <a:xfrm>
                      <a:off x="0" y="0"/>
                      <a:ext cx="2977515" cy="2964180"/>
                    </a:xfrm>
                    <a:prstGeom prst="rect">
                      <a:avLst/>
                    </a:prstGeom>
                    <a:noFill/>
                    <a:ln w="28575">
                      <a:solidFill>
                        <a:schemeClr val="bg1">
                          <a:lumMod val="95000"/>
                        </a:schemeClr>
                      </a:solidFill>
                    </a:ln>
                  </pic:spPr>
                </pic:pic>
              </a:graphicData>
            </a:graphic>
            <wp14:sizeRelH relativeFrom="margin">
              <wp14:pctWidth>0</wp14:pctWidth>
            </wp14:sizeRelH>
            <wp14:sizeRelV relativeFrom="margin">
              <wp14:pctHeight>0</wp14:pctHeight>
            </wp14:sizeRelV>
          </wp:anchor>
        </w:drawing>
      </w:r>
      <w:r w:rsidR="00AB2C7D" w:rsidRPr="00037C61">
        <w:rPr>
          <w:lang w:val="en-GB"/>
        </w:rPr>
        <w:t>Both Romania and Hungary represent sovereign, independent, unitary national states. Romania is a Parliamentary Republic with a semi-presidential regime and a bicameral Parliament (</w:t>
      </w:r>
      <w:r w:rsidR="00AB2C7D" w:rsidRPr="00037C61">
        <w:rPr>
          <w:i/>
          <w:iCs/>
          <w:lang w:val="en-GB"/>
        </w:rPr>
        <w:t xml:space="preserve">Senat </w:t>
      </w:r>
      <w:r w:rsidR="00AB2C7D" w:rsidRPr="00037C61">
        <w:rPr>
          <w:lang w:val="en-GB"/>
        </w:rPr>
        <w:t xml:space="preserve">and </w:t>
      </w:r>
      <w:r w:rsidR="00AB2C7D" w:rsidRPr="00037C61">
        <w:rPr>
          <w:i/>
          <w:iCs/>
          <w:lang w:val="en-GB"/>
        </w:rPr>
        <w:t>Camera Deputaților</w:t>
      </w:r>
      <w:r w:rsidR="00AB2C7D" w:rsidRPr="00037C61">
        <w:rPr>
          <w:lang w:val="en-GB"/>
        </w:rPr>
        <w:t>), while Hungary is a parliamentary democracy with a unicameral Parliament (</w:t>
      </w:r>
      <w:r w:rsidR="00AB2C7D" w:rsidRPr="00037C61">
        <w:rPr>
          <w:i/>
          <w:iCs/>
          <w:lang w:val="en-GB"/>
        </w:rPr>
        <w:t>Országgyűlés</w:t>
      </w:r>
      <w:r w:rsidR="00AB2C7D" w:rsidRPr="00037C61">
        <w:rPr>
          <w:lang w:val="en-GB"/>
        </w:rPr>
        <w:t>). From a division of power standpoint, there are several similarities in the construction of the governance system between the two countries, including the existence of statistical regions (NUTS 2)</w:t>
      </w:r>
      <w:r w:rsidR="00853903" w:rsidRPr="00037C61">
        <w:rPr>
          <w:lang w:val="en-GB"/>
        </w:rPr>
        <w:t xml:space="preserve">. The two tears LAU 2 and NUTS 3 have </w:t>
      </w:r>
      <w:r w:rsidR="00AB2C7D" w:rsidRPr="00037C61">
        <w:rPr>
          <w:lang w:val="en-GB"/>
        </w:rPr>
        <w:t xml:space="preserve"> similar competencies, which represents a good basis for cross-border administrative cooperation on themes such as capacity building and public service provision. </w:t>
      </w:r>
    </w:p>
    <w:p w14:paraId="1C32508E" w14:textId="04E138D8" w:rsidR="00AB2C7D" w:rsidRPr="00037C61" w:rsidRDefault="00AB2C7D" w:rsidP="00AB2C7D">
      <w:pPr>
        <w:pStyle w:val="Caption"/>
        <w:jc w:val="left"/>
        <w:rPr>
          <w:lang w:val="en-GB"/>
        </w:rPr>
      </w:pPr>
      <w:bookmarkStart w:id="799" w:name="_Toc6461107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127</w:t>
      </w:r>
      <w:r w:rsidR="00412697">
        <w:rPr>
          <w:lang w:val="en-GB"/>
        </w:rPr>
        <w:fldChar w:fldCharType="end"/>
      </w:r>
      <w:r w:rsidRPr="00037C61">
        <w:rPr>
          <w:lang w:val="en-GB"/>
        </w:rPr>
        <w:t xml:space="preserve"> - Administrative divisions in the cross-border program area between Romania and Hungary</w:t>
      </w:r>
      <w:bookmarkEnd w:id="799"/>
      <w:r w:rsidRPr="00037C61">
        <w:rPr>
          <w:lang w:val="en-GB"/>
        </w:rPr>
        <w:t xml:space="preserve"> </w:t>
      </w:r>
    </w:p>
    <w:p w14:paraId="51490991" w14:textId="77777777" w:rsidR="00AB2C7D" w:rsidRPr="00037C61" w:rsidRDefault="00AB2C7D" w:rsidP="00AB2C7D">
      <w:pPr>
        <w:rPr>
          <w:lang w:val="en-GB"/>
        </w:rPr>
      </w:pPr>
    </w:p>
    <w:p w14:paraId="7A00D012" w14:textId="77777777" w:rsidR="00AB2C7D" w:rsidRPr="00037C61" w:rsidRDefault="00AB2C7D" w:rsidP="00AB2C7D">
      <w:pPr>
        <w:pStyle w:val="Heading4"/>
        <w:rPr>
          <w:lang w:val="en-GB"/>
        </w:rPr>
      </w:pPr>
      <w:r w:rsidRPr="00037C61">
        <w:rPr>
          <w:lang w:val="en-GB"/>
        </w:rPr>
        <w:t xml:space="preserve">National and subnational government </w:t>
      </w:r>
    </w:p>
    <w:p w14:paraId="0C3B3EEC" w14:textId="78065C97" w:rsidR="00AB2C7D" w:rsidRPr="00037C61" w:rsidRDefault="00AB2C7D" w:rsidP="00AB2C7D">
      <w:pPr>
        <w:rPr>
          <w:lang w:val="en-GB"/>
        </w:rPr>
      </w:pPr>
      <w:r w:rsidRPr="00037C61">
        <w:rPr>
          <w:b/>
          <w:bCs/>
          <w:lang w:val="en-GB"/>
        </w:rPr>
        <w:t xml:space="preserve">Romania </w:t>
      </w:r>
      <w:r w:rsidRPr="00037C61">
        <w:rPr>
          <w:lang w:val="en-GB"/>
        </w:rPr>
        <w:t>is governed by the principles of decentralisation and local</w:t>
      </w:r>
      <w:r w:rsidR="6B20826F" w:rsidRPr="00037C61">
        <w:rPr>
          <w:lang w:val="en-GB"/>
        </w:rPr>
        <w:t xml:space="preserve"> </w:t>
      </w:r>
      <w:r w:rsidR="4E46BCC4" w:rsidRPr="00037C61">
        <w:rPr>
          <w:lang w:val="en-GB"/>
        </w:rPr>
        <w:t>administrative</w:t>
      </w:r>
      <w:r w:rsidRPr="00037C61">
        <w:rPr>
          <w:lang w:val="en-GB"/>
        </w:rPr>
        <w:t xml:space="preserve"> autonomy. </w:t>
      </w:r>
      <w:r w:rsidR="00C9642A" w:rsidRPr="00037C61">
        <w:rPr>
          <w:lang w:val="en-GB"/>
        </w:rPr>
        <w:t>It</w:t>
      </w:r>
      <w:r w:rsidRPr="00037C61">
        <w:rPr>
          <w:lang w:val="en-GB"/>
        </w:rPr>
        <w:t>s administrative organisation is characterised by two levels of local administration: the counties – județe (NUTS 3) and the LAU 2 communes and towns. Towns having a larger number of inhabitants (usually over 20,000) and major economic, social, political and scientific functions may be classified as municipalities (Law 351/2001).</w:t>
      </w:r>
    </w:p>
    <w:p w14:paraId="3A5D21A1" w14:textId="3A55458E" w:rsidR="00AB2C7D" w:rsidRPr="00037C61" w:rsidRDefault="00AB2C7D" w:rsidP="00AB2C7D">
      <w:pPr>
        <w:rPr>
          <w:lang w:val="en-GB"/>
        </w:rPr>
      </w:pPr>
      <w:r w:rsidRPr="00037C61">
        <w:rPr>
          <w:b/>
          <w:bCs/>
          <w:lang w:val="en-GB"/>
        </w:rPr>
        <w:lastRenderedPageBreak/>
        <w:t>Regional development</w:t>
      </w:r>
      <w:r w:rsidRPr="00037C61">
        <w:rPr>
          <w:lang w:val="en-GB"/>
        </w:rPr>
        <w:t xml:space="preserve"> is governed by the Regional Development in Romania Act (No. 315/2004) establishing the institutional framework, objectives, competences of the development regions and the specific instruments of regional development policy. There are eight development regions on the Romanian territory. The development regions are not administrative-territorial units, being devoid of legal administrative status – however, because of the new prominent role which they will hold in the 2021-2027 programming period as </w:t>
      </w:r>
      <w:r w:rsidRPr="00037C61">
        <w:rPr>
          <w:b/>
          <w:bCs/>
          <w:lang w:val="en-GB"/>
        </w:rPr>
        <w:t>Managing Authorities for the Regional Operational Programmes</w:t>
      </w:r>
      <w:r w:rsidRPr="00037C61">
        <w:rPr>
          <w:lang w:val="en-GB"/>
        </w:rPr>
        <w:t xml:space="preserve">, they represent a </w:t>
      </w:r>
      <w:r w:rsidRPr="00037C61">
        <w:rPr>
          <w:b/>
          <w:bCs/>
          <w:lang w:val="en-GB"/>
        </w:rPr>
        <w:t>critical multi-level governance actor in the cross-border area.</w:t>
      </w:r>
      <w:r w:rsidRPr="00037C61">
        <w:rPr>
          <w:lang w:val="en-GB"/>
        </w:rPr>
        <w:t xml:space="preserve"> </w:t>
      </w:r>
    </w:p>
    <w:p w14:paraId="21DFFEF9" w14:textId="274AE671" w:rsidR="00AB2C7D" w:rsidRPr="00037C61" w:rsidRDefault="00AB2C7D" w:rsidP="00AB2C7D">
      <w:pPr>
        <w:rPr>
          <w:lang w:val="en-GB"/>
        </w:rPr>
      </w:pPr>
      <w:r w:rsidRPr="00037C61">
        <w:rPr>
          <w:b/>
          <w:bCs/>
          <w:lang w:val="en-GB"/>
        </w:rPr>
        <w:t>Hungary</w:t>
      </w:r>
      <w:r w:rsidRPr="00037C61">
        <w:rPr>
          <w:lang w:val="en-GB"/>
        </w:rPr>
        <w:t xml:space="preserve"> is a unitary decentralized State recognizing the local governmental system within the Fundamental Law (Art. 31-35). Similarly to the case of Romania, there are three </w:t>
      </w:r>
      <w:r w:rsidRPr="00037C61">
        <w:rPr>
          <w:i/>
          <w:iCs/>
          <w:lang w:val="en-GB"/>
        </w:rPr>
        <w:t xml:space="preserve">de jure </w:t>
      </w:r>
      <w:r w:rsidRPr="00037C61">
        <w:rPr>
          <w:lang w:val="en-GB"/>
        </w:rPr>
        <w:t>levels of governance: the central level, 19 NUTS 3 counties (</w:t>
      </w:r>
      <w:r w:rsidRPr="00037C61">
        <w:rPr>
          <w:i/>
          <w:lang w:val="en-GB"/>
        </w:rPr>
        <w:t>megyék</w:t>
      </w:r>
      <w:r w:rsidRPr="00037C61">
        <w:rPr>
          <w:lang w:val="en-GB"/>
        </w:rPr>
        <w:t xml:space="preserve">) and 3,178 LAU 2 units (local), with an average municipal size of 3,125 inhabitants (UCLG, 2016), which is a little over half of that of Romania (6,072 inhabitants, in 2020 - INS) and which points towards a </w:t>
      </w:r>
      <w:r w:rsidRPr="00037C61">
        <w:rPr>
          <w:b/>
          <w:bCs/>
          <w:lang w:val="en-GB"/>
        </w:rPr>
        <w:t>fragmented administration landscape.</w:t>
      </w:r>
      <w:r w:rsidRPr="00037C61">
        <w:rPr>
          <w:lang w:val="en-GB"/>
        </w:rPr>
        <w:t xml:space="preserve"> </w:t>
      </w:r>
    </w:p>
    <w:p w14:paraId="294555FF" w14:textId="7F77329F" w:rsidR="00AB2C7D" w:rsidRPr="00037C61" w:rsidRDefault="00AB2C7D" w:rsidP="00AB2C7D">
      <w:pPr>
        <w:rPr>
          <w:lang w:val="en-GB"/>
        </w:rPr>
      </w:pPr>
      <w:r w:rsidRPr="00037C61">
        <w:rPr>
          <w:lang w:val="en-GB"/>
        </w:rPr>
        <w:t xml:space="preserve">The starting point of the post-1989 decentralisation process in Hungary has been the adoption of the Law on Local Self-Government of 1990; however, a new Local Government Act was adopted in 2011 (LGA, in effect from 2013) and brought important changes to the territorial organisation and distribution of competences, recentralising several competences. A </w:t>
      </w:r>
      <w:r w:rsidRPr="00037C61">
        <w:rPr>
          <w:b/>
          <w:lang w:val="en-GB"/>
        </w:rPr>
        <w:t>State reform in 2013</w:t>
      </w:r>
      <w:r w:rsidRPr="00037C61">
        <w:rPr>
          <w:lang w:val="en-GB"/>
        </w:rPr>
        <w:t xml:space="preserve"> introduced 175 districts (járás), a new administrative structure taking over functions exercised previously by municipalities, which are currently in charge of local administration legal and financial supervision (idem). The potential for local government service provision is currently limited by the reduced share of GDP allotted by the Government, making the </w:t>
      </w:r>
      <w:r w:rsidRPr="00037C61">
        <w:rPr>
          <w:b/>
          <w:lang w:val="en-GB"/>
        </w:rPr>
        <w:t xml:space="preserve">cross-border cooperation for </w:t>
      </w:r>
      <w:r w:rsidRPr="00037C61">
        <w:rPr>
          <w:b/>
          <w:bCs/>
          <w:lang w:val="en-GB"/>
        </w:rPr>
        <w:t>addressing</w:t>
      </w:r>
      <w:r w:rsidRPr="00037C61">
        <w:rPr>
          <w:b/>
          <w:lang w:val="en-GB"/>
        </w:rPr>
        <w:t xml:space="preserve"> specific challenges</w:t>
      </w:r>
      <w:r w:rsidR="0084216E" w:rsidRPr="00037C61">
        <w:rPr>
          <w:b/>
          <w:lang w:val="en-GB"/>
        </w:rPr>
        <w:t xml:space="preserve"> at municipal level</w:t>
      </w:r>
      <w:r w:rsidRPr="00037C61">
        <w:rPr>
          <w:lang w:val="en-GB"/>
        </w:rPr>
        <w:t xml:space="preserve"> a very relevant and potentially powerful instrument. While in the EU-27, local government expenditure amounts to 10.8% of the GDP, in Romania it is 8.1%, and in Hungary, only 6.3% in 2018 (Eurostat, gov_10a_exp, 2020).  </w:t>
      </w:r>
    </w:p>
    <w:p w14:paraId="6400F2AC" w14:textId="77777777" w:rsidR="00AB2C7D" w:rsidRPr="00037C61" w:rsidRDefault="00AB2C7D" w:rsidP="00AB2C7D">
      <w:pPr>
        <w:pStyle w:val="Heading4"/>
        <w:rPr>
          <w:lang w:val="en-GB"/>
        </w:rPr>
      </w:pPr>
      <w:r w:rsidRPr="00037C61">
        <w:rPr>
          <w:lang w:val="en-GB"/>
        </w:rPr>
        <w:t xml:space="preserve">Competencies of local administrative levels </w:t>
      </w:r>
    </w:p>
    <w:p w14:paraId="136AA4ED" w14:textId="77777777" w:rsidR="00AB2C7D" w:rsidRPr="00037C61" w:rsidRDefault="00AB2C7D" w:rsidP="00AB2C7D">
      <w:pPr>
        <w:rPr>
          <w:lang w:val="en-GB"/>
        </w:rPr>
      </w:pPr>
      <w:r w:rsidRPr="00037C61">
        <w:rPr>
          <w:lang w:val="en-GB"/>
        </w:rPr>
        <w:t xml:space="preserve">The Treaty of Lisbon, amending the Treaty on European Union and the Treaty establishing the European Community (OJ C 306, 17.12.2007) and entered into force on 1 December 2009, underlines the importance of good accessibility to public services for achieving territorial cohesion. Within the programming area, the public services of relevance to cohesion and quality of life organized at subnational government level unit are the following:  </w:t>
      </w:r>
    </w:p>
    <w:p w14:paraId="7D45D5E9" w14:textId="1D36FE86" w:rsidR="00AB2C7D" w:rsidRPr="00037C61" w:rsidRDefault="00AB2C7D" w:rsidP="00AB2C7D">
      <w:pPr>
        <w:pStyle w:val="Caption"/>
        <w:keepNext/>
        <w:jc w:val="left"/>
        <w:rPr>
          <w:lang w:val="en-GB"/>
        </w:rPr>
      </w:pPr>
      <w:bookmarkStart w:id="800" w:name="_Toc58237668"/>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46</w:t>
      </w:r>
      <w:r w:rsidRPr="00037C61">
        <w:rPr>
          <w:lang w:val="en-GB"/>
        </w:rPr>
        <w:fldChar w:fldCharType="end"/>
      </w:r>
      <w:r w:rsidRPr="00037C61">
        <w:rPr>
          <w:lang w:val="en-GB"/>
        </w:rPr>
        <w:t xml:space="preserve"> - Comparative table of subnational government competencies in Romania and Hungary</w:t>
      </w:r>
      <w:bookmarkEnd w:id="800"/>
    </w:p>
    <w:tbl>
      <w:tblPr>
        <w:tblW w:w="9214" w:type="dxa"/>
        <w:tblLook w:val="04A0" w:firstRow="1" w:lastRow="0" w:firstColumn="1" w:lastColumn="0" w:noHBand="0" w:noVBand="1"/>
      </w:tblPr>
      <w:tblGrid>
        <w:gridCol w:w="5812"/>
        <w:gridCol w:w="3402"/>
      </w:tblGrid>
      <w:tr w:rsidR="00AB2C7D" w:rsidRPr="00037C61" w14:paraId="44E14987" w14:textId="77777777" w:rsidTr="005E0849">
        <w:trPr>
          <w:trHeight w:val="319"/>
        </w:trPr>
        <w:tc>
          <w:tcPr>
            <w:tcW w:w="5812" w:type="dxa"/>
            <w:shd w:val="clear" w:color="auto" w:fill="034FA3" w:themeFill="accent1"/>
          </w:tcPr>
          <w:p w14:paraId="7B2C4639" w14:textId="77777777" w:rsidR="00AB2C7D" w:rsidRPr="00037C61" w:rsidRDefault="00AB2C7D" w:rsidP="00EA5C18">
            <w:pPr>
              <w:jc w:val="center"/>
              <w:rPr>
                <w:rFonts w:cs="Calibri"/>
                <w:b/>
                <w:bCs/>
                <w:color w:val="FFFFFF" w:themeColor="background1"/>
                <w:sz w:val="20"/>
                <w:szCs w:val="20"/>
                <w:lang w:val="en-GB"/>
              </w:rPr>
            </w:pPr>
            <w:r w:rsidRPr="00037C61">
              <w:rPr>
                <w:rFonts w:cs="Calibri"/>
                <w:b/>
                <w:bCs/>
                <w:color w:val="FFFFFF" w:themeColor="background1"/>
                <w:sz w:val="20"/>
                <w:szCs w:val="20"/>
                <w:lang w:val="en-GB"/>
              </w:rPr>
              <w:t>Romania</w:t>
            </w:r>
          </w:p>
        </w:tc>
        <w:tc>
          <w:tcPr>
            <w:tcW w:w="3402" w:type="dxa"/>
            <w:shd w:val="clear" w:color="auto" w:fill="034FA3" w:themeFill="accent1"/>
          </w:tcPr>
          <w:p w14:paraId="6C8EFF33" w14:textId="77777777" w:rsidR="00AB2C7D" w:rsidRPr="00037C61" w:rsidRDefault="00AB2C7D" w:rsidP="00EA5C18">
            <w:pPr>
              <w:jc w:val="center"/>
              <w:rPr>
                <w:rFonts w:cs="Calibri"/>
                <w:b/>
                <w:bCs/>
                <w:color w:val="FFFFFF" w:themeColor="background1"/>
                <w:sz w:val="20"/>
                <w:szCs w:val="20"/>
                <w:lang w:val="en-GB"/>
              </w:rPr>
            </w:pPr>
            <w:r w:rsidRPr="00037C61">
              <w:rPr>
                <w:rFonts w:cs="Calibri"/>
                <w:b/>
                <w:bCs/>
                <w:color w:val="FFFFFF" w:themeColor="background1"/>
                <w:sz w:val="20"/>
                <w:szCs w:val="20"/>
                <w:lang w:val="en-GB"/>
              </w:rPr>
              <w:t>Hungary</w:t>
            </w:r>
          </w:p>
        </w:tc>
      </w:tr>
      <w:tr w:rsidR="00AB2C7D" w:rsidRPr="00037C61" w14:paraId="3ECCBAF2" w14:textId="77777777" w:rsidTr="005E0849">
        <w:tc>
          <w:tcPr>
            <w:tcW w:w="9214" w:type="dxa"/>
            <w:gridSpan w:val="2"/>
            <w:shd w:val="clear" w:color="auto" w:fill="EAEDF6" w:themeFill="accent2" w:themeFillTint="33"/>
          </w:tcPr>
          <w:p w14:paraId="11CE9F94" w14:textId="77777777" w:rsidR="00AB2C7D" w:rsidRPr="00037C61" w:rsidRDefault="00AB2C7D" w:rsidP="00EA5C18">
            <w:pPr>
              <w:jc w:val="center"/>
              <w:rPr>
                <w:rFonts w:cs="Calibri"/>
                <w:b/>
                <w:bCs/>
                <w:sz w:val="20"/>
                <w:szCs w:val="20"/>
                <w:lang w:val="en-GB"/>
              </w:rPr>
            </w:pPr>
            <w:r w:rsidRPr="00037C61">
              <w:rPr>
                <w:rFonts w:cs="Calibri"/>
                <w:b/>
                <w:bCs/>
                <w:sz w:val="20"/>
                <w:szCs w:val="20"/>
                <w:lang w:val="en-GB"/>
              </w:rPr>
              <w:t xml:space="preserve">Local level competencies </w:t>
            </w:r>
          </w:p>
        </w:tc>
      </w:tr>
      <w:tr w:rsidR="00AB2C7D" w:rsidRPr="00037C61" w14:paraId="391FBCBF" w14:textId="77777777" w:rsidTr="005E0849">
        <w:tc>
          <w:tcPr>
            <w:tcW w:w="5812" w:type="dxa"/>
          </w:tcPr>
          <w:p w14:paraId="4F2CA902" w14:textId="77777777" w:rsidR="00AB2C7D" w:rsidRPr="00037C61" w:rsidRDefault="00AB2C7D" w:rsidP="00EA5C18">
            <w:pPr>
              <w:rPr>
                <w:rFonts w:cs="Calibri"/>
                <w:b/>
                <w:bCs/>
                <w:sz w:val="20"/>
                <w:szCs w:val="20"/>
                <w:lang w:val="en-GB"/>
              </w:rPr>
            </w:pPr>
            <w:r w:rsidRPr="00037C61">
              <w:rPr>
                <w:rFonts w:cs="Calibri"/>
                <w:b/>
                <w:bCs/>
                <w:sz w:val="20"/>
                <w:szCs w:val="20"/>
                <w:lang w:val="en-GB"/>
              </w:rPr>
              <w:t xml:space="preserve">Own competencies: </w:t>
            </w:r>
          </w:p>
          <w:p w14:paraId="7F5C9C6C"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Urban development, land use planning;</w:t>
            </w:r>
          </w:p>
          <w:p w14:paraId="1EE9CE40"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Management of public and private domain;</w:t>
            </w:r>
          </w:p>
          <w:p w14:paraId="0A9A4033"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 xml:space="preserve">Administration of local public health units;  </w:t>
            </w:r>
          </w:p>
          <w:p w14:paraId="5A9D9AED"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Community health care;</w:t>
            </w:r>
          </w:p>
          <w:p w14:paraId="6B4D4AFD"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Medical care provided in local public health units;</w:t>
            </w:r>
          </w:p>
          <w:p w14:paraId="0F42C466"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Local cultural institutions;</w:t>
            </w:r>
          </w:p>
          <w:p w14:paraId="0F753388"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Social services for child protection and for the elderly;</w:t>
            </w:r>
          </w:p>
          <w:p w14:paraId="1E469DE8"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Social services and specialised services for victims of domestic violence;</w:t>
            </w:r>
          </w:p>
          <w:p w14:paraId="16249B49"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Issuing of permits / authorizations;</w:t>
            </w:r>
          </w:p>
          <w:p w14:paraId="1565F65F"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Road infrastructure of local interest;</w:t>
            </w:r>
          </w:p>
          <w:p w14:paraId="03A94C7E"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lastRenderedPageBreak/>
              <w:t>Water supply; Sewerage and treatment of wastewater and pluvial waters; Public lighting; Sanitation;</w:t>
            </w:r>
          </w:p>
          <w:p w14:paraId="10E8372C"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Local public passenger transport;</w:t>
            </w:r>
          </w:p>
          <w:p w14:paraId="37994BB5" w14:textId="77777777" w:rsidR="00AB2C7D" w:rsidRPr="00037C61" w:rsidRDefault="00AB2C7D" w:rsidP="00EA5C18">
            <w:pPr>
              <w:rPr>
                <w:rFonts w:cs="Calibri"/>
                <w:sz w:val="20"/>
                <w:szCs w:val="20"/>
                <w:lang w:val="en-GB"/>
              </w:rPr>
            </w:pPr>
          </w:p>
          <w:p w14:paraId="0EFA257D" w14:textId="77777777" w:rsidR="00AB2C7D" w:rsidRPr="00037C61" w:rsidRDefault="00AB2C7D" w:rsidP="00EA5C18">
            <w:pPr>
              <w:rPr>
                <w:rFonts w:cs="Calibri"/>
                <w:b/>
                <w:bCs/>
                <w:sz w:val="20"/>
                <w:szCs w:val="20"/>
                <w:lang w:val="en-GB"/>
              </w:rPr>
            </w:pPr>
            <w:r w:rsidRPr="00037C61">
              <w:rPr>
                <w:rFonts w:cs="Calibri"/>
                <w:b/>
                <w:bCs/>
                <w:sz w:val="20"/>
                <w:szCs w:val="20"/>
                <w:lang w:val="en-GB"/>
              </w:rPr>
              <w:t xml:space="preserve">Shared competencies with the central PA:  </w:t>
            </w:r>
          </w:p>
          <w:p w14:paraId="2D7CF1DF"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Construction of social housing for youth;</w:t>
            </w:r>
          </w:p>
          <w:p w14:paraId="2D57BA1A"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Pre-university education, excepting special education;</w:t>
            </w:r>
          </w:p>
          <w:p w14:paraId="198B32DE"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Public order and safety;</w:t>
            </w:r>
          </w:p>
          <w:p w14:paraId="0C2B23B3"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Granting of social assistance to people in need;</w:t>
            </w:r>
          </w:p>
          <w:p w14:paraId="6E055494"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Prevention and management of local emergencies;</w:t>
            </w:r>
          </w:p>
          <w:p w14:paraId="5D8AA7B4"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Medical care and social services to people with social problems;</w:t>
            </w:r>
          </w:p>
          <w:p w14:paraId="2B507AA2"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Social services for people with disabilities;</w:t>
            </w:r>
          </w:p>
          <w:p w14:paraId="497D7550"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Social services for the elderly;</w:t>
            </w:r>
          </w:p>
          <w:p w14:paraId="6D0A5D72"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Public community services of personal records;</w:t>
            </w:r>
          </w:p>
          <w:p w14:paraId="41AFC105"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Management of road infrastructure of the communes;</w:t>
            </w:r>
          </w:p>
          <w:p w14:paraId="0E8CB828"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The financing of personnel costs for doctors and nurses, as well as medical and sanitary expenses in medical and social care units;</w:t>
            </w:r>
          </w:p>
          <w:p w14:paraId="47819A1E"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Urban planning and urbanism;</w:t>
            </w:r>
          </w:p>
          <w:p w14:paraId="52024498"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The heat supply produced in a centralized system (district heating);</w:t>
            </w:r>
          </w:p>
          <w:p w14:paraId="3C0E50F0" w14:textId="77777777" w:rsidR="00AB2C7D" w:rsidRPr="00037C61" w:rsidRDefault="00AB2C7D" w:rsidP="00EA5C18">
            <w:pPr>
              <w:rPr>
                <w:rFonts w:cs="Calibri"/>
                <w:sz w:val="20"/>
                <w:szCs w:val="20"/>
                <w:lang w:val="en-GB"/>
              </w:rPr>
            </w:pPr>
          </w:p>
          <w:p w14:paraId="0C43D93D"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Other competencies established by law.</w:t>
            </w:r>
          </w:p>
        </w:tc>
        <w:tc>
          <w:tcPr>
            <w:tcW w:w="3402" w:type="dxa"/>
          </w:tcPr>
          <w:p w14:paraId="21F1A8AB"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lastRenderedPageBreak/>
              <w:t>Urban development, land use planning;</w:t>
            </w:r>
          </w:p>
          <w:p w14:paraId="4EE061BE"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Urban operations (management of public and private domain);</w:t>
            </w:r>
          </w:p>
          <w:p w14:paraId="111283A7"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 xml:space="preserve">Primary healthcare, services promoting healthy ways of living; </w:t>
            </w:r>
          </w:p>
          <w:p w14:paraId="0E51580A"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Environmental health;</w:t>
            </w:r>
          </w:p>
          <w:p w14:paraId="61AB3E37"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Kindergarten services;</w:t>
            </w:r>
          </w:p>
          <w:p w14:paraId="017EA1DF"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Cultural services;</w:t>
            </w:r>
          </w:p>
          <w:p w14:paraId="72148BF9"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Social, child welfare and child protection services;</w:t>
            </w:r>
          </w:p>
          <w:p w14:paraId="194AD6DB"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Housing and property management;</w:t>
            </w:r>
          </w:p>
          <w:p w14:paraId="67215743"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lastRenderedPageBreak/>
              <w:t>Rehabilitation of the homeless and prevention of homelessness;</w:t>
            </w:r>
          </w:p>
          <w:p w14:paraId="051D9F07"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 xml:space="preserve">Protection of the local environment and nature, water management, preventing flood damages, supply of drinking water, canalisation, treatment and disposal of waste water (sewage service); waste management; </w:t>
            </w:r>
          </w:p>
          <w:p w14:paraId="5C6A826B"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National defence, civil defence, disaster protection, local public employment;</w:t>
            </w:r>
          </w:p>
          <w:p w14:paraId="7D1A2985"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Duties related to local taxes, organising local economy and tourism;</w:t>
            </w:r>
          </w:p>
          <w:p w14:paraId="6FB7CDAC"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Providing sales opportunities for small-scale producers and licensed traditional producer;</w:t>
            </w:r>
          </w:p>
          <w:p w14:paraId="795A3126"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Sport- and youth-related affairs;</w:t>
            </w:r>
          </w:p>
          <w:p w14:paraId="141C6DC7"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Nationality affairs;</w:t>
            </w:r>
          </w:p>
          <w:p w14:paraId="21AC1F38"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Participation in ensuring public safety of their municipality;</w:t>
            </w:r>
          </w:p>
          <w:p w14:paraId="63367C76"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Providing local public transport;</w:t>
            </w:r>
          </w:p>
          <w:p w14:paraId="3C51A1E5" w14:textId="77777777" w:rsidR="00AB2C7D" w:rsidRPr="00037C61" w:rsidRDefault="00AB2C7D" w:rsidP="00014AA0">
            <w:pPr>
              <w:pStyle w:val="ListParagraph"/>
              <w:numPr>
                <w:ilvl w:val="0"/>
                <w:numId w:val="2"/>
              </w:numPr>
              <w:spacing w:after="0" w:line="240" w:lineRule="auto"/>
              <w:rPr>
                <w:rFonts w:cs="Calibri"/>
                <w:sz w:val="20"/>
                <w:szCs w:val="20"/>
                <w:lang w:val="en-GB"/>
              </w:rPr>
            </w:pPr>
            <w:r w:rsidRPr="00037C61">
              <w:rPr>
                <w:rFonts w:cs="Calibri"/>
                <w:sz w:val="20"/>
                <w:szCs w:val="20"/>
                <w:lang w:val="en-GB"/>
              </w:rPr>
              <w:t>District heat supply.</w:t>
            </w:r>
          </w:p>
          <w:p w14:paraId="22BC9EAB" w14:textId="77777777" w:rsidR="00AB2C7D" w:rsidRPr="00037C61" w:rsidRDefault="00AB2C7D" w:rsidP="00EA5C18">
            <w:pPr>
              <w:rPr>
                <w:rFonts w:cs="Calibri"/>
                <w:sz w:val="20"/>
                <w:szCs w:val="20"/>
                <w:lang w:val="en-GB"/>
              </w:rPr>
            </w:pPr>
          </w:p>
        </w:tc>
      </w:tr>
      <w:tr w:rsidR="00AB2C7D" w:rsidRPr="00037C61" w14:paraId="29779A6A" w14:textId="77777777" w:rsidTr="005E0849">
        <w:tc>
          <w:tcPr>
            <w:tcW w:w="9214" w:type="dxa"/>
            <w:gridSpan w:val="2"/>
            <w:shd w:val="clear" w:color="auto" w:fill="EAEDF6" w:themeFill="accent2" w:themeFillTint="33"/>
          </w:tcPr>
          <w:p w14:paraId="1198AED3" w14:textId="77777777" w:rsidR="00AB2C7D" w:rsidRPr="00037C61" w:rsidRDefault="00AB2C7D" w:rsidP="00EA5C18">
            <w:pPr>
              <w:jc w:val="center"/>
              <w:rPr>
                <w:rFonts w:cs="Calibri"/>
                <w:b/>
                <w:bCs/>
                <w:sz w:val="20"/>
                <w:szCs w:val="20"/>
                <w:lang w:val="en-GB"/>
              </w:rPr>
            </w:pPr>
            <w:r w:rsidRPr="00037C61">
              <w:rPr>
                <w:rFonts w:cs="Calibri"/>
                <w:b/>
                <w:bCs/>
                <w:sz w:val="20"/>
                <w:szCs w:val="20"/>
                <w:lang w:val="en-GB"/>
              </w:rPr>
              <w:lastRenderedPageBreak/>
              <w:t xml:space="preserve">County level competencies  </w:t>
            </w:r>
          </w:p>
        </w:tc>
      </w:tr>
      <w:tr w:rsidR="00AB2C7D" w:rsidRPr="00037C61" w14:paraId="3E8CBF23" w14:textId="77777777" w:rsidTr="005E0849">
        <w:tc>
          <w:tcPr>
            <w:tcW w:w="5812" w:type="dxa"/>
          </w:tcPr>
          <w:p w14:paraId="6C6B8C1A" w14:textId="77777777" w:rsidR="00AB2C7D" w:rsidRPr="00037C61" w:rsidRDefault="00AB2C7D" w:rsidP="00EA5C18">
            <w:pPr>
              <w:rPr>
                <w:rFonts w:cs="Calibri"/>
                <w:b/>
                <w:bCs/>
                <w:sz w:val="20"/>
                <w:szCs w:val="20"/>
                <w:lang w:val="en-GB"/>
              </w:rPr>
            </w:pPr>
            <w:r w:rsidRPr="00037C61">
              <w:rPr>
                <w:rFonts w:cs="Calibri"/>
                <w:b/>
                <w:bCs/>
                <w:sz w:val="20"/>
                <w:szCs w:val="20"/>
                <w:lang w:val="en-GB"/>
              </w:rPr>
              <w:t xml:space="preserve">Own competencies: </w:t>
            </w:r>
          </w:p>
          <w:p w14:paraId="74EAB91A"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Management of local airports, public and private domain of the County;</w:t>
            </w:r>
          </w:p>
          <w:p w14:paraId="6BCC1DCB"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Management of cultural institutions of County interest;</w:t>
            </w:r>
          </w:p>
          <w:p w14:paraId="109FDE9F"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 xml:space="preserve">Administration of county public health units; </w:t>
            </w:r>
          </w:p>
          <w:p w14:paraId="602C4690"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Primary social services and specialised services for victims of domestic violence;</w:t>
            </w:r>
          </w:p>
          <w:p w14:paraId="1D9BE31F"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Issuing of permits / authorizations;</w:t>
            </w:r>
          </w:p>
          <w:p w14:paraId="0064E9D1"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Medical care provided in local public health units;</w:t>
            </w:r>
          </w:p>
          <w:p w14:paraId="3A6AAA54"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Other competencies established by law.</w:t>
            </w:r>
          </w:p>
          <w:p w14:paraId="29152339" w14:textId="77777777" w:rsidR="00AB2C7D" w:rsidRPr="00037C61" w:rsidRDefault="00AB2C7D" w:rsidP="00EA5C18">
            <w:pPr>
              <w:pStyle w:val="InterregROHUBullet1"/>
              <w:numPr>
                <w:ilvl w:val="0"/>
                <w:numId w:val="0"/>
              </w:numPr>
              <w:spacing w:after="0"/>
              <w:ind w:left="318"/>
              <w:rPr>
                <w:rFonts w:cs="Calibri"/>
                <w:sz w:val="20"/>
                <w:szCs w:val="20"/>
                <w:lang w:eastAsia="en-GB"/>
              </w:rPr>
            </w:pPr>
          </w:p>
          <w:p w14:paraId="2AF5073E" w14:textId="77777777" w:rsidR="00AB2C7D" w:rsidRPr="00037C61" w:rsidRDefault="00AB2C7D" w:rsidP="00EA5C18">
            <w:pPr>
              <w:rPr>
                <w:rFonts w:cs="Calibri"/>
                <w:b/>
                <w:bCs/>
                <w:sz w:val="20"/>
                <w:szCs w:val="20"/>
                <w:lang w:val="en-GB"/>
              </w:rPr>
            </w:pPr>
            <w:r w:rsidRPr="00037C61">
              <w:rPr>
                <w:rFonts w:cs="Calibri"/>
                <w:b/>
                <w:bCs/>
                <w:sz w:val="20"/>
                <w:szCs w:val="20"/>
                <w:lang w:val="en-GB"/>
              </w:rPr>
              <w:t xml:space="preserve">Shared competencies with the central public administration: </w:t>
            </w:r>
          </w:p>
          <w:p w14:paraId="15239E95"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 xml:space="preserve">Management of county road infrastructure; </w:t>
            </w:r>
          </w:p>
          <w:p w14:paraId="1287716E"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Special education;</w:t>
            </w:r>
          </w:p>
          <w:p w14:paraId="71173E62"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Medical care and social services for people with social problems;</w:t>
            </w:r>
          </w:p>
          <w:p w14:paraId="23C12300"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Primary social services and specialised services for the child protection;</w:t>
            </w:r>
          </w:p>
          <w:p w14:paraId="436871F8"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 xml:space="preserve">Specialised social services for people with disabilities and for the elderly; </w:t>
            </w:r>
          </w:p>
          <w:p w14:paraId="18E90F10"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Public community service of personal records;</w:t>
            </w:r>
          </w:p>
          <w:p w14:paraId="3FF395BB"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Agricultural consultancy at the county level;</w:t>
            </w:r>
          </w:p>
          <w:p w14:paraId="7EC3F442" w14:textId="77777777" w:rsidR="00AB2C7D" w:rsidRPr="00037C61" w:rsidRDefault="00AB2C7D" w:rsidP="00EA5C18">
            <w:pPr>
              <w:pStyle w:val="InterregROHUBullet1"/>
              <w:spacing w:after="0"/>
              <w:ind w:left="318" w:hanging="357"/>
              <w:rPr>
                <w:rFonts w:cs="Calibri"/>
                <w:sz w:val="20"/>
                <w:szCs w:val="20"/>
                <w:lang w:eastAsia="en-GB"/>
              </w:rPr>
            </w:pPr>
            <w:r w:rsidRPr="00037C61">
              <w:rPr>
                <w:rFonts w:cs="Calibri"/>
                <w:sz w:val="20"/>
                <w:szCs w:val="20"/>
                <w:lang w:eastAsia="en-GB"/>
              </w:rPr>
              <w:t xml:space="preserve">Other competencies established by law. </w:t>
            </w:r>
          </w:p>
        </w:tc>
        <w:tc>
          <w:tcPr>
            <w:tcW w:w="3402" w:type="dxa"/>
          </w:tcPr>
          <w:p w14:paraId="3E7E7333"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Territorial development;</w:t>
            </w:r>
          </w:p>
          <w:p w14:paraId="141642AC"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Rural development;</w:t>
            </w:r>
          </w:p>
          <w:p w14:paraId="35087D7A" w14:textId="77777777" w:rsidR="00AB2C7D" w:rsidRPr="00037C61" w:rsidRDefault="00AB2C7D" w:rsidP="00EA5C18">
            <w:pPr>
              <w:pStyle w:val="InterregROHUBullet1"/>
              <w:spacing w:after="0"/>
              <w:ind w:left="318"/>
              <w:rPr>
                <w:rFonts w:cs="Calibri"/>
                <w:sz w:val="20"/>
                <w:szCs w:val="20"/>
                <w:lang w:eastAsia="en-GB"/>
              </w:rPr>
            </w:pPr>
            <w:r w:rsidRPr="00037C61">
              <w:rPr>
                <w:rFonts w:cs="Calibri"/>
                <w:sz w:val="20"/>
                <w:szCs w:val="20"/>
                <w:lang w:eastAsia="en-GB"/>
              </w:rPr>
              <w:t>Land-use planning;</w:t>
            </w:r>
          </w:p>
          <w:p w14:paraId="21C2859E" w14:textId="77777777" w:rsidR="00AB2C7D" w:rsidRPr="00037C61" w:rsidRDefault="00AB2C7D" w:rsidP="00EA5C18">
            <w:pPr>
              <w:pStyle w:val="InterregROHUBullet1"/>
              <w:spacing w:after="0"/>
              <w:ind w:left="318"/>
              <w:rPr>
                <w:rFonts w:eastAsia="Times New Roman" w:cs="Calibri"/>
                <w:color w:val="666666"/>
                <w:sz w:val="20"/>
                <w:szCs w:val="20"/>
                <w:lang w:eastAsia="en-GB"/>
              </w:rPr>
            </w:pPr>
            <w:r w:rsidRPr="00037C61">
              <w:rPr>
                <w:rFonts w:cs="Calibri"/>
                <w:sz w:val="20"/>
                <w:szCs w:val="20"/>
                <w:lang w:eastAsia="en-GB"/>
              </w:rPr>
              <w:t>Coordination activities.</w:t>
            </w:r>
            <w:r w:rsidRPr="00037C61">
              <w:rPr>
                <w:rFonts w:eastAsia="Times New Roman" w:cs="Calibri"/>
                <w:color w:val="666666"/>
                <w:sz w:val="20"/>
                <w:szCs w:val="20"/>
                <w:lang w:eastAsia="en-GB"/>
              </w:rPr>
              <w:t xml:space="preserve"> </w:t>
            </w:r>
          </w:p>
        </w:tc>
      </w:tr>
    </w:tbl>
    <w:p w14:paraId="388D7928" w14:textId="77777777" w:rsidR="00AB2C7D" w:rsidRPr="00037C61" w:rsidRDefault="00AB2C7D" w:rsidP="00AB2C7D">
      <w:pPr>
        <w:pStyle w:val="Caption"/>
        <w:keepNext/>
        <w:jc w:val="left"/>
        <w:rPr>
          <w:lang w:val="en-GB"/>
        </w:rPr>
      </w:pPr>
      <w:r w:rsidRPr="00037C61">
        <w:rPr>
          <w:lang w:val="en-GB"/>
        </w:rPr>
        <w:t>Source: European Committee of Regions, Law no. 215/2001 of the Romanian Parliament, Fundamental Law of Hungary and Law No. LXV of 1990 on local self-government in Hungary.</w:t>
      </w:r>
    </w:p>
    <w:p w14:paraId="266DCC66" w14:textId="77777777" w:rsidR="00AB2C7D" w:rsidRPr="00037C61" w:rsidRDefault="00AB2C7D" w:rsidP="00AB2C7D">
      <w:pPr>
        <w:spacing w:after="0"/>
        <w:rPr>
          <w:lang w:val="en-GB"/>
        </w:rPr>
      </w:pPr>
    </w:p>
    <w:p w14:paraId="5D4728DD" w14:textId="77777777" w:rsidR="00AB2C7D" w:rsidRPr="00E80D74" w:rsidRDefault="00AB2C7D" w:rsidP="00AB2C7D">
      <w:pPr>
        <w:rPr>
          <w:lang w:val="en-GB"/>
        </w:rPr>
      </w:pPr>
      <w:r w:rsidRPr="00037C61">
        <w:rPr>
          <w:lang w:val="en-GB"/>
        </w:rPr>
        <w:lastRenderedPageBreak/>
        <w:t xml:space="preserve">While public services in the </w:t>
      </w:r>
      <w:r w:rsidRPr="00E80D74">
        <w:rPr>
          <w:lang w:val="en-GB"/>
        </w:rPr>
        <w:t xml:space="preserve">programming area are generally organized within the administrative boundaries of the national and local authorities, </w:t>
      </w:r>
      <w:r w:rsidRPr="00E80D74">
        <w:rPr>
          <w:b/>
          <w:bCs/>
          <w:lang w:val="en-GB"/>
        </w:rPr>
        <w:t>there is potential for their provision across the national borders</w:t>
      </w:r>
      <w:r w:rsidRPr="00E80D74">
        <w:rPr>
          <w:lang w:val="en-GB"/>
        </w:rPr>
        <w:t xml:space="preserve">, for key specific policy areas and fields of intervention such as: cross-border public transport services, spatial planning, economic development, tourism development, healthcare, social integration, education and training, lifelong learning, ecosystem services, waste management, natural disaster risk management, and others (ESPON CPS, 2020). </w:t>
      </w:r>
    </w:p>
    <w:p w14:paraId="0DF78EE3" w14:textId="77777777" w:rsidR="00AB2C7D" w:rsidRPr="00037C61" w:rsidRDefault="00AB2C7D" w:rsidP="00AB2C7D">
      <w:pPr>
        <w:rPr>
          <w:lang w:val="en-GB"/>
        </w:rPr>
      </w:pPr>
      <w:r w:rsidRPr="00E80D74">
        <w:rPr>
          <w:lang w:val="en-GB"/>
        </w:rPr>
        <w:t>Beyond commonalities and differences in local service</w:t>
      </w:r>
      <w:r w:rsidRPr="00037C61">
        <w:rPr>
          <w:lang w:val="en-GB"/>
        </w:rPr>
        <w:t xml:space="preserve"> provision between Romania and Hungary, </w:t>
      </w:r>
      <w:r w:rsidRPr="00037C61">
        <w:rPr>
          <w:b/>
          <w:bCs/>
          <w:lang w:val="en-GB"/>
        </w:rPr>
        <w:t>border authorities</w:t>
      </w:r>
      <w:r w:rsidRPr="00037C61">
        <w:rPr>
          <w:lang w:val="en-GB"/>
        </w:rPr>
        <w:t xml:space="preserve"> of the Central Governments of Hungary and Romania represent key stakeholders for the enabling of cross-border cooperation. In Romania, </w:t>
      </w:r>
      <w:r w:rsidRPr="00037C61">
        <w:rPr>
          <w:b/>
          <w:bCs/>
          <w:lang w:val="en-GB"/>
        </w:rPr>
        <w:t>The Romanian Border Police</w:t>
      </w:r>
      <w:r w:rsidRPr="00037C61">
        <w:rPr>
          <w:lang w:val="en-GB"/>
        </w:rPr>
        <w:t xml:space="preserve"> (Romanian: Poliţia de Frontieră) is the structure of the Romanian Ministry of Administration and Interior responsible for the border security and passport control at border crossing points, airports and ports. In Hungary, the </w:t>
      </w:r>
      <w:r w:rsidRPr="00037C61">
        <w:rPr>
          <w:b/>
          <w:bCs/>
          <w:i/>
          <w:iCs/>
          <w:lang w:val="en-GB"/>
        </w:rPr>
        <w:t xml:space="preserve">Police (Rendőrség) </w:t>
      </w:r>
      <w:r w:rsidRPr="00037C61">
        <w:rPr>
          <w:lang w:val="en-GB"/>
        </w:rPr>
        <w:t xml:space="preserve">is operating under the authority of the Ministry of the Interior since 2010. Since 2008, the Border Guard has been formally merged into the National Police, and the latter has established a Border Police Department. </w:t>
      </w:r>
    </w:p>
    <w:p w14:paraId="6E655FD2" w14:textId="263820A0" w:rsidR="00CB2E70" w:rsidRDefault="00AB2C7D" w:rsidP="00AB2C7D">
      <w:pPr>
        <w:rPr>
          <w:lang w:val="en-GB"/>
        </w:rPr>
      </w:pPr>
      <w:r w:rsidRPr="00037C61">
        <w:rPr>
          <w:lang w:val="en-GB"/>
        </w:rPr>
        <w:t xml:space="preserve">The main legal instruments of cooperation between the two countries are: international treaties and conventions, border treaties, protocols and agreements. For the case of collaboration between Romania and Hungary, the two countries have established between them a </w:t>
      </w:r>
      <w:r w:rsidRPr="00037C61">
        <w:rPr>
          <w:b/>
          <w:bCs/>
          <w:lang w:val="en-GB"/>
        </w:rPr>
        <w:t>Treaty regarding the state border regime, the cooperation and the mutual assistance, signed at Bucharest, on the 20th of October 2005</w:t>
      </w:r>
      <w:r w:rsidRPr="00037C61">
        <w:rPr>
          <w:lang w:val="en-GB"/>
        </w:rPr>
        <w:t xml:space="preserve">. There are several Conventions, Agreements, Protocols in force enabling cooperation on the control of the road and railway traffic, readmission of own citizens and of other persons, preventing and countering cross border crime. </w:t>
      </w:r>
    </w:p>
    <w:p w14:paraId="599584E3" w14:textId="72EF2FD2" w:rsidR="00F75A73" w:rsidRDefault="00F75A73" w:rsidP="00AB2C7D">
      <w:pPr>
        <w:rPr>
          <w:lang w:val="en-GB"/>
        </w:rPr>
      </w:pPr>
    </w:p>
    <w:p w14:paraId="5D0A82A6" w14:textId="77777777" w:rsidR="00DF09D9" w:rsidRPr="00037C61" w:rsidRDefault="00DF09D9" w:rsidP="00AB2C7D">
      <w:pPr>
        <w:rPr>
          <w:lang w:val="en-GB"/>
        </w:rPr>
      </w:pPr>
    </w:p>
    <w:p w14:paraId="1ACF4276" w14:textId="333E6023" w:rsidR="00AB2C7D" w:rsidRPr="00037C61" w:rsidRDefault="00CB2E70" w:rsidP="00CB2E70">
      <w:pPr>
        <w:pStyle w:val="Heading4"/>
        <w:rPr>
          <w:lang w:val="en-GB"/>
        </w:rPr>
      </w:pPr>
      <w:r w:rsidRPr="00037C61">
        <w:rPr>
          <w:lang w:val="en-GB"/>
        </w:rPr>
        <w:t xml:space="preserve">Border Management in European context </w:t>
      </w:r>
    </w:p>
    <w:p w14:paraId="7AFAF45B" w14:textId="087D3881" w:rsidR="00CB2E70" w:rsidRPr="00037C61" w:rsidRDefault="00CB2E70" w:rsidP="00CB2E70">
      <w:pPr>
        <w:rPr>
          <w:lang w:val="en-GB"/>
        </w:rPr>
      </w:pPr>
    </w:p>
    <w:p w14:paraId="1BA13AC3" w14:textId="5608CE3A" w:rsidR="00CB2E70" w:rsidRPr="00037C61" w:rsidRDefault="00CB2E70" w:rsidP="00CB2E70">
      <w:pPr>
        <w:rPr>
          <w:lang w:val="en-GB"/>
        </w:rPr>
      </w:pPr>
      <w:r w:rsidRPr="00037C61">
        <w:rPr>
          <w:lang w:val="en-GB"/>
        </w:rPr>
        <w:t xml:space="preserve">Highlighting recent developments and trends in immigration and illegal border-crossing is relevant for the programming area, especially under the opportunity of instruments accessible under the ISO 2 objective. According to the Frontex 2020 Risk Analysis, the total number of reported detections of illegal border-crossing along the EU’s external borders fell in 2019 to the lowest level since 2013. The relative decrease in 2019 compared with previous years was mostly due to a drop in migrants intercepted and rescued in the Central and Western Mediterranean. In contrast, detections on the Eastern Mediterranean, Western Balkan and Western African routes recorded significantly higher numbers of detections compared with 2018 (Frontex, 2020). </w:t>
      </w:r>
    </w:p>
    <w:p w14:paraId="7F233E83" w14:textId="77777777" w:rsidR="00CB2E70" w:rsidRPr="00037C61" w:rsidRDefault="00CB2E70" w:rsidP="009760EC">
      <w:pPr>
        <w:keepNext/>
        <w:spacing w:after="0"/>
        <w:rPr>
          <w:lang w:val="en-GB"/>
        </w:rPr>
      </w:pPr>
      <w:r w:rsidRPr="00037C61">
        <w:rPr>
          <w:b/>
          <w:bCs/>
          <w:noProof/>
          <w:lang w:val="ro-RO" w:eastAsia="ro-RO"/>
        </w:rPr>
        <w:lastRenderedPageBreak/>
        <w:drawing>
          <wp:inline distT="0" distB="0" distL="0" distR="0" wp14:anchorId="1E0E8F7D" wp14:editId="059CFD53">
            <wp:extent cx="5943600" cy="32385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b="10085"/>
                    <a:stretch/>
                  </pic:blipFill>
                  <pic:spPr bwMode="auto">
                    <a:xfrm>
                      <a:off x="0" y="0"/>
                      <a:ext cx="5943600" cy="3238500"/>
                    </a:xfrm>
                    <a:prstGeom prst="rect">
                      <a:avLst/>
                    </a:prstGeom>
                    <a:ln>
                      <a:noFill/>
                    </a:ln>
                    <a:extLst>
                      <a:ext uri="{53640926-AAD7-44D8-BBD7-CCE9431645EC}">
                        <a14:shadowObscured xmlns:a14="http://schemas.microsoft.com/office/drawing/2010/main"/>
                      </a:ext>
                    </a:extLst>
                  </pic:spPr>
                </pic:pic>
              </a:graphicData>
            </a:graphic>
          </wp:inline>
        </w:drawing>
      </w:r>
    </w:p>
    <w:p w14:paraId="135813C0" w14:textId="23892633" w:rsidR="00CB2E70" w:rsidRPr="00037C61" w:rsidRDefault="00CB2E70" w:rsidP="005E0849">
      <w:pPr>
        <w:pStyle w:val="Caption"/>
        <w:jc w:val="both"/>
        <w:rPr>
          <w:lang w:val="en-GB"/>
        </w:rPr>
      </w:pPr>
      <w:bookmarkStart w:id="801" w:name="_Toc6461107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128</w:t>
      </w:r>
      <w:r w:rsidR="00412697">
        <w:rPr>
          <w:lang w:val="en-GB"/>
        </w:rPr>
        <w:fldChar w:fldCharType="end"/>
      </w:r>
      <w:r w:rsidRPr="00037C61">
        <w:rPr>
          <w:lang w:val="en-GB"/>
        </w:rPr>
        <w:t xml:space="preserve"> - Situational overview of migration directions and EU entry points</w:t>
      </w:r>
      <w:bookmarkEnd w:id="801"/>
    </w:p>
    <w:p w14:paraId="02C65435" w14:textId="77777777" w:rsidR="00CB2E70" w:rsidRPr="00037C61" w:rsidRDefault="00CB2E70" w:rsidP="005E0849">
      <w:pPr>
        <w:pStyle w:val="Caption"/>
        <w:jc w:val="left"/>
        <w:rPr>
          <w:lang w:val="en-GB"/>
        </w:rPr>
      </w:pPr>
      <w:r w:rsidRPr="00037C61">
        <w:rPr>
          <w:lang w:val="en-GB"/>
        </w:rPr>
        <w:t>Source: Frontex 2020 Risk Analysis</w:t>
      </w:r>
    </w:p>
    <w:p w14:paraId="0D99152D" w14:textId="77777777" w:rsidR="00CB2E70" w:rsidRPr="00037C61" w:rsidRDefault="00CB2E70" w:rsidP="00CB2E70">
      <w:pPr>
        <w:rPr>
          <w:lang w:val="en-GB"/>
        </w:rPr>
      </w:pPr>
    </w:p>
    <w:p w14:paraId="44CE215D" w14:textId="3047C1B0" w:rsidR="00CB2E70" w:rsidRPr="00037C61" w:rsidRDefault="00CB2E70" w:rsidP="00CB2E70">
      <w:pPr>
        <w:rPr>
          <w:lang w:val="en-GB"/>
        </w:rPr>
      </w:pPr>
      <w:r w:rsidRPr="00037C61">
        <w:rPr>
          <w:lang w:val="en-GB"/>
        </w:rPr>
        <w:t>According to the map, in the case of Romania and Hungary, the most important trends of illegal migration have the source in the East and Central Asia, but also migrants coming from the African continent, middle east. Data reported by Member States indi</w:t>
      </w:r>
      <w:r w:rsidRPr="00037C61">
        <w:rPr>
          <w:lang w:val="en-GB"/>
        </w:rPr>
        <w:softHyphen/>
        <w:t>cate a total of 141,846 detections of illegal border-crossing along the EU’s external borders in 2019, which represents a 4.9% decrease compared with the number of detections recorded in 2018 (and a 92% decrease compared with the 1.8 million detections at the height of the migra</w:t>
      </w:r>
      <w:r w:rsidRPr="00037C61">
        <w:rPr>
          <w:lang w:val="en-GB"/>
        </w:rPr>
        <w:softHyphen/>
        <w:t>tion crisis in 2015) (Source Frontex 2020 Risk Analysis).</w:t>
      </w:r>
    </w:p>
    <w:p w14:paraId="3EC2D2A1" w14:textId="07A8DDEA" w:rsidR="00CB2E70" w:rsidRPr="00037C61" w:rsidRDefault="00CB2E70" w:rsidP="00CB2E70">
      <w:pPr>
        <w:rPr>
          <w:i/>
          <w:iCs/>
          <w:lang w:val="en-GB"/>
        </w:rPr>
      </w:pPr>
      <w:r w:rsidRPr="00037C61">
        <w:rPr>
          <w:lang w:val="en-GB"/>
        </w:rPr>
        <w:t>The Western Balkan migration route is the most relevant route for the PA. „</w:t>
      </w:r>
      <w:r w:rsidRPr="00037C61">
        <w:rPr>
          <w:i/>
          <w:iCs/>
          <w:lang w:val="en-GB"/>
        </w:rPr>
        <w:t>There is an increased migratory activity in 2019 compared with 2018, in particular due to the increased number of illegal border crossings towards the end of the year, many of them purportedly repeated attempts by the same migrants. In fact, almost half of all detections on this route were recorded in the last quarter of the year. In the latter part of the year pressure focused on the EU’s borders with Serbia. Throughout the year, the land borders to this region recorded slightly fewer refusals of entry. The Western Balkan route continues to be mostly transited by irregular migrants trying to reach Western Europe from Turkey. This continues</w:t>
      </w:r>
      <w:r w:rsidRPr="00037C61">
        <w:rPr>
          <w:lang w:val="en-GB"/>
        </w:rPr>
        <w:t xml:space="preserve"> </w:t>
      </w:r>
      <w:r w:rsidRPr="00037C61">
        <w:rPr>
          <w:i/>
          <w:iCs/>
          <w:lang w:val="en-GB"/>
        </w:rPr>
        <w:t xml:space="preserve">to be a testing route avoided by families, as the large share of young male migrants suggests. 94% of all migrants detected at the EU’s borders on entry from the region in 2019 were male”. </w:t>
      </w:r>
      <w:r w:rsidRPr="00037C61">
        <w:rPr>
          <w:lang w:val="en-GB"/>
        </w:rPr>
        <w:t>(Source: Frontex 2020 Risk Analysis). According to Europol, most migrant smuggling cases in 2019 concerned the Western Balkan region.</w:t>
      </w:r>
    </w:p>
    <w:p w14:paraId="5317357E" w14:textId="77777777" w:rsidR="00CB2E70" w:rsidRPr="00037C61" w:rsidRDefault="00CB2E70" w:rsidP="00CB2E70">
      <w:pPr>
        <w:rPr>
          <w:lang w:val="en-GB"/>
        </w:rPr>
      </w:pPr>
    </w:p>
    <w:p w14:paraId="2A17BF79" w14:textId="77777777" w:rsidR="00CB2E70" w:rsidRPr="00037C61" w:rsidRDefault="00CB2E70" w:rsidP="009760EC">
      <w:pPr>
        <w:keepNext/>
        <w:spacing w:after="0"/>
        <w:rPr>
          <w:lang w:val="en-GB"/>
        </w:rPr>
      </w:pPr>
      <w:r w:rsidRPr="00037C61">
        <w:rPr>
          <w:noProof/>
          <w:lang w:val="ro-RO" w:eastAsia="ro-RO"/>
        </w:rPr>
        <w:lastRenderedPageBreak/>
        <w:drawing>
          <wp:inline distT="0" distB="0" distL="0" distR="0" wp14:anchorId="298BE79A" wp14:editId="6E8B32CD">
            <wp:extent cx="5503334" cy="3397838"/>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263">
                      <a:extLst>
                        <a:ext uri="{28A0092B-C50C-407E-A947-70E740481C1C}">
                          <a14:useLocalDpi xmlns:a14="http://schemas.microsoft.com/office/drawing/2010/main" val="0"/>
                        </a:ext>
                      </a:extLst>
                    </a:blip>
                    <a:stretch>
                      <a:fillRect/>
                    </a:stretch>
                  </pic:blipFill>
                  <pic:spPr>
                    <a:xfrm>
                      <a:off x="0" y="0"/>
                      <a:ext cx="5503334" cy="3397838"/>
                    </a:xfrm>
                    <a:prstGeom prst="rect">
                      <a:avLst/>
                    </a:prstGeom>
                  </pic:spPr>
                </pic:pic>
              </a:graphicData>
            </a:graphic>
          </wp:inline>
        </w:drawing>
      </w:r>
    </w:p>
    <w:p w14:paraId="3C6BF5CB" w14:textId="07DDC606" w:rsidR="00CB2E70" w:rsidRPr="00037C61" w:rsidRDefault="00CB2E70" w:rsidP="005E0849">
      <w:pPr>
        <w:pStyle w:val="Caption"/>
        <w:jc w:val="both"/>
        <w:rPr>
          <w:lang w:val="en-GB"/>
        </w:rPr>
      </w:pPr>
      <w:bookmarkStart w:id="802" w:name="_Toc6461107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129</w:t>
      </w:r>
      <w:r w:rsidR="00412697">
        <w:rPr>
          <w:lang w:val="en-GB"/>
        </w:rPr>
        <w:fldChar w:fldCharType="end"/>
      </w:r>
      <w:r w:rsidRPr="00037C61">
        <w:rPr>
          <w:lang w:val="en-GB"/>
        </w:rPr>
        <w:t xml:space="preserve"> - Map of Detection of illegal border-crossing at the EU`s external borders 2019</w:t>
      </w:r>
      <w:bookmarkEnd w:id="802"/>
    </w:p>
    <w:p w14:paraId="57392918" w14:textId="77777777" w:rsidR="00CB2E70" w:rsidRPr="00037C61" w:rsidRDefault="00CB2E70" w:rsidP="005E0849">
      <w:pPr>
        <w:pStyle w:val="Caption"/>
        <w:jc w:val="left"/>
        <w:rPr>
          <w:lang w:val="en-GB"/>
        </w:rPr>
      </w:pPr>
      <w:r w:rsidRPr="00037C61">
        <w:rPr>
          <w:lang w:val="en-GB"/>
        </w:rPr>
        <w:t>Source: Frontex 2020 Risk Analysis</w:t>
      </w:r>
    </w:p>
    <w:p w14:paraId="74C3B308" w14:textId="77777777" w:rsidR="00CB2E70" w:rsidRPr="00037C61" w:rsidRDefault="00CB2E70" w:rsidP="005E0849">
      <w:pPr>
        <w:spacing w:after="0"/>
        <w:rPr>
          <w:lang w:val="en-GB"/>
        </w:rPr>
      </w:pPr>
    </w:p>
    <w:p w14:paraId="66ADE16E" w14:textId="1982BEC9" w:rsidR="00CB2E70" w:rsidRPr="00037C61" w:rsidRDefault="00CB2E70" w:rsidP="005E0849">
      <w:pPr>
        <w:spacing w:before="240"/>
        <w:rPr>
          <w:lang w:val="en-GB"/>
        </w:rPr>
      </w:pPr>
      <w:r w:rsidRPr="00037C61">
        <w:rPr>
          <w:lang w:val="en-GB"/>
        </w:rPr>
        <w:t>Furthermore, the num</w:t>
      </w:r>
      <w:r w:rsidRPr="00037C61">
        <w:rPr>
          <w:lang w:val="en-GB"/>
        </w:rPr>
        <w:softHyphen/>
        <w:t>ber of illegal border-crossings decreased on the Eastern borders route, with figures falling to their lowest level since the inception of FRAN data col</w:t>
      </w:r>
      <w:r w:rsidRPr="00037C61">
        <w:rPr>
          <w:lang w:val="en-GB"/>
        </w:rPr>
        <w:softHyphen/>
        <w:t>lection. The 722 reported illegal border-crossings signify a drop by approximately one-third compared with 2018. Vietnam</w:t>
      </w:r>
      <w:r w:rsidRPr="00037C61">
        <w:rPr>
          <w:lang w:val="en-GB"/>
        </w:rPr>
        <w:softHyphen/>
        <w:t>ese migrants, the foremost migrant group detected over the past few years at the Eastern borders, dropped to a mere 62 migrant arrivals in 2019, a drop of 83% compared with 2018. (Source: Frontex 2020 Risk Analysis). Romania and Hungary both record two of the highest values regarding refusals of entry by land migration.</w:t>
      </w:r>
    </w:p>
    <w:p w14:paraId="777EE5CA" w14:textId="77777777" w:rsidR="00CB2E70" w:rsidRPr="00037C61" w:rsidRDefault="00CB2E70" w:rsidP="009760EC">
      <w:pPr>
        <w:keepNext/>
        <w:spacing w:after="0"/>
        <w:rPr>
          <w:lang w:val="en-GB"/>
        </w:rPr>
      </w:pPr>
      <w:r w:rsidRPr="00037C61">
        <w:rPr>
          <w:noProof/>
          <w:lang w:val="ro-RO" w:eastAsia="ro-RO"/>
        </w:rPr>
        <w:drawing>
          <wp:inline distT="0" distB="0" distL="0" distR="0" wp14:anchorId="0927AE0B" wp14:editId="0B625C7E">
            <wp:extent cx="5071532" cy="2932386"/>
            <wp:effectExtent l="0" t="0" r="0" b="190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264">
                      <a:extLst>
                        <a:ext uri="{28A0092B-C50C-407E-A947-70E740481C1C}">
                          <a14:useLocalDpi xmlns:a14="http://schemas.microsoft.com/office/drawing/2010/main" val="0"/>
                        </a:ext>
                      </a:extLst>
                    </a:blip>
                    <a:stretch>
                      <a:fillRect/>
                    </a:stretch>
                  </pic:blipFill>
                  <pic:spPr>
                    <a:xfrm>
                      <a:off x="0" y="0"/>
                      <a:ext cx="5071532" cy="2932386"/>
                    </a:xfrm>
                    <a:prstGeom prst="rect">
                      <a:avLst/>
                    </a:prstGeom>
                  </pic:spPr>
                </pic:pic>
              </a:graphicData>
            </a:graphic>
          </wp:inline>
        </w:drawing>
      </w:r>
    </w:p>
    <w:p w14:paraId="37AE2B4D" w14:textId="1B41F056" w:rsidR="00CB2E70" w:rsidRPr="00037C61" w:rsidRDefault="00CB2E70" w:rsidP="005E0849">
      <w:pPr>
        <w:pStyle w:val="Caption"/>
        <w:jc w:val="both"/>
        <w:rPr>
          <w:lang w:val="en-GB"/>
        </w:rPr>
      </w:pPr>
      <w:bookmarkStart w:id="803" w:name="_Toc6461107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130</w:t>
      </w:r>
      <w:r w:rsidR="00412697">
        <w:rPr>
          <w:lang w:val="en-GB"/>
        </w:rPr>
        <w:fldChar w:fldCharType="end"/>
      </w:r>
      <w:r w:rsidRPr="00037C61">
        <w:rPr>
          <w:lang w:val="en-GB"/>
        </w:rPr>
        <w:t xml:space="preserve"> – Map of refusals of entry per border type 2019</w:t>
      </w:r>
      <w:bookmarkEnd w:id="803"/>
    </w:p>
    <w:p w14:paraId="7546EB13" w14:textId="27C0E435" w:rsidR="00CB2E70" w:rsidRPr="00037C61" w:rsidRDefault="00CB2E70" w:rsidP="005E0849">
      <w:pPr>
        <w:pStyle w:val="Caption"/>
        <w:jc w:val="left"/>
        <w:rPr>
          <w:b/>
          <w:bCs/>
          <w:lang w:val="en-GB"/>
        </w:rPr>
      </w:pPr>
      <w:r w:rsidRPr="00037C61">
        <w:rPr>
          <w:lang w:val="en-GB"/>
        </w:rPr>
        <w:t>Source: Frontex 2020 Risk Analysis</w:t>
      </w:r>
    </w:p>
    <w:p w14:paraId="3CB533E9" w14:textId="44BB32CF" w:rsidR="00CB2E70" w:rsidRPr="00037C61" w:rsidRDefault="00CB2E70" w:rsidP="00CB2E70">
      <w:pPr>
        <w:keepNext/>
        <w:rPr>
          <w:lang w:val="en-GB"/>
        </w:rPr>
      </w:pPr>
      <w:r w:rsidRPr="00037C61">
        <w:rPr>
          <w:noProof/>
          <w:lang w:val="ro-RO" w:eastAsia="ro-RO"/>
        </w:rPr>
        <w:lastRenderedPageBreak/>
        <w:drawing>
          <wp:inline distT="0" distB="0" distL="0" distR="0" wp14:anchorId="5D03B3D2" wp14:editId="6B7FA6F1">
            <wp:extent cx="5943600" cy="400431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t="3887"/>
                    <a:stretch/>
                  </pic:blipFill>
                  <pic:spPr bwMode="auto">
                    <a:xfrm>
                      <a:off x="0" y="0"/>
                      <a:ext cx="5943600" cy="4004310"/>
                    </a:xfrm>
                    <a:prstGeom prst="rect">
                      <a:avLst/>
                    </a:prstGeom>
                    <a:ln>
                      <a:noFill/>
                    </a:ln>
                    <a:extLst>
                      <a:ext uri="{53640926-AAD7-44D8-BBD7-CCE9431645EC}">
                        <a14:shadowObscured xmlns:a14="http://schemas.microsoft.com/office/drawing/2010/main"/>
                      </a:ext>
                    </a:extLst>
                  </pic:spPr>
                </pic:pic>
              </a:graphicData>
            </a:graphic>
          </wp:inline>
        </w:drawing>
      </w:r>
    </w:p>
    <w:p w14:paraId="0E953CCD" w14:textId="372340B6" w:rsidR="00CB2E70" w:rsidRPr="00037C61" w:rsidRDefault="00CB2E70" w:rsidP="00CB2E70">
      <w:pPr>
        <w:pStyle w:val="Caption"/>
        <w:rPr>
          <w:lang w:val="en-GB"/>
        </w:rPr>
      </w:pPr>
      <w:bookmarkStart w:id="804" w:name="_Toc6461107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131</w:t>
      </w:r>
      <w:r w:rsidR="00412697">
        <w:rPr>
          <w:lang w:val="en-GB"/>
        </w:rPr>
        <w:fldChar w:fldCharType="end"/>
      </w:r>
      <w:r w:rsidRPr="00037C61">
        <w:rPr>
          <w:lang w:val="en-GB"/>
        </w:rPr>
        <w:t xml:space="preserve"> - Nationality of users of fraudulent documents detected by MS</w:t>
      </w:r>
      <w:bookmarkEnd w:id="804"/>
      <w:r w:rsidRPr="00037C61">
        <w:rPr>
          <w:lang w:val="en-GB"/>
        </w:rPr>
        <w:t xml:space="preserve"> </w:t>
      </w:r>
    </w:p>
    <w:p w14:paraId="0E4A3F12" w14:textId="77777777" w:rsidR="00CB2E70" w:rsidRPr="00037C61" w:rsidRDefault="00CB2E70" w:rsidP="00CB2E70">
      <w:pPr>
        <w:pStyle w:val="Caption"/>
        <w:rPr>
          <w:lang w:val="en-GB"/>
        </w:rPr>
      </w:pPr>
      <w:r w:rsidRPr="00037C61">
        <w:rPr>
          <w:lang w:val="en-GB"/>
        </w:rPr>
        <w:t>Source: Frontex 2020 Risk Analysis</w:t>
      </w:r>
    </w:p>
    <w:p w14:paraId="51624AAA" w14:textId="0AB65E88" w:rsidR="00CB2E70" w:rsidRPr="00037C61" w:rsidRDefault="00CB2E70" w:rsidP="00CB2E70">
      <w:pPr>
        <w:rPr>
          <w:lang w:val="en-GB"/>
        </w:rPr>
      </w:pPr>
      <w:r w:rsidRPr="00037C61">
        <w:rPr>
          <w:lang w:val="en-GB"/>
        </w:rPr>
        <w:t>In the case of the PA, the proximity with Western Balkan route and the Albania – Kosovo – Serbia corridor can be a threat, especially within the intersection area corresponding to the region formed by Timiș and Csongrád-Csanád counties. According to Frontex (2020), as in 2018, in 2019 the border between Hungary and Serbia bore the brunt of doc</w:t>
      </w:r>
      <w:r w:rsidRPr="00037C61">
        <w:rPr>
          <w:lang w:val="en-GB"/>
        </w:rPr>
        <w:softHyphen/>
        <w:t>ument fraud cases, mainly involving na</w:t>
      </w:r>
      <w:r w:rsidRPr="00037C61">
        <w:rPr>
          <w:lang w:val="en-GB"/>
        </w:rPr>
        <w:softHyphen/>
        <w:t>tionals from the Western Balkan region. The number of Kosovar fraudulent doc</w:t>
      </w:r>
      <w:r w:rsidRPr="00037C61">
        <w:rPr>
          <w:lang w:val="en-GB"/>
        </w:rPr>
        <w:softHyphen/>
        <w:t>ument users doubled compared to the previous year.</w:t>
      </w:r>
    </w:p>
    <w:p w14:paraId="5CFEAD23" w14:textId="77777777" w:rsidR="00CB2E70" w:rsidRPr="00037C61" w:rsidRDefault="00CB2E70" w:rsidP="00CB2E70">
      <w:pPr>
        <w:rPr>
          <w:lang w:val="en-GB"/>
        </w:rPr>
      </w:pPr>
    </w:p>
    <w:p w14:paraId="2585EE2A" w14:textId="4B3D27E2" w:rsidR="00CB2E70" w:rsidRPr="00037C61" w:rsidRDefault="00CB2E70" w:rsidP="00CB2E70">
      <w:pPr>
        <w:rPr>
          <w:i/>
          <w:iCs/>
          <w:color w:val="012751" w:themeColor="text2"/>
          <w:sz w:val="18"/>
          <w:szCs w:val="18"/>
          <w:lang w:val="en-GB"/>
        </w:rPr>
      </w:pPr>
    </w:p>
    <w:p w14:paraId="042FF48D" w14:textId="3EC58AD5" w:rsidR="00393EA7" w:rsidRPr="00037C61" w:rsidRDefault="00393EA7" w:rsidP="00CB2E70">
      <w:pPr>
        <w:rPr>
          <w:i/>
          <w:iCs/>
          <w:color w:val="012751" w:themeColor="text2"/>
          <w:sz w:val="18"/>
          <w:szCs w:val="18"/>
          <w:lang w:val="en-GB"/>
        </w:rPr>
      </w:pPr>
    </w:p>
    <w:p w14:paraId="3B6BDD67" w14:textId="341991F5" w:rsidR="00393EA7" w:rsidRPr="00037C61" w:rsidRDefault="00393EA7" w:rsidP="00CB2E70">
      <w:pPr>
        <w:rPr>
          <w:i/>
          <w:iCs/>
          <w:color w:val="012751" w:themeColor="text2"/>
          <w:sz w:val="18"/>
          <w:szCs w:val="18"/>
          <w:lang w:val="en-GB"/>
        </w:rPr>
      </w:pPr>
    </w:p>
    <w:p w14:paraId="5401402A" w14:textId="4F077522" w:rsidR="00393EA7" w:rsidRPr="00037C61" w:rsidRDefault="00393EA7" w:rsidP="00CB2E70">
      <w:pPr>
        <w:rPr>
          <w:i/>
          <w:iCs/>
          <w:color w:val="012751" w:themeColor="text2"/>
          <w:sz w:val="18"/>
          <w:szCs w:val="18"/>
          <w:lang w:val="en-GB"/>
        </w:rPr>
      </w:pPr>
    </w:p>
    <w:p w14:paraId="6C256613" w14:textId="71C9E71A" w:rsidR="00393EA7" w:rsidRPr="00037C61" w:rsidRDefault="00393EA7" w:rsidP="00CB2E70">
      <w:pPr>
        <w:rPr>
          <w:i/>
          <w:iCs/>
          <w:color w:val="012751" w:themeColor="text2"/>
          <w:sz w:val="18"/>
          <w:szCs w:val="18"/>
          <w:lang w:val="en-GB"/>
        </w:rPr>
      </w:pPr>
    </w:p>
    <w:p w14:paraId="69B3C88E" w14:textId="77777777" w:rsidR="00393EA7" w:rsidRPr="00037C61" w:rsidRDefault="00393EA7" w:rsidP="00CB2E70">
      <w:pPr>
        <w:rPr>
          <w:lang w:val="en-GB"/>
        </w:rPr>
      </w:pPr>
    </w:p>
    <w:p w14:paraId="46ED60A3" w14:textId="77777777" w:rsidR="00CB2E70" w:rsidRPr="00037C61" w:rsidRDefault="00CB2E70" w:rsidP="009760EC">
      <w:pPr>
        <w:rPr>
          <w:lang w:val="en-GB"/>
        </w:rPr>
      </w:pPr>
    </w:p>
    <w:p w14:paraId="3F4BE5F1" w14:textId="77777777" w:rsidR="00CB2E70" w:rsidRPr="00037C61" w:rsidRDefault="00CB2E70" w:rsidP="00AB2C7D">
      <w:pPr>
        <w:rPr>
          <w:lang w:val="en-GB"/>
        </w:rPr>
      </w:pPr>
    </w:p>
    <w:p w14:paraId="1C357453" w14:textId="77777777" w:rsidR="00AB2C7D" w:rsidRPr="00037C61" w:rsidRDefault="00AB2C7D" w:rsidP="00AB2C7D">
      <w:pPr>
        <w:pStyle w:val="Heading4"/>
        <w:rPr>
          <w:lang w:val="en-GB"/>
        </w:rPr>
      </w:pPr>
      <w:r w:rsidRPr="00037C61">
        <w:rPr>
          <w:lang w:val="en-GB"/>
        </w:rPr>
        <w:lastRenderedPageBreak/>
        <w:t xml:space="preserve">Systems of multi-level governance </w:t>
      </w:r>
    </w:p>
    <w:p w14:paraId="49BC4442" w14:textId="77777777" w:rsidR="00AB2C7D" w:rsidRPr="00037C61" w:rsidRDefault="00AB2C7D" w:rsidP="00AB2C7D">
      <w:pPr>
        <w:rPr>
          <w:lang w:val="en-GB"/>
        </w:rPr>
      </w:pPr>
      <w:r w:rsidRPr="00037C61">
        <w:rPr>
          <w:lang w:val="en-GB"/>
        </w:rPr>
        <w:t xml:space="preserve">A comparative analysis of the two countries’ systems of </w:t>
      </w:r>
      <w:r w:rsidRPr="00DF09D9">
        <w:rPr>
          <w:lang w:val="en-GB"/>
        </w:rPr>
        <w:t>multilevel governance underlines</w:t>
      </w:r>
      <w:r w:rsidRPr="00037C61">
        <w:rPr>
          <w:lang w:val="en-GB"/>
        </w:rPr>
        <w:t xml:space="preserve"> the similarities between Romania and Hungary in terms of vertical coordination, via the use of local authority associations or federations: </w:t>
      </w:r>
    </w:p>
    <w:tbl>
      <w:tblPr>
        <w:tblW w:w="0" w:type="auto"/>
        <w:tblLook w:val="04A0" w:firstRow="1" w:lastRow="0" w:firstColumn="1" w:lastColumn="0" w:noHBand="0" w:noVBand="1"/>
      </w:tblPr>
      <w:tblGrid>
        <w:gridCol w:w="4248"/>
        <w:gridCol w:w="4768"/>
      </w:tblGrid>
      <w:tr w:rsidR="00AB2C7D" w:rsidRPr="00037C61" w14:paraId="6019509E" w14:textId="77777777" w:rsidTr="43A5E8BA">
        <w:tc>
          <w:tcPr>
            <w:tcW w:w="4248" w:type="dxa"/>
            <w:shd w:val="clear" w:color="auto" w:fill="034FA3" w:themeFill="accent1"/>
          </w:tcPr>
          <w:p w14:paraId="569362FB" w14:textId="77777777" w:rsidR="00AB2C7D" w:rsidRPr="00037C61" w:rsidRDefault="00AB2C7D" w:rsidP="00EA5C18">
            <w:pPr>
              <w:jc w:val="center"/>
              <w:rPr>
                <w:b/>
                <w:bCs/>
                <w:color w:val="FFFFFF" w:themeColor="background1"/>
                <w:lang w:val="en-GB"/>
              </w:rPr>
            </w:pPr>
            <w:r w:rsidRPr="00037C61">
              <w:rPr>
                <w:b/>
                <w:bCs/>
                <w:color w:val="FFFFFF" w:themeColor="background1"/>
                <w:lang w:val="en-GB"/>
              </w:rPr>
              <w:t>ROMANIA</w:t>
            </w:r>
          </w:p>
        </w:tc>
        <w:tc>
          <w:tcPr>
            <w:tcW w:w="4768" w:type="dxa"/>
            <w:shd w:val="clear" w:color="auto" w:fill="034FA3" w:themeFill="accent1"/>
          </w:tcPr>
          <w:p w14:paraId="6F490A34" w14:textId="77777777" w:rsidR="00AB2C7D" w:rsidRPr="00037C61" w:rsidRDefault="00AB2C7D" w:rsidP="00EA5C18">
            <w:pPr>
              <w:jc w:val="center"/>
              <w:rPr>
                <w:b/>
                <w:bCs/>
                <w:color w:val="FFFFFF" w:themeColor="background1"/>
                <w:lang w:val="en-GB"/>
              </w:rPr>
            </w:pPr>
            <w:r w:rsidRPr="00037C61">
              <w:rPr>
                <w:b/>
                <w:bCs/>
                <w:color w:val="FFFFFF" w:themeColor="background1"/>
                <w:lang w:val="en-GB"/>
              </w:rPr>
              <w:t>HUNGARY</w:t>
            </w:r>
          </w:p>
        </w:tc>
      </w:tr>
      <w:tr w:rsidR="00AB2C7D" w:rsidRPr="004A5488" w14:paraId="4E291B25" w14:textId="77777777" w:rsidTr="43A5E8BA">
        <w:tc>
          <w:tcPr>
            <w:tcW w:w="4248" w:type="dxa"/>
          </w:tcPr>
          <w:p w14:paraId="4636B49C" w14:textId="77777777" w:rsidR="00AB2C7D" w:rsidRPr="00037C61" w:rsidRDefault="00AB2C7D" w:rsidP="00EA5C18">
            <w:pPr>
              <w:pStyle w:val="InterregROHUBullet1"/>
              <w:spacing w:after="0"/>
              <w:ind w:left="318" w:hanging="357"/>
              <w:rPr>
                <w:rFonts w:cs="Calibri"/>
                <w:lang w:eastAsia="en-GB"/>
              </w:rPr>
            </w:pPr>
            <w:r w:rsidRPr="00037C61">
              <w:rPr>
                <w:rFonts w:cs="Calibri"/>
                <w:lang w:eastAsia="en-GB"/>
              </w:rPr>
              <w:t xml:space="preserve">Interests of local and regional authorities are represented through associations: Romanian Association of Communes (ACoR); Romanian Association of Towns (AOR); Romanian Association of Municipalities (AMR) and the National Union of County Councils of Romania (UNCJR). </w:t>
            </w:r>
          </w:p>
          <w:p w14:paraId="3BBB9E23" w14:textId="7672AFF8" w:rsidR="00AB2C7D" w:rsidRPr="00037C61" w:rsidRDefault="00AB2C7D" w:rsidP="00EA5C18">
            <w:pPr>
              <w:pStyle w:val="InterregROHUBullet1"/>
              <w:spacing w:after="0"/>
              <w:ind w:left="318" w:hanging="357"/>
              <w:rPr>
                <w:rFonts w:cs="Calibri"/>
                <w:lang w:eastAsia="en-GB"/>
              </w:rPr>
            </w:pPr>
            <w:r w:rsidRPr="00037C61">
              <w:rPr>
                <w:rFonts w:cs="Calibri"/>
                <w:lang w:eastAsia="en-GB"/>
              </w:rPr>
              <w:t>Additionally, there is a Federation representing Metropolitan Areas (as intercommunity development associations)</w:t>
            </w:r>
            <w:r w:rsidR="7643433F" w:rsidRPr="00037C61">
              <w:rPr>
                <w:rFonts w:cs="Calibri"/>
                <w:lang w:eastAsia="en-GB"/>
              </w:rPr>
              <w:t>.</w:t>
            </w:r>
            <w:r w:rsidRPr="00037C61">
              <w:rPr>
                <w:rFonts w:cs="Calibri"/>
                <w:lang w:eastAsia="en-GB"/>
              </w:rPr>
              <w:t xml:space="preserve"> </w:t>
            </w:r>
          </w:p>
        </w:tc>
        <w:tc>
          <w:tcPr>
            <w:tcW w:w="4768" w:type="dxa"/>
          </w:tcPr>
          <w:p w14:paraId="27AE79E9" w14:textId="5BC2F0A1" w:rsidR="00AB2C7D" w:rsidRPr="00037C61" w:rsidRDefault="00AB2C7D" w:rsidP="00EA5C18">
            <w:pPr>
              <w:pStyle w:val="InterregROHUBullet1"/>
              <w:spacing w:after="0"/>
              <w:ind w:left="318" w:hanging="357"/>
              <w:rPr>
                <w:rFonts w:cs="Calibri"/>
                <w:lang w:eastAsia="en-GB"/>
              </w:rPr>
            </w:pPr>
            <w:r w:rsidRPr="00037C61">
              <w:rPr>
                <w:rFonts w:cs="Calibri"/>
                <w:lang w:eastAsia="en-GB"/>
              </w:rPr>
              <w:t>Interests of local and regional authorities are represented through associations: Hungarian National Association of Local Authorities (TÖOSZ) and the Association of Hungarian Local authorities and Representatives (MÖSZ)</w:t>
            </w:r>
            <w:r w:rsidR="4F7F4EB8" w:rsidRPr="00037C61">
              <w:rPr>
                <w:rFonts w:cs="Calibri"/>
                <w:lang w:eastAsia="en-GB"/>
              </w:rPr>
              <w:t>.</w:t>
            </w:r>
            <w:r w:rsidRPr="00037C61">
              <w:rPr>
                <w:rFonts w:cs="Calibri"/>
                <w:lang w:eastAsia="en-GB"/>
              </w:rPr>
              <w:t xml:space="preserve"> </w:t>
            </w:r>
          </w:p>
          <w:p w14:paraId="6B87A746" w14:textId="77777777" w:rsidR="00AB2C7D" w:rsidRPr="00037C61" w:rsidRDefault="00AB2C7D" w:rsidP="00EA5C18">
            <w:pPr>
              <w:pStyle w:val="InterregROHUBullet1"/>
              <w:spacing w:after="0"/>
              <w:ind w:left="318" w:hanging="357"/>
              <w:rPr>
                <w:rFonts w:cs="Calibri"/>
                <w:lang w:eastAsia="en-GB"/>
              </w:rPr>
            </w:pPr>
            <w:r w:rsidRPr="00037C61">
              <w:rPr>
                <w:rFonts w:cs="Calibri"/>
                <w:lang w:eastAsia="en-GB"/>
              </w:rPr>
              <w:t xml:space="preserve">There are seven federations of local authorities in total. </w:t>
            </w:r>
          </w:p>
        </w:tc>
      </w:tr>
      <w:tr w:rsidR="00AB2C7D" w:rsidRPr="004A5488" w14:paraId="36DD9C28" w14:textId="77777777" w:rsidTr="43A5E8BA">
        <w:tc>
          <w:tcPr>
            <w:tcW w:w="4248" w:type="dxa"/>
          </w:tcPr>
          <w:p w14:paraId="1A0337E1" w14:textId="39AFE3D4" w:rsidR="00AB2C7D" w:rsidRPr="00037C61" w:rsidRDefault="00AB2C7D" w:rsidP="00EA5C18">
            <w:pPr>
              <w:pStyle w:val="InterregROHUBullet1"/>
              <w:spacing w:after="0"/>
              <w:ind w:left="318" w:hanging="357"/>
              <w:rPr>
                <w:rFonts w:cs="Calibri"/>
                <w:lang w:eastAsia="en-GB"/>
              </w:rPr>
            </w:pPr>
            <w:r w:rsidRPr="00037C61">
              <w:rPr>
                <w:rFonts w:cs="Calibri"/>
                <w:lang w:eastAsia="en-GB"/>
              </w:rPr>
              <w:t>Drafts of any normative acts which relate directly to local public administration are transmitted to the associations (HG 521/2005)</w:t>
            </w:r>
            <w:r w:rsidR="62152705" w:rsidRPr="00037C61">
              <w:rPr>
                <w:rFonts w:cs="Calibri"/>
                <w:lang w:eastAsia="en-GB"/>
              </w:rPr>
              <w:t>.</w:t>
            </w:r>
            <w:r w:rsidRPr="00037C61">
              <w:rPr>
                <w:rFonts w:cs="Calibri"/>
                <w:lang w:eastAsia="en-GB"/>
              </w:rPr>
              <w:t xml:space="preserve"> </w:t>
            </w:r>
          </w:p>
        </w:tc>
        <w:tc>
          <w:tcPr>
            <w:tcW w:w="4768" w:type="dxa"/>
          </w:tcPr>
          <w:p w14:paraId="088379A0" w14:textId="2756B15D" w:rsidR="00AB2C7D" w:rsidRPr="00037C61" w:rsidRDefault="00AB2C7D" w:rsidP="00EA5C18">
            <w:pPr>
              <w:pStyle w:val="InterregROHUBullet1"/>
              <w:spacing w:after="0"/>
              <w:ind w:left="318" w:hanging="357"/>
              <w:rPr>
                <w:rFonts w:cs="Calibri"/>
                <w:lang w:eastAsia="en-GB"/>
              </w:rPr>
            </w:pPr>
            <w:r w:rsidRPr="00037C61">
              <w:rPr>
                <w:rFonts w:cs="Calibri"/>
                <w:lang w:eastAsia="en-GB"/>
              </w:rPr>
              <w:t>Information pertaining to the legislative process is provided to the counties and municipalities, but only to the extent that information is published on the Parliament's website.</w:t>
            </w:r>
          </w:p>
        </w:tc>
      </w:tr>
      <w:tr w:rsidR="00AB2C7D" w:rsidRPr="004A5488" w14:paraId="30D4C73F" w14:textId="77777777" w:rsidTr="43A5E8BA">
        <w:tc>
          <w:tcPr>
            <w:tcW w:w="4248" w:type="dxa"/>
          </w:tcPr>
          <w:p w14:paraId="6EBC8ABD" w14:textId="4CFF13EA" w:rsidR="00AB2C7D" w:rsidRPr="00037C61" w:rsidRDefault="00AB2C7D" w:rsidP="00EA5C18">
            <w:pPr>
              <w:pStyle w:val="InterregROHUBullet1"/>
              <w:spacing w:after="0"/>
              <w:ind w:left="318" w:hanging="357"/>
              <w:rPr>
                <w:rFonts w:cs="Calibri"/>
                <w:lang w:eastAsia="en-GB"/>
              </w:rPr>
            </w:pPr>
            <w:r w:rsidRPr="00037C61">
              <w:rPr>
                <w:rFonts w:cs="Calibri"/>
                <w:lang w:eastAsia="en-GB"/>
              </w:rPr>
              <w:t>The central government has the legal obligation to consult the associated structures of the local public authorities before taking any decision in all matters affecting them directly (Law 215/2001)</w:t>
            </w:r>
            <w:r w:rsidR="1C7128DE" w:rsidRPr="00037C61">
              <w:rPr>
                <w:rFonts w:cs="Calibri"/>
                <w:lang w:eastAsia="en-GB"/>
              </w:rPr>
              <w:t>.</w:t>
            </w:r>
            <w:r w:rsidRPr="00037C61">
              <w:rPr>
                <w:rFonts w:cs="Calibri"/>
                <w:lang w:eastAsia="en-GB"/>
              </w:rPr>
              <w:t xml:space="preserve"> </w:t>
            </w:r>
          </w:p>
        </w:tc>
        <w:tc>
          <w:tcPr>
            <w:tcW w:w="4768" w:type="dxa"/>
          </w:tcPr>
          <w:p w14:paraId="52235731" w14:textId="77777777" w:rsidR="00AB2C7D" w:rsidRPr="00037C61" w:rsidRDefault="00AB2C7D" w:rsidP="00EA5C18">
            <w:pPr>
              <w:pStyle w:val="InterregROHUBullet1"/>
              <w:spacing w:after="0"/>
              <w:ind w:left="318" w:hanging="357"/>
              <w:rPr>
                <w:rFonts w:cs="Calibri"/>
                <w:lang w:eastAsia="en-GB"/>
              </w:rPr>
            </w:pPr>
            <w:r w:rsidRPr="00037C61">
              <w:rPr>
                <w:rFonts w:cs="Calibri"/>
                <w:lang w:eastAsia="en-GB"/>
              </w:rPr>
              <w:t xml:space="preserve">Consultation of bodies representing local government interests is obligatory on questions of local interest. Local government associations often cooperate in the preparation of legislation of interest to the local level. </w:t>
            </w:r>
          </w:p>
        </w:tc>
      </w:tr>
      <w:tr w:rsidR="00AB2C7D" w:rsidRPr="00944B4A" w14:paraId="05ABA9E5" w14:textId="77777777" w:rsidTr="43A5E8BA">
        <w:tc>
          <w:tcPr>
            <w:tcW w:w="4248" w:type="dxa"/>
          </w:tcPr>
          <w:p w14:paraId="6DEC8A8F" w14:textId="77777777" w:rsidR="00AB2C7D" w:rsidRPr="00037C61" w:rsidRDefault="00AB2C7D" w:rsidP="00EA5C18">
            <w:pPr>
              <w:pStyle w:val="InterregROHUBullet1"/>
              <w:spacing w:after="0"/>
              <w:ind w:left="318" w:hanging="357"/>
              <w:rPr>
                <w:rFonts w:cs="Calibri"/>
                <w:lang w:eastAsia="en-GB"/>
              </w:rPr>
            </w:pPr>
            <w:r w:rsidRPr="00037C61">
              <w:rPr>
                <w:rFonts w:cs="Calibri"/>
                <w:lang w:eastAsia="en-GB"/>
              </w:rPr>
              <w:t xml:space="preserve">Coordination is being conducted by an appointed representative of the central public authorities. Account taking of the associations’ position is a decision of the central government. </w:t>
            </w:r>
          </w:p>
        </w:tc>
        <w:tc>
          <w:tcPr>
            <w:tcW w:w="4768" w:type="dxa"/>
          </w:tcPr>
          <w:p w14:paraId="268C8583" w14:textId="6DEFEDDA" w:rsidR="00AB2C7D" w:rsidRPr="00037C61" w:rsidRDefault="00AB2C7D" w:rsidP="00EA5C18">
            <w:pPr>
              <w:pStyle w:val="InterregROHUBullet1"/>
              <w:spacing w:after="0"/>
              <w:ind w:left="318" w:hanging="357"/>
              <w:rPr>
                <w:rFonts w:cs="Calibri"/>
                <w:lang w:eastAsia="en-GB"/>
              </w:rPr>
            </w:pPr>
            <w:r w:rsidRPr="00037C61">
              <w:rPr>
                <w:rFonts w:cs="Calibri"/>
                <w:lang w:eastAsia="en-GB"/>
              </w:rPr>
              <w:t>Horizontal coordination: Local government units may set up partnerships to more efficiently and effectively perform municipal duties and carry out powers. (2011 Law on Local Self-Government)</w:t>
            </w:r>
            <w:r w:rsidR="63E1B3D8" w:rsidRPr="00037C61">
              <w:rPr>
                <w:rFonts w:cs="Calibri"/>
                <w:lang w:eastAsia="en-GB"/>
              </w:rPr>
              <w:t>.</w:t>
            </w:r>
            <w:r w:rsidRPr="00037C61">
              <w:rPr>
                <w:rFonts w:cs="Calibri"/>
                <w:lang w:eastAsia="en-GB"/>
              </w:rPr>
              <w:t xml:space="preserve"> </w:t>
            </w:r>
          </w:p>
          <w:p w14:paraId="77EACC47" w14:textId="77777777" w:rsidR="00AB2C7D" w:rsidRPr="00037C61" w:rsidRDefault="00AB2C7D" w:rsidP="00EA5C18">
            <w:pPr>
              <w:pStyle w:val="InterregROHUBullet1"/>
              <w:spacing w:after="0"/>
              <w:ind w:left="318" w:hanging="357"/>
              <w:rPr>
                <w:rFonts w:cs="Calibri"/>
                <w:lang w:eastAsia="en-GB"/>
              </w:rPr>
            </w:pPr>
            <w:r w:rsidRPr="00037C61">
              <w:rPr>
                <w:rFonts w:cs="Calibri"/>
                <w:lang w:eastAsia="en-GB"/>
              </w:rPr>
              <w:t xml:space="preserve">Representative bodies of municipal governments may create regional development associations, but this is not mandatory. </w:t>
            </w:r>
          </w:p>
        </w:tc>
      </w:tr>
    </w:tbl>
    <w:p w14:paraId="25A17176" w14:textId="77777777" w:rsidR="00AB2C7D" w:rsidRPr="00037C61" w:rsidRDefault="00AB2C7D" w:rsidP="00AB2C7D">
      <w:pPr>
        <w:rPr>
          <w:lang w:val="en-GB"/>
        </w:rPr>
      </w:pPr>
    </w:p>
    <w:p w14:paraId="3D8A8958" w14:textId="77777777" w:rsidR="00AB2C7D" w:rsidRPr="00037C61" w:rsidRDefault="00AB2C7D" w:rsidP="00AB2C7D">
      <w:pPr>
        <w:pStyle w:val="Heading3"/>
      </w:pPr>
      <w:bookmarkStart w:id="805" w:name="_Toc53137221"/>
      <w:bookmarkStart w:id="806" w:name="_Toc53137352"/>
      <w:bookmarkStart w:id="807" w:name="_Ref53882898"/>
      <w:bookmarkStart w:id="808" w:name="_Toc64619559"/>
      <w:r w:rsidRPr="00037C61">
        <w:t>Key government metrics</w:t>
      </w:r>
      <w:bookmarkEnd w:id="805"/>
      <w:bookmarkEnd w:id="806"/>
      <w:bookmarkEnd w:id="807"/>
      <w:bookmarkEnd w:id="808"/>
      <w:r w:rsidRPr="00037C61">
        <w:t xml:space="preserve">  </w:t>
      </w:r>
    </w:p>
    <w:p w14:paraId="06C3C7C5" w14:textId="77777777" w:rsidR="00AB2C7D" w:rsidRPr="00037C61" w:rsidRDefault="00AB2C7D" w:rsidP="00AB2C7D">
      <w:pPr>
        <w:rPr>
          <w:lang w:val="en-GB"/>
        </w:rPr>
      </w:pPr>
      <w:r w:rsidRPr="00037C61">
        <w:rPr>
          <w:lang w:val="en-GB"/>
        </w:rPr>
        <w:t xml:space="preserve">Quality of government represents a critical factor in the assessment of the programming area’s performance, of the potential underlying causes for socio-economic intra- or inter-regional disparities and of possible entry points for capacity building programmes deliverable through cooperation projects. </w:t>
      </w:r>
    </w:p>
    <w:p w14:paraId="1FD37908" w14:textId="77777777" w:rsidR="00AB2C7D" w:rsidRPr="00037C61" w:rsidRDefault="00AB2C7D" w:rsidP="00AB2C7D">
      <w:pPr>
        <w:rPr>
          <w:lang w:val="en-GB"/>
        </w:rPr>
      </w:pPr>
      <w:r w:rsidRPr="00037C61">
        <w:rPr>
          <w:lang w:val="en-GB"/>
        </w:rPr>
        <w:t xml:space="preserve">The comparative perspective provided by University of Gothenburg’s European Quality of Government Index (EQI) 2017 indicates a clear East-West divide pattern which fits the analysed regions, ranked as underperformers in comparison with central, western and northern regions in Europe. </w:t>
      </w:r>
    </w:p>
    <w:p w14:paraId="0ED6DEAF" w14:textId="43DF09BD" w:rsidR="00AB2C7D" w:rsidRPr="00037C61" w:rsidRDefault="00AB2C7D" w:rsidP="00AB2C7D">
      <w:pPr>
        <w:keepNext/>
        <w:spacing w:after="0"/>
        <w:rPr>
          <w:lang w:val="en-GB"/>
        </w:rPr>
      </w:pPr>
      <w:r w:rsidRPr="00037C61">
        <w:rPr>
          <w:noProof/>
          <w:lang w:val="ro-RO" w:eastAsia="ro-RO"/>
        </w:rPr>
        <w:lastRenderedPageBreak/>
        <w:drawing>
          <wp:inline distT="0" distB="0" distL="0" distR="0" wp14:anchorId="6BA4DE3C" wp14:editId="5110217E">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66">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64298A95" w14:textId="3AF9F3FA" w:rsidR="00AB2C7D" w:rsidRPr="00037C61" w:rsidRDefault="00AB2C7D" w:rsidP="00AB2C7D">
      <w:pPr>
        <w:pStyle w:val="Caption"/>
        <w:jc w:val="both"/>
        <w:rPr>
          <w:lang w:val="en-GB"/>
        </w:rPr>
      </w:pPr>
      <w:bookmarkStart w:id="809" w:name="_Toc6461108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132</w:t>
      </w:r>
      <w:r w:rsidR="00412697">
        <w:rPr>
          <w:lang w:val="en-GB"/>
        </w:rPr>
        <w:fldChar w:fldCharType="end"/>
      </w:r>
      <w:r w:rsidRPr="00037C61">
        <w:rPr>
          <w:lang w:val="en-GB"/>
        </w:rPr>
        <w:t xml:space="preserve"> - European Quality of Government index (2017), illustrated at NUTS2 level.</w:t>
      </w:r>
      <w:bookmarkEnd w:id="809"/>
      <w:r w:rsidRPr="00037C61">
        <w:rPr>
          <w:lang w:val="en-GB"/>
        </w:rPr>
        <w:t xml:space="preserve"> </w:t>
      </w:r>
    </w:p>
    <w:p w14:paraId="28B65A03" w14:textId="77777777" w:rsidR="00AB2C7D" w:rsidRPr="00DB74BF" w:rsidRDefault="00AB2C7D" w:rsidP="00AB2C7D">
      <w:pPr>
        <w:pStyle w:val="Caption"/>
        <w:jc w:val="both"/>
        <w:rPr>
          <w:lang w:val="fr-FR"/>
        </w:rPr>
      </w:pPr>
      <w:r w:rsidRPr="00DB74BF">
        <w:rPr>
          <w:lang w:val="fr-FR"/>
        </w:rPr>
        <w:t xml:space="preserve">Source: </w:t>
      </w:r>
      <w:hyperlink r:id="rId267" w:history="1">
        <w:r w:rsidRPr="00DB74BF">
          <w:rPr>
            <w:rStyle w:val="Hyperlink"/>
            <w:lang w:val="fr-FR"/>
          </w:rPr>
          <w:t>https://ec.europa.eu/</w:t>
        </w:r>
      </w:hyperlink>
    </w:p>
    <w:p w14:paraId="76A7DD6F" w14:textId="77777777" w:rsidR="00AB2C7D" w:rsidRPr="00DB74BF" w:rsidRDefault="00AB2C7D" w:rsidP="00AB2C7D">
      <w:pPr>
        <w:rPr>
          <w:lang w:val="fr-FR"/>
        </w:rPr>
      </w:pPr>
    </w:p>
    <w:p w14:paraId="20E6DBF2" w14:textId="77777777" w:rsidR="00AB2C7D" w:rsidRPr="00037C61" w:rsidRDefault="00AB2C7D" w:rsidP="00AB2C7D">
      <w:pPr>
        <w:rPr>
          <w:lang w:val="en-GB"/>
        </w:rPr>
      </w:pPr>
      <w:r w:rsidRPr="00037C61">
        <w:rPr>
          <w:lang w:val="en-GB"/>
        </w:rPr>
        <w:t>All four NUTS2 regions which cover the programming area rank in the bottom 20 percentile out of the total 202 regions included in the EQI 2017 study, with Nord Vest (RO11) ranking lowest (193/202). A low EQI score does not necessarily correlate to a precise degree with the wealth of the region: the southern Hungarian regions record a slightly higher quality of government, with a lower GDP per capita PPS value.</w:t>
      </w:r>
    </w:p>
    <w:p w14:paraId="539086B0" w14:textId="13551474" w:rsidR="00AB2C7D" w:rsidRPr="00037C61" w:rsidRDefault="00AB2C7D" w:rsidP="00AB2C7D">
      <w:pPr>
        <w:pStyle w:val="Caption"/>
        <w:keepNext/>
        <w:jc w:val="left"/>
        <w:rPr>
          <w:lang w:val="en-GB"/>
        </w:rPr>
      </w:pPr>
      <w:bookmarkStart w:id="810" w:name="_Toc58237669"/>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47</w:t>
      </w:r>
      <w:r w:rsidRPr="00037C61">
        <w:rPr>
          <w:lang w:val="en-GB"/>
        </w:rPr>
        <w:fldChar w:fldCharType="end"/>
      </w:r>
      <w:r w:rsidRPr="00037C61">
        <w:rPr>
          <w:lang w:val="en-GB"/>
        </w:rPr>
        <w:t xml:space="preserve"> - EQI and GDP per capita correlation for the NUTS 2 included in the program area.</w:t>
      </w:r>
      <w:bookmarkEnd w:id="810"/>
      <w:r w:rsidRPr="00037C61">
        <w:rPr>
          <w:lang w:val="en-GB"/>
        </w:rPr>
        <w:t xml:space="preserve"> </w:t>
      </w:r>
    </w:p>
    <w:p w14:paraId="6A8BFB7B" w14:textId="77777777" w:rsidR="00AB2C7D" w:rsidRPr="00DB74BF" w:rsidRDefault="00AB2C7D" w:rsidP="00AB2C7D">
      <w:pPr>
        <w:pStyle w:val="Caption"/>
        <w:keepNext/>
        <w:jc w:val="left"/>
        <w:rPr>
          <w:lang w:val="fr-FR"/>
        </w:rPr>
      </w:pPr>
      <w:r w:rsidRPr="00DB74BF">
        <w:rPr>
          <w:lang w:val="fr-FR"/>
        </w:rPr>
        <w:t>Source: https://ec.europa.eu/regional_policy/en/information/maps/quality_of_governance/#2</w:t>
      </w:r>
    </w:p>
    <w:tbl>
      <w:tblPr>
        <w:tblStyle w:val="PlainTable41"/>
        <w:tblW w:w="9055" w:type="dxa"/>
        <w:tblLook w:val="04A0" w:firstRow="1" w:lastRow="0" w:firstColumn="1" w:lastColumn="0" w:noHBand="0" w:noVBand="1"/>
      </w:tblPr>
      <w:tblGrid>
        <w:gridCol w:w="2946"/>
        <w:gridCol w:w="3156"/>
        <w:gridCol w:w="2953"/>
      </w:tblGrid>
      <w:tr w:rsidR="00AB2C7D" w:rsidRPr="00037C61" w14:paraId="3A6ADB36" w14:textId="77777777" w:rsidTr="5CA115F1">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946" w:type="dxa"/>
            <w:shd w:val="clear" w:color="auto" w:fill="98A7D5" w:themeFill="accent2"/>
            <w:noWrap/>
            <w:hideMark/>
          </w:tcPr>
          <w:p w14:paraId="173B8CF4" w14:textId="77777777" w:rsidR="00AB2C7D" w:rsidRPr="00DB74BF" w:rsidRDefault="00AB2C7D" w:rsidP="00EA5C18">
            <w:pPr>
              <w:jc w:val="left"/>
              <w:rPr>
                <w:rFonts w:ascii="Times New Roman" w:hAnsi="Times New Roman"/>
                <w:sz w:val="24"/>
                <w:lang w:val="fr-FR"/>
              </w:rPr>
            </w:pPr>
          </w:p>
        </w:tc>
        <w:tc>
          <w:tcPr>
            <w:tcW w:w="3156" w:type="dxa"/>
            <w:shd w:val="clear" w:color="auto" w:fill="98A7D5" w:themeFill="accent2"/>
            <w:noWrap/>
            <w:hideMark/>
          </w:tcPr>
          <w:p w14:paraId="629B3C5D" w14:textId="77777777" w:rsidR="00AB2C7D" w:rsidRPr="00037C61" w:rsidRDefault="00AB2C7D" w:rsidP="00EA5C18">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 xml:space="preserve">EQI (2017) </w:t>
            </w:r>
          </w:p>
        </w:tc>
        <w:tc>
          <w:tcPr>
            <w:tcW w:w="2953" w:type="dxa"/>
            <w:shd w:val="clear" w:color="auto" w:fill="98A7D5" w:themeFill="accent2"/>
            <w:noWrap/>
            <w:hideMark/>
          </w:tcPr>
          <w:p w14:paraId="78679FD0" w14:textId="77777777" w:rsidR="00AB2C7D" w:rsidRPr="00037C61" w:rsidRDefault="00AB2C7D" w:rsidP="00EA5C18">
            <w:pPr>
              <w:jc w:val="left"/>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 xml:space="preserve">GDP / capita PPS (2017) </w:t>
            </w:r>
          </w:p>
        </w:tc>
      </w:tr>
      <w:tr w:rsidR="00AB2C7D" w:rsidRPr="00037C61" w14:paraId="36CF25D0" w14:textId="77777777" w:rsidTr="5CA115F1">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946" w:type="dxa"/>
            <w:noWrap/>
            <w:hideMark/>
          </w:tcPr>
          <w:p w14:paraId="306868C8" w14:textId="77777777" w:rsidR="00AB2C7D" w:rsidRPr="00037C61" w:rsidRDefault="00AB2C7D" w:rsidP="00EA5C18">
            <w:pPr>
              <w:jc w:val="left"/>
              <w:rPr>
                <w:rFonts w:eastAsia="Times New Roman" w:cs="Calibri"/>
                <w:color w:val="000000"/>
                <w:lang w:val="en-GB" w:eastAsia="en-GB"/>
              </w:rPr>
            </w:pPr>
            <w:r w:rsidRPr="00037C61">
              <w:rPr>
                <w:rFonts w:eastAsia="Times New Roman" w:cs="Calibri"/>
                <w:color w:val="000000"/>
                <w:lang w:val="en-GB" w:eastAsia="en-GB"/>
              </w:rPr>
              <w:t>HU33 Dél-Alföld</w:t>
            </w:r>
          </w:p>
        </w:tc>
        <w:tc>
          <w:tcPr>
            <w:tcW w:w="3156" w:type="dxa"/>
            <w:noWrap/>
            <w:hideMark/>
          </w:tcPr>
          <w:p w14:paraId="3088830B" w14:textId="77777777" w:rsidR="00AB2C7D" w:rsidRPr="00037C61" w:rsidRDefault="00AB2C7D" w:rsidP="00EA5C1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155 / 202</w:t>
            </w:r>
          </w:p>
        </w:tc>
        <w:tc>
          <w:tcPr>
            <w:tcW w:w="2953" w:type="dxa"/>
            <w:noWrap/>
            <w:hideMark/>
          </w:tcPr>
          <w:p w14:paraId="0018144B" w14:textId="77777777" w:rsidR="00AB2C7D" w:rsidRPr="00037C61" w:rsidRDefault="00AB2C7D" w:rsidP="00EA5C1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190 / 202</w:t>
            </w:r>
          </w:p>
        </w:tc>
      </w:tr>
      <w:tr w:rsidR="00AB2C7D" w:rsidRPr="00037C61" w14:paraId="485CA667" w14:textId="77777777" w:rsidTr="5CA115F1">
        <w:trPr>
          <w:trHeight w:val="316"/>
        </w:trPr>
        <w:tc>
          <w:tcPr>
            <w:cnfStyle w:val="001000000000" w:firstRow="0" w:lastRow="0" w:firstColumn="1" w:lastColumn="0" w:oddVBand="0" w:evenVBand="0" w:oddHBand="0" w:evenHBand="0" w:firstRowFirstColumn="0" w:firstRowLastColumn="0" w:lastRowFirstColumn="0" w:lastRowLastColumn="0"/>
            <w:tcW w:w="2946" w:type="dxa"/>
            <w:noWrap/>
            <w:hideMark/>
          </w:tcPr>
          <w:p w14:paraId="43EA689E" w14:textId="77777777" w:rsidR="00AB2C7D" w:rsidRPr="00037C61" w:rsidRDefault="00AB2C7D" w:rsidP="00EA5C18">
            <w:pPr>
              <w:jc w:val="left"/>
              <w:rPr>
                <w:rFonts w:eastAsia="Times New Roman" w:cs="Calibri"/>
                <w:color w:val="000000"/>
                <w:lang w:val="en-GB" w:eastAsia="en-GB"/>
              </w:rPr>
            </w:pPr>
            <w:r w:rsidRPr="00037C61">
              <w:rPr>
                <w:rFonts w:eastAsia="Times New Roman" w:cs="Calibri"/>
                <w:color w:val="000000"/>
                <w:lang w:val="en-GB" w:eastAsia="en-GB"/>
              </w:rPr>
              <w:t>HU32 Észak-Alföld</w:t>
            </w:r>
          </w:p>
        </w:tc>
        <w:tc>
          <w:tcPr>
            <w:tcW w:w="3156" w:type="dxa"/>
            <w:noWrap/>
            <w:hideMark/>
          </w:tcPr>
          <w:p w14:paraId="12BC4487" w14:textId="77777777" w:rsidR="00AB2C7D" w:rsidRPr="00037C61" w:rsidRDefault="00AB2C7D" w:rsidP="00EA5C1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175 / 202</w:t>
            </w:r>
          </w:p>
        </w:tc>
        <w:tc>
          <w:tcPr>
            <w:tcW w:w="2953" w:type="dxa"/>
            <w:noWrap/>
            <w:hideMark/>
          </w:tcPr>
          <w:p w14:paraId="5B9D9B53" w14:textId="77777777" w:rsidR="00AB2C7D" w:rsidRPr="00037C61" w:rsidRDefault="00AB2C7D" w:rsidP="00EA5C1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195 / 202</w:t>
            </w:r>
          </w:p>
        </w:tc>
      </w:tr>
      <w:tr w:rsidR="00AB2C7D" w:rsidRPr="00037C61" w14:paraId="06B1FF1E" w14:textId="77777777" w:rsidTr="5CA115F1">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946" w:type="dxa"/>
            <w:noWrap/>
            <w:hideMark/>
          </w:tcPr>
          <w:p w14:paraId="2568A2CC" w14:textId="77777777" w:rsidR="00AB2C7D" w:rsidRPr="00037C61" w:rsidRDefault="00AB2C7D" w:rsidP="00EA5C18">
            <w:pPr>
              <w:jc w:val="left"/>
              <w:rPr>
                <w:rFonts w:eastAsia="Times New Roman" w:cs="Calibri"/>
                <w:color w:val="000000"/>
                <w:lang w:val="en-GB" w:eastAsia="en-GB"/>
              </w:rPr>
            </w:pPr>
            <w:r w:rsidRPr="00037C61">
              <w:rPr>
                <w:rFonts w:eastAsia="Times New Roman" w:cs="Calibri"/>
                <w:color w:val="000000"/>
                <w:lang w:val="en-GB" w:eastAsia="en-GB"/>
              </w:rPr>
              <w:t>RO42 Vest</w:t>
            </w:r>
          </w:p>
        </w:tc>
        <w:tc>
          <w:tcPr>
            <w:tcW w:w="3156" w:type="dxa"/>
            <w:noWrap/>
            <w:hideMark/>
          </w:tcPr>
          <w:p w14:paraId="3A3A3CBC" w14:textId="77777777" w:rsidR="00AB2C7D" w:rsidRPr="00037C61" w:rsidRDefault="00AB2C7D" w:rsidP="00EA5C1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176 / 202</w:t>
            </w:r>
          </w:p>
        </w:tc>
        <w:tc>
          <w:tcPr>
            <w:tcW w:w="2953" w:type="dxa"/>
            <w:noWrap/>
            <w:hideMark/>
          </w:tcPr>
          <w:p w14:paraId="6738BCDB" w14:textId="77777777" w:rsidR="00AB2C7D" w:rsidRPr="00037C61" w:rsidRDefault="00AB2C7D" w:rsidP="00EA5C18">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174 / 202</w:t>
            </w:r>
          </w:p>
        </w:tc>
      </w:tr>
      <w:tr w:rsidR="00AB2C7D" w:rsidRPr="00037C61" w14:paraId="0C9FFA0E" w14:textId="77777777" w:rsidTr="5CA115F1">
        <w:trPr>
          <w:trHeight w:val="316"/>
        </w:trPr>
        <w:tc>
          <w:tcPr>
            <w:cnfStyle w:val="001000000000" w:firstRow="0" w:lastRow="0" w:firstColumn="1" w:lastColumn="0" w:oddVBand="0" w:evenVBand="0" w:oddHBand="0" w:evenHBand="0" w:firstRowFirstColumn="0" w:firstRowLastColumn="0" w:lastRowFirstColumn="0" w:lastRowLastColumn="0"/>
            <w:tcW w:w="2946" w:type="dxa"/>
            <w:noWrap/>
            <w:hideMark/>
          </w:tcPr>
          <w:p w14:paraId="7594E867" w14:textId="77777777" w:rsidR="00AB2C7D" w:rsidRPr="00037C61" w:rsidRDefault="00AB2C7D" w:rsidP="00EA5C18">
            <w:pPr>
              <w:jc w:val="left"/>
              <w:rPr>
                <w:rFonts w:eastAsia="Times New Roman" w:cs="Calibri"/>
                <w:color w:val="000000"/>
                <w:lang w:val="en-GB" w:eastAsia="en-GB"/>
              </w:rPr>
            </w:pPr>
            <w:r w:rsidRPr="00037C61">
              <w:rPr>
                <w:rFonts w:eastAsia="Times New Roman" w:cs="Calibri"/>
                <w:color w:val="000000"/>
                <w:lang w:val="en-GB" w:eastAsia="en-GB"/>
              </w:rPr>
              <w:t xml:space="preserve">RO11 Nord Vest </w:t>
            </w:r>
          </w:p>
        </w:tc>
        <w:tc>
          <w:tcPr>
            <w:tcW w:w="3156" w:type="dxa"/>
            <w:noWrap/>
            <w:hideMark/>
          </w:tcPr>
          <w:p w14:paraId="6CA4B4B2" w14:textId="77777777" w:rsidR="00AB2C7D" w:rsidRPr="00037C61" w:rsidRDefault="00AB2C7D" w:rsidP="00EA5C1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193 / 202</w:t>
            </w:r>
          </w:p>
        </w:tc>
        <w:tc>
          <w:tcPr>
            <w:tcW w:w="2953" w:type="dxa"/>
            <w:noWrap/>
            <w:hideMark/>
          </w:tcPr>
          <w:p w14:paraId="05B5057B" w14:textId="77777777" w:rsidR="00AB2C7D" w:rsidRPr="00037C61" w:rsidRDefault="00AB2C7D" w:rsidP="00EA5C18">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GB" w:eastAsia="en-GB"/>
              </w:rPr>
            </w:pPr>
            <w:r w:rsidRPr="00037C61">
              <w:rPr>
                <w:rFonts w:eastAsia="Times New Roman" w:cs="Calibri"/>
                <w:color w:val="000000"/>
                <w:lang w:val="en-GB" w:eastAsia="en-GB"/>
              </w:rPr>
              <w:t>185 / 202</w:t>
            </w:r>
          </w:p>
        </w:tc>
      </w:tr>
    </w:tbl>
    <w:p w14:paraId="192697EA" w14:textId="6239D65C" w:rsidR="5CA115F1" w:rsidRPr="00037C61" w:rsidRDefault="5CA115F1">
      <w:pPr>
        <w:rPr>
          <w:lang w:val="en-GB"/>
        </w:rPr>
      </w:pPr>
    </w:p>
    <w:p w14:paraId="7048B1AA" w14:textId="77777777" w:rsidR="00AB2C7D" w:rsidRPr="00037C61" w:rsidRDefault="00AB2C7D" w:rsidP="00AB2C7D">
      <w:pPr>
        <w:rPr>
          <w:lang w:val="en-GB"/>
        </w:rPr>
      </w:pPr>
    </w:p>
    <w:p w14:paraId="7A1C79D6" w14:textId="169E8812" w:rsidR="000C5A56" w:rsidRPr="00037C61" w:rsidRDefault="000C5A56" w:rsidP="005E0849">
      <w:pPr>
        <w:keepNext/>
        <w:rPr>
          <w:lang w:val="en-GB"/>
        </w:rPr>
      </w:pPr>
      <w:r w:rsidRPr="00037C61">
        <w:rPr>
          <w:noProof/>
          <w:lang w:val="ro-RO" w:eastAsia="ro-RO"/>
        </w:rPr>
        <w:lastRenderedPageBreak/>
        <w:drawing>
          <wp:anchor distT="0" distB="0" distL="114300" distR="114300" simplePos="0" relativeHeight="251695616" behindDoc="0" locked="0" layoutInCell="1" allowOverlap="1" wp14:anchorId="0F9E5939" wp14:editId="40CF6E35">
            <wp:simplePos x="0" y="0"/>
            <wp:positionH relativeFrom="margin">
              <wp:posOffset>2463800</wp:posOffset>
            </wp:positionH>
            <wp:positionV relativeFrom="paragraph">
              <wp:posOffset>283210</wp:posOffset>
            </wp:positionV>
            <wp:extent cx="3163570" cy="2607945"/>
            <wp:effectExtent l="0" t="0" r="0" b="1905"/>
            <wp:wrapSquare wrapText="bothSides"/>
            <wp:docPr id="1915240289" name="Picture 191524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68" cstate="screen">
                      <a:extLst>
                        <a:ext uri="{28A0092B-C50C-407E-A947-70E740481C1C}">
                          <a14:useLocalDpi xmlns:a14="http://schemas.microsoft.com/office/drawing/2010/main"/>
                        </a:ext>
                      </a:extLst>
                    </a:blip>
                    <a:stretch>
                      <a:fillRect/>
                    </a:stretch>
                  </pic:blipFill>
                  <pic:spPr>
                    <a:xfrm>
                      <a:off x="0" y="0"/>
                      <a:ext cx="3163570" cy="2607945"/>
                    </a:xfrm>
                    <a:prstGeom prst="rect">
                      <a:avLst/>
                    </a:prstGeom>
                  </pic:spPr>
                </pic:pic>
              </a:graphicData>
            </a:graphic>
            <wp14:sizeRelH relativeFrom="margin">
              <wp14:pctWidth>0</wp14:pctWidth>
            </wp14:sizeRelH>
            <wp14:sizeRelV relativeFrom="margin">
              <wp14:pctHeight>0</wp14:pctHeight>
            </wp14:sizeRelV>
          </wp:anchor>
        </w:drawing>
      </w:r>
    </w:p>
    <w:p w14:paraId="451BE9ED" w14:textId="7CD1ADC6" w:rsidR="000C5A56" w:rsidRPr="00037C61" w:rsidRDefault="000C5A56" w:rsidP="005E0849">
      <w:pPr>
        <w:rPr>
          <w:lang w:val="en-GB"/>
        </w:rPr>
      </w:pPr>
      <w:r w:rsidRPr="00037C61">
        <w:rPr>
          <w:lang w:val="en-GB"/>
        </w:rPr>
        <w:t xml:space="preserve">Nevertheless, there is a recorded significant positive change in the EQI of Vest region in Romania, while both Észak-Alföld (HU) and Nord Vest (RO) record negative changes compared to the base year 2010. Overall, there is convergence within the cooperation region – albeit towards a lower-performance score of the four NUTS 2 regions which cover the programming area. </w:t>
      </w:r>
    </w:p>
    <w:p w14:paraId="117CD622" w14:textId="15ACAC1D" w:rsidR="00AB2C7D" w:rsidRPr="00037C61" w:rsidRDefault="00AB2C7D" w:rsidP="00AB2C7D">
      <w:pPr>
        <w:pStyle w:val="Caption"/>
        <w:keepNext/>
        <w:jc w:val="left"/>
        <w:rPr>
          <w:lang w:val="en-GB"/>
        </w:rPr>
      </w:pPr>
      <w:bookmarkStart w:id="811" w:name="_Toc6461108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133</w:t>
      </w:r>
      <w:r w:rsidR="00412697">
        <w:rPr>
          <w:lang w:val="en-GB"/>
        </w:rPr>
        <w:fldChar w:fldCharType="end"/>
      </w:r>
      <w:r w:rsidRPr="00037C61">
        <w:rPr>
          <w:lang w:val="en-GB"/>
        </w:rPr>
        <w:t xml:space="preserve"> - Regional benchmarking for quality of government in the four NUTS2 regions afferent to the programming area.</w:t>
      </w:r>
      <w:bookmarkEnd w:id="811"/>
      <w:r w:rsidRPr="00037C61">
        <w:rPr>
          <w:lang w:val="en-GB"/>
        </w:rPr>
        <w:t xml:space="preserve"> </w:t>
      </w:r>
    </w:p>
    <w:p w14:paraId="622CD3F5" w14:textId="77777777" w:rsidR="000C5A56" w:rsidRPr="00037C61" w:rsidRDefault="000C5A56" w:rsidP="000C5A56">
      <w:pPr>
        <w:pStyle w:val="Caption"/>
        <w:keepNext/>
        <w:jc w:val="right"/>
        <w:rPr>
          <w:lang w:val="en-GB"/>
        </w:rPr>
      </w:pPr>
    </w:p>
    <w:p w14:paraId="72983EDA" w14:textId="77777777" w:rsidR="000C5A56" w:rsidRPr="00037C61" w:rsidRDefault="000C5A56" w:rsidP="000C5A56">
      <w:pPr>
        <w:pStyle w:val="Caption"/>
        <w:keepNext/>
        <w:jc w:val="right"/>
        <w:rPr>
          <w:lang w:val="en-GB"/>
        </w:rPr>
      </w:pPr>
    </w:p>
    <w:p w14:paraId="7D2F97FC" w14:textId="7351C6F7" w:rsidR="00AB2C7D" w:rsidRPr="00DB74BF" w:rsidRDefault="00AB2C7D" w:rsidP="005E0849">
      <w:pPr>
        <w:pStyle w:val="Caption"/>
        <w:keepNext/>
        <w:jc w:val="right"/>
        <w:rPr>
          <w:lang w:val="fr-FR"/>
        </w:rPr>
      </w:pPr>
      <w:r w:rsidRPr="00DB74BF">
        <w:rPr>
          <w:lang w:val="fr-FR"/>
        </w:rPr>
        <w:t>Source: https://ec.europa.eu/regional_policy/en/information/maps/quality_of_governance/#2</w:t>
      </w:r>
    </w:p>
    <w:p w14:paraId="25E6A33F" w14:textId="77777777" w:rsidR="00AB2C7D" w:rsidRPr="00DB74BF" w:rsidRDefault="00AB2C7D" w:rsidP="00AB2C7D">
      <w:pPr>
        <w:pStyle w:val="Caption"/>
        <w:jc w:val="both"/>
        <w:rPr>
          <w:lang w:val="fr-FR"/>
        </w:rPr>
      </w:pPr>
    </w:p>
    <w:p w14:paraId="64DEA2EF" w14:textId="77777777" w:rsidR="00AB2C7D" w:rsidRPr="00037C61" w:rsidRDefault="00AB2C7D" w:rsidP="00AB2C7D">
      <w:pPr>
        <w:pStyle w:val="Heading4"/>
        <w:rPr>
          <w:lang w:val="en-GB"/>
        </w:rPr>
      </w:pPr>
      <w:r w:rsidRPr="00037C61">
        <w:rPr>
          <w:lang w:val="en-GB"/>
        </w:rPr>
        <w:t xml:space="preserve">Subnational government capacity and spending – an overview </w:t>
      </w:r>
    </w:p>
    <w:p w14:paraId="4C1D8B68" w14:textId="3E4A7B02" w:rsidR="00AB2C7D" w:rsidRPr="00037C61" w:rsidRDefault="00AB2C7D" w:rsidP="00AB2C7D">
      <w:pPr>
        <w:rPr>
          <w:lang w:val="en-GB"/>
        </w:rPr>
      </w:pPr>
      <w:r w:rsidRPr="00037C61">
        <w:rPr>
          <w:lang w:val="en-GB"/>
        </w:rPr>
        <w:t xml:space="preserve">While subnational government capacity varies throughout the region, an assessment of the structure of expenditure offers important insights into the potential to cooperate on the provision of public services, as well as any complementarities or barriers to cooperation. </w:t>
      </w:r>
      <w:r w:rsidR="007603C4">
        <w:rPr>
          <w:lang w:val="en-GB"/>
        </w:rPr>
        <w:t xml:space="preserve">The Figure below </w:t>
      </w:r>
      <w:r w:rsidRPr="00037C61">
        <w:rPr>
          <w:lang w:val="en-GB"/>
        </w:rPr>
        <w:t xml:space="preserve">offers an overview of these particularities: </w:t>
      </w:r>
    </w:p>
    <w:p w14:paraId="2479F3CB" w14:textId="77777777" w:rsidR="00AB2C7D" w:rsidRPr="00037C61" w:rsidRDefault="00AB2C7D" w:rsidP="00AB2C7D">
      <w:pPr>
        <w:pStyle w:val="InterregROHUBullet1"/>
        <w:ind w:left="567"/>
      </w:pPr>
      <w:r w:rsidRPr="00037C61">
        <w:t xml:space="preserve">Subnational spending in Hungary is concentrated on the provision of general public services, which make up 27% of the total expenditure, a figure roughly twice that of Romania; </w:t>
      </w:r>
    </w:p>
    <w:p w14:paraId="758A7282" w14:textId="77777777" w:rsidR="00AB2C7D" w:rsidRPr="00037C61" w:rsidRDefault="00AB2C7D" w:rsidP="00AB2C7D">
      <w:pPr>
        <w:pStyle w:val="InterregROHUBullet1"/>
        <w:ind w:left="567"/>
      </w:pPr>
      <w:r w:rsidRPr="00037C61">
        <w:t xml:space="preserve">The most important differences are recorded in what concerns provision of health and healthcare services (4% of total in Hungary, 27% in Romania), and education (16% in Hungary, only 6% in Romania). </w:t>
      </w:r>
    </w:p>
    <w:p w14:paraId="5B57D52B" w14:textId="3F8CD077" w:rsidR="00AB2C7D" w:rsidRPr="00037C61" w:rsidRDefault="00AB2C7D" w:rsidP="00AB2C7D">
      <w:pPr>
        <w:keepNext/>
        <w:spacing w:after="0"/>
        <w:rPr>
          <w:lang w:val="en-GB"/>
        </w:rPr>
      </w:pPr>
      <w:r w:rsidRPr="00037C61">
        <w:rPr>
          <w:noProof/>
          <w:lang w:val="ro-RO" w:eastAsia="ro-RO"/>
        </w:rPr>
        <w:drawing>
          <wp:inline distT="0" distB="0" distL="0" distR="0" wp14:anchorId="2A9828CB" wp14:editId="3FA38DC0">
            <wp:extent cx="5785336" cy="2138358"/>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69">
                      <a:extLst>
                        <a:ext uri="{28A0092B-C50C-407E-A947-70E740481C1C}">
                          <a14:useLocalDpi xmlns:a14="http://schemas.microsoft.com/office/drawing/2010/main"/>
                        </a:ext>
                      </a:extLst>
                    </a:blip>
                    <a:stretch>
                      <a:fillRect/>
                    </a:stretch>
                  </pic:blipFill>
                  <pic:spPr>
                    <a:xfrm>
                      <a:off x="0" y="0"/>
                      <a:ext cx="5785336" cy="2138358"/>
                    </a:xfrm>
                    <a:prstGeom prst="rect">
                      <a:avLst/>
                    </a:prstGeom>
                  </pic:spPr>
                </pic:pic>
              </a:graphicData>
            </a:graphic>
          </wp:inline>
        </w:drawing>
      </w:r>
    </w:p>
    <w:p w14:paraId="5399BAD8" w14:textId="4A5DE274" w:rsidR="00AB2C7D" w:rsidRPr="00037C61" w:rsidRDefault="00AB2C7D" w:rsidP="00AB2C7D">
      <w:pPr>
        <w:pStyle w:val="Caption"/>
        <w:jc w:val="both"/>
        <w:rPr>
          <w:lang w:val="en-GB"/>
        </w:rPr>
      </w:pPr>
      <w:bookmarkStart w:id="812" w:name="_Ref50314848"/>
      <w:bookmarkStart w:id="813" w:name="_Toc6461108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134</w:t>
      </w:r>
      <w:r w:rsidR="00412697">
        <w:rPr>
          <w:lang w:val="en-GB"/>
        </w:rPr>
        <w:fldChar w:fldCharType="end"/>
      </w:r>
      <w:bookmarkEnd w:id="812"/>
      <w:r w:rsidRPr="00037C61">
        <w:rPr>
          <w:lang w:val="en-GB"/>
        </w:rPr>
        <w:t xml:space="preserve"> - Structure of local government expenditure on public services in Hungary, Romania and average EU-27 (2018).</w:t>
      </w:r>
      <w:bookmarkEnd w:id="813"/>
      <w:r w:rsidRPr="00037C61">
        <w:rPr>
          <w:lang w:val="en-GB"/>
        </w:rPr>
        <w:t xml:space="preserve"> </w:t>
      </w:r>
    </w:p>
    <w:p w14:paraId="4BA1E3B5" w14:textId="77777777" w:rsidR="00AB2C7D" w:rsidRPr="00037C61" w:rsidRDefault="00AB2C7D" w:rsidP="00AB2C7D">
      <w:pPr>
        <w:pStyle w:val="Caption"/>
        <w:jc w:val="both"/>
        <w:rPr>
          <w:lang w:val="en-GB"/>
        </w:rPr>
      </w:pPr>
      <w:r w:rsidRPr="00037C61">
        <w:rPr>
          <w:lang w:val="en-GB"/>
        </w:rPr>
        <w:t>Source: EUROSTAT, General government expenditure by function (COFOG)[gov_10a_exp]</w:t>
      </w:r>
    </w:p>
    <w:p w14:paraId="1CA97E88" w14:textId="77777777" w:rsidR="00AB2C7D" w:rsidRPr="00037C61" w:rsidRDefault="00AB2C7D" w:rsidP="00AB2C7D">
      <w:pPr>
        <w:rPr>
          <w:lang w:val="en-GB"/>
        </w:rPr>
      </w:pPr>
    </w:p>
    <w:p w14:paraId="2D67F0D6" w14:textId="77777777" w:rsidR="00AB2C7D" w:rsidRPr="00037C61" w:rsidRDefault="00AB2C7D" w:rsidP="00AB2C7D">
      <w:pPr>
        <w:pStyle w:val="Heading4"/>
        <w:rPr>
          <w:lang w:val="en-GB"/>
        </w:rPr>
      </w:pPr>
      <w:r w:rsidRPr="00037C61">
        <w:rPr>
          <w:lang w:val="en-GB"/>
        </w:rPr>
        <w:t xml:space="preserve">Digitalisation and digital government services </w:t>
      </w:r>
    </w:p>
    <w:p w14:paraId="078F1BE2" w14:textId="77777777" w:rsidR="00AB2C7D" w:rsidRPr="00037C61" w:rsidRDefault="00AB2C7D" w:rsidP="00AB2C7D">
      <w:pPr>
        <w:rPr>
          <w:lang w:val="en-GB"/>
        </w:rPr>
      </w:pPr>
      <w:r w:rsidRPr="00037C61">
        <w:rPr>
          <w:lang w:val="en-GB"/>
        </w:rPr>
        <w:t xml:space="preserve">A high level of readiness to develop and implement e-government services is a prerequisite for a highperforming and innovative public sector that delivers integrated services, making life easier for </w:t>
      </w:r>
      <w:r w:rsidRPr="00037C61">
        <w:rPr>
          <w:lang w:val="en-GB"/>
        </w:rPr>
        <w:lastRenderedPageBreak/>
        <w:t xml:space="preserve">citizens and businesses. </w:t>
      </w:r>
      <w:r w:rsidRPr="00037C61">
        <w:rPr>
          <w:b/>
          <w:bCs/>
          <w:lang w:val="en-GB"/>
        </w:rPr>
        <w:t>E-government readiness</w:t>
      </w:r>
      <w:r w:rsidRPr="00037C61">
        <w:rPr>
          <w:lang w:val="en-GB"/>
        </w:rPr>
        <w:t xml:space="preserve"> is therefore a significant indicator of whether a country is prepared to harvest efficiencies gained from ICT-enabled public administrations (OECD, 2009). While regional E-Government data is currently unavailable, and the Digital Economy and Society Index (DESI) at regional level is still under development, the national-level data nevertheless offers important indicators for the programming area. </w:t>
      </w:r>
    </w:p>
    <w:p w14:paraId="182D7449" w14:textId="10B97626" w:rsidR="00AB2C7D" w:rsidRPr="00037C61" w:rsidRDefault="00AB2C7D" w:rsidP="00AB2C7D">
      <w:pPr>
        <w:rPr>
          <w:lang w:val="en-GB"/>
        </w:rPr>
      </w:pPr>
      <w:r w:rsidRPr="00037C61">
        <w:rPr>
          <w:lang w:val="en-GB"/>
        </w:rPr>
        <w:t>The recent Covid-19 pandemic lockdowns have highlighted the need to pursue digital governm</w:t>
      </w:r>
      <w:r w:rsidR="5FC9387F" w:rsidRPr="00037C61">
        <w:rPr>
          <w:lang w:val="en-GB"/>
        </w:rPr>
        <w:t>e</w:t>
      </w:r>
      <w:r w:rsidRPr="00037C61">
        <w:rPr>
          <w:lang w:val="en-GB"/>
        </w:rPr>
        <w:t xml:space="preserve">nt strategies (UN, 2020), albeit there is an important percentage of people in the programming area which still do not have access to online services (UN, 2020). </w:t>
      </w:r>
    </w:p>
    <w:p w14:paraId="22D2DD6D" w14:textId="77777777" w:rsidR="00AB2C7D" w:rsidRPr="00037C61" w:rsidRDefault="00AB2C7D" w:rsidP="00AB2C7D">
      <w:pPr>
        <w:rPr>
          <w:lang w:val="en-GB"/>
        </w:rPr>
      </w:pPr>
      <w:r w:rsidRPr="00037C61">
        <w:rPr>
          <w:b/>
          <w:bCs/>
          <w:lang w:val="en-GB"/>
        </w:rPr>
        <w:t>The United Nations E-Government Surveys</w:t>
      </w:r>
      <w:r w:rsidRPr="00037C61">
        <w:rPr>
          <w:lang w:val="en-GB"/>
        </w:rPr>
        <w:t xml:space="preserve"> (since 2000, latest 2020) classifies countries as Very High, High, Middle and Low-ranking on the scale for a composite E-Government Development Index (EGDI). The Very High EGDI Group increased by 43% between 2018 and 2020, with newcomers both Hungary and Romania, apart from five other European countries (Czech Republic, Bulgaria, Slovakia, Latvia, Croatia). Romania saw the biggest jump (from EGDI 0.6671 in 2018 to 0.7605 in 2020), which Hungary recording a 0.05 increase in the indicator (0.7265 to 0.7745 respectively). </w:t>
      </w:r>
    </w:p>
    <w:p w14:paraId="0E856E53" w14:textId="77777777" w:rsidR="00AB2C7D" w:rsidRPr="00037C61" w:rsidRDefault="00AB2C7D" w:rsidP="00AB2C7D">
      <w:pPr>
        <w:rPr>
          <w:lang w:val="en-GB"/>
        </w:rPr>
      </w:pPr>
      <w:r w:rsidRPr="00037C61">
        <w:rPr>
          <w:lang w:val="en-GB"/>
        </w:rPr>
        <w:t xml:space="preserve">Furthermore, e-Participation (measured by the UN EPI Index) ranks `very high` in Romania (81.48% total utilisation) and `high` in Hungary (68.60%), and looks at online availability of information (on policy and budgets), digital channel use, availability of public procurement notifications, tender results, e-participation policies, personal data protection legislation, open data sets, evidence of individual engagement in consultations and other criteria. It is to note that the UN criteria benchmark performance in eGovernment at global level, so a comparison at macroregional level is more relevant for the assessment of the level of digital services and e-Government.  </w:t>
      </w:r>
    </w:p>
    <w:p w14:paraId="2FE623D2" w14:textId="271B0C29" w:rsidR="00AB2C7D" w:rsidRPr="00037C61" w:rsidRDefault="00AB2C7D" w:rsidP="00AB2C7D">
      <w:pPr>
        <w:rPr>
          <w:lang w:val="en-GB"/>
        </w:rPr>
      </w:pPr>
      <w:r w:rsidRPr="00037C61">
        <w:rPr>
          <w:lang w:val="en-GB"/>
        </w:rPr>
        <w:t xml:space="preserve">Overall, 70.68% of individuals in Romania use the internet, and 76.07% in Hungary, a slightly higher percentage. However, when these numbers are analysed against indicators for information society and eGovernment, the contrast between the two countries is stark. According to Eurostat (2020), the number of individuals using internet for interacting with public authorities in Hungary in 2019 is close to the European average (53%), but surpassing it in what concerns the percentage of citizens obtaining information from the web sites of public authorities (50% vs. 44% for the EU-27), downloading official forms online and submitting completed forms online. In Romania, these figures are 4.4 to 6.8 times lower than in Hungary: only 12% of citizens interact with public authorities online, and only 6% download and submit official forms online. </w:t>
      </w:r>
    </w:p>
    <w:p w14:paraId="2AF8F593" w14:textId="77777777" w:rsidR="00AB2C7D" w:rsidRPr="00037C61" w:rsidRDefault="00AB2C7D" w:rsidP="00AB2C7D">
      <w:pPr>
        <w:rPr>
          <w:lang w:val="en-GB"/>
        </w:rPr>
      </w:pPr>
    </w:p>
    <w:p w14:paraId="2BF1CA6A" w14:textId="77777777" w:rsidR="00AB2C7D" w:rsidRPr="00037C61" w:rsidRDefault="00AB2C7D" w:rsidP="00AB2C7D">
      <w:pPr>
        <w:keepNext/>
        <w:spacing w:after="0"/>
        <w:rPr>
          <w:lang w:val="en-GB"/>
        </w:rPr>
      </w:pPr>
      <w:r w:rsidRPr="00037C61">
        <w:rPr>
          <w:noProof/>
          <w:lang w:val="ro-RO" w:eastAsia="ro-RO"/>
        </w:rPr>
        <w:lastRenderedPageBreak/>
        <w:drawing>
          <wp:inline distT="0" distB="0" distL="0" distR="0" wp14:anchorId="005E9B9D" wp14:editId="226E94E6">
            <wp:extent cx="5816600" cy="2698115"/>
            <wp:effectExtent l="19050" t="19050" r="12700" b="26035"/>
            <wp:docPr id="43" name="Chart 4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5DA502-8A7D-40ED-B6CA-DE1F6601D5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75EF1F51" w14:textId="69024BE7" w:rsidR="00AB2C7D" w:rsidRPr="00037C61" w:rsidRDefault="00AB2C7D" w:rsidP="00AB2C7D">
      <w:pPr>
        <w:pStyle w:val="Caption"/>
        <w:jc w:val="both"/>
        <w:rPr>
          <w:lang w:val="en-GB"/>
        </w:rPr>
      </w:pPr>
      <w:bookmarkStart w:id="814" w:name="_Toc6461108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135</w:t>
      </w:r>
      <w:r w:rsidR="00412697">
        <w:rPr>
          <w:lang w:val="en-GB"/>
        </w:rPr>
        <w:fldChar w:fldCharType="end"/>
      </w:r>
      <w:r w:rsidRPr="00037C61">
        <w:rPr>
          <w:lang w:val="en-GB"/>
        </w:rPr>
        <w:t xml:space="preserve"> - Individuals using internet to interact with authorities in the last 12 months.</w:t>
      </w:r>
      <w:bookmarkEnd w:id="814"/>
      <w:r w:rsidRPr="00037C61">
        <w:rPr>
          <w:lang w:val="en-GB"/>
        </w:rPr>
        <w:t xml:space="preserve"> </w:t>
      </w:r>
    </w:p>
    <w:p w14:paraId="71916C52" w14:textId="77777777" w:rsidR="00AB2C7D" w:rsidRPr="00037C61" w:rsidRDefault="00AB2C7D" w:rsidP="00AB2C7D">
      <w:pPr>
        <w:pStyle w:val="Caption"/>
        <w:jc w:val="both"/>
        <w:rPr>
          <w:lang w:val="en-GB"/>
        </w:rPr>
      </w:pPr>
      <w:r w:rsidRPr="00037C61">
        <w:rPr>
          <w:lang w:val="en-GB"/>
        </w:rPr>
        <w:t>Source: Eurostat 2020, [isoc_bde15ei]</w:t>
      </w:r>
    </w:p>
    <w:p w14:paraId="72F57667" w14:textId="77777777" w:rsidR="00AB2C7D" w:rsidRPr="00037C61" w:rsidRDefault="00AB2C7D" w:rsidP="00AB2C7D">
      <w:pPr>
        <w:rPr>
          <w:lang w:val="en-GB"/>
        </w:rPr>
      </w:pPr>
    </w:p>
    <w:p w14:paraId="4DCC4DEB" w14:textId="46994F22" w:rsidR="00AB2C7D" w:rsidRPr="00037C61" w:rsidRDefault="00AB2C7D" w:rsidP="00AB2C7D">
      <w:pPr>
        <w:rPr>
          <w:lang w:val="en-GB"/>
        </w:rPr>
      </w:pPr>
      <w:r w:rsidRPr="00037C61">
        <w:rPr>
          <w:lang w:val="en-GB"/>
        </w:rPr>
        <w:t>Furthermore, when comparing the eGovernment performance across policy priorities in Hungary and Romania, in 2017/2018 (EC, DG-CNECT, 2019), the underperformance of both countries has commonalities, but also differences. Hungary and Romania rank both under the EU-28+ average for user centricity and transparency, being almost on par with their rankings. However, Romania ranks higher (29 points, +11 since the last evaluation) in Citizen Cross-border mobility especially due to high usability and online availability of services, whereas Hungary scores only 15 points for the 2017/2018 years. By contrast, Hungary offers better Business Cross-Border mobility (49 points, as compared to only 20 points for Romania), and significan</w:t>
      </w:r>
      <w:r w:rsidR="66E05525" w:rsidRPr="00037C61">
        <w:rPr>
          <w:lang w:val="en-GB"/>
        </w:rPr>
        <w:t>t</w:t>
      </w:r>
      <w:r w:rsidRPr="00037C61">
        <w:rPr>
          <w:lang w:val="en-GB"/>
        </w:rPr>
        <w:t xml:space="preserve">ly better Key Enablers (63 points versus only 18 for Romania), higher than the European average for eID, eDocuments and Digital Post. </w:t>
      </w:r>
    </w:p>
    <w:p w14:paraId="31D61DFE" w14:textId="4FAA78FE" w:rsidR="00AB2C7D" w:rsidRPr="00037C61" w:rsidRDefault="00AB2C7D" w:rsidP="00AB2C7D">
      <w:pPr>
        <w:keepNext/>
        <w:spacing w:after="0"/>
        <w:ind w:left="-426" w:right="-897"/>
        <w:rPr>
          <w:lang w:val="en-GB"/>
        </w:rPr>
      </w:pPr>
      <w:r w:rsidRPr="00037C61">
        <w:rPr>
          <w:noProof/>
          <w:lang w:val="ro-RO" w:eastAsia="ro-RO"/>
        </w:rPr>
        <w:drawing>
          <wp:inline distT="0" distB="0" distL="0" distR="0" wp14:anchorId="20D58A2B" wp14:editId="28D8D436">
            <wp:extent cx="3080657" cy="2965294"/>
            <wp:effectExtent l="0" t="0" r="5715" b="6985"/>
            <wp:docPr id="799357049" name="Picture 799357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49"/>
                    <pic:cNvPicPr/>
                  </pic:nvPicPr>
                  <pic:blipFill>
                    <a:blip r:embed="rId271">
                      <a:extLst>
                        <a:ext uri="{28A0092B-C50C-407E-A947-70E740481C1C}">
                          <a14:useLocalDpi xmlns:a14="http://schemas.microsoft.com/office/drawing/2010/main"/>
                        </a:ext>
                      </a:extLst>
                    </a:blip>
                    <a:stretch>
                      <a:fillRect/>
                    </a:stretch>
                  </pic:blipFill>
                  <pic:spPr>
                    <a:xfrm>
                      <a:off x="0" y="0"/>
                      <a:ext cx="3080657" cy="2965294"/>
                    </a:xfrm>
                    <a:prstGeom prst="rect">
                      <a:avLst/>
                    </a:prstGeom>
                  </pic:spPr>
                </pic:pic>
              </a:graphicData>
            </a:graphic>
          </wp:inline>
        </w:drawing>
      </w:r>
      <w:r w:rsidRPr="00037C61">
        <w:rPr>
          <w:noProof/>
          <w:lang w:val="ro-RO" w:eastAsia="ro-RO"/>
        </w:rPr>
        <w:drawing>
          <wp:inline distT="0" distB="0" distL="0" distR="0" wp14:anchorId="30D1506E" wp14:editId="081BEEF9">
            <wp:extent cx="3080657" cy="2989528"/>
            <wp:effectExtent l="0" t="0" r="5715" b="1905"/>
            <wp:docPr id="799357048" name="Picture 799357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48"/>
                    <pic:cNvPicPr/>
                  </pic:nvPicPr>
                  <pic:blipFill>
                    <a:blip r:embed="rId272">
                      <a:extLst>
                        <a:ext uri="{28A0092B-C50C-407E-A947-70E740481C1C}">
                          <a14:useLocalDpi xmlns:a14="http://schemas.microsoft.com/office/drawing/2010/main"/>
                        </a:ext>
                      </a:extLst>
                    </a:blip>
                    <a:stretch>
                      <a:fillRect/>
                    </a:stretch>
                  </pic:blipFill>
                  <pic:spPr>
                    <a:xfrm>
                      <a:off x="0" y="0"/>
                      <a:ext cx="3080657" cy="2989528"/>
                    </a:xfrm>
                    <a:prstGeom prst="rect">
                      <a:avLst/>
                    </a:prstGeom>
                  </pic:spPr>
                </pic:pic>
              </a:graphicData>
            </a:graphic>
          </wp:inline>
        </w:drawing>
      </w:r>
    </w:p>
    <w:p w14:paraId="7E496925" w14:textId="7D93CC69" w:rsidR="00AB2C7D" w:rsidRPr="00037C61" w:rsidRDefault="00AB2C7D" w:rsidP="00AB2C7D">
      <w:pPr>
        <w:pStyle w:val="Caption"/>
        <w:jc w:val="both"/>
        <w:rPr>
          <w:lang w:val="en-GB"/>
        </w:rPr>
      </w:pPr>
      <w:bookmarkStart w:id="815" w:name="_Toc6461108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136</w:t>
      </w:r>
      <w:r w:rsidR="00412697">
        <w:rPr>
          <w:lang w:val="en-GB"/>
        </w:rPr>
        <w:fldChar w:fldCharType="end"/>
      </w:r>
      <w:r w:rsidRPr="00037C61">
        <w:rPr>
          <w:lang w:val="en-GB"/>
        </w:rPr>
        <w:t xml:space="preserve"> - eGovernment State of Play 2019 - Country comparison between Hungary and Romania</w:t>
      </w:r>
      <w:bookmarkEnd w:id="815"/>
      <w:r w:rsidRPr="00037C61">
        <w:rPr>
          <w:lang w:val="en-GB"/>
        </w:rPr>
        <w:t xml:space="preserve"> </w:t>
      </w:r>
    </w:p>
    <w:p w14:paraId="6153A268" w14:textId="77777777" w:rsidR="00AB2C7D" w:rsidRPr="00037C61" w:rsidRDefault="00AB2C7D" w:rsidP="00AB2C7D">
      <w:pPr>
        <w:pStyle w:val="Caption"/>
        <w:jc w:val="both"/>
        <w:rPr>
          <w:lang w:val="en-GB"/>
        </w:rPr>
      </w:pPr>
      <w:r w:rsidRPr="00037C61">
        <w:rPr>
          <w:lang w:val="en-GB"/>
        </w:rPr>
        <w:t xml:space="preserve">Source: DG-CNECT, 2019 </w:t>
      </w:r>
    </w:p>
    <w:p w14:paraId="608A5442" w14:textId="77777777" w:rsidR="00AB2C7D" w:rsidRPr="00037C61" w:rsidRDefault="00AB2C7D" w:rsidP="00AB2C7D">
      <w:pPr>
        <w:rPr>
          <w:lang w:val="en-GB"/>
        </w:rPr>
      </w:pPr>
    </w:p>
    <w:p w14:paraId="35CF5812" w14:textId="77777777" w:rsidR="00AB2C7D" w:rsidRPr="00037C61" w:rsidRDefault="00AB2C7D" w:rsidP="00AB2C7D">
      <w:pPr>
        <w:rPr>
          <w:lang w:val="en-GB"/>
        </w:rPr>
      </w:pPr>
      <w:r w:rsidRPr="00037C61">
        <w:rPr>
          <w:lang w:val="en-GB"/>
        </w:rPr>
        <w:lastRenderedPageBreak/>
        <w:t xml:space="preserve">These disparities are especially relevant since e-government development is a rising priority in political agendas. However, as in the rest of Europe, attention thus far has been focused primarily on digital government transformation at the national level. </w:t>
      </w:r>
      <w:r w:rsidRPr="00037C61">
        <w:rPr>
          <w:b/>
          <w:bCs/>
          <w:lang w:val="en-GB"/>
        </w:rPr>
        <w:t>Local e-government</w:t>
      </w:r>
      <w:r w:rsidRPr="00037C61">
        <w:rPr>
          <w:lang w:val="en-GB"/>
        </w:rPr>
        <w:t xml:space="preserve"> merits attention as well because city and municipal administrations have more direct interaction with residents and are responsible for addressing concerns affecting people’s daily lives, even in cooperation with cross-border counterparts, which represents a valid possibility for cooperation. </w:t>
      </w:r>
    </w:p>
    <w:p w14:paraId="6E727A2F" w14:textId="77777777" w:rsidR="00AB2C7D" w:rsidRPr="00037C61" w:rsidRDefault="00AB2C7D" w:rsidP="00AB2C7D">
      <w:pPr>
        <w:rPr>
          <w:lang w:val="en-GB"/>
        </w:rPr>
      </w:pPr>
    </w:p>
    <w:p w14:paraId="38C66080" w14:textId="77777777" w:rsidR="00AB2C7D" w:rsidRPr="00037C61" w:rsidRDefault="00AB2C7D" w:rsidP="00AB2C7D">
      <w:pPr>
        <w:pStyle w:val="Heading3"/>
      </w:pPr>
      <w:bookmarkStart w:id="816" w:name="_Toc53137222"/>
      <w:bookmarkStart w:id="817" w:name="_Toc53137353"/>
      <w:bookmarkStart w:id="818" w:name="_Toc64619560"/>
      <w:r w:rsidRPr="00037C61">
        <w:t>Governance, cooperation and the implementation of SUD</w:t>
      </w:r>
      <w:bookmarkEnd w:id="816"/>
      <w:bookmarkEnd w:id="817"/>
      <w:bookmarkEnd w:id="818"/>
      <w:r w:rsidRPr="00037C61">
        <w:t xml:space="preserve"> </w:t>
      </w:r>
    </w:p>
    <w:p w14:paraId="2D70D90E" w14:textId="77777777" w:rsidR="00AB2C7D" w:rsidRPr="00037C61" w:rsidRDefault="00AB2C7D" w:rsidP="00AB2C7D">
      <w:pPr>
        <w:pStyle w:val="Heading4"/>
        <w:rPr>
          <w:lang w:val="en-GB"/>
        </w:rPr>
      </w:pPr>
      <w:r w:rsidRPr="00037C61">
        <w:rPr>
          <w:lang w:val="en-GB"/>
        </w:rPr>
        <w:t xml:space="preserve">Horizontal cooperation forms: Intercommunity and voluntary associations </w:t>
      </w:r>
    </w:p>
    <w:p w14:paraId="5D43BDA9" w14:textId="1ED53025" w:rsidR="00AB2C7D" w:rsidRPr="00037C61" w:rsidRDefault="00AB2C7D" w:rsidP="00AB2C7D">
      <w:pPr>
        <w:rPr>
          <w:lang w:val="en-GB"/>
        </w:rPr>
      </w:pPr>
      <w:r w:rsidRPr="00037C61">
        <w:rPr>
          <w:lang w:val="en-GB"/>
        </w:rPr>
        <w:t xml:space="preserve">While Hungary has a form of local administrative units at LAU 1 level (districts, which replaced the </w:t>
      </w:r>
      <w:r w:rsidRPr="00037C61">
        <w:rPr>
          <w:i/>
          <w:iCs/>
          <w:lang w:val="en-GB"/>
        </w:rPr>
        <w:t>kistérségek</w:t>
      </w:r>
      <w:r w:rsidRPr="00037C61">
        <w:rPr>
          <w:lang w:val="en-GB"/>
        </w:rPr>
        <w:t xml:space="preserve"> in 2013), Romania does not have such a level. In the absence of a consolidated LAU 1, either statistical or administrative, intercommunity and functional area cooperation is realized through associative structures called Intercommunity Development Associations (IDAs). IDAs function under the amended provisions of Law 215/2001 of the Local Public Administration and have the legal personality of a private NGO of public utility, having had an important role in implementing the national Growth Pole policy of 2007-2013 (Leopa, 2019). The new Code of Public Administration - OUG 57/2019, Art. 89 stipulates that within IDAs, municipalities can cooperate mainly „</w:t>
      </w:r>
      <w:r w:rsidRPr="00037C61">
        <w:rPr>
          <w:i/>
          <w:iCs/>
          <w:lang w:val="en-GB"/>
        </w:rPr>
        <w:t xml:space="preserve">in the fields regarding the activities of control, audit, inspection, urbanism and spatial planning, cadastral, as well as in any other areas in which the respective local councils decide, on the principles of efficiency, effectiveness and economics </w:t>
      </w:r>
      <w:r w:rsidRPr="00037C61">
        <w:rPr>
          <w:lang w:val="en-GB"/>
        </w:rPr>
        <w:t xml:space="preserve">[...]”, while deferring to local administrations to choose their purpose and cooperation </w:t>
      </w:r>
      <w:r w:rsidR="000C5A56" w:rsidRPr="00037C61">
        <w:rPr>
          <w:lang w:val="en-GB"/>
        </w:rPr>
        <w:t>focus</w:t>
      </w:r>
      <w:r w:rsidRPr="00037C61">
        <w:rPr>
          <w:lang w:val="en-GB"/>
        </w:rPr>
        <w:t xml:space="preserve">. </w:t>
      </w:r>
    </w:p>
    <w:p w14:paraId="0ACFD27E" w14:textId="73A4C7A4" w:rsidR="00AB2C7D" w:rsidRPr="00037C61" w:rsidRDefault="00AB2C7D" w:rsidP="00AB2C7D">
      <w:pPr>
        <w:rPr>
          <w:lang w:val="en-GB"/>
        </w:rPr>
      </w:pPr>
      <w:r w:rsidRPr="00037C61">
        <w:rPr>
          <w:lang w:val="en-GB"/>
        </w:rPr>
        <w:t>IDAs can be single-purpose (e</w:t>
      </w:r>
      <w:r w:rsidR="313EF2ED" w:rsidRPr="00037C61">
        <w:rPr>
          <w:lang w:val="en-GB"/>
        </w:rPr>
        <w:t>.</w:t>
      </w:r>
      <w:r w:rsidRPr="00037C61">
        <w:rPr>
          <w:lang w:val="en-GB"/>
        </w:rPr>
        <w:t xml:space="preserve">g. for public service provision) or multi-purpose (of which the most relevant Metropolitan Areas) and represent a useful instrument to govern functional areas and to potentially support or manage implementation of more complex funding instruments such as ITI. At the level of the programming area, there are a number of 43 IDAs, concentrated mostly in Bihor County. County seats Timișoara, Oradea and Satu Mare have established Metropolitan Areas. </w:t>
      </w:r>
    </w:p>
    <w:p w14:paraId="61CAD3EF" w14:textId="312E2585" w:rsidR="00AB2C7D" w:rsidRPr="00037C61" w:rsidRDefault="00AB2C7D" w:rsidP="00AB2C7D">
      <w:pPr>
        <w:pStyle w:val="Caption"/>
        <w:keepNext/>
        <w:jc w:val="left"/>
        <w:rPr>
          <w:lang w:val="en-GB"/>
        </w:rPr>
      </w:pPr>
      <w:bookmarkStart w:id="819" w:name="_Toc58237670"/>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48</w:t>
      </w:r>
      <w:r w:rsidRPr="00037C61">
        <w:rPr>
          <w:lang w:val="en-GB"/>
        </w:rPr>
        <w:fldChar w:fldCharType="end"/>
      </w:r>
      <w:r w:rsidRPr="00037C61">
        <w:rPr>
          <w:lang w:val="en-GB"/>
        </w:rPr>
        <w:t xml:space="preserve"> </w:t>
      </w:r>
      <w:r w:rsidR="00662F53" w:rsidRPr="00037C61">
        <w:rPr>
          <w:lang w:val="en-GB"/>
        </w:rPr>
        <w:t>-</w:t>
      </w:r>
      <w:r w:rsidRPr="00037C61">
        <w:rPr>
          <w:lang w:val="en-GB"/>
        </w:rPr>
        <w:t xml:space="preserve"> Types of IDAs Romania</w:t>
      </w:r>
      <w:bookmarkEnd w:id="819"/>
    </w:p>
    <w:tbl>
      <w:tblPr>
        <w:tblStyle w:val="TableGridLight1"/>
        <w:tblW w:w="9131" w:type="dxa"/>
        <w:tblLook w:val="04A0" w:firstRow="1" w:lastRow="0" w:firstColumn="1" w:lastColumn="0" w:noHBand="0" w:noVBand="1"/>
      </w:tblPr>
      <w:tblGrid>
        <w:gridCol w:w="2077"/>
        <w:gridCol w:w="2035"/>
        <w:gridCol w:w="2267"/>
        <w:gridCol w:w="2752"/>
      </w:tblGrid>
      <w:tr w:rsidR="00AB2C7D" w:rsidRPr="00037C61" w14:paraId="2B4E2C62" w14:textId="77777777" w:rsidTr="5CA115F1">
        <w:trPr>
          <w:trHeight w:val="305"/>
        </w:trPr>
        <w:tc>
          <w:tcPr>
            <w:tcW w:w="2077" w:type="dxa"/>
            <w:shd w:val="clear" w:color="auto" w:fill="98A7D5" w:themeFill="accent2"/>
            <w:noWrap/>
            <w:hideMark/>
          </w:tcPr>
          <w:p w14:paraId="3D315F73" w14:textId="77777777" w:rsidR="00AB2C7D" w:rsidRPr="00037C61" w:rsidRDefault="00AB2C7D" w:rsidP="00EA5C18">
            <w:pPr>
              <w:jc w:val="left"/>
              <w:rPr>
                <w:rFonts w:ascii="Times New Roman" w:eastAsia="Times New Roman" w:hAnsi="Times New Roman" w:cs="Times New Roman"/>
                <w:b/>
                <w:bCs/>
                <w:i/>
                <w:iCs/>
                <w:sz w:val="20"/>
                <w:szCs w:val="20"/>
                <w:lang w:val="en-GB" w:eastAsia="en-GB"/>
              </w:rPr>
            </w:pPr>
            <w:r w:rsidRPr="00037C61">
              <w:rPr>
                <w:rFonts w:eastAsia="Times New Roman" w:cs="Calibri"/>
                <w:b/>
                <w:bCs/>
                <w:i/>
                <w:iCs/>
                <w:color w:val="000000"/>
                <w:sz w:val="20"/>
                <w:szCs w:val="20"/>
                <w:lang w:val="en-GB" w:eastAsia="en-GB"/>
              </w:rPr>
              <w:t xml:space="preserve">County (RO) </w:t>
            </w:r>
          </w:p>
        </w:tc>
        <w:tc>
          <w:tcPr>
            <w:tcW w:w="2035" w:type="dxa"/>
            <w:shd w:val="clear" w:color="auto" w:fill="98A7D5" w:themeFill="accent2"/>
            <w:noWrap/>
            <w:hideMark/>
          </w:tcPr>
          <w:p w14:paraId="2A27A0A3" w14:textId="77777777" w:rsidR="00AB2C7D" w:rsidRPr="00037C61" w:rsidRDefault="00AB2C7D" w:rsidP="00EA5C18">
            <w:pPr>
              <w:jc w:val="left"/>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Single-purpose IDAs</w:t>
            </w:r>
          </w:p>
        </w:tc>
        <w:tc>
          <w:tcPr>
            <w:tcW w:w="2267" w:type="dxa"/>
            <w:shd w:val="clear" w:color="auto" w:fill="98A7D5" w:themeFill="accent2"/>
            <w:noWrap/>
            <w:hideMark/>
          </w:tcPr>
          <w:p w14:paraId="4D4A493B" w14:textId="77777777" w:rsidR="00AB2C7D" w:rsidRPr="00037C61" w:rsidRDefault="00AB2C7D" w:rsidP="00EA5C18">
            <w:pPr>
              <w:jc w:val="left"/>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Multi-purpose IDAs</w:t>
            </w:r>
          </w:p>
        </w:tc>
        <w:tc>
          <w:tcPr>
            <w:tcW w:w="2752" w:type="dxa"/>
            <w:shd w:val="clear" w:color="auto" w:fill="98A7D5" w:themeFill="accent2"/>
            <w:noWrap/>
            <w:hideMark/>
          </w:tcPr>
          <w:p w14:paraId="35E8493B" w14:textId="77777777" w:rsidR="00AB2C7D" w:rsidRPr="00037C61" w:rsidRDefault="00AB2C7D" w:rsidP="00EA5C18">
            <w:pPr>
              <w:jc w:val="left"/>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 of which Metropolitan Areas</w:t>
            </w:r>
          </w:p>
        </w:tc>
      </w:tr>
      <w:tr w:rsidR="00AB2C7D" w:rsidRPr="00037C61" w14:paraId="27BF860D" w14:textId="77777777" w:rsidTr="5CA115F1">
        <w:trPr>
          <w:trHeight w:val="305"/>
        </w:trPr>
        <w:tc>
          <w:tcPr>
            <w:tcW w:w="2077" w:type="dxa"/>
            <w:noWrap/>
            <w:hideMark/>
          </w:tcPr>
          <w:p w14:paraId="71097E2B" w14:textId="77777777" w:rsidR="00AB2C7D" w:rsidRPr="00037C61" w:rsidRDefault="00AB2C7D" w:rsidP="00EA5C18">
            <w:pPr>
              <w:jc w:val="center"/>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Arad</w:t>
            </w:r>
          </w:p>
        </w:tc>
        <w:tc>
          <w:tcPr>
            <w:tcW w:w="2035" w:type="dxa"/>
            <w:noWrap/>
            <w:hideMark/>
          </w:tcPr>
          <w:p w14:paraId="143A3E45"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2</w:t>
            </w:r>
          </w:p>
        </w:tc>
        <w:tc>
          <w:tcPr>
            <w:tcW w:w="2267" w:type="dxa"/>
            <w:noWrap/>
            <w:hideMark/>
          </w:tcPr>
          <w:p w14:paraId="1973A048"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0</w:t>
            </w:r>
          </w:p>
        </w:tc>
        <w:tc>
          <w:tcPr>
            <w:tcW w:w="2752" w:type="dxa"/>
            <w:noWrap/>
            <w:hideMark/>
          </w:tcPr>
          <w:p w14:paraId="03D89B03"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0</w:t>
            </w:r>
          </w:p>
        </w:tc>
      </w:tr>
      <w:tr w:rsidR="00AB2C7D" w:rsidRPr="00037C61" w14:paraId="23A8318D" w14:textId="77777777" w:rsidTr="5CA115F1">
        <w:trPr>
          <w:trHeight w:val="203"/>
        </w:trPr>
        <w:tc>
          <w:tcPr>
            <w:tcW w:w="2077" w:type="dxa"/>
            <w:noWrap/>
            <w:hideMark/>
          </w:tcPr>
          <w:p w14:paraId="798670E5" w14:textId="77777777" w:rsidR="00AB2C7D" w:rsidRPr="00037C61" w:rsidRDefault="00AB2C7D" w:rsidP="00EA5C18">
            <w:pPr>
              <w:jc w:val="center"/>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Bihor</w:t>
            </w:r>
          </w:p>
        </w:tc>
        <w:tc>
          <w:tcPr>
            <w:tcW w:w="2035" w:type="dxa"/>
            <w:noWrap/>
            <w:hideMark/>
          </w:tcPr>
          <w:p w14:paraId="35A5E8AB"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6</w:t>
            </w:r>
          </w:p>
        </w:tc>
        <w:tc>
          <w:tcPr>
            <w:tcW w:w="2267" w:type="dxa"/>
            <w:noWrap/>
            <w:hideMark/>
          </w:tcPr>
          <w:p w14:paraId="38DBBC1E"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20</w:t>
            </w:r>
          </w:p>
        </w:tc>
        <w:tc>
          <w:tcPr>
            <w:tcW w:w="2752" w:type="dxa"/>
            <w:noWrap/>
            <w:hideMark/>
          </w:tcPr>
          <w:p w14:paraId="60CC9620"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1</w:t>
            </w:r>
          </w:p>
        </w:tc>
      </w:tr>
      <w:tr w:rsidR="00AB2C7D" w:rsidRPr="00037C61" w14:paraId="570B5095" w14:textId="77777777" w:rsidTr="5CA115F1">
        <w:trPr>
          <w:trHeight w:val="305"/>
        </w:trPr>
        <w:tc>
          <w:tcPr>
            <w:tcW w:w="2077" w:type="dxa"/>
            <w:noWrap/>
            <w:hideMark/>
          </w:tcPr>
          <w:p w14:paraId="0681C598" w14:textId="77777777" w:rsidR="00AB2C7D" w:rsidRPr="00037C61" w:rsidRDefault="00AB2C7D" w:rsidP="00EA5C18">
            <w:pPr>
              <w:jc w:val="center"/>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Satu Mare</w:t>
            </w:r>
          </w:p>
        </w:tc>
        <w:tc>
          <w:tcPr>
            <w:tcW w:w="2035" w:type="dxa"/>
            <w:noWrap/>
            <w:hideMark/>
          </w:tcPr>
          <w:p w14:paraId="3B8603C1"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2</w:t>
            </w:r>
          </w:p>
        </w:tc>
        <w:tc>
          <w:tcPr>
            <w:tcW w:w="2267" w:type="dxa"/>
            <w:noWrap/>
            <w:hideMark/>
          </w:tcPr>
          <w:p w14:paraId="1F4ACB0C"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6</w:t>
            </w:r>
          </w:p>
        </w:tc>
        <w:tc>
          <w:tcPr>
            <w:tcW w:w="2752" w:type="dxa"/>
            <w:noWrap/>
            <w:hideMark/>
          </w:tcPr>
          <w:p w14:paraId="135C4D39"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1</w:t>
            </w:r>
          </w:p>
        </w:tc>
      </w:tr>
      <w:tr w:rsidR="00AB2C7D" w:rsidRPr="00037C61" w14:paraId="7FA128CC" w14:textId="77777777" w:rsidTr="5CA115F1">
        <w:trPr>
          <w:trHeight w:val="203"/>
        </w:trPr>
        <w:tc>
          <w:tcPr>
            <w:tcW w:w="2077" w:type="dxa"/>
            <w:noWrap/>
            <w:hideMark/>
          </w:tcPr>
          <w:p w14:paraId="681F4BE7" w14:textId="77777777" w:rsidR="00AB2C7D" w:rsidRPr="00037C61" w:rsidRDefault="00AB2C7D" w:rsidP="00EA5C18">
            <w:pPr>
              <w:jc w:val="center"/>
              <w:rPr>
                <w:rFonts w:eastAsia="Times New Roman" w:cs="Calibri"/>
                <w:b/>
                <w:bCs/>
                <w:i/>
                <w:iCs/>
                <w:color w:val="000000"/>
                <w:sz w:val="20"/>
                <w:szCs w:val="20"/>
                <w:lang w:val="en-GB" w:eastAsia="en-GB"/>
              </w:rPr>
            </w:pPr>
            <w:r w:rsidRPr="00037C61">
              <w:rPr>
                <w:rFonts w:eastAsia="Times New Roman" w:cs="Calibri"/>
                <w:b/>
                <w:bCs/>
                <w:i/>
                <w:iCs/>
                <w:color w:val="000000"/>
                <w:sz w:val="20"/>
                <w:szCs w:val="20"/>
                <w:lang w:val="en-GB" w:eastAsia="en-GB"/>
              </w:rPr>
              <w:t>Timiș</w:t>
            </w:r>
          </w:p>
        </w:tc>
        <w:tc>
          <w:tcPr>
            <w:tcW w:w="2035" w:type="dxa"/>
            <w:noWrap/>
            <w:hideMark/>
          </w:tcPr>
          <w:p w14:paraId="13AFCCB7"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3</w:t>
            </w:r>
          </w:p>
        </w:tc>
        <w:tc>
          <w:tcPr>
            <w:tcW w:w="2267" w:type="dxa"/>
            <w:noWrap/>
            <w:hideMark/>
          </w:tcPr>
          <w:p w14:paraId="5A4D3C41"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4</w:t>
            </w:r>
          </w:p>
        </w:tc>
        <w:tc>
          <w:tcPr>
            <w:tcW w:w="2752" w:type="dxa"/>
            <w:noWrap/>
            <w:hideMark/>
          </w:tcPr>
          <w:p w14:paraId="600D7728" w14:textId="77777777" w:rsidR="00AB2C7D" w:rsidRPr="00037C61" w:rsidRDefault="00AB2C7D" w:rsidP="00EA5C18">
            <w:pPr>
              <w:jc w:val="center"/>
              <w:rPr>
                <w:rFonts w:eastAsia="Times New Roman" w:cs="Calibri"/>
                <w:color w:val="000000"/>
                <w:sz w:val="20"/>
                <w:szCs w:val="20"/>
                <w:lang w:val="en-GB" w:eastAsia="en-GB"/>
              </w:rPr>
            </w:pPr>
            <w:r w:rsidRPr="00037C61">
              <w:rPr>
                <w:rFonts w:eastAsia="Times New Roman" w:cs="Calibri"/>
                <w:color w:val="000000"/>
                <w:sz w:val="20"/>
                <w:szCs w:val="20"/>
                <w:lang w:val="en-GB" w:eastAsia="en-GB"/>
              </w:rPr>
              <w:t>1</w:t>
            </w:r>
          </w:p>
        </w:tc>
      </w:tr>
    </w:tbl>
    <w:p w14:paraId="64A71032" w14:textId="77777777" w:rsidR="00AB2C7D" w:rsidRPr="00037C61" w:rsidRDefault="00AB2C7D" w:rsidP="00AB2C7D">
      <w:pPr>
        <w:rPr>
          <w:lang w:val="en-GB"/>
        </w:rPr>
      </w:pPr>
    </w:p>
    <w:p w14:paraId="78253231" w14:textId="77777777" w:rsidR="00AB2C7D" w:rsidRPr="00037C61" w:rsidRDefault="00AB2C7D" w:rsidP="00AB2C7D">
      <w:pPr>
        <w:rPr>
          <w:lang w:val="en-GB"/>
        </w:rPr>
      </w:pPr>
      <w:r w:rsidRPr="00037C61">
        <w:rPr>
          <w:lang w:val="en-GB"/>
        </w:rPr>
        <w:t xml:space="preserve">Horizontal cooperation between local authorities, and between public and private stakeholders is furthermore conducted through the instrument of CLLD (Community Led Local Development), a tool developed in the frame of the LEADER programme to promote the development of integrated bottom-up approaches by local communities, promoting community ownership, capacity and stimulating innovation. CLLD is delivered through local development strategies, implemented by Local Action Groups (LAGs) – voluntary associations of local public and private socio-economic interest groups. </w:t>
      </w:r>
    </w:p>
    <w:p w14:paraId="4FBCE5B0" w14:textId="4578AC50" w:rsidR="00AB2C7D" w:rsidRPr="00037C61" w:rsidRDefault="000449DE" w:rsidP="00AB2C7D">
      <w:pPr>
        <w:rPr>
          <w:lang w:val="en-GB"/>
        </w:rPr>
      </w:pPr>
      <w:r w:rsidRPr="00037C61">
        <w:rPr>
          <w:noProof/>
          <w:lang w:val="ro-RO" w:eastAsia="ro-RO"/>
        </w:rPr>
        <w:lastRenderedPageBreak/>
        <mc:AlternateContent>
          <mc:Choice Requires="wps">
            <w:drawing>
              <wp:anchor distT="0" distB="0" distL="114300" distR="114300" simplePos="0" relativeHeight="251667968" behindDoc="0" locked="0" layoutInCell="1" allowOverlap="1" wp14:anchorId="34667EF9" wp14:editId="03F452F4">
                <wp:simplePos x="0" y="0"/>
                <wp:positionH relativeFrom="column">
                  <wp:posOffset>2070735</wp:posOffset>
                </wp:positionH>
                <wp:positionV relativeFrom="paragraph">
                  <wp:posOffset>3776980</wp:posOffset>
                </wp:positionV>
                <wp:extent cx="3660775" cy="635"/>
                <wp:effectExtent l="0" t="0" r="0" b="0"/>
                <wp:wrapSquare wrapText="bothSides"/>
                <wp:docPr id="799357035" name="Text Box 799357035"/>
                <wp:cNvGraphicFramePr/>
                <a:graphic xmlns:a="http://schemas.openxmlformats.org/drawingml/2006/main">
                  <a:graphicData uri="http://schemas.microsoft.com/office/word/2010/wordprocessingShape">
                    <wps:wsp>
                      <wps:cNvSpPr txBox="1"/>
                      <wps:spPr>
                        <a:xfrm>
                          <a:off x="0" y="0"/>
                          <a:ext cx="3660775" cy="635"/>
                        </a:xfrm>
                        <a:prstGeom prst="rect">
                          <a:avLst/>
                        </a:prstGeom>
                        <a:solidFill>
                          <a:prstClr val="white"/>
                        </a:solidFill>
                        <a:ln>
                          <a:noFill/>
                        </a:ln>
                      </wps:spPr>
                      <wps:txbx>
                        <w:txbxContent>
                          <w:p w14:paraId="1E2BA29F" w14:textId="2848750B" w:rsidR="00944B4A" w:rsidRPr="005E0849" w:rsidRDefault="00944B4A" w:rsidP="000449DE">
                            <w:pPr>
                              <w:pStyle w:val="Caption"/>
                              <w:rPr>
                                <w:lang w:val="en-GB"/>
                              </w:rPr>
                            </w:pPr>
                            <w:bookmarkStart w:id="820" w:name="_Toc64611085"/>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137</w:t>
                            </w:r>
                            <w:r>
                              <w:rPr>
                                <w:lang w:val="en-GB"/>
                              </w:rPr>
                              <w:fldChar w:fldCharType="end"/>
                            </w:r>
                            <w:r w:rsidRPr="005E0849">
                              <w:rPr>
                                <w:lang w:val="en-GB"/>
                              </w:rPr>
                              <w:t xml:space="preserve"> - Figure 121 - </w:t>
                            </w:r>
                            <w:bookmarkStart w:id="821" w:name="_Hlk55726967"/>
                            <w:bookmarkStart w:id="822" w:name="_Hlk55726968"/>
                            <w:r w:rsidRPr="005E0849">
                              <w:rPr>
                                <w:lang w:val="en-GB"/>
                              </w:rPr>
                              <w:t>Active LAGs in the programming area.</w:t>
                            </w:r>
                            <w:bookmarkEnd w:id="820"/>
                          </w:p>
                          <w:p w14:paraId="7C642630" w14:textId="65A7A5F1" w:rsidR="00944B4A" w:rsidRPr="005E0849" w:rsidRDefault="00944B4A" w:rsidP="005E0849">
                            <w:pPr>
                              <w:pStyle w:val="Caption"/>
                              <w:rPr>
                                <w:lang w:val="en-GB"/>
                              </w:rPr>
                            </w:pPr>
                            <w:r w:rsidRPr="0007064A">
                              <w:rPr>
                                <w:lang w:val="en-GB"/>
                              </w:rPr>
                              <w:t>Source: Rețeaua Națională de Dezvoltare Rurală (RNDR) and BALKAN NOBORDER (</w:t>
                            </w:r>
                            <w:hyperlink r:id="rId273" w:history="1">
                              <w:r w:rsidRPr="0007064A">
                                <w:rPr>
                                  <w:rStyle w:val="Hyperlink"/>
                                  <w:lang w:val="en-GB"/>
                                </w:rPr>
                                <w:t>http://www.balkan-noborder.com/</w:t>
                              </w:r>
                            </w:hyperlink>
                            <w:r w:rsidRPr="0007064A">
                              <w:rPr>
                                <w:lang w:val="en-GB"/>
                              </w:rPr>
                              <w:t>)</w:t>
                            </w:r>
                            <w:bookmarkEnd w:id="821"/>
                            <w:bookmarkEnd w:id="8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667EF9" id="Text Box 799357035" o:spid="_x0000_s1054" type="#_x0000_t202" style="position:absolute;left:0;text-align:left;margin-left:163.05pt;margin-top:297.4pt;width:288.25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" stroked="f">
                <v:textbox style="mso-fit-shape-to-text:t" inset="0,0,0,0">
                  <w:txbxContent>
                    <w:p w14:paraId="1E2BA29F" w14:textId="2848750B" w:rsidR="00944B4A" w:rsidRPr="005E0849" w:rsidRDefault="00944B4A" w:rsidP="000449DE">
                      <w:pPr>
                        <w:pStyle w:val="Didascalia"/>
                        <w:rPr>
                          <w:lang w:val="en-GB"/>
                        </w:rPr>
                      </w:pPr>
                      <w:bookmarkStart w:id="886" w:name="_Toc64611085"/>
                      <w:r w:rsidRPr="005E0849">
                        <w:rPr>
                          <w:lang w:val="en-GB"/>
                        </w:rPr>
                        <w:t xml:space="preserve">Figure </w:t>
                      </w:r>
                      <w:r>
                        <w:rPr>
                          <w:lang w:val="en-GB"/>
                        </w:rPr>
                        <w:fldChar w:fldCharType="begin"/>
                      </w:r>
                      <w:r>
                        <w:rPr>
                          <w:lang w:val="en-GB"/>
                        </w:rPr>
                        <w:instrText xml:space="preserve"> SEQ Figure \* ARABIC </w:instrText>
                      </w:r>
                      <w:r>
                        <w:rPr>
                          <w:lang w:val="en-GB"/>
                        </w:rPr>
                        <w:fldChar w:fldCharType="separate"/>
                      </w:r>
                      <w:r>
                        <w:rPr>
                          <w:noProof/>
                          <w:lang w:val="en-GB"/>
                        </w:rPr>
                        <w:t>137</w:t>
                      </w:r>
                      <w:r>
                        <w:rPr>
                          <w:lang w:val="en-GB"/>
                        </w:rPr>
                        <w:fldChar w:fldCharType="end"/>
                      </w:r>
                      <w:r w:rsidRPr="005E0849">
                        <w:rPr>
                          <w:lang w:val="en-GB"/>
                        </w:rPr>
                        <w:t xml:space="preserve"> - Figure 121 - </w:t>
                      </w:r>
                      <w:bookmarkStart w:id="887" w:name="_Hlk55726967"/>
                      <w:bookmarkStart w:id="888" w:name="_Hlk55726968"/>
                      <w:r w:rsidRPr="005E0849">
                        <w:rPr>
                          <w:lang w:val="en-GB"/>
                        </w:rPr>
                        <w:t>Active LAGs in the programming area.</w:t>
                      </w:r>
                      <w:bookmarkEnd w:id="886"/>
                    </w:p>
                    <w:p w14:paraId="7C642630" w14:textId="65A7A5F1" w:rsidR="00944B4A" w:rsidRPr="005E0849" w:rsidRDefault="00944B4A" w:rsidP="005E0849">
                      <w:pPr>
                        <w:pStyle w:val="Didascalia"/>
                        <w:rPr>
                          <w:lang w:val="en-GB"/>
                        </w:rPr>
                      </w:pPr>
                      <w:r w:rsidRPr="0007064A">
                        <w:rPr>
                          <w:lang w:val="en-GB"/>
                        </w:rPr>
                        <w:t xml:space="preserve">Source: </w:t>
                      </w:r>
                      <w:proofErr w:type="spellStart"/>
                      <w:r w:rsidRPr="0007064A">
                        <w:rPr>
                          <w:lang w:val="en-GB"/>
                        </w:rPr>
                        <w:t>Rețeaua</w:t>
                      </w:r>
                      <w:proofErr w:type="spellEnd"/>
                      <w:r w:rsidRPr="0007064A">
                        <w:rPr>
                          <w:lang w:val="en-GB"/>
                        </w:rPr>
                        <w:t xml:space="preserve"> </w:t>
                      </w:r>
                      <w:proofErr w:type="spellStart"/>
                      <w:r w:rsidRPr="0007064A">
                        <w:rPr>
                          <w:lang w:val="en-GB"/>
                        </w:rPr>
                        <w:t>Națională</w:t>
                      </w:r>
                      <w:proofErr w:type="spellEnd"/>
                      <w:r w:rsidRPr="0007064A">
                        <w:rPr>
                          <w:lang w:val="en-GB"/>
                        </w:rPr>
                        <w:t xml:space="preserve"> de </w:t>
                      </w:r>
                      <w:proofErr w:type="spellStart"/>
                      <w:r w:rsidRPr="0007064A">
                        <w:rPr>
                          <w:lang w:val="en-GB"/>
                        </w:rPr>
                        <w:t>Dezvoltare</w:t>
                      </w:r>
                      <w:proofErr w:type="spellEnd"/>
                      <w:r w:rsidRPr="0007064A">
                        <w:rPr>
                          <w:lang w:val="en-GB"/>
                        </w:rPr>
                        <w:t xml:space="preserve"> </w:t>
                      </w:r>
                      <w:proofErr w:type="spellStart"/>
                      <w:r w:rsidRPr="0007064A">
                        <w:rPr>
                          <w:lang w:val="en-GB"/>
                        </w:rPr>
                        <w:t>Rurală</w:t>
                      </w:r>
                      <w:proofErr w:type="spellEnd"/>
                      <w:r w:rsidRPr="0007064A">
                        <w:rPr>
                          <w:lang w:val="en-GB"/>
                        </w:rPr>
                        <w:t xml:space="preserve"> (RNDR) and BALKAN NOBORDER (</w:t>
                      </w:r>
                      <w:hyperlink r:id="rId274" w:history="1">
                        <w:r w:rsidRPr="0007064A">
                          <w:rPr>
                            <w:rStyle w:val="Collegamentoipertestuale"/>
                            <w:lang w:val="en-GB"/>
                          </w:rPr>
                          <w:t>http://www.balkan-noborder.com/</w:t>
                        </w:r>
                      </w:hyperlink>
                      <w:r w:rsidRPr="0007064A">
                        <w:rPr>
                          <w:lang w:val="en-GB"/>
                        </w:rPr>
                        <w:t>)</w:t>
                      </w:r>
                      <w:bookmarkEnd w:id="887"/>
                      <w:bookmarkEnd w:id="888"/>
                    </w:p>
                  </w:txbxContent>
                </v:textbox>
                <w10:wrap type="square"/>
              </v:shape>
            </w:pict>
          </mc:Fallback>
        </mc:AlternateContent>
      </w:r>
      <w:r w:rsidRPr="00037C61">
        <w:rPr>
          <w:noProof/>
          <w:lang w:val="ro-RO" w:eastAsia="ro-RO"/>
        </w:rPr>
        <w:drawing>
          <wp:anchor distT="0" distB="0" distL="114300" distR="114300" simplePos="0" relativeHeight="251666944" behindDoc="0" locked="0" layoutInCell="1" allowOverlap="1" wp14:anchorId="5BDC1B04" wp14:editId="4F1F080C">
            <wp:simplePos x="0" y="0"/>
            <wp:positionH relativeFrom="margin">
              <wp:align>right</wp:align>
            </wp:positionH>
            <wp:positionV relativeFrom="paragraph">
              <wp:posOffset>73660</wp:posOffset>
            </wp:positionV>
            <wp:extent cx="3660775" cy="364617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75" cstate="print">
                      <a:extLst>
                        <a:ext uri="{28A0092B-C50C-407E-A947-70E740481C1C}">
                          <a14:useLocalDpi xmlns:a14="http://schemas.microsoft.com/office/drawing/2010/main"/>
                        </a:ext>
                      </a:extLst>
                    </a:blip>
                    <a:stretch>
                      <a:fillRect/>
                    </a:stretch>
                  </pic:blipFill>
                  <pic:spPr>
                    <a:xfrm>
                      <a:off x="0" y="0"/>
                      <a:ext cx="3660775" cy="3646170"/>
                    </a:xfrm>
                    <a:prstGeom prst="rect">
                      <a:avLst/>
                    </a:prstGeom>
                  </pic:spPr>
                </pic:pic>
              </a:graphicData>
            </a:graphic>
            <wp14:sizeRelH relativeFrom="margin">
              <wp14:pctWidth>0</wp14:pctWidth>
            </wp14:sizeRelH>
            <wp14:sizeRelV relativeFrom="margin">
              <wp14:pctHeight>0</wp14:pctHeight>
            </wp14:sizeRelV>
          </wp:anchor>
        </w:drawing>
      </w:r>
      <w:r w:rsidR="00AB2C7D" w:rsidRPr="00037C61">
        <w:rPr>
          <w:lang w:val="en-GB"/>
        </w:rPr>
        <w:t xml:space="preserve">There are currently 26 LAGs selected by the Ministry of Agriculture and Rural Development in Romania for the programming area, and one FLAG (Asociația Grup de Acțiune Locală pentru Pescuit - Satu Mare), and there are 22 LAGs selected on the Hungarian side, which cover the whole cross-border territory. While LAGs are inherently local cooperation structures with a complex organisation and a narrowed down focus, their existence is relevant to be mentioned as an indicator of cooperation willingness at local level, and of the existence of microregional common projects on topics such as agriculture, tourism, social inclusion, which can facilitate the development of more ample projects in cross-border cooperation. </w:t>
      </w:r>
    </w:p>
    <w:p w14:paraId="1CC463F6" w14:textId="66FBEA80" w:rsidR="00AB2C7D" w:rsidRPr="00037C61" w:rsidRDefault="00AB2C7D" w:rsidP="00AB2C7D">
      <w:pPr>
        <w:rPr>
          <w:lang w:val="en-GB"/>
        </w:rPr>
      </w:pPr>
      <w:r w:rsidRPr="00037C61">
        <w:rPr>
          <w:lang w:val="en-GB"/>
        </w:rPr>
        <w:t>Sustainable Urban Development is implemented at the level of the eligible area via priority axis, for both Romania and Hungary. In 2014-2020, 5 cities from Hungary and 4 cities from Romania (the county seats) have benefitted from ESIF funding specifically for implementing integrated territorial strategies for sustainable urban development</w:t>
      </w:r>
      <w:r w:rsidR="501EFE3A" w:rsidRPr="00037C61">
        <w:rPr>
          <w:lang w:val="en-GB"/>
        </w:rPr>
        <w:t>.</w:t>
      </w:r>
      <w:r w:rsidRPr="00037C61">
        <w:rPr>
          <w:lang w:val="en-GB"/>
        </w:rPr>
        <w:t xml:space="preserve"> </w:t>
      </w:r>
    </w:p>
    <w:p w14:paraId="604D647A" w14:textId="566B56DB" w:rsidR="00FC1AD4" w:rsidRDefault="00FF4D5B" w:rsidP="00BD1ABD">
      <w:pPr>
        <w:rPr>
          <w:lang w:val="en-GB"/>
        </w:rPr>
      </w:pPr>
      <w:r w:rsidRPr="00DB74BF">
        <w:rPr>
          <w:lang w:val="en-GB"/>
        </w:rPr>
        <w:t xml:space="preserve">As concerns </w:t>
      </w:r>
      <w:r w:rsidRPr="00DB74BF">
        <w:rPr>
          <w:b/>
          <w:bCs/>
          <w:lang w:val="en-GB"/>
        </w:rPr>
        <w:t>civil society,</w:t>
      </w:r>
      <w:r w:rsidRPr="00DB74BF">
        <w:rPr>
          <w:lang w:val="en-GB"/>
        </w:rPr>
        <w:t xml:space="preserve"> </w:t>
      </w:r>
      <w:r w:rsidR="00FC1AD4">
        <w:rPr>
          <w:lang w:val="en-GB"/>
        </w:rPr>
        <w:t xml:space="preserve">comparable data are available only at national level. In particular, </w:t>
      </w:r>
      <w:r w:rsidR="00BD1ABD">
        <w:rPr>
          <w:lang w:val="en-GB"/>
        </w:rPr>
        <w:t>the study “</w:t>
      </w:r>
      <w:r w:rsidR="00BD1ABD" w:rsidRPr="00BD1ABD">
        <w:rPr>
          <w:lang w:val="en-GB"/>
        </w:rPr>
        <w:t>2019</w:t>
      </w:r>
      <w:r w:rsidR="00BD1ABD">
        <w:rPr>
          <w:lang w:val="en-GB"/>
        </w:rPr>
        <w:t xml:space="preserve"> Civil Society Organisation Sustainability Index – Central and Eastern Europe and Eurasia”, realised by USAID, </w:t>
      </w:r>
      <w:r w:rsidR="00C475C0">
        <w:rPr>
          <w:lang w:val="en-GB"/>
        </w:rPr>
        <w:t xml:space="preserve">the </w:t>
      </w:r>
      <w:r w:rsidR="00C475C0" w:rsidRPr="00C475C0">
        <w:rPr>
          <w:lang w:val="en-GB"/>
        </w:rPr>
        <w:t>Bureau for Democracy, Conflict and Humanitarian Assistance</w:t>
      </w:r>
      <w:r w:rsidR="00C475C0">
        <w:rPr>
          <w:lang w:val="en-GB"/>
        </w:rPr>
        <w:t xml:space="preserve"> and the </w:t>
      </w:r>
      <w:r w:rsidR="00C475C0" w:rsidRPr="00C475C0">
        <w:rPr>
          <w:lang w:val="en-GB"/>
        </w:rPr>
        <w:t>Center of Excellence on Democracy, Human Rights and Governance</w:t>
      </w:r>
      <w:r w:rsidR="00BD1ABD">
        <w:rPr>
          <w:lang w:val="en-GB"/>
        </w:rPr>
        <w:t xml:space="preserve"> (October 2020)</w:t>
      </w:r>
      <w:r w:rsidR="00C475C0">
        <w:rPr>
          <w:lang w:val="en-GB"/>
        </w:rPr>
        <w:t>, reports the following findings from the analysis of CSOs in Hungary and Romania:</w:t>
      </w:r>
    </w:p>
    <w:p w14:paraId="726FD8C2" w14:textId="4060DC66" w:rsidR="00FC1AD4" w:rsidRPr="00DB74BF" w:rsidRDefault="00C475C0" w:rsidP="00C475C0">
      <w:pPr>
        <w:pStyle w:val="ListParagraph"/>
        <w:numPr>
          <w:ilvl w:val="0"/>
          <w:numId w:val="44"/>
        </w:numPr>
        <w:rPr>
          <w:u w:val="single"/>
          <w:lang w:val="en-GB"/>
        </w:rPr>
      </w:pPr>
      <w:r w:rsidRPr="00DB74BF">
        <w:rPr>
          <w:u w:val="single"/>
          <w:lang w:val="en-GB"/>
        </w:rPr>
        <w:t xml:space="preserve">For </w:t>
      </w:r>
      <w:r w:rsidR="00FC1AD4" w:rsidRPr="00DB74BF">
        <w:rPr>
          <w:u w:val="single"/>
          <w:lang w:val="en-GB"/>
        </w:rPr>
        <w:t>Hungary:</w:t>
      </w:r>
    </w:p>
    <w:p w14:paraId="06BE3F04" w14:textId="35409F58" w:rsidR="00FC1AD4" w:rsidRPr="00DB74BF" w:rsidRDefault="00FC1AD4" w:rsidP="00AB2C7D">
      <w:pPr>
        <w:rPr>
          <w:i/>
          <w:iCs/>
          <w:highlight w:val="yellow"/>
          <w:lang w:val="en-GB"/>
        </w:rPr>
      </w:pPr>
      <w:r w:rsidRPr="00DB74BF">
        <w:rPr>
          <w:i/>
          <w:iCs/>
          <w:lang w:val="en-GB"/>
        </w:rPr>
        <w:t>A</w:t>
      </w:r>
      <w:r w:rsidR="00FF4D5B" w:rsidRPr="00DB74BF">
        <w:rPr>
          <w:i/>
          <w:iCs/>
          <w:lang w:val="en-GB"/>
        </w:rPr>
        <w:t>ccording to the latest data published by the Central Statistical Office, in 2018 there were approximately 61,000 nonprofit organizations. Approximately 54,000 of these are associations (34,000) and foundations (approximately 20,000), while the other 7,000 comprise nonprofit companies, chambers, and similar entities that are considered to be nonprofits. CSOs pursuing cultural, sports, and leisure activities are the most prominent, each accounting for 16 percent of the total, while 13 percent of CSOs focus on education. The percentage of CSOs with public benefit status increased slightly from 20 to 22 percent.</w:t>
      </w:r>
      <w:r w:rsidR="00FF4D5B" w:rsidRPr="00DB74BF">
        <w:rPr>
          <w:i/>
          <w:iCs/>
          <w:highlight w:val="yellow"/>
          <w:lang w:val="en-GB"/>
        </w:rPr>
        <w:t xml:space="preserve"> </w:t>
      </w:r>
    </w:p>
    <w:p w14:paraId="220C8F74" w14:textId="73905B7A" w:rsidR="00FC1AD4" w:rsidRPr="00DB74BF" w:rsidRDefault="00FC1AD4" w:rsidP="00FC1AD4">
      <w:pPr>
        <w:rPr>
          <w:i/>
          <w:iCs/>
          <w:lang w:val="en-GB"/>
        </w:rPr>
      </w:pPr>
      <w:r w:rsidRPr="00DB74BF">
        <w:rPr>
          <w:i/>
          <w:iCs/>
          <w:lang w:val="en-GB"/>
        </w:rPr>
        <w:t xml:space="preserve">CSOs’ financial viability did not change significantly in 2019. According to the latest official statistics, the total income of Hungarian civil society grew to HUF 860 billion (approximately $2.86 billion) in 2018, from HUF 700 billion (approximately $2.5 billion) in 2017. This improvement, however, was offset </w:t>
      </w:r>
      <w:r w:rsidRPr="00DB74BF">
        <w:rPr>
          <w:i/>
          <w:iCs/>
          <w:lang w:val="en-GB"/>
        </w:rPr>
        <w:lastRenderedPageBreak/>
        <w:t>by biases and inequalities in the access to funding sources. Sport and culture organizations receive the largest share of total income (13 and 16 percent, respectively), followed by urban/rural and economic development (13 and 9 percent), but most of the activities funded through the latter two are not truly civic activities, but nonprofit businesses. More than a third (37 percent) of all organizations continue to operate with budgets of less than HUF 500,000 (approximately $1,667). CSOs in Budapest receive about half of the sector’s total income, CSOs in countryside towns receive another one-third, and CSOs working in smaller locations have the remaining 12 percent.</w:t>
      </w:r>
    </w:p>
    <w:p w14:paraId="04124CBD" w14:textId="442994C4" w:rsidR="00FC1AD4" w:rsidRPr="00C475C0" w:rsidRDefault="00C475C0" w:rsidP="00C475C0">
      <w:pPr>
        <w:pStyle w:val="ListParagraph"/>
        <w:numPr>
          <w:ilvl w:val="0"/>
          <w:numId w:val="44"/>
        </w:numPr>
        <w:rPr>
          <w:u w:val="single"/>
          <w:lang w:val="en-GB"/>
        </w:rPr>
      </w:pPr>
      <w:r w:rsidRPr="00C475C0">
        <w:rPr>
          <w:u w:val="single"/>
          <w:lang w:val="en-GB"/>
        </w:rPr>
        <w:t xml:space="preserve">For </w:t>
      </w:r>
      <w:r w:rsidR="00FC1AD4" w:rsidRPr="00C475C0">
        <w:rPr>
          <w:u w:val="single"/>
          <w:lang w:val="en-GB"/>
        </w:rPr>
        <w:t>Romania:</w:t>
      </w:r>
    </w:p>
    <w:p w14:paraId="48282EBF" w14:textId="112D7F11" w:rsidR="00FC1AD4" w:rsidRPr="00C475C0" w:rsidRDefault="00FC1AD4" w:rsidP="00FC1AD4">
      <w:pPr>
        <w:rPr>
          <w:i/>
          <w:iCs/>
          <w:lang w:val="en-GB"/>
        </w:rPr>
      </w:pPr>
      <w:r w:rsidRPr="00C475C0">
        <w:rPr>
          <w:i/>
          <w:iCs/>
          <w:lang w:val="en-GB"/>
        </w:rPr>
        <w:t>The National Non-Governmental Organization Register included 114,548 registered CSOs at the start of 2020, an increase of 6,774 in the past year. However, organizations that registered in 2019 might not be represented on the Register until later in 2020, as courts are not subject to a deadline for updating the registry. Most registered CSOs are associations (93,128) and foundations (19,270). It is estimated that only half of registered CSOs are active.</w:t>
      </w:r>
    </w:p>
    <w:p w14:paraId="1970778F" w14:textId="687F29AB" w:rsidR="00FC1AD4" w:rsidRPr="00C475C0" w:rsidRDefault="00FC1AD4" w:rsidP="00FC1AD4">
      <w:pPr>
        <w:rPr>
          <w:i/>
          <w:iCs/>
          <w:lang w:val="en-GB"/>
        </w:rPr>
      </w:pPr>
      <w:r w:rsidRPr="00C475C0">
        <w:rPr>
          <w:i/>
          <w:iCs/>
          <w:lang w:val="en-GB"/>
        </w:rPr>
        <w:t>CSO financial viability did not change significantly in 2019. While there were several positive developments that could improve the situation in 2020 and beyond, they were unable to counterbalance the ongoing problems with public funding, the insufficient support for smaller and rural CSOs, and the limited capacity in the sector to earn revenue from the sale of products and services.</w:t>
      </w:r>
    </w:p>
    <w:p w14:paraId="6343C053" w14:textId="4C2F2EF4" w:rsidR="00AB2C7D" w:rsidRPr="00037C61" w:rsidRDefault="00FC1AD4" w:rsidP="00FC1AD4">
      <w:pPr>
        <w:rPr>
          <w:lang w:val="en-GB"/>
        </w:rPr>
      </w:pPr>
      <w:r w:rsidRPr="00FC1AD4" w:rsidDel="00FC1AD4">
        <w:rPr>
          <w:highlight w:val="yellow"/>
          <w:lang w:val="en-GB"/>
        </w:rPr>
        <w:t xml:space="preserve"> </w:t>
      </w:r>
    </w:p>
    <w:p w14:paraId="3936141C" w14:textId="77777777" w:rsidR="00AB2C7D" w:rsidRPr="00037C61" w:rsidRDefault="00AB2C7D" w:rsidP="00AB2C7D">
      <w:pPr>
        <w:pStyle w:val="Heading3"/>
      </w:pPr>
      <w:bookmarkStart w:id="823" w:name="_Toc64619561"/>
      <w:bookmarkStart w:id="824" w:name="_Ref50305449"/>
      <w:bookmarkStart w:id="825" w:name="_Toc53137223"/>
      <w:bookmarkStart w:id="826" w:name="_Toc53137354"/>
      <w:r w:rsidRPr="00037C61">
        <w:t>Cooperation forms in the programming area</w:t>
      </w:r>
      <w:bookmarkEnd w:id="823"/>
      <w:r w:rsidRPr="00037C61">
        <w:t xml:space="preserve"> </w:t>
      </w:r>
      <w:bookmarkEnd w:id="824"/>
      <w:bookmarkEnd w:id="825"/>
      <w:bookmarkEnd w:id="826"/>
    </w:p>
    <w:p w14:paraId="0DA228F0" w14:textId="69601EB8" w:rsidR="00AB2C7D" w:rsidRPr="00037C61" w:rsidRDefault="00AB2C7D" w:rsidP="00AB2C7D">
      <w:pPr>
        <w:pStyle w:val="InterregROHUBullet1"/>
        <w:numPr>
          <w:ilvl w:val="0"/>
          <w:numId w:val="0"/>
        </w:numPr>
      </w:pPr>
      <w:r w:rsidRPr="00037C61">
        <w:t xml:space="preserve">Instruments of voluntary cooperation such as ITI, CLLD, Euroregions, EGTCs and town twinning relationships </w:t>
      </w:r>
      <w:r w:rsidR="35CDFCB5" w:rsidRPr="00037C61">
        <w:t>are, i</w:t>
      </w:r>
      <w:r w:rsidRPr="00037C61">
        <w:t xml:space="preserve">n their majority, forms of cooperation born organically out of local needs (challenges) or common opportunities, and often address cross-border obstacles in a soft, innovative way. </w:t>
      </w:r>
    </w:p>
    <w:p w14:paraId="21093BE2" w14:textId="77777777" w:rsidR="00AB2C7D" w:rsidRPr="00037C61" w:rsidRDefault="00AB2C7D" w:rsidP="00AB2C7D">
      <w:pPr>
        <w:pStyle w:val="Heading4"/>
        <w:rPr>
          <w:lang w:val="en-GB"/>
        </w:rPr>
      </w:pPr>
      <w:r w:rsidRPr="00037C61">
        <w:rPr>
          <w:lang w:val="en-GB"/>
        </w:rPr>
        <w:t xml:space="preserve">Intensity of cooperation in European programmes (2007-2013, 2014-2020).  </w:t>
      </w:r>
    </w:p>
    <w:p w14:paraId="7A4B0585" w14:textId="77777777" w:rsidR="00AB2C7D" w:rsidRPr="00037C61" w:rsidRDefault="00AB2C7D" w:rsidP="00AB2C7D">
      <w:pPr>
        <w:spacing w:after="0"/>
        <w:rPr>
          <w:lang w:val="en-GB"/>
        </w:rPr>
      </w:pPr>
      <w:r w:rsidRPr="00037C61">
        <w:rPr>
          <w:lang w:val="en-GB"/>
        </w:rPr>
        <w:t xml:space="preserve">From a comparative point of view, in the last two programming periods there has been a similar intensity of involvement in cooperation programmes (ESPON, Interact, Interreg programmes and Urbact), as recorded in the European KEEP database, the most complete and representative database of EU Territorial Cooperation projects since 2000 encompassing more than 82% of the total financed such projects, and more than 90% of all projects financed under the 2014-2020 programmes.  </w:t>
      </w:r>
    </w:p>
    <w:p w14:paraId="2B1FB6E7" w14:textId="77777777" w:rsidR="00AB2C7D" w:rsidRPr="00037C61" w:rsidRDefault="00AB2C7D" w:rsidP="00AB2C7D">
      <w:pPr>
        <w:spacing w:after="0"/>
        <w:rPr>
          <w:lang w:val="en-GB"/>
        </w:rPr>
      </w:pPr>
    </w:p>
    <w:p w14:paraId="7AB891DC" w14:textId="677D42D5" w:rsidR="00AB2C7D" w:rsidRPr="00037C61" w:rsidRDefault="00AB2C7D" w:rsidP="00AB2C7D">
      <w:pPr>
        <w:spacing w:after="0"/>
        <w:rPr>
          <w:lang w:val="en-GB"/>
        </w:rPr>
      </w:pPr>
      <w:r w:rsidRPr="00037C61">
        <w:rPr>
          <w:lang w:val="en-GB"/>
        </w:rPr>
        <w:t>Heatmap generation for each side of the cooperation programme indicates that the four counties in Hungary have strong partnership links with the Romanian side, especially Bihor county. European cooperation in the programme area of Romania is mostly led by Timișoara, with a weak participation of Satu Mare county. There are significant similarities at the level of the eight counties within the cooperation programme when it comes to selecting international partners, with some clear overlaps (United Kingdom, Estonia, Slovakia, Czech</w:t>
      </w:r>
      <w:r w:rsidR="74D4D768" w:rsidRPr="00037C61">
        <w:rPr>
          <w:lang w:val="en-GB"/>
        </w:rPr>
        <w:t xml:space="preserve"> Republic</w:t>
      </w:r>
      <w:r w:rsidRPr="00037C61">
        <w:rPr>
          <w:lang w:val="en-GB"/>
        </w:rPr>
        <w:t xml:space="preserve"> and several regions of Spain, such as Zaragoza). </w:t>
      </w:r>
    </w:p>
    <w:p w14:paraId="15C08BE0" w14:textId="6D94F67D" w:rsidR="00AB2C7D" w:rsidRPr="00037C61" w:rsidRDefault="00AB2C7D" w:rsidP="00AB2C7D">
      <w:pPr>
        <w:keepNext/>
        <w:spacing w:after="0"/>
        <w:jc w:val="center"/>
        <w:rPr>
          <w:lang w:val="en-GB"/>
        </w:rPr>
      </w:pPr>
      <w:r w:rsidRPr="00037C61">
        <w:rPr>
          <w:noProof/>
          <w:lang w:val="ro-RO" w:eastAsia="ro-RO"/>
        </w:rPr>
        <w:lastRenderedPageBreak/>
        <mc:AlternateContent>
          <mc:Choice Requires="wpg">
            <w:drawing>
              <wp:inline distT="0" distB="0" distL="0" distR="0" wp14:anchorId="321DB0CF" wp14:editId="7484910B">
                <wp:extent cx="5784850" cy="2710180"/>
                <wp:effectExtent l="0" t="0" r="6350" b="0"/>
                <wp:docPr id="68" name="Group 68"/>
                <wp:cNvGraphicFramePr/>
                <a:graphic xmlns:a="http://schemas.openxmlformats.org/drawingml/2006/main">
                  <a:graphicData uri="http://schemas.microsoft.com/office/word/2010/wordprocessingGroup">
                    <wpg:wgp>
                      <wpg:cNvGrpSpPr/>
                      <wpg:grpSpPr>
                        <a:xfrm>
                          <a:off x="0" y="0"/>
                          <a:ext cx="5784609" cy="2710180"/>
                          <a:chOff x="-9380" y="-44096"/>
                          <a:chExt cx="5006591" cy="2346030"/>
                        </a:xfrm>
                      </wpg:grpSpPr>
                      <pic:pic xmlns:pic="http://schemas.openxmlformats.org/drawingml/2006/picture">
                        <pic:nvPicPr>
                          <pic:cNvPr id="61" name="Picture 61"/>
                          <pic:cNvPicPr>
                            <a:picLocks noChangeAspect="1"/>
                          </pic:cNvPicPr>
                        </pic:nvPicPr>
                        <pic:blipFill>
                          <a:blip r:embed="rId276" cstate="print">
                            <a:extLst>
                              <a:ext uri="{28A0092B-C50C-407E-A947-70E740481C1C}">
                                <a14:useLocalDpi xmlns:a14="http://schemas.microsoft.com/office/drawing/2010/main"/>
                              </a:ext>
                            </a:extLst>
                          </a:blip>
                          <a:srcRect/>
                          <a:stretch/>
                        </pic:blipFill>
                        <pic:spPr bwMode="auto">
                          <a:xfrm>
                            <a:off x="-9380" y="-44096"/>
                            <a:ext cx="2502573" cy="2345262"/>
                          </a:xfrm>
                          <a:prstGeom prst="rect">
                            <a:avLst/>
                          </a:prstGeom>
                          <a:noFill/>
                          <a:ln>
                            <a:noFill/>
                          </a:ln>
                        </pic:spPr>
                      </pic:pic>
                      <pic:pic xmlns:pic="http://schemas.openxmlformats.org/drawingml/2006/picture">
                        <pic:nvPicPr>
                          <pic:cNvPr id="54" name="Picture 54"/>
                          <pic:cNvPicPr>
                            <a:picLocks noChangeAspect="1"/>
                          </pic:cNvPicPr>
                        </pic:nvPicPr>
                        <pic:blipFill>
                          <a:blip r:embed="rId277" cstate="print">
                            <a:extLst>
                              <a:ext uri="{28A0092B-C50C-407E-A947-70E740481C1C}">
                                <a14:useLocalDpi xmlns:a14="http://schemas.microsoft.com/office/drawing/2010/main"/>
                              </a:ext>
                            </a:extLst>
                          </a:blip>
                          <a:srcRect/>
                          <a:stretch/>
                        </pic:blipFill>
                        <pic:spPr bwMode="auto">
                          <a:xfrm>
                            <a:off x="2493401" y="-44096"/>
                            <a:ext cx="2503810" cy="2346030"/>
                          </a:xfrm>
                          <a:prstGeom prst="rect">
                            <a:avLst/>
                          </a:prstGeom>
                          <a:noFill/>
                          <a:ln>
                            <a:noFill/>
                          </a:ln>
                        </pic:spPr>
                      </pic:pic>
                    </wpg:wg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84DA5A7">
              <v:group id="Group 68" style="width:455.5pt;height:213.4pt;mso-position-horizontal-relative:char;mso-position-vertical-relative:line" coordsize="50065,23460" coordorigin="-93,-440" o:spid="_x0000_s1026" w14:anchorId="7277934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">
                <v:shape id="Picture 61" style="position:absolute;left:-93;top:-440;width:25024;height:2345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">
                  <v:imagedata o:title="" r:id="rId278"/>
                </v:shape>
                <v:shape id="Picture 54" style="position:absolute;left:24934;top:-440;width:25038;height:2345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">
                  <v:imagedata o:title="" r:id="rId279"/>
                </v:shape>
                <w10:anchorlock/>
              </v:group>
            </w:pict>
          </mc:Fallback>
        </mc:AlternateContent>
      </w:r>
    </w:p>
    <w:p w14:paraId="16C2DA08" w14:textId="492923ED" w:rsidR="00AB2C7D" w:rsidRPr="00037C61" w:rsidRDefault="00AB2C7D" w:rsidP="00AB2C7D">
      <w:pPr>
        <w:pStyle w:val="Caption"/>
        <w:jc w:val="left"/>
        <w:rPr>
          <w:lang w:val="en-GB"/>
        </w:rPr>
      </w:pPr>
      <w:bookmarkStart w:id="827" w:name="_Toc6461108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138</w:t>
      </w:r>
      <w:r w:rsidR="00412697">
        <w:rPr>
          <w:lang w:val="en-GB"/>
        </w:rPr>
        <w:fldChar w:fldCharType="end"/>
      </w:r>
      <w:r w:rsidRPr="00037C61">
        <w:rPr>
          <w:lang w:val="en-GB"/>
        </w:rPr>
        <w:t xml:space="preserve"> - Heatmaps of cooperation in European projects at NUTS3 Level overlapped for Hungary (left) and Romania (right).</w:t>
      </w:r>
      <w:bookmarkEnd w:id="827"/>
    </w:p>
    <w:p w14:paraId="4C332D96" w14:textId="77777777" w:rsidR="00AB2C7D" w:rsidRPr="00037C61" w:rsidRDefault="00AB2C7D" w:rsidP="00AB2C7D">
      <w:pPr>
        <w:pStyle w:val="Caption"/>
        <w:spacing w:after="240"/>
        <w:jc w:val="left"/>
        <w:rPr>
          <w:lang w:val="en-GB"/>
        </w:rPr>
      </w:pPr>
      <w:r w:rsidRPr="00037C61">
        <w:rPr>
          <w:lang w:val="en-GB"/>
        </w:rPr>
        <w:t>Source of data:</w:t>
      </w:r>
      <w:bookmarkStart w:id="828" w:name="_Hlk55726981"/>
      <w:r w:rsidRPr="00037C61">
        <w:rPr>
          <w:lang w:val="en-GB"/>
        </w:rPr>
        <w:t xml:space="preserve"> KEEP Database, </w:t>
      </w:r>
      <w:hyperlink r:id="rId280" w:history="1">
        <w:r w:rsidRPr="00037C61">
          <w:rPr>
            <w:rStyle w:val="Hyperlink"/>
            <w:lang w:val="en-GB"/>
          </w:rPr>
          <w:t>https://keep.eu/countries-and-regions/</w:t>
        </w:r>
      </w:hyperlink>
      <w:bookmarkEnd w:id="828"/>
    </w:p>
    <w:p w14:paraId="6268B4AC" w14:textId="77777777" w:rsidR="00AB2C7D" w:rsidRPr="00037C61" w:rsidRDefault="00AB2C7D" w:rsidP="00AB2C7D">
      <w:pPr>
        <w:pStyle w:val="Heading4"/>
        <w:tabs>
          <w:tab w:val="left" w:pos="6175"/>
        </w:tabs>
        <w:rPr>
          <w:lang w:val="en-GB"/>
        </w:rPr>
      </w:pPr>
      <w:r w:rsidRPr="00037C61">
        <w:rPr>
          <w:lang w:val="en-GB"/>
        </w:rPr>
        <w:t>Twinning</w:t>
      </w:r>
      <w:r w:rsidRPr="00037C61">
        <w:rPr>
          <w:lang w:val="en-GB"/>
        </w:rPr>
        <w:tab/>
      </w:r>
    </w:p>
    <w:p w14:paraId="65E81AE0" w14:textId="0DDB97C2" w:rsidR="00AB2C7D" w:rsidRDefault="00AB2C7D" w:rsidP="00AB2C7D">
      <w:pPr>
        <w:rPr>
          <w:lang w:val="en-GB"/>
        </w:rPr>
      </w:pPr>
      <w:r w:rsidRPr="00037C61">
        <w:rPr>
          <w:lang w:val="en-GB"/>
        </w:rPr>
        <w:t>Twinning is a typical model applied along the border including the no</w:t>
      </w:r>
      <w:r w:rsidR="00C9642A" w:rsidRPr="00037C61">
        <w:rPr>
          <w:lang w:val="en-GB"/>
        </w:rPr>
        <w:t>n</w:t>
      </w:r>
      <w:r w:rsidRPr="00037C61">
        <w:rPr>
          <w:lang w:val="en-GB"/>
        </w:rPr>
        <w:t>-</w:t>
      </w:r>
      <w:r w:rsidR="69112027" w:rsidRPr="00037C61">
        <w:rPr>
          <w:lang w:val="en-GB"/>
        </w:rPr>
        <w:t>standardized</w:t>
      </w:r>
      <w:r w:rsidRPr="00037C61">
        <w:rPr>
          <w:lang w:val="en-GB"/>
        </w:rPr>
        <w:t xml:space="preserve"> and no</w:t>
      </w:r>
      <w:r w:rsidR="00C9642A" w:rsidRPr="00037C61">
        <w:rPr>
          <w:lang w:val="en-GB"/>
        </w:rPr>
        <w:t>n</w:t>
      </w:r>
      <w:r w:rsidRPr="00037C61">
        <w:rPr>
          <w:lang w:val="en-GB"/>
        </w:rPr>
        <w:t>-institutionalised cooperation of the neighbouring regional authorities (e.g. Szabolcs-Szatmár-Bereg and Satu Mare), large urban centres (e.g. Oradea and Debrecen), as well as smaller settlements. According to the official websites of the local municipalities, altogether 144 twinnings exist within the programming area. The agenda of these twinnings is mainly characterised by cultural and sports activities, exchanges.</w:t>
      </w:r>
    </w:p>
    <w:p w14:paraId="3C599E08" w14:textId="2333F0C7" w:rsidR="007D22CA" w:rsidRPr="004A5488" w:rsidRDefault="00DE17F3" w:rsidP="004A5488">
      <w:pPr>
        <w:pStyle w:val="Heading4"/>
        <w:tabs>
          <w:tab w:val="left" w:pos="6175"/>
        </w:tabs>
        <w:rPr>
          <w:lang w:val="en-GB"/>
        </w:rPr>
      </w:pPr>
      <w:r w:rsidRPr="004A5488">
        <w:rPr>
          <w:lang w:val="en-GB"/>
        </w:rPr>
        <w:t xml:space="preserve">The macro-region level: EUSDR </w:t>
      </w:r>
    </w:p>
    <w:p w14:paraId="10373A63" w14:textId="77777777" w:rsidR="00DE17F3" w:rsidRPr="00283B08" w:rsidRDefault="00DE17F3" w:rsidP="00DE17F3">
      <w:pPr>
        <w:rPr>
          <w:rFonts w:cs="Calibri"/>
          <w:lang w:val="en-GB"/>
        </w:rPr>
      </w:pPr>
      <w:r w:rsidRPr="00283B08">
        <w:rPr>
          <w:rFonts w:cs="Calibri"/>
          <w:lang w:val="en-GB"/>
        </w:rPr>
        <w:t>The EU Strategy for the Danube Region (EUSDR) is one of four EU macro-regional strategies (MRS).  The two existing framing documents of the EUSDR, the Communication (COM 2010a) and its accompanying Action Plan of 2010 (COM 2010b), have been designed by the European Commission according to the strategic inputs from, and in partnership with the Danube countries. The Action Plan has the form of a Commission Staff Working Document. It only includes actions which:</w:t>
      </w:r>
    </w:p>
    <w:p w14:paraId="31C79094" w14:textId="77777777" w:rsidR="00DE17F3" w:rsidRPr="00283B08" w:rsidRDefault="00DE17F3" w:rsidP="00283B08">
      <w:pPr>
        <w:pStyle w:val="ListParagraph"/>
        <w:numPr>
          <w:ilvl w:val="0"/>
          <w:numId w:val="45"/>
        </w:numPr>
        <w:spacing w:after="0"/>
        <w:ind w:left="714" w:hanging="357"/>
        <w:rPr>
          <w:rFonts w:cs="Calibri"/>
          <w:lang w:val="en-GB"/>
        </w:rPr>
      </w:pPr>
      <w:r w:rsidRPr="00283B08">
        <w:rPr>
          <w:rFonts w:cs="Calibri"/>
          <w:lang w:val="en-GB"/>
        </w:rPr>
        <w:t>address a commonly identified need for joint action;</w:t>
      </w:r>
    </w:p>
    <w:p w14:paraId="50024279" w14:textId="77777777" w:rsidR="00DE17F3" w:rsidRPr="00283B08" w:rsidRDefault="00DE17F3" w:rsidP="00283B08">
      <w:pPr>
        <w:pStyle w:val="ListParagraph"/>
        <w:numPr>
          <w:ilvl w:val="0"/>
          <w:numId w:val="45"/>
        </w:numPr>
        <w:spacing w:after="0"/>
        <w:ind w:left="714" w:hanging="357"/>
        <w:rPr>
          <w:rFonts w:cs="Calibri"/>
          <w:lang w:val="en-GB"/>
        </w:rPr>
      </w:pPr>
      <w:r w:rsidRPr="00283B08">
        <w:rPr>
          <w:rFonts w:cs="Calibri"/>
          <w:lang w:val="en-GB"/>
        </w:rPr>
        <w:t>have an impact on the macro-region or a significant part of it, i.e. are transnational;</w:t>
      </w:r>
    </w:p>
    <w:p w14:paraId="01BD0B74" w14:textId="77777777" w:rsidR="00DE17F3" w:rsidRPr="00283B08" w:rsidRDefault="00DE17F3" w:rsidP="00283B08">
      <w:pPr>
        <w:pStyle w:val="ListParagraph"/>
        <w:numPr>
          <w:ilvl w:val="0"/>
          <w:numId w:val="45"/>
        </w:numPr>
        <w:spacing w:after="0"/>
        <w:ind w:left="714" w:hanging="357"/>
        <w:rPr>
          <w:rFonts w:cs="Calibri"/>
          <w:lang w:val="en-GB"/>
        </w:rPr>
      </w:pPr>
      <w:r w:rsidRPr="00283B08">
        <w:rPr>
          <w:rFonts w:cs="Calibri"/>
          <w:lang w:val="en-GB"/>
        </w:rPr>
        <w:t>are feasible for the actors in the Danube Region (practically, legally and financially);</w:t>
      </w:r>
    </w:p>
    <w:p w14:paraId="4C6D1F68" w14:textId="77777777" w:rsidR="00DE17F3" w:rsidRPr="00283B08" w:rsidRDefault="00DE17F3" w:rsidP="00283B08">
      <w:pPr>
        <w:pStyle w:val="ListParagraph"/>
        <w:numPr>
          <w:ilvl w:val="0"/>
          <w:numId w:val="45"/>
        </w:numPr>
        <w:spacing w:after="0"/>
        <w:ind w:left="714" w:hanging="357"/>
        <w:rPr>
          <w:rFonts w:cs="Calibri"/>
          <w:lang w:val="en-GB"/>
        </w:rPr>
      </w:pPr>
      <w:r w:rsidRPr="00283B08">
        <w:rPr>
          <w:rFonts w:cs="Calibri"/>
          <w:lang w:val="en-GB"/>
        </w:rPr>
        <w:t>are mutually coherent and supportive.</w:t>
      </w:r>
    </w:p>
    <w:p w14:paraId="5F300A2F" w14:textId="58CD8816" w:rsidR="00DE17F3" w:rsidRPr="00283B08" w:rsidRDefault="00DE17F3" w:rsidP="00DE17F3">
      <w:pPr>
        <w:rPr>
          <w:rFonts w:cs="Calibri"/>
          <w:lang w:val="en-GB"/>
        </w:rPr>
      </w:pPr>
      <w:r w:rsidRPr="00283B08">
        <w:rPr>
          <w:rFonts w:cs="Calibri"/>
          <w:lang w:val="en-GB"/>
        </w:rPr>
        <w:t>After 10 years’ implementation, an updated EUSDR Action Plan has been adopted in April 2020. The purpose of the revision has been:</w:t>
      </w:r>
    </w:p>
    <w:p w14:paraId="5103A82E" w14:textId="77777777" w:rsidR="00DE17F3" w:rsidRPr="00283B08" w:rsidRDefault="00DE17F3" w:rsidP="00DE17F3">
      <w:pPr>
        <w:pStyle w:val="ListParagraph"/>
        <w:numPr>
          <w:ilvl w:val="0"/>
          <w:numId w:val="46"/>
        </w:numPr>
        <w:spacing w:after="0"/>
        <w:ind w:left="714" w:hanging="357"/>
        <w:rPr>
          <w:rFonts w:cs="Calibri"/>
          <w:lang w:val="en-GB"/>
        </w:rPr>
      </w:pPr>
      <w:r w:rsidRPr="00283B08">
        <w:rPr>
          <w:rFonts w:cs="Calibri"/>
          <w:lang w:val="en-GB"/>
        </w:rPr>
        <w:t>To align the Action Plan with the orientation towards a higher concentration of resources on strategic actions;</w:t>
      </w:r>
    </w:p>
    <w:p w14:paraId="1457D743" w14:textId="77777777" w:rsidR="00DE17F3" w:rsidRPr="00283B08" w:rsidRDefault="00DE17F3" w:rsidP="00DE17F3">
      <w:pPr>
        <w:pStyle w:val="ListParagraph"/>
        <w:numPr>
          <w:ilvl w:val="0"/>
          <w:numId w:val="46"/>
        </w:numPr>
        <w:spacing w:after="0"/>
        <w:ind w:left="714" w:hanging="357"/>
        <w:rPr>
          <w:rFonts w:cs="Calibri"/>
          <w:lang w:val="en-GB"/>
        </w:rPr>
      </w:pPr>
      <w:r w:rsidRPr="00283B08">
        <w:rPr>
          <w:rFonts w:cs="Calibri"/>
          <w:lang w:val="en-GB"/>
        </w:rPr>
        <w:t>To provide further and more strategic guidance on cooperative actions with a possible higher impact in the region;</w:t>
      </w:r>
    </w:p>
    <w:p w14:paraId="08E9E40F" w14:textId="77777777" w:rsidR="00DE17F3" w:rsidRPr="00283B08" w:rsidRDefault="00DE17F3" w:rsidP="00DE17F3">
      <w:pPr>
        <w:pStyle w:val="ListParagraph"/>
        <w:numPr>
          <w:ilvl w:val="0"/>
          <w:numId w:val="46"/>
        </w:numPr>
        <w:spacing w:after="0"/>
        <w:ind w:left="714" w:hanging="357"/>
        <w:rPr>
          <w:rFonts w:cs="Calibri"/>
          <w:lang w:val="en-GB"/>
        </w:rPr>
      </w:pPr>
      <w:r w:rsidRPr="00283B08">
        <w:rPr>
          <w:rFonts w:cs="Calibri"/>
          <w:lang w:val="en-GB"/>
        </w:rPr>
        <w:t xml:space="preserve">To ensure a higher degree of coherence with other programmes and funding instruments.   </w:t>
      </w:r>
    </w:p>
    <w:p w14:paraId="6851EDA1" w14:textId="47581322" w:rsidR="00DE17F3" w:rsidRDefault="00DE17F3" w:rsidP="00DE17F3">
      <w:pPr>
        <w:rPr>
          <w:rFonts w:cs="Calibri"/>
          <w:lang w:val="en-GB"/>
        </w:rPr>
      </w:pPr>
      <w:r w:rsidRPr="00283B08">
        <w:rPr>
          <w:rFonts w:cs="Calibri"/>
          <w:lang w:val="en-GB"/>
        </w:rPr>
        <w:t>The Action Plan is built around 4 Pillars, 12 Priority Axis (PA) and 85 Actions</w:t>
      </w:r>
      <w:r>
        <w:rPr>
          <w:rFonts w:cs="Calibri"/>
          <w:lang w:val="en-GB"/>
        </w:rPr>
        <w:t>.</w:t>
      </w:r>
    </w:p>
    <w:p w14:paraId="414A3FEF" w14:textId="24B37724" w:rsidR="00DE17F3" w:rsidRPr="00DE17F3" w:rsidRDefault="00DE17F3" w:rsidP="00DE17F3">
      <w:pPr>
        <w:tabs>
          <w:tab w:val="left" w:pos="851"/>
        </w:tabs>
        <w:spacing w:after="0"/>
        <w:rPr>
          <w:rFonts w:cs="Calibri"/>
          <w:lang w:val="en-GB"/>
        </w:rPr>
      </w:pPr>
      <w:r w:rsidRPr="00DE17F3">
        <w:rPr>
          <w:rFonts w:cs="Calibri"/>
          <w:lang w:val="en-GB"/>
        </w:rPr>
        <w:lastRenderedPageBreak/>
        <w:t xml:space="preserve">The future Interreg Programme between Romania and Hungary will reinforce the delivery of the EUSDR by </w:t>
      </w:r>
      <w:r w:rsidRPr="00283B08">
        <w:rPr>
          <w:rFonts w:cs="Calibri"/>
          <w:b/>
          <w:bCs/>
          <w:lang w:val="en-GB"/>
        </w:rPr>
        <w:t>embedding the priority actions planned in the macro-region strategy into the Programme intervention logics</w:t>
      </w:r>
      <w:r w:rsidRPr="00DE17F3">
        <w:rPr>
          <w:rFonts w:cs="Calibri"/>
          <w:lang w:val="en-GB"/>
        </w:rPr>
        <w:t xml:space="preserve"> (detailed measures to be funded) and </w:t>
      </w:r>
      <w:r w:rsidRPr="00283B08">
        <w:rPr>
          <w:rFonts w:cs="Calibri"/>
          <w:b/>
          <w:bCs/>
          <w:lang w:val="en-GB"/>
        </w:rPr>
        <w:t>projects’ selection criteria</w:t>
      </w:r>
      <w:r w:rsidRPr="00DE17F3">
        <w:rPr>
          <w:rFonts w:cs="Calibri"/>
          <w:lang w:val="en-GB"/>
        </w:rPr>
        <w:t>, whilst tackling all main weaknesses observed in the delivery of the macro-strategy</w:t>
      </w:r>
      <w:r w:rsidR="00C22D79">
        <w:rPr>
          <w:rStyle w:val="FootnoteReference"/>
          <w:rFonts w:cs="Calibri"/>
          <w:lang w:val="en-GB"/>
        </w:rPr>
        <w:footnoteReference w:id="40"/>
      </w:r>
      <w:r w:rsidRPr="00DE17F3">
        <w:rPr>
          <w:rFonts w:cs="Calibri"/>
          <w:lang w:val="en-GB"/>
        </w:rPr>
        <w:t xml:space="preserve"> by: promoting higher policy relevance and complementarity of funds; promoting, from one side, higher involvement of the national governance and decision-making level, including from the perspective of assessing and solving barriers to cooperation; promoting, from the other side, higher mobilisation of cross-border communities, in order to consolidate the legitimation of joint actions bottom-up, as well as based on evidence provided by a reinforced analysis and strategic planning capacity of cross-border actors.  </w:t>
      </w:r>
    </w:p>
    <w:p w14:paraId="18E2D898" w14:textId="77777777" w:rsidR="00DE17F3" w:rsidRPr="00DE17F3" w:rsidRDefault="00DE17F3" w:rsidP="00DE17F3">
      <w:pPr>
        <w:rPr>
          <w:rFonts w:cs="Calibri"/>
          <w:lang w:val="en-GB"/>
        </w:rPr>
      </w:pPr>
    </w:p>
    <w:p w14:paraId="145BEEE6" w14:textId="77777777" w:rsidR="00AB2C7D" w:rsidRPr="00037C61" w:rsidRDefault="00AB2C7D" w:rsidP="00AB2C7D">
      <w:pPr>
        <w:pStyle w:val="Heading4"/>
        <w:rPr>
          <w:lang w:val="en-GB"/>
        </w:rPr>
      </w:pPr>
      <w:r w:rsidRPr="00037C61">
        <w:rPr>
          <w:lang w:val="en-GB"/>
        </w:rPr>
        <w:t xml:space="preserve">Euroregions </w:t>
      </w:r>
    </w:p>
    <w:p w14:paraId="25E8BA22" w14:textId="77777777" w:rsidR="00AB2C7D" w:rsidRPr="00037C61" w:rsidRDefault="00AB2C7D" w:rsidP="00AB2C7D">
      <w:pPr>
        <w:spacing w:after="0"/>
        <w:rPr>
          <w:lang w:val="en-GB"/>
        </w:rPr>
      </w:pPr>
      <w:r w:rsidRPr="00037C61">
        <w:rPr>
          <w:lang w:val="en-GB"/>
        </w:rPr>
        <w:t>Since 1993, four euroregions have been established along the shared border, with a reference to the Madrid Outline Convention and the Treaty of understanding, cooperation and good neighbourliness of Hungary and Romania, signed at Timişoara on 16 September 1996. Out of the four, three are currently still operational:</w:t>
      </w:r>
    </w:p>
    <w:p w14:paraId="6C397640" w14:textId="77777777" w:rsidR="00AB2C7D" w:rsidRPr="00037C61" w:rsidRDefault="00AB2C7D" w:rsidP="00AB2C7D">
      <w:pPr>
        <w:spacing w:after="0"/>
        <w:rPr>
          <w:lang w:val="en-GB"/>
        </w:rPr>
      </w:pPr>
      <w:r w:rsidRPr="00037C61">
        <w:rPr>
          <w:lang w:val="en-GB"/>
        </w:rPr>
        <w:t xml:space="preserve"> </w:t>
      </w:r>
    </w:p>
    <w:p w14:paraId="737A7586" w14:textId="4D2BC265" w:rsidR="00AB2C7D" w:rsidRPr="00037C61" w:rsidRDefault="00AB2C7D" w:rsidP="00AB2C7D">
      <w:pPr>
        <w:pStyle w:val="Caption"/>
        <w:keepNext/>
        <w:jc w:val="left"/>
        <w:rPr>
          <w:lang w:val="en-GB"/>
        </w:rPr>
      </w:pPr>
      <w:bookmarkStart w:id="829" w:name="_Toc58237671"/>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49</w:t>
      </w:r>
      <w:r w:rsidRPr="00037C61">
        <w:rPr>
          <w:lang w:val="en-GB"/>
        </w:rPr>
        <w:fldChar w:fldCharType="end"/>
      </w:r>
      <w:r w:rsidRPr="00037C61">
        <w:rPr>
          <w:lang w:val="en-GB"/>
        </w:rPr>
        <w:t xml:space="preserve"> - Euroregions</w:t>
      </w:r>
      <w:bookmarkEnd w:id="829"/>
    </w:p>
    <w:tbl>
      <w:tblPr>
        <w:tblStyle w:val="ListTable3-Accent11"/>
        <w:tblW w:w="0" w:type="auto"/>
        <w:tblLook w:val="04A0" w:firstRow="1" w:lastRow="0" w:firstColumn="1" w:lastColumn="0" w:noHBand="0" w:noVBand="1"/>
      </w:tblPr>
      <w:tblGrid>
        <w:gridCol w:w="1838"/>
        <w:gridCol w:w="3402"/>
        <w:gridCol w:w="1701"/>
        <w:gridCol w:w="2075"/>
      </w:tblGrid>
      <w:tr w:rsidR="00AB2C7D" w:rsidRPr="00037C61" w14:paraId="48867481" w14:textId="77777777" w:rsidTr="5CA115F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38" w:type="dxa"/>
          </w:tcPr>
          <w:p w14:paraId="3BFB94AF" w14:textId="77777777" w:rsidR="00AB2C7D" w:rsidRPr="00037C61" w:rsidRDefault="00AB2C7D" w:rsidP="00EA5C18">
            <w:pPr>
              <w:rPr>
                <w:sz w:val="20"/>
                <w:lang w:val="en-GB"/>
              </w:rPr>
            </w:pPr>
          </w:p>
        </w:tc>
        <w:tc>
          <w:tcPr>
            <w:tcW w:w="3402" w:type="dxa"/>
          </w:tcPr>
          <w:p w14:paraId="3D83D2EB"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Countries / Regions</w:t>
            </w:r>
          </w:p>
        </w:tc>
        <w:tc>
          <w:tcPr>
            <w:tcW w:w="1701" w:type="dxa"/>
          </w:tcPr>
          <w:p w14:paraId="053F56F1"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Surface </w:t>
            </w:r>
          </w:p>
        </w:tc>
        <w:tc>
          <w:tcPr>
            <w:tcW w:w="2075" w:type="dxa"/>
          </w:tcPr>
          <w:p w14:paraId="69F71FA9"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Population </w:t>
            </w:r>
          </w:p>
        </w:tc>
      </w:tr>
      <w:tr w:rsidR="00AB2C7D" w:rsidRPr="00037C61" w14:paraId="5FCDB216" w14:textId="77777777" w:rsidTr="5CA11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9305818" w14:textId="77777777" w:rsidR="00AB2C7D" w:rsidRPr="00037C61" w:rsidRDefault="00AB2C7D" w:rsidP="00EA5C18">
            <w:pPr>
              <w:rPr>
                <w:sz w:val="20"/>
                <w:lang w:val="en-GB"/>
              </w:rPr>
            </w:pPr>
            <w:r w:rsidRPr="00037C61">
              <w:rPr>
                <w:sz w:val="20"/>
                <w:lang w:val="en-GB"/>
              </w:rPr>
              <w:t xml:space="preserve">Carpathian Euroregion </w:t>
            </w:r>
          </w:p>
        </w:tc>
        <w:tc>
          <w:tcPr>
            <w:tcW w:w="3402" w:type="dxa"/>
          </w:tcPr>
          <w:p w14:paraId="7EB08BBF"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Hungary (5 counties), Romania (5 counties), Ukraine (4 oblast), Slovakia (2 regions) and Poland (1 voivodship) </w:t>
            </w:r>
          </w:p>
        </w:tc>
        <w:tc>
          <w:tcPr>
            <w:tcW w:w="1701" w:type="dxa"/>
          </w:tcPr>
          <w:p w14:paraId="55EE2854"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145 000 km</w:t>
            </w:r>
            <w:r w:rsidRPr="00037C61">
              <w:rPr>
                <w:sz w:val="20"/>
                <w:vertAlign w:val="superscript"/>
                <w:lang w:val="en-GB"/>
              </w:rPr>
              <w:t>2</w:t>
            </w:r>
          </w:p>
        </w:tc>
        <w:tc>
          <w:tcPr>
            <w:tcW w:w="2075" w:type="dxa"/>
          </w:tcPr>
          <w:p w14:paraId="2C8E07CB"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14.2 mil. Inhabitants </w:t>
            </w:r>
          </w:p>
        </w:tc>
      </w:tr>
      <w:tr w:rsidR="00AB2C7D" w:rsidRPr="00037C61" w14:paraId="5200ACBB" w14:textId="77777777" w:rsidTr="5CA115F1">
        <w:tc>
          <w:tcPr>
            <w:cnfStyle w:val="001000000000" w:firstRow="0" w:lastRow="0" w:firstColumn="1" w:lastColumn="0" w:oddVBand="0" w:evenVBand="0" w:oddHBand="0" w:evenHBand="0" w:firstRowFirstColumn="0" w:firstRowLastColumn="0" w:lastRowFirstColumn="0" w:lastRowLastColumn="0"/>
            <w:tcW w:w="1838" w:type="dxa"/>
          </w:tcPr>
          <w:p w14:paraId="7135F0CC" w14:textId="77777777" w:rsidR="00AB2C7D" w:rsidRPr="00DB74BF" w:rsidRDefault="00AB2C7D" w:rsidP="00EA5C18">
            <w:pPr>
              <w:rPr>
                <w:sz w:val="20"/>
                <w:lang w:val="fr-FR"/>
              </w:rPr>
            </w:pPr>
            <w:r w:rsidRPr="00DB74BF">
              <w:rPr>
                <w:sz w:val="20"/>
                <w:lang w:val="fr-FR"/>
              </w:rPr>
              <w:t xml:space="preserve">Danube – Kris – Mures – Tisa Euroregion (DKMT) </w:t>
            </w:r>
          </w:p>
        </w:tc>
        <w:tc>
          <w:tcPr>
            <w:tcW w:w="3402" w:type="dxa"/>
          </w:tcPr>
          <w:p w14:paraId="3D63B726"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Hungary (2 counties), Romania (4 counties), Serbia (1 province) </w:t>
            </w:r>
          </w:p>
        </w:tc>
        <w:tc>
          <w:tcPr>
            <w:tcW w:w="1701" w:type="dxa"/>
          </w:tcPr>
          <w:p w14:paraId="3575FC28"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71,879 km</w:t>
            </w:r>
            <w:r w:rsidRPr="00037C61">
              <w:rPr>
                <w:sz w:val="20"/>
                <w:vertAlign w:val="superscript"/>
                <w:lang w:val="en-GB"/>
              </w:rPr>
              <w:t>2</w:t>
            </w:r>
          </w:p>
        </w:tc>
        <w:tc>
          <w:tcPr>
            <w:tcW w:w="2075" w:type="dxa"/>
          </w:tcPr>
          <w:p w14:paraId="0A574BB9"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5.4 mil. Inhabitants </w:t>
            </w:r>
          </w:p>
        </w:tc>
      </w:tr>
      <w:tr w:rsidR="00AB2C7D" w:rsidRPr="00037C61" w14:paraId="49DF7C99" w14:textId="77777777" w:rsidTr="5CA11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EEF686F" w14:textId="77777777" w:rsidR="00AB2C7D" w:rsidRPr="00037C61" w:rsidRDefault="00AB2C7D" w:rsidP="00EA5C18">
            <w:pPr>
              <w:rPr>
                <w:sz w:val="20"/>
                <w:lang w:val="en-GB"/>
              </w:rPr>
            </w:pPr>
            <w:r w:rsidRPr="00037C61">
              <w:rPr>
                <w:sz w:val="20"/>
                <w:lang w:val="en-GB"/>
              </w:rPr>
              <w:t xml:space="preserve">Bihar – Bihor </w:t>
            </w:r>
          </w:p>
        </w:tc>
        <w:tc>
          <w:tcPr>
            <w:tcW w:w="3402" w:type="dxa"/>
          </w:tcPr>
          <w:p w14:paraId="418656BF"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Hungary (1 county), Romania (1 county) </w:t>
            </w:r>
          </w:p>
        </w:tc>
        <w:tc>
          <w:tcPr>
            <w:tcW w:w="1701" w:type="dxa"/>
          </w:tcPr>
          <w:p w14:paraId="59BAB0EE"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13,479 km2</w:t>
            </w:r>
          </w:p>
        </w:tc>
        <w:tc>
          <w:tcPr>
            <w:tcW w:w="2075" w:type="dxa"/>
          </w:tcPr>
          <w:p w14:paraId="6A22889A"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1.1 mil. Inhabitants </w:t>
            </w:r>
          </w:p>
        </w:tc>
      </w:tr>
    </w:tbl>
    <w:p w14:paraId="171B0959" w14:textId="635B6FDB" w:rsidR="5CA115F1" w:rsidRPr="00037C61" w:rsidRDefault="5CA115F1">
      <w:pPr>
        <w:rPr>
          <w:lang w:val="en-GB"/>
        </w:rPr>
      </w:pPr>
    </w:p>
    <w:p w14:paraId="1DBBCEB4" w14:textId="77777777" w:rsidR="00AB2C7D" w:rsidRPr="00037C61" w:rsidRDefault="00AB2C7D" w:rsidP="00AB2C7D">
      <w:pPr>
        <w:rPr>
          <w:lang w:val="en-GB"/>
        </w:rPr>
      </w:pPr>
    </w:p>
    <w:p w14:paraId="48F5900E" w14:textId="77777777" w:rsidR="00AB2C7D" w:rsidRPr="00037C61" w:rsidRDefault="00AB2C7D" w:rsidP="00AB2C7D">
      <w:pPr>
        <w:rPr>
          <w:lang w:val="en-GB"/>
        </w:rPr>
      </w:pPr>
      <w:r w:rsidRPr="00037C61">
        <w:rPr>
          <w:b/>
          <w:lang w:val="en-GB"/>
        </w:rPr>
        <w:t>The Carpathian Euroregion (CE)</w:t>
      </w:r>
      <w:r w:rsidRPr="00037C61">
        <w:rPr>
          <w:lang w:val="en-GB"/>
        </w:rPr>
        <w:t xml:space="preserve"> is an international association in Central and Eastern Europe, established on 14th February 1993 by the Ministers of Foreign Affairs of Poland, Ukraine, and Hungary in the city of Debrecen. It was the first Euroregion after the political and economic transition to integrate several administrative units from the former Eastern Bloc with a common history, parallel economic development and similar traditions. </w:t>
      </w:r>
    </w:p>
    <w:p w14:paraId="385618BA" w14:textId="0EBA8F72" w:rsidR="0044224B" w:rsidRPr="00037C61" w:rsidRDefault="00AB2C7D" w:rsidP="00AB2C7D">
      <w:pPr>
        <w:rPr>
          <w:lang w:val="en-GB"/>
        </w:rPr>
      </w:pPr>
      <w:r w:rsidRPr="00037C61">
        <w:rPr>
          <w:b/>
          <w:bCs/>
          <w:lang w:val="en-GB"/>
        </w:rPr>
        <w:t xml:space="preserve">The Danube-Criş-Mureş-Tisa (DKMT) </w:t>
      </w:r>
      <w:r w:rsidRPr="00037C61">
        <w:rPr>
          <w:lang w:val="en-GB"/>
        </w:rPr>
        <w:t xml:space="preserve">has been established in 1997, and its activities are coordinated by a non-profit enterprise based in Szeged since 2003. Currently, the Euroregion has as members Csongrád-Csanád and Bács-Kiskun counties from Hungary, Arad, Timiș and Caraş-Severin counties from Romania, as well as the Autonomous Province of </w:t>
      </w:r>
      <w:r w:rsidR="584F5F6B" w:rsidRPr="00037C61">
        <w:rPr>
          <w:lang w:val="en-GB"/>
        </w:rPr>
        <w:t>Vojvodina</w:t>
      </w:r>
      <w:r w:rsidRPr="00037C61">
        <w:rPr>
          <w:lang w:val="en-GB"/>
        </w:rPr>
        <w:t xml:space="preserve"> from Serbia. </w:t>
      </w:r>
      <w:r w:rsidR="00A6325B" w:rsidRPr="00037C61">
        <w:rPr>
          <w:lang w:val="en-GB"/>
        </w:rPr>
        <w:t xml:space="preserve">Since its foundation, </w:t>
      </w:r>
      <w:r w:rsidR="0044224B" w:rsidRPr="00037C61">
        <w:rPr>
          <w:lang w:val="en-GB"/>
        </w:rPr>
        <w:t xml:space="preserve">DKMT has implemented several cross-border projects funded under Interreg programmes and other EU funds, including in the fields of border management, </w:t>
      </w:r>
      <w:r w:rsidR="00A6325B" w:rsidRPr="00037C61">
        <w:rPr>
          <w:lang w:val="en-GB"/>
        </w:rPr>
        <w:t>tourism, transport (CB railway lines planning).</w:t>
      </w:r>
      <w:r w:rsidR="0044224B" w:rsidRPr="00037C61">
        <w:rPr>
          <w:lang w:val="en-GB"/>
        </w:rPr>
        <w:t xml:space="preserve"> </w:t>
      </w:r>
    </w:p>
    <w:p w14:paraId="21BF88E3" w14:textId="620A2194" w:rsidR="00AB2C7D" w:rsidRPr="00037C61" w:rsidRDefault="76158E8F" w:rsidP="00AB2C7D">
      <w:pPr>
        <w:rPr>
          <w:lang w:val="en-GB"/>
        </w:rPr>
      </w:pPr>
      <w:r w:rsidRPr="00037C61">
        <w:rPr>
          <w:lang w:val="en-GB"/>
        </w:rPr>
        <w:t>Lastly,</w:t>
      </w:r>
      <w:r w:rsidRPr="00037C61">
        <w:rPr>
          <w:b/>
          <w:bCs/>
          <w:lang w:val="en-GB"/>
        </w:rPr>
        <w:t xml:space="preserve"> Biharia or Bihor-Hajdú-Bihar Euroregion</w:t>
      </w:r>
      <w:r w:rsidR="003F4FCD" w:rsidRPr="00037C61">
        <w:rPr>
          <w:b/>
          <w:bCs/>
          <w:lang w:val="en-GB"/>
        </w:rPr>
        <w:t xml:space="preserve"> </w:t>
      </w:r>
      <w:r w:rsidR="003F4FCD" w:rsidRPr="00037C61">
        <w:rPr>
          <w:lang w:val="en-GB"/>
        </w:rPr>
        <w:t>(currently in the process of dissolution)</w:t>
      </w:r>
      <w:r w:rsidRPr="00037C61">
        <w:rPr>
          <w:lang w:val="en-GB"/>
        </w:rPr>
        <w:t xml:space="preserve"> has the two neighbouring regional authorities as members. It was founded in 2002, setting its strategic objectives in 2005, a</w:t>
      </w:r>
      <w:r w:rsidR="00161430" w:rsidRPr="00037C61">
        <w:rPr>
          <w:lang w:val="en-GB"/>
        </w:rPr>
        <w:t xml:space="preserve">lthough </w:t>
      </w:r>
      <w:r w:rsidR="00C36342" w:rsidRPr="00037C61">
        <w:rPr>
          <w:lang w:val="en-GB"/>
        </w:rPr>
        <w:t>s</w:t>
      </w:r>
      <w:r w:rsidRPr="00037C61">
        <w:rPr>
          <w:lang w:val="en-GB"/>
        </w:rPr>
        <w:t xml:space="preserve">ome of its initiatives have not seen continuation (such as the Euroregional news </w:t>
      </w:r>
      <w:r w:rsidRPr="00037C61">
        <w:rPr>
          <w:lang w:val="en-GB"/>
        </w:rPr>
        <w:lastRenderedPageBreak/>
        <w:t xml:space="preserve">agency for marketing, started in 2011 but not operational at the moment). One of the successful projects coming out of the cooperation is the Oradea-Debrecen urban cross-border cooperation initiative “Crosstrans”, which enabled the development of local transport systems from the city of Oradea to the urban hubs of Debrecen, with the aim of creating a cross-border urban network. </w:t>
      </w:r>
    </w:p>
    <w:p w14:paraId="4BF32410" w14:textId="77777777" w:rsidR="00AB2C7D" w:rsidRPr="00037C61" w:rsidRDefault="00AB2C7D" w:rsidP="00AB2C7D">
      <w:pPr>
        <w:pStyle w:val="Heading4"/>
        <w:rPr>
          <w:lang w:val="en-GB"/>
        </w:rPr>
      </w:pPr>
      <w:r w:rsidRPr="00037C61">
        <w:rPr>
          <w:lang w:val="en-GB"/>
        </w:rPr>
        <w:t xml:space="preserve">EGTCs </w:t>
      </w:r>
    </w:p>
    <w:p w14:paraId="49BB4B1C" w14:textId="51AEA0C6" w:rsidR="00AB2C7D" w:rsidRPr="00037C61" w:rsidRDefault="00AB2C7D" w:rsidP="00AB2C7D">
      <w:pPr>
        <w:rPr>
          <w:lang w:val="en-GB"/>
        </w:rPr>
      </w:pPr>
      <w:r w:rsidRPr="00037C61">
        <w:rPr>
          <w:lang w:val="en-GB"/>
        </w:rPr>
        <w:t xml:space="preserve">European Groupings of Territorial Cooperation (EGTC) represent legal, non-profit entities established as a European instrument designed to facilitate and promote cross-border, transnational and interregional cooperation. EGTCs enable public sub-national authorities to establish cooperation arrangements with other public bodies, such as associations (e.g. Intercommunity Development Associations in Romania), with the purpose of strengthening the economic, social and territorial cohesion of the European Union. </w:t>
      </w:r>
    </w:p>
    <w:p w14:paraId="313D4E16" w14:textId="335AA2EC" w:rsidR="00AB2C7D" w:rsidRPr="00037C61" w:rsidRDefault="00AB2C7D" w:rsidP="00AB2C7D">
      <w:pPr>
        <w:pStyle w:val="InterregROHUBullet1"/>
        <w:keepNext/>
        <w:numPr>
          <w:ilvl w:val="0"/>
          <w:numId w:val="0"/>
        </w:numPr>
        <w:spacing w:after="0"/>
        <w:ind w:right="-897"/>
      </w:pPr>
      <w:r w:rsidRPr="00037C61">
        <w:rPr>
          <w:noProof/>
          <w:lang w:val="ro-RO" w:eastAsia="ro-RO"/>
        </w:rPr>
        <mc:AlternateContent>
          <mc:Choice Requires="wpg">
            <w:drawing>
              <wp:inline distT="0" distB="0" distL="0" distR="0" wp14:anchorId="0EB402B3" wp14:editId="1CBD474A">
                <wp:extent cx="5431971" cy="2737049"/>
                <wp:effectExtent l="0" t="0" r="16510" b="6350"/>
                <wp:docPr id="56" name="Group 56"/>
                <wp:cNvGraphicFramePr/>
                <a:graphic xmlns:a="http://schemas.openxmlformats.org/drawingml/2006/main">
                  <a:graphicData uri="http://schemas.microsoft.com/office/word/2010/wordprocessingGroup">
                    <wpg:wgp>
                      <wpg:cNvGrpSpPr/>
                      <wpg:grpSpPr>
                        <a:xfrm>
                          <a:off x="0" y="0"/>
                          <a:ext cx="5431971" cy="2737049"/>
                          <a:chOff x="0" y="0"/>
                          <a:chExt cx="5798820" cy="2930525"/>
                        </a:xfrm>
                      </wpg:grpSpPr>
                      <pic:pic xmlns:pic="http://schemas.openxmlformats.org/drawingml/2006/picture">
                        <pic:nvPicPr>
                          <pic:cNvPr id="55" name="Picture 55"/>
                          <pic:cNvPicPr>
                            <a:picLocks noChangeAspect="1"/>
                          </pic:cNvPicPr>
                        </pic:nvPicPr>
                        <pic:blipFill>
                          <a:blip r:embed="rId281" cstate="print">
                            <a:extLst>
                              <a:ext uri="{28A0092B-C50C-407E-A947-70E740481C1C}">
                                <a14:useLocalDpi xmlns:a14="http://schemas.microsoft.com/office/drawing/2010/main"/>
                              </a:ext>
                            </a:extLst>
                          </a:blip>
                          <a:stretch>
                            <a:fillRect/>
                          </a:stretch>
                        </pic:blipFill>
                        <pic:spPr>
                          <a:xfrm>
                            <a:off x="0" y="0"/>
                            <a:ext cx="2914650" cy="2930525"/>
                          </a:xfrm>
                          <a:prstGeom prst="rect">
                            <a:avLst/>
                          </a:prstGeom>
                        </pic:spPr>
                      </pic:pic>
                      <pic:pic xmlns:pic="http://schemas.openxmlformats.org/drawingml/2006/picture">
                        <pic:nvPicPr>
                          <pic:cNvPr id="50" name="Picture 50"/>
                          <pic:cNvPicPr>
                            <a:picLocks noChangeAspect="1"/>
                          </pic:cNvPicPr>
                        </pic:nvPicPr>
                        <pic:blipFill rotWithShape="1">
                          <a:blip r:embed="rId282" cstate="print">
                            <a:extLst>
                              <a:ext uri="{28A0092B-C50C-407E-A947-70E740481C1C}">
                                <a14:useLocalDpi xmlns:a14="http://schemas.microsoft.com/office/drawing/2010/main"/>
                              </a:ext>
                            </a:extLst>
                          </a:blip>
                          <a:srcRect/>
                          <a:stretch/>
                        </pic:blipFill>
                        <pic:spPr bwMode="auto">
                          <a:xfrm>
                            <a:off x="2933700" y="19050"/>
                            <a:ext cx="2865120" cy="2876550"/>
                          </a:xfrm>
                          <a:prstGeom prst="rect">
                            <a:avLst/>
                          </a:prstGeom>
                          <a:ln w="19050">
                            <a:solidFill>
                              <a:schemeClr val="accent3"/>
                            </a:solidFill>
                          </a:ln>
                          <a:extLst>
                            <a:ext uri="{53640926-AAD7-44D8-BBD7-CCE9431645EC}">
                              <a14:shadowObscured xmlns:a14="http://schemas.microsoft.com/office/drawing/2010/main"/>
                            </a:ext>
                          </a:extLst>
                        </pic:spPr>
                      </pic:pic>
                      <wps:wsp>
                        <wps:cNvPr id="53" name="Straight Connector 53"/>
                        <wps:cNvCnPr/>
                        <wps:spPr>
                          <a:xfrm>
                            <a:off x="2047875" y="2038350"/>
                            <a:ext cx="878776" cy="0"/>
                          </a:xfrm>
                          <a:prstGeom prst="line">
                            <a:avLst/>
                          </a:prstGeom>
                          <a:ln w="19050">
                            <a:solidFill>
                              <a:schemeClr val="accent3"/>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3560641">
              <v:group id="Group 56" style="width:427.7pt;height:215.5pt;mso-position-horizontal-relative:char;mso-position-vertical-relative:line" coordsize="57988,29305" o:spid="_x0000_s1026" w14:anchorId="5F5F11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">
                <v:shape id="Picture 55" style="position:absolute;width:29146;height:293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">
                  <v:imagedata o:title="" r:id="rId283"/>
                </v:shape>
                <v:shape id="Picture 50" style="position:absolute;left:29337;top:190;width:28651;height:28766;visibility:visible;mso-wrap-style:square" o:spid="_x0000_s1028" stroked="t" strokecolor="#ed1d24 [3206]" strokeweight="1.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">
                  <v:imagedata o:title="" r:id="rId284"/>
                  <v:path arrowok="t"/>
                </v:shape>
                <v:line id="Straight Connector 53" style="position:absolute;visibility:visible;mso-wrap-style:square" o:spid="_x0000_s1029" strokecolor="#ed1d24 [3206]" strokeweight="1.5pt" o:connectortype="straight" from="20478,20383" to="29266,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">
                  <v:stroke joinstyle="miter"/>
                </v:line>
                <w10:anchorlock/>
              </v:group>
            </w:pict>
          </mc:Fallback>
        </mc:AlternateContent>
      </w:r>
    </w:p>
    <w:p w14:paraId="17E95E76" w14:textId="7F0BA92B" w:rsidR="00AB2C7D" w:rsidRPr="00037C61" w:rsidRDefault="00AB2C7D" w:rsidP="00AB2C7D">
      <w:pPr>
        <w:pStyle w:val="Caption"/>
        <w:jc w:val="left"/>
        <w:rPr>
          <w:lang w:val="en-GB"/>
        </w:rPr>
      </w:pPr>
      <w:bookmarkStart w:id="830" w:name="_Toc64611087"/>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139</w:t>
      </w:r>
      <w:r w:rsidR="00412697">
        <w:rPr>
          <w:lang w:val="en-GB"/>
        </w:rPr>
        <w:fldChar w:fldCharType="end"/>
      </w:r>
      <w:r w:rsidRPr="00037C61">
        <w:rPr>
          <w:lang w:val="en-GB"/>
        </w:rPr>
        <w:t xml:space="preserve"> - Map of EGTCs at European and macro-regional level.</w:t>
      </w:r>
      <w:bookmarkEnd w:id="830"/>
    </w:p>
    <w:p w14:paraId="6ED99EBE" w14:textId="77777777" w:rsidR="00AB2C7D" w:rsidRPr="00037C61" w:rsidRDefault="00AB2C7D" w:rsidP="00AB2C7D">
      <w:pPr>
        <w:pStyle w:val="Caption"/>
        <w:spacing w:after="240"/>
        <w:jc w:val="left"/>
        <w:rPr>
          <w:lang w:val="en-GB"/>
        </w:rPr>
      </w:pPr>
      <w:r w:rsidRPr="00037C61">
        <w:rPr>
          <w:lang w:val="en-GB"/>
        </w:rPr>
        <w:t>Source: Spatial Foresight, for the European Committee of the Regions, 2020</w:t>
      </w:r>
    </w:p>
    <w:p w14:paraId="2DABE2F9" w14:textId="74BB79D9" w:rsidR="00AB2C7D" w:rsidRPr="00037C61" w:rsidRDefault="76158E8F" w:rsidP="00AB2C7D">
      <w:pPr>
        <w:spacing w:before="240"/>
        <w:rPr>
          <w:lang w:val="en-GB"/>
        </w:rPr>
      </w:pPr>
      <w:r w:rsidRPr="00037C61">
        <w:rPr>
          <w:lang w:val="en-GB"/>
        </w:rPr>
        <w:t xml:space="preserve">During the last decade, four EGTCs have been set up along the Hungary-Romania border, which perform at different level – but none of them operate higher than </w:t>
      </w:r>
      <w:r w:rsidR="207063A8" w:rsidRPr="00037C61">
        <w:rPr>
          <w:lang w:val="en-GB"/>
        </w:rPr>
        <w:t>low</w:t>
      </w:r>
      <w:r w:rsidRPr="00037C61">
        <w:rPr>
          <w:lang w:val="en-GB"/>
        </w:rPr>
        <w:t xml:space="preserve"> level – compared to other similar groupings in Central Europe. Under the terms of Regulation no. 1302/2013, </w:t>
      </w:r>
      <w:r w:rsidRPr="00037C61">
        <w:rPr>
          <w:b/>
          <w:bCs/>
          <w:lang w:val="en-GB"/>
        </w:rPr>
        <w:t>the members of an EGTC can undertake the provision of services of general economic interest</w:t>
      </w:r>
      <w:r w:rsidRPr="00037C61">
        <w:rPr>
          <w:lang w:val="en-GB"/>
        </w:rPr>
        <w:t xml:space="preserve"> – a</w:t>
      </w:r>
      <w:r w:rsidR="006C3911" w:rsidRPr="00037C61">
        <w:rPr>
          <w:lang w:val="en-GB"/>
        </w:rPr>
        <w:t>n important enabling elementelement</w:t>
      </w:r>
      <w:r w:rsidRPr="00037C61">
        <w:rPr>
          <w:lang w:val="en-GB"/>
        </w:rPr>
        <w:t xml:space="preserve">for the possibility to jointly manage public services (of general economic interest, or common infrastructures) in the CB area. Furthermore, the EGTCs can welcome public interest associations such as IDAs (among which Metropolitan Areas in Romania), enabling the co-management of infrastructures at cross-border metropolitan area level and the rescaling of urban governance at CB level on topics such as training, healthcare, social services, education, labour market access, social inclusion, etc. </w:t>
      </w:r>
    </w:p>
    <w:p w14:paraId="362F3F5A" w14:textId="035A92A1" w:rsidR="00AB2C7D" w:rsidRPr="00037C61" w:rsidRDefault="76158E8F" w:rsidP="76158E8F">
      <w:pPr>
        <w:rPr>
          <w:lang w:val="en-GB"/>
        </w:rPr>
      </w:pPr>
      <w:r w:rsidRPr="00037C61">
        <w:rPr>
          <w:rFonts w:eastAsia="Calibri" w:cs="Calibri"/>
          <w:lang w:val="en-GB"/>
        </w:rPr>
        <w:t>However, as pointed out by the EGTC monitoring report 2017 (EC, 2018), funding for the majority of EGTCs depends on membership fees primarily, and their capacity is limited</w:t>
      </w:r>
      <w:r w:rsidR="00246B57" w:rsidRPr="00037C61">
        <w:rPr>
          <w:rFonts w:eastAsia="Calibri" w:cs="Calibri"/>
          <w:lang w:val="en-GB"/>
        </w:rPr>
        <w:t>, as shown in the table below</w:t>
      </w:r>
      <w:r w:rsidRPr="00037C61">
        <w:rPr>
          <w:rFonts w:eastAsia="Calibri" w:cs="Calibri"/>
          <w:lang w:val="en-GB"/>
        </w:rPr>
        <w:t xml:space="preserve">. </w:t>
      </w:r>
    </w:p>
    <w:p w14:paraId="4D9E31D1" w14:textId="429D96D4" w:rsidR="00AB2C7D" w:rsidRPr="00037C61" w:rsidRDefault="00AB2C7D" w:rsidP="00AB2C7D">
      <w:pPr>
        <w:pStyle w:val="Caption"/>
        <w:keepNext/>
        <w:jc w:val="left"/>
        <w:rPr>
          <w:lang w:val="en-GB"/>
        </w:rPr>
      </w:pPr>
      <w:bookmarkStart w:id="831" w:name="_Toc58237672"/>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50</w:t>
      </w:r>
      <w:r w:rsidRPr="00037C61">
        <w:rPr>
          <w:lang w:val="en-GB"/>
        </w:rPr>
        <w:fldChar w:fldCharType="end"/>
      </w:r>
      <w:r w:rsidR="00662F53" w:rsidRPr="00037C61">
        <w:rPr>
          <w:lang w:val="en-GB"/>
        </w:rPr>
        <w:t xml:space="preserve"> -</w:t>
      </w:r>
      <w:r w:rsidRPr="00037C61">
        <w:rPr>
          <w:lang w:val="en-GB"/>
        </w:rPr>
        <w:t xml:space="preserve"> EGTCs and number of partners.</w:t>
      </w:r>
      <w:bookmarkEnd w:id="831"/>
      <w:r w:rsidRPr="00037C61">
        <w:rPr>
          <w:lang w:val="en-GB"/>
        </w:rPr>
        <w:t xml:space="preserve"> </w:t>
      </w:r>
    </w:p>
    <w:tbl>
      <w:tblPr>
        <w:tblStyle w:val="ListTable3-Accent11"/>
        <w:tblW w:w="9016" w:type="dxa"/>
        <w:tblLook w:val="04A0" w:firstRow="1" w:lastRow="0" w:firstColumn="1" w:lastColumn="0" w:noHBand="0" w:noVBand="1"/>
      </w:tblPr>
      <w:tblGrid>
        <w:gridCol w:w="2134"/>
        <w:gridCol w:w="844"/>
        <w:gridCol w:w="742"/>
        <w:gridCol w:w="953"/>
        <w:gridCol w:w="709"/>
        <w:gridCol w:w="3634"/>
      </w:tblGrid>
      <w:tr w:rsidR="00AB2C7D" w:rsidRPr="00037C61" w14:paraId="0DDD9991" w14:textId="77777777" w:rsidTr="5CA115F1">
        <w:trPr>
          <w:cnfStyle w:val="100000000000" w:firstRow="1" w:lastRow="0" w:firstColumn="0" w:lastColumn="0" w:oddVBand="0" w:evenVBand="0" w:oddHBand="0" w:evenHBand="0" w:firstRowFirstColumn="0" w:firstRowLastColumn="0" w:lastRowFirstColumn="0" w:lastRowLastColumn="0"/>
          <w:trHeight w:val="303"/>
        </w:trPr>
        <w:tc>
          <w:tcPr>
            <w:cnfStyle w:val="001000000100" w:firstRow="0" w:lastRow="0" w:firstColumn="1" w:lastColumn="0" w:oddVBand="0" w:evenVBand="0" w:oddHBand="0" w:evenHBand="0" w:firstRowFirstColumn="1" w:firstRowLastColumn="0" w:lastRowFirstColumn="0" w:lastRowLastColumn="0"/>
            <w:tcW w:w="2134" w:type="dxa"/>
          </w:tcPr>
          <w:p w14:paraId="48E9FBC3" w14:textId="77777777" w:rsidR="00AB2C7D" w:rsidRPr="00037C61" w:rsidRDefault="00AB2C7D" w:rsidP="00EA5C18">
            <w:pPr>
              <w:rPr>
                <w:sz w:val="20"/>
                <w:lang w:val="en-GB"/>
              </w:rPr>
            </w:pPr>
            <w:r w:rsidRPr="00037C61">
              <w:rPr>
                <w:sz w:val="20"/>
                <w:lang w:val="en-GB"/>
              </w:rPr>
              <w:t>Name</w:t>
            </w:r>
          </w:p>
        </w:tc>
        <w:tc>
          <w:tcPr>
            <w:tcW w:w="844" w:type="dxa"/>
          </w:tcPr>
          <w:p w14:paraId="536C43B3" w14:textId="77777777" w:rsidR="00AB2C7D" w:rsidRPr="00037C61" w:rsidRDefault="00AB2C7D" w:rsidP="00EA5C18">
            <w:pPr>
              <w:jc w:val="left"/>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Year of est.</w:t>
            </w:r>
          </w:p>
        </w:tc>
        <w:tc>
          <w:tcPr>
            <w:tcW w:w="742" w:type="dxa"/>
          </w:tcPr>
          <w:p w14:paraId="7B6E1E63"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Seat</w:t>
            </w:r>
          </w:p>
        </w:tc>
        <w:tc>
          <w:tcPr>
            <w:tcW w:w="953" w:type="dxa"/>
          </w:tcPr>
          <w:p w14:paraId="4A90BF8A"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No.  partners </w:t>
            </w:r>
          </w:p>
        </w:tc>
        <w:tc>
          <w:tcPr>
            <w:tcW w:w="709" w:type="dxa"/>
          </w:tcPr>
          <w:p w14:paraId="2E10E97A"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Staff (FTE)</w:t>
            </w:r>
          </w:p>
        </w:tc>
        <w:tc>
          <w:tcPr>
            <w:tcW w:w="3634" w:type="dxa"/>
          </w:tcPr>
          <w:p w14:paraId="59D9A6B7" w14:textId="77777777" w:rsidR="00AB2C7D" w:rsidRPr="00037C61" w:rsidRDefault="00AB2C7D" w:rsidP="00EA5C18">
            <w:pPr>
              <w:cnfStyle w:val="100000000000" w:firstRow="1"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Budget (2017) </w:t>
            </w:r>
          </w:p>
        </w:tc>
      </w:tr>
      <w:tr w:rsidR="00AB2C7D" w:rsidRPr="00037C61" w14:paraId="2F2BEEC0" w14:textId="77777777" w:rsidTr="5CA115F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134" w:type="dxa"/>
          </w:tcPr>
          <w:p w14:paraId="09591669" w14:textId="77777777" w:rsidR="00AB2C7D" w:rsidRPr="00037C61" w:rsidRDefault="00AB2C7D" w:rsidP="00EA5C18">
            <w:pPr>
              <w:rPr>
                <w:sz w:val="20"/>
                <w:lang w:val="en-GB"/>
              </w:rPr>
            </w:pPr>
            <w:r w:rsidRPr="00037C61">
              <w:rPr>
                <w:sz w:val="20"/>
                <w:lang w:val="en-GB"/>
              </w:rPr>
              <w:lastRenderedPageBreak/>
              <w:t>Banat Triplex Confinium</w:t>
            </w:r>
          </w:p>
        </w:tc>
        <w:tc>
          <w:tcPr>
            <w:tcW w:w="844" w:type="dxa"/>
          </w:tcPr>
          <w:p w14:paraId="39BD7F9B"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2011</w:t>
            </w:r>
          </w:p>
        </w:tc>
        <w:tc>
          <w:tcPr>
            <w:tcW w:w="742" w:type="dxa"/>
          </w:tcPr>
          <w:p w14:paraId="35D51F65"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HU </w:t>
            </w:r>
          </w:p>
        </w:tc>
        <w:tc>
          <w:tcPr>
            <w:tcW w:w="953" w:type="dxa"/>
          </w:tcPr>
          <w:p w14:paraId="4C224779"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80</w:t>
            </w:r>
          </w:p>
        </w:tc>
        <w:tc>
          <w:tcPr>
            <w:tcW w:w="709" w:type="dxa"/>
          </w:tcPr>
          <w:p w14:paraId="5A1CC85E"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3 </w:t>
            </w:r>
          </w:p>
        </w:tc>
        <w:tc>
          <w:tcPr>
            <w:tcW w:w="3634" w:type="dxa"/>
          </w:tcPr>
          <w:p w14:paraId="1D3FAF11"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€ 80,000 </w:t>
            </w:r>
          </w:p>
        </w:tc>
      </w:tr>
      <w:tr w:rsidR="00AB2C7D" w:rsidRPr="00037C61" w14:paraId="45004C45" w14:textId="77777777" w:rsidTr="5CA115F1">
        <w:trPr>
          <w:trHeight w:val="286"/>
        </w:trPr>
        <w:tc>
          <w:tcPr>
            <w:cnfStyle w:val="001000000000" w:firstRow="0" w:lastRow="0" w:firstColumn="1" w:lastColumn="0" w:oddVBand="0" w:evenVBand="0" w:oddHBand="0" w:evenHBand="0" w:firstRowFirstColumn="0" w:firstRowLastColumn="0" w:lastRowFirstColumn="0" w:lastRowLastColumn="0"/>
            <w:tcW w:w="2134" w:type="dxa"/>
          </w:tcPr>
          <w:p w14:paraId="437311D8" w14:textId="77777777" w:rsidR="00AB2C7D" w:rsidRPr="00037C61" w:rsidRDefault="00AB2C7D" w:rsidP="00EA5C18">
            <w:pPr>
              <w:rPr>
                <w:sz w:val="20"/>
                <w:lang w:val="en-GB"/>
              </w:rPr>
            </w:pPr>
            <w:r w:rsidRPr="00037C61">
              <w:rPr>
                <w:sz w:val="20"/>
                <w:lang w:val="en-GB"/>
              </w:rPr>
              <w:t xml:space="preserve">Gate to Europe </w:t>
            </w:r>
          </w:p>
        </w:tc>
        <w:tc>
          <w:tcPr>
            <w:tcW w:w="844" w:type="dxa"/>
          </w:tcPr>
          <w:p w14:paraId="308059FF"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2012</w:t>
            </w:r>
          </w:p>
        </w:tc>
        <w:tc>
          <w:tcPr>
            <w:tcW w:w="742" w:type="dxa"/>
          </w:tcPr>
          <w:p w14:paraId="47094CE6"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HU</w:t>
            </w:r>
          </w:p>
        </w:tc>
        <w:tc>
          <w:tcPr>
            <w:tcW w:w="953" w:type="dxa"/>
          </w:tcPr>
          <w:p w14:paraId="4AD7F569"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36</w:t>
            </w:r>
          </w:p>
        </w:tc>
        <w:tc>
          <w:tcPr>
            <w:tcW w:w="709" w:type="dxa"/>
          </w:tcPr>
          <w:p w14:paraId="59EE9F86"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1 </w:t>
            </w:r>
          </w:p>
        </w:tc>
        <w:tc>
          <w:tcPr>
            <w:tcW w:w="3634" w:type="dxa"/>
          </w:tcPr>
          <w:p w14:paraId="326AC47A"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Ca. € 40,000 </w:t>
            </w:r>
          </w:p>
        </w:tc>
      </w:tr>
      <w:tr w:rsidR="00AB2C7D" w:rsidRPr="00037C61" w14:paraId="0EF8BBEC" w14:textId="77777777" w:rsidTr="5CA115F1">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134" w:type="dxa"/>
          </w:tcPr>
          <w:p w14:paraId="377AC5A3" w14:textId="77777777" w:rsidR="00AB2C7D" w:rsidRPr="00037C61" w:rsidRDefault="00AB2C7D" w:rsidP="00EA5C18">
            <w:pPr>
              <w:rPr>
                <w:sz w:val="20"/>
                <w:lang w:val="en-GB"/>
              </w:rPr>
            </w:pPr>
            <w:r w:rsidRPr="00037C61">
              <w:rPr>
                <w:sz w:val="20"/>
                <w:lang w:val="en-GB"/>
              </w:rPr>
              <w:t>European Common Future Building</w:t>
            </w:r>
          </w:p>
        </w:tc>
        <w:tc>
          <w:tcPr>
            <w:tcW w:w="844" w:type="dxa"/>
          </w:tcPr>
          <w:p w14:paraId="7BFCDE7F"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2012 </w:t>
            </w:r>
          </w:p>
        </w:tc>
        <w:tc>
          <w:tcPr>
            <w:tcW w:w="742" w:type="dxa"/>
          </w:tcPr>
          <w:p w14:paraId="2EF097A3"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HU</w:t>
            </w:r>
          </w:p>
        </w:tc>
        <w:tc>
          <w:tcPr>
            <w:tcW w:w="953" w:type="dxa"/>
          </w:tcPr>
          <w:p w14:paraId="5EF61876"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8</w:t>
            </w:r>
          </w:p>
        </w:tc>
        <w:tc>
          <w:tcPr>
            <w:tcW w:w="709" w:type="dxa"/>
          </w:tcPr>
          <w:p w14:paraId="22155550"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2 part</w:t>
            </w:r>
          </w:p>
        </w:tc>
        <w:tc>
          <w:tcPr>
            <w:tcW w:w="3634" w:type="dxa"/>
          </w:tcPr>
          <w:p w14:paraId="2776ADDD" w14:textId="77777777" w:rsidR="00AB2C7D" w:rsidRPr="00037C61" w:rsidRDefault="00AB2C7D" w:rsidP="00EA5C18">
            <w:pPr>
              <w:cnfStyle w:val="000000100000" w:firstRow="0" w:lastRow="0" w:firstColumn="0" w:lastColumn="0" w:oddVBand="0" w:evenVBand="0" w:oddHBand="1" w:evenHBand="0" w:firstRowFirstColumn="0" w:firstRowLastColumn="0" w:lastRowFirstColumn="0" w:lastRowLastColumn="0"/>
              <w:rPr>
                <w:sz w:val="20"/>
                <w:lang w:val="en-GB"/>
              </w:rPr>
            </w:pPr>
            <w:r w:rsidRPr="00037C61">
              <w:rPr>
                <w:sz w:val="20"/>
                <w:lang w:val="en-GB"/>
              </w:rPr>
              <w:t xml:space="preserve">Ca. € 20,000 </w:t>
            </w:r>
          </w:p>
        </w:tc>
      </w:tr>
      <w:tr w:rsidR="00AB2C7D" w:rsidRPr="004A5488" w14:paraId="1FCFBA88" w14:textId="77777777" w:rsidTr="5CA115F1">
        <w:trPr>
          <w:trHeight w:val="286"/>
        </w:trPr>
        <w:tc>
          <w:tcPr>
            <w:cnfStyle w:val="001000000000" w:firstRow="0" w:lastRow="0" w:firstColumn="1" w:lastColumn="0" w:oddVBand="0" w:evenVBand="0" w:oddHBand="0" w:evenHBand="0" w:firstRowFirstColumn="0" w:firstRowLastColumn="0" w:lastRowFirstColumn="0" w:lastRowLastColumn="0"/>
            <w:tcW w:w="2134" w:type="dxa"/>
          </w:tcPr>
          <w:p w14:paraId="774E0EE5" w14:textId="77777777" w:rsidR="00AB2C7D" w:rsidRPr="00037C61" w:rsidRDefault="00AB2C7D" w:rsidP="00EA5C18">
            <w:pPr>
              <w:rPr>
                <w:sz w:val="20"/>
                <w:lang w:val="en-GB"/>
              </w:rPr>
            </w:pPr>
            <w:r w:rsidRPr="00037C61">
              <w:rPr>
                <w:sz w:val="20"/>
                <w:lang w:val="en-GB"/>
              </w:rPr>
              <w:t>European Border Cities</w:t>
            </w:r>
          </w:p>
        </w:tc>
        <w:tc>
          <w:tcPr>
            <w:tcW w:w="844" w:type="dxa"/>
          </w:tcPr>
          <w:p w14:paraId="089E4FF2"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2014</w:t>
            </w:r>
          </w:p>
        </w:tc>
        <w:tc>
          <w:tcPr>
            <w:tcW w:w="742" w:type="dxa"/>
          </w:tcPr>
          <w:p w14:paraId="3C6DA7FE"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HU</w:t>
            </w:r>
          </w:p>
        </w:tc>
        <w:tc>
          <w:tcPr>
            <w:tcW w:w="953" w:type="dxa"/>
          </w:tcPr>
          <w:p w14:paraId="55D29423"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2</w:t>
            </w:r>
          </w:p>
        </w:tc>
        <w:tc>
          <w:tcPr>
            <w:tcW w:w="709" w:type="dxa"/>
          </w:tcPr>
          <w:p w14:paraId="0A89ECE4"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5</w:t>
            </w:r>
          </w:p>
        </w:tc>
        <w:tc>
          <w:tcPr>
            <w:tcW w:w="3634" w:type="dxa"/>
          </w:tcPr>
          <w:p w14:paraId="6851A910" w14:textId="77777777" w:rsidR="00AB2C7D" w:rsidRPr="00037C61" w:rsidRDefault="00AB2C7D" w:rsidP="00EA5C18">
            <w:pPr>
              <w:cnfStyle w:val="000000000000" w:firstRow="0" w:lastRow="0" w:firstColumn="0" w:lastColumn="0" w:oddVBand="0" w:evenVBand="0" w:oddHBand="0" w:evenHBand="0" w:firstRowFirstColumn="0" w:firstRowLastColumn="0" w:lastRowFirstColumn="0" w:lastRowLastColumn="0"/>
              <w:rPr>
                <w:sz w:val="20"/>
                <w:lang w:val="en-GB"/>
              </w:rPr>
            </w:pPr>
            <w:r w:rsidRPr="00037C61">
              <w:rPr>
                <w:sz w:val="20"/>
                <w:lang w:val="en-GB"/>
              </w:rPr>
              <w:t xml:space="preserve">Ca. € 17,000 awarded by the Hungarian Ministry of Foreign Affairs to start technical programme </w:t>
            </w:r>
          </w:p>
        </w:tc>
      </w:tr>
    </w:tbl>
    <w:p w14:paraId="0055E713" w14:textId="784F4551" w:rsidR="00AB2C7D" w:rsidRPr="00037C61" w:rsidRDefault="00AB2C7D" w:rsidP="005E0849">
      <w:pPr>
        <w:pStyle w:val="Caption"/>
        <w:keepNext/>
        <w:jc w:val="left"/>
        <w:rPr>
          <w:lang w:val="en-GB"/>
        </w:rPr>
      </w:pPr>
      <w:r w:rsidRPr="00037C61">
        <w:rPr>
          <w:lang w:val="en-GB"/>
        </w:rPr>
        <w:t xml:space="preserve">Source: Committee of Regions, 2018 </w:t>
      </w:r>
    </w:p>
    <w:p w14:paraId="7A8E6624" w14:textId="0E2FC1BC" w:rsidR="00AB2C7D" w:rsidRPr="00037C61" w:rsidRDefault="76158E8F" w:rsidP="76158E8F">
      <w:pPr>
        <w:spacing w:before="240"/>
        <w:rPr>
          <w:lang w:val="en-GB"/>
        </w:rPr>
      </w:pPr>
      <w:r w:rsidRPr="00037C61">
        <w:rPr>
          <w:b/>
          <w:bCs/>
          <w:lang w:val="en-GB"/>
        </w:rPr>
        <w:t>The Banat Triplex Confinium EGTC</w:t>
      </w:r>
      <w:r w:rsidRPr="00037C61">
        <w:rPr>
          <w:lang w:val="en-GB"/>
        </w:rPr>
        <w:t xml:space="preserve"> is a local cross-border cooperation structured created between Hungary</w:t>
      </w:r>
      <w:r w:rsidR="00C36342" w:rsidRPr="00037C61">
        <w:rPr>
          <w:lang w:val="en-GB"/>
        </w:rPr>
        <w:t xml:space="preserve"> and</w:t>
      </w:r>
      <w:r w:rsidRPr="00037C61">
        <w:rPr>
          <w:lang w:val="en-GB"/>
        </w:rPr>
        <w:t xml:space="preserve"> Romania </w:t>
      </w:r>
      <w:r w:rsidR="00C36342" w:rsidRPr="00037C61">
        <w:rPr>
          <w:lang w:val="en-GB"/>
        </w:rPr>
        <w:t xml:space="preserve">(also having </w:t>
      </w:r>
      <w:r w:rsidRPr="00037C61">
        <w:rPr>
          <w:lang w:val="en-GB"/>
        </w:rPr>
        <w:t>Serbia</w:t>
      </w:r>
      <w:r w:rsidR="00C36342" w:rsidRPr="00037C61">
        <w:rPr>
          <w:lang w:val="en-GB"/>
        </w:rPr>
        <w:t xml:space="preserve"> </w:t>
      </w:r>
      <w:r w:rsidRPr="00037C61">
        <w:rPr>
          <w:lang w:val="en-GB"/>
        </w:rPr>
        <w:t>as an observer member</w:t>
      </w:r>
      <w:r w:rsidR="00C36342" w:rsidRPr="00037C61">
        <w:rPr>
          <w:lang w:val="en-GB"/>
        </w:rPr>
        <w:t>)</w:t>
      </w:r>
      <w:r w:rsidRPr="00037C61">
        <w:rPr>
          <w:lang w:val="en-GB"/>
        </w:rPr>
        <w:t>, covering an area of ca. 3,500 km</w:t>
      </w:r>
      <w:r w:rsidRPr="00037C61">
        <w:rPr>
          <w:vertAlign w:val="superscript"/>
          <w:lang w:val="en-GB"/>
        </w:rPr>
        <w:t>2</w:t>
      </w:r>
      <w:r w:rsidRPr="00037C61">
        <w:rPr>
          <w:lang w:val="en-GB"/>
        </w:rPr>
        <w:t xml:space="preserve"> and a population of 435,000 inhabitants (Durà et al., 2018). The association was officially set up as a limited liability EGTC in 2011, after being promoted by 50 municipalities. The membership involves more than 80 local governments (37 Hungarian, 37 Romanian and 8 Serbian as observer members). </w:t>
      </w:r>
    </w:p>
    <w:p w14:paraId="04C43108" w14:textId="3A705D33" w:rsidR="00AB2C7D" w:rsidRPr="00037C61" w:rsidRDefault="76158E8F" w:rsidP="76158E8F">
      <w:pPr>
        <w:rPr>
          <w:lang w:val="en-GB"/>
        </w:rPr>
      </w:pPr>
      <w:r w:rsidRPr="00037C61">
        <w:rPr>
          <w:b/>
          <w:bCs/>
          <w:lang w:val="en-GB"/>
        </w:rPr>
        <w:t xml:space="preserve">The Gate to Europe EGTC </w:t>
      </w:r>
      <w:r w:rsidRPr="00037C61">
        <w:rPr>
          <w:lang w:val="en-GB"/>
        </w:rPr>
        <w:t>(est. 2011) involves local municipalities from the territory of Satu Mare and Bihor counties from the Romanian and Hajdú-Bihar county from the Hungarian side. It was established in 2012 and has 35 members: 20 municipalities from Hungary and 15 from Romania, with the seat in in Nyíradony.</w:t>
      </w:r>
    </w:p>
    <w:p w14:paraId="7599B806" w14:textId="77777777" w:rsidR="00AB2C7D" w:rsidRPr="00037C61" w:rsidRDefault="76158E8F" w:rsidP="76158E8F">
      <w:pPr>
        <w:rPr>
          <w:lang w:val="en-GB"/>
        </w:rPr>
      </w:pPr>
      <w:r w:rsidRPr="00037C61">
        <w:rPr>
          <w:b/>
          <w:bCs/>
          <w:lang w:val="en-GB"/>
        </w:rPr>
        <w:t>The European Common Future Building EGTC</w:t>
      </w:r>
      <w:r w:rsidRPr="00037C61">
        <w:rPr>
          <w:lang w:val="en-GB"/>
        </w:rPr>
        <w:t xml:space="preserve"> was registered in 2012 with a seat in Pusztaottlaka, and its members are local municipalities (5 from Hungary and 3 from Romania). The EGTC promoted cross-border cooperation of the risk prevention institutions of the region and organised cultural events. The intensity of cooperation is rather low.</w:t>
      </w:r>
    </w:p>
    <w:p w14:paraId="6F16EFC0" w14:textId="03E10865" w:rsidR="00AB2C7D" w:rsidRPr="00037C61" w:rsidRDefault="76158E8F" w:rsidP="005E0849">
      <w:pPr>
        <w:rPr>
          <w:lang w:val="en-GB"/>
        </w:rPr>
      </w:pPr>
      <w:r w:rsidRPr="00037C61">
        <w:rPr>
          <w:b/>
          <w:bCs/>
          <w:lang w:val="en-GB"/>
        </w:rPr>
        <w:t>European Border Cities EGTC</w:t>
      </w:r>
      <w:r w:rsidRPr="00037C61">
        <w:rPr>
          <w:lang w:val="en-GB"/>
        </w:rPr>
        <w:t xml:space="preserve"> was founded in September 2014. The grouping has two founding members: the local authority of Nyíregyháza County (Hungary) and the municipal council of Satu Mare (Romania). </w:t>
      </w:r>
      <w:bookmarkStart w:id="832" w:name="_Toc53137219"/>
    </w:p>
    <w:p w14:paraId="23FEAAB5" w14:textId="3E90FD66" w:rsidR="00AB2C7D" w:rsidRPr="00037C61" w:rsidRDefault="00AB2C7D" w:rsidP="00D945F1">
      <w:pPr>
        <w:spacing w:line="257" w:lineRule="auto"/>
        <w:rPr>
          <w:lang w:val="en-GB"/>
        </w:rPr>
      </w:pPr>
    </w:p>
    <w:p w14:paraId="3B6CC4F4" w14:textId="1CF89B93" w:rsidR="00AB2C7D" w:rsidRPr="00037C61" w:rsidRDefault="00AB2C7D" w:rsidP="00AB2C7D">
      <w:pPr>
        <w:pStyle w:val="InterregROHUBullet1"/>
        <w:numPr>
          <w:ilvl w:val="0"/>
          <w:numId w:val="0"/>
        </w:numPr>
      </w:pPr>
    </w:p>
    <w:p w14:paraId="04D11287" w14:textId="00E3208C" w:rsidR="00565AE1" w:rsidRPr="00037C61" w:rsidRDefault="00DC79F0" w:rsidP="00E26DBC">
      <w:pPr>
        <w:rPr>
          <w:lang w:val="en-GB"/>
        </w:rPr>
        <w:sectPr w:rsidR="00565AE1" w:rsidRPr="00037C61" w:rsidSect="009804B7">
          <w:headerReference w:type="default" r:id="rId285"/>
          <w:footerReference w:type="first" r:id="rId286"/>
          <w:pgSz w:w="11906" w:h="16838"/>
          <w:pgMar w:top="1713" w:right="1440" w:bottom="1440" w:left="1440" w:header="708" w:footer="828" w:gutter="0"/>
          <w:cols w:space="708"/>
          <w:docGrid w:linePitch="360"/>
        </w:sectPr>
      </w:pPr>
      <w:r w:rsidRPr="00037C61">
        <w:rPr>
          <w:lang w:val="en-GB"/>
        </w:rPr>
        <w:br w:type="page"/>
      </w:r>
      <w:bookmarkEnd w:id="832"/>
    </w:p>
    <w:p w14:paraId="023755F8" w14:textId="41D24293" w:rsidR="00DC79F0" w:rsidRPr="00037C61" w:rsidRDefault="00565AE1" w:rsidP="00DC79F0">
      <w:pPr>
        <w:pStyle w:val="Heading3"/>
      </w:pPr>
      <w:bookmarkStart w:id="833" w:name="_Toc64619562"/>
      <w:bookmarkStart w:id="834" w:name="_Toc53137224"/>
      <w:r w:rsidRPr="00037C61">
        <w:lastRenderedPageBreak/>
        <w:t>SWOT analysis</w:t>
      </w:r>
      <w:r w:rsidR="00DC79F0" w:rsidRPr="00037C61">
        <w:t xml:space="preserve">: </w:t>
      </w:r>
      <w:bookmarkStart w:id="835" w:name="_Toc50723349"/>
      <w:bookmarkStart w:id="836" w:name="_Hlk52809792"/>
      <w:r w:rsidR="00DC79F0" w:rsidRPr="00037C61">
        <w:t>Governance</w:t>
      </w:r>
      <w:r w:rsidR="00865211" w:rsidRPr="00037C61">
        <w:t xml:space="preserve"> and</w:t>
      </w:r>
      <w:r w:rsidR="00DC79F0" w:rsidRPr="00037C61">
        <w:t xml:space="preserve"> relational capital</w:t>
      </w:r>
      <w:bookmarkEnd w:id="833"/>
      <w:bookmarkEnd w:id="835"/>
      <w:r w:rsidR="00DC79F0" w:rsidRPr="00037C61">
        <w:t xml:space="preserve"> </w:t>
      </w:r>
    </w:p>
    <w:tbl>
      <w:tblPr>
        <w:tblStyle w:val="ListTable3-Accent11"/>
        <w:tblW w:w="15168" w:type="dxa"/>
        <w:tblInd w:w="-714" w:type="dxa"/>
        <w:tblLayout w:type="fixed"/>
        <w:tblLook w:val="04A0" w:firstRow="1" w:lastRow="0" w:firstColumn="1" w:lastColumn="0" w:noHBand="0" w:noVBand="1"/>
      </w:tblPr>
      <w:tblGrid>
        <w:gridCol w:w="4111"/>
        <w:gridCol w:w="4111"/>
        <w:gridCol w:w="3974"/>
        <w:gridCol w:w="2972"/>
      </w:tblGrid>
      <w:tr w:rsidR="00476743" w:rsidRPr="00037C61" w14:paraId="4014B058" w14:textId="77777777" w:rsidTr="00DF09D9">
        <w:trPr>
          <w:cnfStyle w:val="100000000000" w:firstRow="1" w:lastRow="0" w:firstColumn="0" w:lastColumn="0" w:oddVBand="0" w:evenVBand="0" w:oddHBand="0" w:evenHBand="0" w:firstRowFirstColumn="0" w:firstRowLastColumn="0" w:lastRowFirstColumn="0" w:lastRowLastColumn="0"/>
          <w:trHeight w:val="271"/>
          <w:tblHeader/>
        </w:trPr>
        <w:tc>
          <w:tcPr>
            <w:cnfStyle w:val="001000000100" w:firstRow="0" w:lastRow="0" w:firstColumn="1" w:lastColumn="0" w:oddVBand="0" w:evenVBand="0" w:oddHBand="0" w:evenHBand="0" w:firstRowFirstColumn="1" w:firstRowLastColumn="0" w:lastRowFirstColumn="0" w:lastRowLastColumn="0"/>
            <w:tcW w:w="4111" w:type="dxa"/>
          </w:tcPr>
          <w:bookmarkEnd w:id="834"/>
          <w:bookmarkEnd w:id="836"/>
          <w:p w14:paraId="53DDE341" w14:textId="77777777" w:rsidR="00476743" w:rsidRPr="00037C61" w:rsidRDefault="00476743" w:rsidP="00476743">
            <w:pPr>
              <w:pBdr>
                <w:top w:val="nil"/>
                <w:left w:val="nil"/>
                <w:bottom w:val="nil"/>
                <w:right w:val="nil"/>
                <w:between w:val="nil"/>
              </w:pBdr>
              <w:jc w:val="center"/>
              <w:rPr>
                <w:rFonts w:ascii="Times New Roman" w:eastAsia="Times New Roman" w:hAnsi="Times New Roman" w:cs="Times New Roman"/>
                <w:b w:val="0"/>
                <w:bCs w:val="0"/>
                <w:sz w:val="24"/>
                <w:szCs w:val="24"/>
                <w:lang w:val="en-GB"/>
              </w:rPr>
            </w:pPr>
            <w:r w:rsidRPr="00037C61">
              <w:rPr>
                <w:rFonts w:eastAsia="Calibri" w:cs="Calibri"/>
                <w:b w:val="0"/>
                <w:bCs w:val="0"/>
                <w:sz w:val="18"/>
                <w:szCs w:val="18"/>
                <w:lang w:val="en-GB"/>
              </w:rPr>
              <w:t>Strengths</w:t>
            </w:r>
          </w:p>
        </w:tc>
        <w:tc>
          <w:tcPr>
            <w:tcW w:w="4111" w:type="dxa"/>
          </w:tcPr>
          <w:p w14:paraId="0264107B" w14:textId="77777777" w:rsidR="00476743" w:rsidRPr="00037C61" w:rsidRDefault="00476743" w:rsidP="00476743">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en-GB"/>
              </w:rPr>
            </w:pPr>
            <w:r w:rsidRPr="00037C61">
              <w:rPr>
                <w:rFonts w:eastAsia="Calibri" w:cs="Calibri"/>
                <w:b w:val="0"/>
                <w:bCs w:val="0"/>
                <w:sz w:val="18"/>
                <w:szCs w:val="18"/>
                <w:lang w:val="en-GB"/>
              </w:rPr>
              <w:t>Weaknesses</w:t>
            </w:r>
          </w:p>
        </w:tc>
        <w:tc>
          <w:tcPr>
            <w:tcW w:w="3974" w:type="dxa"/>
          </w:tcPr>
          <w:p w14:paraId="53D8E652" w14:textId="77777777" w:rsidR="00476743" w:rsidRPr="00037C61" w:rsidRDefault="00476743" w:rsidP="00476743">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en-GB"/>
              </w:rPr>
            </w:pPr>
            <w:r w:rsidRPr="00037C61">
              <w:rPr>
                <w:rFonts w:eastAsia="Calibri" w:cs="Calibri"/>
                <w:b w:val="0"/>
                <w:bCs w:val="0"/>
                <w:sz w:val="18"/>
                <w:szCs w:val="18"/>
                <w:lang w:val="en-GB"/>
              </w:rPr>
              <w:t>Opportunities</w:t>
            </w:r>
          </w:p>
        </w:tc>
        <w:tc>
          <w:tcPr>
            <w:tcW w:w="2972" w:type="dxa"/>
          </w:tcPr>
          <w:p w14:paraId="4308B501" w14:textId="77777777" w:rsidR="00476743" w:rsidRPr="00037C61" w:rsidRDefault="00476743" w:rsidP="00476743">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en-GB"/>
              </w:rPr>
            </w:pPr>
            <w:r w:rsidRPr="00037C61">
              <w:rPr>
                <w:rFonts w:eastAsia="Calibri" w:cs="Calibri"/>
                <w:b w:val="0"/>
                <w:bCs w:val="0"/>
                <w:sz w:val="18"/>
                <w:szCs w:val="18"/>
                <w:lang w:val="en-GB"/>
              </w:rPr>
              <w:t>Threats</w:t>
            </w:r>
          </w:p>
        </w:tc>
      </w:tr>
      <w:tr w:rsidR="00476743" w:rsidRPr="004A5488" w14:paraId="5DCB2A88" w14:textId="77777777" w:rsidTr="00DF09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74BDF6A8" w14:textId="77777777" w:rsidR="00476743" w:rsidRPr="00037C61" w:rsidRDefault="00476743" w:rsidP="00014AA0">
            <w:pPr>
              <w:numPr>
                <w:ilvl w:val="0"/>
                <w:numId w:val="12"/>
              </w:numPr>
              <w:pBdr>
                <w:top w:val="nil"/>
                <w:left w:val="nil"/>
                <w:bottom w:val="nil"/>
                <w:right w:val="nil"/>
                <w:between w:val="nil"/>
              </w:pBdr>
              <w:spacing w:after="240"/>
              <w:ind w:left="306"/>
              <w:rPr>
                <w:b w:val="0"/>
                <w:bCs w:val="0"/>
                <w:sz w:val="20"/>
                <w:szCs w:val="20"/>
                <w:lang w:val="en-GB"/>
              </w:rPr>
            </w:pPr>
            <w:r w:rsidRPr="00037C61">
              <w:rPr>
                <w:rFonts w:eastAsia="Calibri" w:cs="Calibri"/>
                <w:b w:val="0"/>
                <w:bCs w:val="0"/>
                <w:color w:val="000000"/>
                <w:sz w:val="20"/>
                <w:szCs w:val="20"/>
                <w:lang w:val="en-GB"/>
              </w:rPr>
              <w:t>Commonalities in the way the multi-level administrative structure of the two states is organized, where NUTS 3 and LAU 2 levels are the most relevant in terms of competencies for local development.</w:t>
            </w:r>
          </w:p>
          <w:p w14:paraId="36AC914E" w14:textId="592802D7" w:rsidR="00476743" w:rsidRPr="00037C61" w:rsidRDefault="1838CBA4" w:rsidP="00014AA0">
            <w:pPr>
              <w:numPr>
                <w:ilvl w:val="0"/>
                <w:numId w:val="12"/>
              </w:numPr>
              <w:pBdr>
                <w:top w:val="nil"/>
                <w:left w:val="nil"/>
                <w:bottom w:val="nil"/>
                <w:right w:val="nil"/>
                <w:between w:val="nil"/>
              </w:pBdr>
              <w:spacing w:after="240"/>
              <w:ind w:left="306"/>
              <w:rPr>
                <w:b w:val="0"/>
                <w:bCs w:val="0"/>
                <w:sz w:val="20"/>
                <w:szCs w:val="20"/>
                <w:lang w:val="en-GB"/>
              </w:rPr>
            </w:pPr>
            <w:r w:rsidRPr="00037C61">
              <w:rPr>
                <w:b w:val="0"/>
                <w:bCs w:val="0"/>
                <w:sz w:val="20"/>
                <w:szCs w:val="20"/>
                <w:lang w:val="en-GB"/>
              </w:rPr>
              <w:t>Local LAU 2 level competencies overlap to a large degree between Romania and Hungary</w:t>
            </w:r>
            <w:r w:rsidR="57F33ED6" w:rsidRPr="00037C61">
              <w:rPr>
                <w:b w:val="0"/>
                <w:bCs w:val="0"/>
                <w:sz w:val="20"/>
                <w:szCs w:val="20"/>
                <w:lang w:val="en-GB"/>
              </w:rPr>
              <w:t>.</w:t>
            </w:r>
            <w:r w:rsidRPr="00037C61">
              <w:rPr>
                <w:b w:val="0"/>
                <w:bCs w:val="0"/>
                <w:sz w:val="20"/>
                <w:szCs w:val="20"/>
                <w:lang w:val="en-GB"/>
              </w:rPr>
              <w:t xml:space="preserve"> </w:t>
            </w:r>
          </w:p>
          <w:p w14:paraId="154F23FF" w14:textId="6F01DF20" w:rsidR="00476743" w:rsidRPr="00DF09D9" w:rsidRDefault="1838CBA4" w:rsidP="00014AA0">
            <w:pPr>
              <w:numPr>
                <w:ilvl w:val="0"/>
                <w:numId w:val="12"/>
              </w:numPr>
              <w:pBdr>
                <w:top w:val="nil"/>
                <w:left w:val="nil"/>
                <w:bottom w:val="nil"/>
                <w:right w:val="nil"/>
                <w:between w:val="nil"/>
              </w:pBdr>
              <w:spacing w:after="240"/>
              <w:ind w:left="306"/>
              <w:rPr>
                <w:b w:val="0"/>
                <w:bCs w:val="0"/>
                <w:sz w:val="20"/>
                <w:szCs w:val="20"/>
                <w:lang w:val="en-GB"/>
              </w:rPr>
            </w:pPr>
            <w:r w:rsidRPr="00037C61">
              <w:rPr>
                <w:b w:val="0"/>
                <w:bCs w:val="0"/>
                <w:sz w:val="20"/>
                <w:szCs w:val="20"/>
                <w:lang w:val="en-GB"/>
              </w:rPr>
              <w:t xml:space="preserve">Similar </w:t>
            </w:r>
            <w:r w:rsidRPr="00DF09D9">
              <w:rPr>
                <w:b w:val="0"/>
                <w:bCs w:val="0"/>
                <w:sz w:val="20"/>
                <w:szCs w:val="20"/>
                <w:lang w:val="en-GB"/>
              </w:rPr>
              <w:t xml:space="preserve">mandated competences at NUTS 3, county level in the PA countries. </w:t>
            </w:r>
          </w:p>
          <w:p w14:paraId="1824AC21" w14:textId="0BB36FC7" w:rsidR="00476743" w:rsidRPr="00DB74BF" w:rsidRDefault="00476743" w:rsidP="00014AA0">
            <w:pPr>
              <w:numPr>
                <w:ilvl w:val="0"/>
                <w:numId w:val="12"/>
              </w:numPr>
              <w:pBdr>
                <w:top w:val="nil"/>
                <w:left w:val="nil"/>
                <w:bottom w:val="nil"/>
                <w:right w:val="nil"/>
                <w:between w:val="nil"/>
              </w:pBdr>
              <w:spacing w:after="240"/>
              <w:ind w:left="306"/>
              <w:rPr>
                <w:b w:val="0"/>
                <w:bCs w:val="0"/>
                <w:sz w:val="20"/>
                <w:szCs w:val="20"/>
                <w:lang w:val="en-GB"/>
              </w:rPr>
            </w:pPr>
            <w:r w:rsidRPr="00DF09D9">
              <w:rPr>
                <w:rFonts w:eastAsia="Calibri" w:cs="Calibri"/>
                <w:b w:val="0"/>
                <w:bCs w:val="0"/>
                <w:color w:val="000000"/>
                <w:sz w:val="20"/>
                <w:szCs w:val="20"/>
                <w:lang w:val="en-GB"/>
              </w:rPr>
              <w:t>Similarity in the implementation of vertical governance coordination, with the use of public authority associations and federations (such</w:t>
            </w:r>
            <w:r w:rsidRPr="00037C61">
              <w:rPr>
                <w:rFonts w:eastAsia="Calibri" w:cs="Calibri"/>
                <w:b w:val="0"/>
                <w:bCs w:val="0"/>
                <w:color w:val="000000"/>
                <w:sz w:val="20"/>
                <w:szCs w:val="20"/>
                <w:lang w:val="en-GB"/>
              </w:rPr>
              <w:t xml:space="preserve"> as national associations of municipalities and cities), which are endowed with levers to become involved to a large degree in promoting local development.</w:t>
            </w:r>
          </w:p>
          <w:p w14:paraId="7DD3D060" w14:textId="399E244D" w:rsidR="008A0E47" w:rsidRPr="00037C61" w:rsidRDefault="008A0E47" w:rsidP="00014AA0">
            <w:pPr>
              <w:numPr>
                <w:ilvl w:val="0"/>
                <w:numId w:val="12"/>
              </w:numPr>
              <w:pBdr>
                <w:top w:val="nil"/>
                <w:left w:val="nil"/>
                <w:bottom w:val="nil"/>
                <w:right w:val="nil"/>
                <w:between w:val="nil"/>
              </w:pBdr>
              <w:spacing w:after="240"/>
              <w:ind w:left="306"/>
              <w:rPr>
                <w:b w:val="0"/>
                <w:bCs w:val="0"/>
                <w:sz w:val="20"/>
                <w:szCs w:val="20"/>
                <w:lang w:val="en-GB"/>
              </w:rPr>
            </w:pPr>
            <w:r>
              <w:rPr>
                <w:b w:val="0"/>
                <w:bCs w:val="0"/>
                <w:sz w:val="20"/>
                <w:szCs w:val="20"/>
                <w:lang w:val="en-GB"/>
              </w:rPr>
              <w:t>M</w:t>
            </w:r>
            <w:r w:rsidRPr="008A0E47">
              <w:rPr>
                <w:b w:val="0"/>
                <w:bCs w:val="0"/>
                <w:sz w:val="20"/>
                <w:szCs w:val="20"/>
                <w:lang w:val="en-GB"/>
              </w:rPr>
              <w:t xml:space="preserve">ain task of the Hungarian county self-governments located in the program area is to participate in the implementation of the tasks related to spatial planning and regional development and the related county operational programs. For this reason, county self-governments are up-to-date with regard to the development ideas of the settlements located in the county, so that county self-governments can effectively </w:t>
            </w:r>
            <w:r w:rsidRPr="008A0E47">
              <w:rPr>
                <w:b w:val="0"/>
                <w:bCs w:val="0"/>
                <w:sz w:val="20"/>
                <w:szCs w:val="20"/>
                <w:lang w:val="en-GB"/>
              </w:rPr>
              <w:lastRenderedPageBreak/>
              <w:t>represent the county territorial aspect in the planning process.</w:t>
            </w:r>
          </w:p>
          <w:p w14:paraId="51EC3432" w14:textId="77777777" w:rsidR="00476743" w:rsidRPr="00037C61" w:rsidRDefault="00476743" w:rsidP="00014AA0">
            <w:pPr>
              <w:numPr>
                <w:ilvl w:val="0"/>
                <w:numId w:val="12"/>
              </w:numPr>
              <w:pBdr>
                <w:top w:val="nil"/>
                <w:left w:val="nil"/>
                <w:bottom w:val="nil"/>
                <w:right w:val="nil"/>
                <w:between w:val="nil"/>
              </w:pBdr>
              <w:spacing w:after="240"/>
              <w:ind w:left="306"/>
              <w:rPr>
                <w:b w:val="0"/>
                <w:bCs w:val="0"/>
                <w:sz w:val="20"/>
                <w:szCs w:val="20"/>
                <w:lang w:val="en-GB"/>
              </w:rPr>
            </w:pPr>
            <w:r w:rsidRPr="00037C61">
              <w:rPr>
                <w:rFonts w:eastAsia="Calibri" w:cs="Calibri"/>
                <w:b w:val="0"/>
                <w:bCs w:val="0"/>
                <w:color w:val="000000"/>
                <w:sz w:val="20"/>
                <w:szCs w:val="20"/>
                <w:lang w:val="en-GB"/>
              </w:rPr>
              <w:t>Both Hungary and Romania rank in the Very High EGDI Group (UN, 2020), while Romania ranks very high for e-Participation, and Hungary ranks high for the year 2019.</w:t>
            </w:r>
          </w:p>
          <w:p w14:paraId="6D9B4392" w14:textId="14D84FD8" w:rsidR="00476743" w:rsidRPr="004547D1" w:rsidRDefault="00476743" w:rsidP="00014AA0">
            <w:pPr>
              <w:numPr>
                <w:ilvl w:val="0"/>
                <w:numId w:val="12"/>
              </w:numPr>
              <w:pBdr>
                <w:top w:val="nil"/>
                <w:left w:val="nil"/>
                <w:bottom w:val="nil"/>
                <w:right w:val="nil"/>
                <w:between w:val="nil"/>
              </w:pBdr>
              <w:spacing w:after="240"/>
              <w:ind w:left="306"/>
              <w:rPr>
                <w:b w:val="0"/>
                <w:bCs w:val="0"/>
                <w:sz w:val="20"/>
                <w:szCs w:val="20"/>
                <w:lang w:val="en-GB"/>
              </w:rPr>
            </w:pPr>
            <w:r w:rsidRPr="00037C61">
              <w:rPr>
                <w:rFonts w:eastAsia="Calibri" w:cs="Calibri"/>
                <w:b w:val="0"/>
                <w:bCs w:val="0"/>
                <w:color w:val="000000"/>
                <w:sz w:val="20"/>
                <w:szCs w:val="20"/>
                <w:lang w:val="en-GB"/>
              </w:rPr>
              <w:t>Long history of informal cooperation, or expressed willingness for cooperation, through twinning initiatives and the constitution of Euroregions going back almost 30 years (Carpathian Euroregion, est. 1993).</w:t>
            </w:r>
          </w:p>
          <w:p w14:paraId="6148D750" w14:textId="33C4416A" w:rsidR="004547D1" w:rsidRPr="00DF09D9" w:rsidRDefault="004547D1" w:rsidP="004547D1">
            <w:pPr>
              <w:numPr>
                <w:ilvl w:val="0"/>
                <w:numId w:val="12"/>
              </w:numPr>
              <w:pBdr>
                <w:top w:val="nil"/>
                <w:left w:val="nil"/>
                <w:bottom w:val="nil"/>
                <w:right w:val="nil"/>
                <w:between w:val="nil"/>
              </w:pBdr>
              <w:spacing w:after="240"/>
              <w:ind w:left="306"/>
              <w:rPr>
                <w:rFonts w:asciiTheme="minorHAnsi" w:eastAsiaTheme="minorEastAsia" w:hAnsiTheme="minorHAnsi"/>
                <w:b w:val="0"/>
                <w:bCs w:val="0"/>
                <w:color w:val="000000" w:themeColor="text1"/>
                <w:sz w:val="20"/>
                <w:szCs w:val="20"/>
                <w:lang w:val="en-GB"/>
              </w:rPr>
            </w:pPr>
            <w:r w:rsidRPr="00DF09D9">
              <w:rPr>
                <w:rFonts w:eastAsia="Calibri" w:cs="Calibri"/>
                <w:b w:val="0"/>
                <w:bCs w:val="0"/>
                <w:color w:val="000000" w:themeColor="text1"/>
                <w:sz w:val="20"/>
                <w:szCs w:val="20"/>
                <w:lang w:val="en-GB"/>
              </w:rPr>
              <w:t>Well represented civil society (NGOs) in the most important sectors of society: social, environmental, he</w:t>
            </w:r>
            <w:r w:rsidR="00061D96" w:rsidRPr="00DF09D9">
              <w:rPr>
                <w:rFonts w:eastAsia="Calibri" w:cs="Calibri"/>
                <w:b w:val="0"/>
                <w:bCs w:val="0"/>
                <w:color w:val="000000" w:themeColor="text1"/>
                <w:sz w:val="20"/>
                <w:szCs w:val="20"/>
                <w:lang w:val="en-GB"/>
              </w:rPr>
              <w:t>a</w:t>
            </w:r>
            <w:r w:rsidRPr="00DF09D9">
              <w:rPr>
                <w:rFonts w:eastAsia="Calibri" w:cs="Calibri"/>
                <w:b w:val="0"/>
                <w:bCs w:val="0"/>
                <w:color w:val="000000" w:themeColor="text1"/>
                <w:sz w:val="20"/>
                <w:szCs w:val="20"/>
                <w:lang w:val="en-GB"/>
              </w:rPr>
              <w:t xml:space="preserve">lth, education, civil rights, culture, business promotion; in both sides of the border. </w:t>
            </w:r>
          </w:p>
          <w:p w14:paraId="615761D4" w14:textId="77777777" w:rsidR="00476743" w:rsidRPr="00DB74BF" w:rsidRDefault="00C76E40" w:rsidP="000930DD">
            <w:pPr>
              <w:numPr>
                <w:ilvl w:val="0"/>
                <w:numId w:val="12"/>
              </w:numPr>
              <w:pBdr>
                <w:top w:val="nil"/>
                <w:left w:val="nil"/>
                <w:bottom w:val="nil"/>
                <w:right w:val="nil"/>
                <w:between w:val="nil"/>
              </w:pBdr>
              <w:spacing w:after="240"/>
              <w:ind w:left="306"/>
              <w:rPr>
                <w:b w:val="0"/>
                <w:bCs w:val="0"/>
                <w:sz w:val="20"/>
                <w:szCs w:val="20"/>
                <w:lang w:val="en-GB"/>
              </w:rPr>
            </w:pPr>
            <w:r w:rsidRPr="00DF09D9">
              <w:rPr>
                <w:rFonts w:eastAsia="Calibri" w:cs="Calibri"/>
                <w:b w:val="0"/>
                <w:bCs w:val="0"/>
                <w:color w:val="000000" w:themeColor="text1"/>
                <w:sz w:val="20"/>
                <w:szCs w:val="20"/>
                <w:lang w:val="en-GB"/>
              </w:rPr>
              <w:t>Existence of informal</w:t>
            </w:r>
            <w:r w:rsidRPr="00DB74BF">
              <w:rPr>
                <w:rFonts w:eastAsia="Calibri" w:cs="Calibri"/>
                <w:b w:val="0"/>
                <w:bCs w:val="0"/>
                <w:color w:val="000000" w:themeColor="text1"/>
                <w:sz w:val="20"/>
                <w:szCs w:val="20"/>
                <w:lang w:val="en-GB"/>
              </w:rPr>
              <w:t xml:space="preserve"> and associative cooperation structures across the border in the forms of Euroregions and EGTCs</w:t>
            </w:r>
          </w:p>
          <w:p w14:paraId="787C16F8" w14:textId="7AC6AAB2" w:rsidR="00200201" w:rsidRPr="00C76E40" w:rsidRDefault="00200201" w:rsidP="00DB74BF">
            <w:pPr>
              <w:numPr>
                <w:ilvl w:val="0"/>
                <w:numId w:val="12"/>
              </w:numPr>
              <w:pBdr>
                <w:top w:val="nil"/>
                <w:left w:val="nil"/>
                <w:bottom w:val="nil"/>
                <w:right w:val="nil"/>
                <w:between w:val="nil"/>
              </w:pBdr>
              <w:spacing w:after="240"/>
              <w:ind w:left="306"/>
              <w:rPr>
                <w:b w:val="0"/>
                <w:bCs w:val="0"/>
                <w:sz w:val="20"/>
                <w:szCs w:val="20"/>
                <w:lang w:val="en-GB"/>
              </w:rPr>
            </w:pPr>
            <w:r>
              <w:rPr>
                <w:b w:val="0"/>
                <w:bCs w:val="0"/>
                <w:sz w:val="20"/>
                <w:szCs w:val="20"/>
                <w:lang w:val="en-GB"/>
              </w:rPr>
              <w:t>T</w:t>
            </w:r>
            <w:r w:rsidRPr="00200201">
              <w:rPr>
                <w:b w:val="0"/>
                <w:bCs w:val="0"/>
                <w:sz w:val="20"/>
                <w:szCs w:val="20"/>
                <w:lang w:val="en-GB"/>
              </w:rPr>
              <w:t>he spatial development experience gained during the 2014-2020 programming period predestines the actors of the border region to effectively represent the region in the 2021-2027 planning period on the basis of real cross-border spatial development aspects.</w:t>
            </w:r>
          </w:p>
        </w:tc>
        <w:tc>
          <w:tcPr>
            <w:tcW w:w="4111" w:type="dxa"/>
          </w:tcPr>
          <w:p w14:paraId="4B8A2DB1" w14:textId="77777777"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sz w:val="20"/>
                <w:szCs w:val="20"/>
                <w:lang w:val="en-GB"/>
              </w:rPr>
              <w:lastRenderedPageBreak/>
              <w:t>Generally high level of territorial fragmentation at administrative unit level (albeit the border area in Hungary is less fragmented than the national average).</w:t>
            </w:r>
          </w:p>
          <w:p w14:paraId="0F07B40C" w14:textId="77777777"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sz w:val="20"/>
                <w:szCs w:val="20"/>
                <w:lang w:val="en-GB"/>
              </w:rPr>
              <w:t>Although the countries have a similar administrative structure, the local level is more empowered with competencies in Romania, which leads to some disparities in the region especially in relation to budget availability for projects’ co-funding and previous experience in managing EU funds.</w:t>
            </w:r>
          </w:p>
          <w:p w14:paraId="3592F48C" w14:textId="3D3A70C8" w:rsidR="00476743" w:rsidRPr="00037C61" w:rsidRDefault="66AAA297" w:rsidP="74CEAA85">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Larger rural areas (such as parts of Arad, Bihor, Hajd</w:t>
            </w:r>
            <w:r w:rsidR="4E661704" w:rsidRPr="00037C61">
              <w:rPr>
                <w:rFonts w:eastAsia="Calibri" w:cs="Calibri"/>
                <w:color w:val="000000" w:themeColor="text1"/>
                <w:sz w:val="20"/>
                <w:szCs w:val="20"/>
                <w:lang w:val="en-GB"/>
              </w:rPr>
              <w:t>ú</w:t>
            </w:r>
            <w:r w:rsidRPr="00037C61">
              <w:rPr>
                <w:rFonts w:eastAsia="Calibri" w:cs="Calibri"/>
                <w:color w:val="000000" w:themeColor="text1"/>
                <w:sz w:val="20"/>
                <w:szCs w:val="20"/>
                <w:lang w:val="en-GB"/>
              </w:rPr>
              <w:t>-Bihar counties) may face reduced administrative capacity and/or resources for implementing cooperation.</w:t>
            </w:r>
          </w:p>
          <w:p w14:paraId="61BC5D93" w14:textId="429A3E33" w:rsidR="00476743" w:rsidRPr="00037C61" w:rsidRDefault="66AAA297"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themeColor="text1"/>
                <w:sz w:val="20"/>
                <w:szCs w:val="20"/>
                <w:lang w:val="en-GB"/>
              </w:rPr>
              <w:t>Quality of Government Index performance on the lower comparative scale with the rest of Europe, for all NUTS 2 regions involved (places 155-193/202, 2017) - a lagging region, especially in terms of quality of government services, with existing disparities between the Hungarian regions and the Romanian ones.</w:t>
            </w:r>
          </w:p>
          <w:p w14:paraId="125EAB85" w14:textId="77777777"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sz w:val="20"/>
                <w:szCs w:val="20"/>
                <w:lang w:val="en-GB"/>
              </w:rPr>
              <w:t>Differences in levels of subnational spending and capacity of health and education provision may hinder cooperation initiatives.</w:t>
            </w:r>
          </w:p>
          <w:p w14:paraId="54E6BBFF" w14:textId="1E42DF19" w:rsidR="00476743" w:rsidRPr="00037C61" w:rsidRDefault="1838CBA4"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themeColor="text1"/>
                <w:sz w:val="20"/>
                <w:szCs w:val="20"/>
                <w:lang w:val="en-GB"/>
              </w:rPr>
              <w:lastRenderedPageBreak/>
              <w:t xml:space="preserve">Intercommunity and voluntary associations </w:t>
            </w:r>
            <w:r w:rsidR="6F53ED43" w:rsidRPr="00037C61">
              <w:rPr>
                <w:rFonts w:eastAsia="Calibri" w:cs="Calibri"/>
                <w:color w:val="000000" w:themeColor="text1"/>
                <w:sz w:val="20"/>
                <w:szCs w:val="20"/>
                <w:lang w:val="en-GB"/>
              </w:rPr>
              <w:t xml:space="preserve">of public administrations </w:t>
            </w:r>
            <w:r w:rsidRPr="00037C61">
              <w:rPr>
                <w:rFonts w:eastAsia="Calibri" w:cs="Calibri"/>
                <w:color w:val="000000" w:themeColor="text1"/>
                <w:sz w:val="20"/>
                <w:szCs w:val="20"/>
                <w:lang w:val="en-GB"/>
              </w:rPr>
              <w:t>are dependent from bottom-up financing</w:t>
            </w:r>
            <w:r w:rsidR="54D9C238" w:rsidRPr="00037C61">
              <w:rPr>
                <w:rFonts w:eastAsia="Calibri" w:cs="Calibri"/>
                <w:color w:val="000000" w:themeColor="text1"/>
                <w:sz w:val="20"/>
                <w:szCs w:val="20"/>
                <w:lang w:val="en-GB"/>
              </w:rPr>
              <w:t>.</w:t>
            </w:r>
          </w:p>
          <w:p w14:paraId="32C705B2" w14:textId="77777777"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sz w:val="20"/>
                <w:szCs w:val="20"/>
                <w:lang w:val="en-GB"/>
              </w:rPr>
              <w:t>Significant disparities between Hungary and Romania in what concerns the use of internet for public authority interaction (at national level), with Romanian citizens interacting 4 to 6 times less for various tasks.</w:t>
            </w:r>
          </w:p>
          <w:p w14:paraId="18325243" w14:textId="77777777"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sz w:val="20"/>
                <w:szCs w:val="20"/>
                <w:lang w:val="en-GB"/>
              </w:rPr>
              <w:t>Lagging region in terms of government e-services user centricity, leaving room for improvement especially in service delivery according to the DG-CNECT (timing of delivery, service progress and service performance).</w:t>
            </w:r>
          </w:p>
          <w:p w14:paraId="5D8A8A96" w14:textId="77777777"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themeColor="text1"/>
                <w:sz w:val="20"/>
                <w:szCs w:val="20"/>
                <w:lang w:val="en-GB"/>
              </w:rPr>
              <w:t>Very low eGovernment services for businesses in Romania, and low eGovernment services for citizens in Hungary.</w:t>
            </w:r>
          </w:p>
          <w:p w14:paraId="5A9E6A3B" w14:textId="4B115BE8" w:rsidR="004547D1" w:rsidRPr="00DB74BF" w:rsidRDefault="00C76E40" w:rsidP="004547D1">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olor w:val="000000" w:themeColor="text1"/>
                <w:sz w:val="20"/>
                <w:szCs w:val="20"/>
                <w:lang w:val="en-GB"/>
              </w:rPr>
            </w:pPr>
            <w:r>
              <w:rPr>
                <w:rFonts w:eastAsia="Calibri" w:cs="Calibri"/>
                <w:color w:val="000000" w:themeColor="text1"/>
                <w:sz w:val="20"/>
                <w:szCs w:val="20"/>
                <w:lang w:val="en-GB"/>
              </w:rPr>
              <w:t xml:space="preserve">Euroregions and EGTCs have </w:t>
            </w:r>
            <w:r w:rsidR="1838CBA4" w:rsidRPr="00037C61">
              <w:rPr>
                <w:rFonts w:eastAsia="Calibri" w:cs="Calibri"/>
                <w:color w:val="000000" w:themeColor="text1"/>
                <w:sz w:val="20"/>
                <w:szCs w:val="20"/>
                <w:lang w:val="en-GB"/>
              </w:rPr>
              <w:t>diverse financial and human capacities</w:t>
            </w:r>
            <w:r w:rsidR="6F53ED43" w:rsidRPr="00037C61">
              <w:rPr>
                <w:rFonts w:eastAsia="Calibri" w:cs="Calibri"/>
                <w:color w:val="000000" w:themeColor="text1"/>
                <w:sz w:val="20"/>
                <w:szCs w:val="20"/>
                <w:lang w:val="en-GB"/>
              </w:rPr>
              <w:t>,</w:t>
            </w:r>
            <w:r w:rsidR="1838CBA4" w:rsidRPr="00037C61">
              <w:rPr>
                <w:rFonts w:eastAsia="Calibri" w:cs="Calibri"/>
                <w:color w:val="000000" w:themeColor="text1"/>
                <w:sz w:val="20"/>
                <w:szCs w:val="20"/>
                <w:lang w:val="en-GB"/>
              </w:rPr>
              <w:t xml:space="preserve">: active cross-border bodies personnel range from 5 to 1 FTE, and average yearly total expenses from </w:t>
            </w:r>
            <w:r w:rsidR="0052081E" w:rsidRPr="0052081E">
              <w:rPr>
                <w:rFonts w:eastAsia="Calibri" w:cs="Calibri"/>
                <w:color w:val="000000" w:themeColor="text1"/>
                <w:sz w:val="20"/>
                <w:szCs w:val="20"/>
                <w:lang w:val="en-GB"/>
              </w:rPr>
              <w:t xml:space="preserve">257.685 </w:t>
            </w:r>
            <w:r w:rsidR="1838CBA4" w:rsidRPr="00037C61">
              <w:rPr>
                <w:rFonts w:eastAsia="Calibri" w:cs="Calibri"/>
                <w:color w:val="000000" w:themeColor="text1"/>
                <w:sz w:val="20"/>
                <w:szCs w:val="20"/>
                <w:lang w:val="en-GB"/>
              </w:rPr>
              <w:t>to 10,300 EUR (2011-2019).</w:t>
            </w:r>
          </w:p>
          <w:p w14:paraId="26F389D0" w14:textId="6F4B368B" w:rsidR="00EE6743" w:rsidRPr="004547D1" w:rsidRDefault="00EE6743" w:rsidP="004547D1">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olor w:val="000000" w:themeColor="text1"/>
                <w:sz w:val="20"/>
                <w:szCs w:val="20"/>
                <w:lang w:val="en-GB"/>
              </w:rPr>
            </w:pPr>
            <w:r>
              <w:rPr>
                <w:rFonts w:eastAsia="Calibri" w:cs="Calibri"/>
                <w:color w:val="000000" w:themeColor="text1"/>
                <w:sz w:val="20"/>
                <w:szCs w:val="20"/>
                <w:lang w:val="en-GB"/>
              </w:rPr>
              <w:t>Low capacities of Civil Society Organisations, mainly due to difficult access to stable sources of funding.</w:t>
            </w:r>
          </w:p>
        </w:tc>
        <w:tc>
          <w:tcPr>
            <w:tcW w:w="3974" w:type="dxa"/>
          </w:tcPr>
          <w:p w14:paraId="5886893B" w14:textId="0A11176D" w:rsidR="00FD2B99" w:rsidRDefault="00476743"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eastAsia="Calibri" w:cs="Calibri"/>
                <w:color w:val="000000"/>
                <w:sz w:val="20"/>
                <w:szCs w:val="20"/>
                <w:lang w:val="en-GB"/>
              </w:rPr>
            </w:pPr>
            <w:r w:rsidRPr="00037C61">
              <w:rPr>
                <w:rFonts w:eastAsia="Calibri" w:cs="Calibri"/>
                <w:color w:val="000000"/>
                <w:sz w:val="20"/>
                <w:szCs w:val="20"/>
                <w:lang w:val="en-GB"/>
              </w:rPr>
              <w:lastRenderedPageBreak/>
              <w:t>Create synergy in the region between the future Programme and other neighbour areas or EU MRS (ex: Strategy for the Danube Region)</w:t>
            </w:r>
            <w:r w:rsidR="00005ED2">
              <w:rPr>
                <w:rFonts w:eastAsia="Calibri" w:cs="Calibri"/>
                <w:color w:val="000000"/>
                <w:sz w:val="20"/>
                <w:szCs w:val="20"/>
                <w:lang w:val="en-GB"/>
              </w:rPr>
              <w:t>. In particular, e</w:t>
            </w:r>
            <w:r w:rsidR="00005ED2" w:rsidRPr="00005ED2">
              <w:rPr>
                <w:rFonts w:eastAsia="Calibri" w:cs="Calibri"/>
                <w:color w:val="000000"/>
                <w:sz w:val="20"/>
                <w:szCs w:val="20"/>
                <w:lang w:val="en-GB"/>
              </w:rPr>
              <w:t>mbedding of EUSDR priorities and capitalization of transnational project results on cross-border level</w:t>
            </w:r>
            <w:r w:rsidR="00005ED2">
              <w:rPr>
                <w:rFonts w:eastAsia="Calibri" w:cs="Calibri"/>
                <w:color w:val="000000"/>
                <w:sz w:val="20"/>
                <w:szCs w:val="20"/>
                <w:lang w:val="en-GB"/>
              </w:rPr>
              <w:t>.</w:t>
            </w:r>
          </w:p>
          <w:p w14:paraId="67FACAED" w14:textId="4CBC5F94" w:rsidR="00476743" w:rsidRPr="00037C61" w:rsidRDefault="00FD2B99"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eastAsia="Calibri" w:cs="Calibri"/>
                <w:color w:val="000000"/>
                <w:sz w:val="20"/>
                <w:szCs w:val="20"/>
                <w:lang w:val="en-GB"/>
              </w:rPr>
            </w:pPr>
            <w:r>
              <w:rPr>
                <w:rFonts w:eastAsia="Calibri" w:cs="Calibri"/>
                <w:color w:val="000000"/>
                <w:sz w:val="20"/>
                <w:szCs w:val="20"/>
                <w:lang w:val="en-GB"/>
              </w:rPr>
              <w:t xml:space="preserve">Create synergies and complementarities </w:t>
            </w:r>
            <w:r w:rsidR="00476743" w:rsidRPr="00037C61">
              <w:rPr>
                <w:rFonts w:eastAsia="Calibri" w:cs="Calibri"/>
                <w:color w:val="000000"/>
                <w:sz w:val="20"/>
                <w:szCs w:val="20"/>
                <w:lang w:val="en-GB"/>
              </w:rPr>
              <w:t>with other EU funds and programmes addressing administrative capacities of local public administrations, including as regards e-government services.</w:t>
            </w:r>
            <w:r w:rsidR="00005ED2">
              <w:rPr>
                <w:rFonts w:eastAsia="Calibri" w:cs="Calibri"/>
                <w:color w:val="000000"/>
                <w:sz w:val="20"/>
                <w:szCs w:val="20"/>
                <w:lang w:val="en-GB"/>
              </w:rPr>
              <w:t xml:space="preserve"> </w:t>
            </w:r>
          </w:p>
          <w:p w14:paraId="1B47C230" w14:textId="25717AFE" w:rsidR="00476743" w:rsidRPr="00037C61" w:rsidRDefault="00476743"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eastAsia="Calibri" w:cs="Calibri"/>
                <w:color w:val="000000"/>
                <w:sz w:val="20"/>
                <w:szCs w:val="20"/>
                <w:lang w:val="en-GB"/>
              </w:rPr>
            </w:pPr>
            <w:r w:rsidRPr="00037C61">
              <w:rPr>
                <w:sz w:val="20"/>
                <w:szCs w:val="20"/>
                <w:lang w:val="en-GB"/>
              </w:rPr>
              <w:t>Facilitate cooperation at LAU 2 level, where local policy competences do overlap in relation to service provision on the following common topics: Urban development, land use planning; Management of public and private domain (urban operations); Local public passenger transport; Local culture, sport, youth-related activities and services; Water supply, sewage and treatment of wastewater and pluvial waters; Primary, community healthcare and services provided in local public health units; Social services, welfare; Kindergarten services; other topics (touristic promotion, local economic promotion, participation in governance)</w:t>
            </w:r>
            <w:r w:rsidR="00061D96">
              <w:rPr>
                <w:sz w:val="20"/>
                <w:szCs w:val="20"/>
                <w:lang w:val="en-GB"/>
              </w:rPr>
              <w:t>,</w:t>
            </w:r>
            <w:r w:rsidRPr="00037C61">
              <w:rPr>
                <w:sz w:val="20"/>
                <w:szCs w:val="20"/>
                <w:lang w:val="en-GB"/>
              </w:rPr>
              <w:t>.</w:t>
            </w:r>
          </w:p>
          <w:p w14:paraId="0A2ED909" w14:textId="18CD30DE" w:rsidR="00476743" w:rsidRPr="00037C61" w:rsidRDefault="00476743"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eastAsia="Calibri" w:cs="Calibri"/>
                <w:color w:val="000000"/>
                <w:sz w:val="20"/>
                <w:szCs w:val="20"/>
                <w:lang w:val="en-GB"/>
              </w:rPr>
            </w:pPr>
            <w:r w:rsidRPr="00037C61">
              <w:rPr>
                <w:rFonts w:eastAsia="Calibri" w:cs="Calibri"/>
                <w:color w:val="000000"/>
                <w:sz w:val="20"/>
                <w:szCs w:val="20"/>
                <w:lang w:val="en-GB"/>
              </w:rPr>
              <w:lastRenderedPageBreak/>
              <w:t>Promoting continuity with the implementation of SUD through Integrated Territorial Programmes and Integrated Urban Development Strategies in all county seats / major urban centres, converging on 2014-2020 thematic objectives 4, 6 and 9 (which are consistent with the future programme’s concentration).</w:t>
            </w:r>
          </w:p>
          <w:p w14:paraId="4248E15F" w14:textId="7BC73C0A" w:rsidR="00476743" w:rsidRPr="00037C61" w:rsidRDefault="1838CBA4"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eastAsia="Calibri" w:cs="Calibri"/>
                <w:color w:val="000000"/>
                <w:sz w:val="20"/>
                <w:szCs w:val="20"/>
                <w:lang w:val="en-GB"/>
              </w:rPr>
            </w:pPr>
            <w:r w:rsidRPr="00037C61">
              <w:rPr>
                <w:rFonts w:eastAsia="Calibri" w:cs="Calibri"/>
                <w:color w:val="000000" w:themeColor="text1"/>
                <w:sz w:val="20"/>
                <w:szCs w:val="20"/>
                <w:lang w:val="en-GB"/>
              </w:rPr>
              <w:t>Apply good practices form other CBCs, in the context of the administrative framework of the Romania-Hungary</w:t>
            </w:r>
            <w:r w:rsidR="4FA68455" w:rsidRPr="00037C61">
              <w:rPr>
                <w:rFonts w:eastAsia="Calibri" w:cs="Calibri"/>
                <w:color w:val="000000" w:themeColor="text1"/>
                <w:sz w:val="20"/>
                <w:szCs w:val="20"/>
                <w:lang w:val="en-GB"/>
              </w:rPr>
              <w:t>.</w:t>
            </w:r>
            <w:r w:rsidRPr="00037C61">
              <w:rPr>
                <w:rFonts w:eastAsia="Calibri" w:cs="Calibri"/>
                <w:color w:val="000000" w:themeColor="text1"/>
                <w:sz w:val="20"/>
                <w:szCs w:val="20"/>
                <w:lang w:val="en-GB"/>
              </w:rPr>
              <w:t xml:space="preserve"> </w:t>
            </w:r>
          </w:p>
          <w:p w14:paraId="00FACEB6" w14:textId="77777777" w:rsidR="00476743" w:rsidRPr="00037C61" w:rsidRDefault="00476743"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eastAsia="Calibri" w:cs="Calibri"/>
                <w:color w:val="000000"/>
                <w:sz w:val="20"/>
                <w:szCs w:val="20"/>
                <w:lang w:val="en-GB"/>
              </w:rPr>
            </w:pPr>
            <w:r w:rsidRPr="00037C61">
              <w:rPr>
                <w:rFonts w:eastAsia="Calibri" w:cs="Calibri"/>
                <w:color w:val="000000" w:themeColor="text1"/>
                <w:sz w:val="20"/>
                <w:szCs w:val="20"/>
                <w:lang w:val="en-GB"/>
              </w:rPr>
              <w:t>Existence of dedicated Covid-19 information portals, e-services, tools put in place by the EC which can be used by the national and local governments in the programming area for accelerating digital transition of eGovernment services for health, education, social protection, participation, and other relevant topics.</w:t>
            </w:r>
          </w:p>
          <w:p w14:paraId="48B1D45B" w14:textId="77777777" w:rsidR="00476743" w:rsidRPr="00061D96" w:rsidRDefault="00476743"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olor w:val="000000"/>
                <w:sz w:val="20"/>
                <w:szCs w:val="20"/>
                <w:lang w:val="en-GB"/>
              </w:rPr>
            </w:pPr>
            <w:r w:rsidRPr="00037C61">
              <w:rPr>
                <w:rFonts w:eastAsia="Calibri" w:cs="Calibri"/>
                <w:color w:val="000000" w:themeColor="text1"/>
                <w:sz w:val="20"/>
                <w:szCs w:val="20"/>
                <w:lang w:val="en-GB"/>
              </w:rPr>
              <w:t>Strong policy support on behalf of European institutions to the development of cross-border governance (including EGTCs) and functional areas.</w:t>
            </w:r>
          </w:p>
          <w:p w14:paraId="30D8BD63" w14:textId="39AE6D4D" w:rsidR="00061D96" w:rsidRPr="00E80D74" w:rsidRDefault="00B30300" w:rsidP="00014AA0">
            <w:pPr>
              <w:numPr>
                <w:ilvl w:val="0"/>
                <w:numId w:val="12"/>
              </w:numPr>
              <w:pBdr>
                <w:top w:val="nil"/>
                <w:left w:val="nil"/>
                <w:bottom w:val="nil"/>
                <w:right w:val="nil"/>
                <w:between w:val="nil"/>
              </w:pBdr>
              <w:spacing w:after="240"/>
              <w:ind w:left="367"/>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b/>
                <w:bCs/>
                <w:color w:val="000000"/>
                <w:sz w:val="20"/>
                <w:szCs w:val="20"/>
                <w:lang w:val="en-GB"/>
              </w:rPr>
            </w:pPr>
            <w:r w:rsidRPr="00DF09D9">
              <w:rPr>
                <w:rFonts w:eastAsia="Calibri" w:cs="Calibri"/>
                <w:color w:val="000000" w:themeColor="text1"/>
                <w:sz w:val="20"/>
                <w:szCs w:val="20"/>
                <w:lang w:val="en-GB"/>
              </w:rPr>
              <w:t>P</w:t>
            </w:r>
            <w:r w:rsidR="00061D96" w:rsidRPr="00DF09D9">
              <w:rPr>
                <w:rFonts w:eastAsia="Calibri" w:cs="Calibri"/>
                <w:color w:val="000000" w:themeColor="text1"/>
                <w:sz w:val="20"/>
                <w:szCs w:val="20"/>
                <w:lang w:val="en-GB"/>
              </w:rPr>
              <w:t>roviding a platform for multi-governance approach of cro</w:t>
            </w:r>
            <w:r w:rsidR="000930DD" w:rsidRPr="00DF09D9">
              <w:rPr>
                <w:rFonts w:eastAsia="Calibri" w:cs="Calibri"/>
                <w:color w:val="000000" w:themeColor="text1"/>
                <w:sz w:val="20"/>
                <w:szCs w:val="20"/>
                <w:lang w:val="en-GB"/>
              </w:rPr>
              <w:t>s</w:t>
            </w:r>
            <w:r w:rsidR="00061D96" w:rsidRPr="00DF09D9">
              <w:rPr>
                <w:rFonts w:eastAsia="Calibri" w:cs="Calibri"/>
                <w:color w:val="000000" w:themeColor="text1"/>
                <w:sz w:val="20"/>
                <w:szCs w:val="20"/>
                <w:lang w:val="en-GB"/>
              </w:rPr>
              <w:t>s-border strategies in the different sectors of society, involving stakeholders from all levels of society, including NGOs (strongly supported by the European institutions).</w:t>
            </w:r>
          </w:p>
        </w:tc>
        <w:tc>
          <w:tcPr>
            <w:tcW w:w="2972" w:type="dxa"/>
          </w:tcPr>
          <w:p w14:paraId="05E64B52" w14:textId="25573AFA" w:rsidR="00476743" w:rsidRPr="00037C61" w:rsidRDefault="1838CBA4"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themeColor="text1"/>
                <w:sz w:val="20"/>
                <w:szCs w:val="20"/>
                <w:lang w:val="en-GB"/>
              </w:rPr>
              <w:lastRenderedPageBreak/>
              <w:t>Delays in the implementation of the national Digital agenda in both PA countries.</w:t>
            </w:r>
          </w:p>
          <w:p w14:paraId="6EE44B49" w14:textId="202D7C1A"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rFonts w:eastAsia="Calibri" w:cs="Calibri"/>
                <w:color w:val="000000"/>
                <w:sz w:val="20"/>
                <w:szCs w:val="20"/>
                <w:lang w:val="en-GB"/>
              </w:rPr>
              <w:t xml:space="preserve">Lowering EU available budget in supporting </w:t>
            </w:r>
            <w:r w:rsidR="00C61ACA" w:rsidRPr="00037C61">
              <w:rPr>
                <w:rFonts w:eastAsia="Calibri" w:cs="Calibri"/>
                <w:color w:val="000000"/>
                <w:sz w:val="20"/>
                <w:szCs w:val="20"/>
                <w:lang w:val="en-GB"/>
              </w:rPr>
              <w:t xml:space="preserve">cross-border </w:t>
            </w:r>
            <w:r w:rsidRPr="00037C61">
              <w:rPr>
                <w:rFonts w:eastAsia="Calibri" w:cs="Calibri"/>
                <w:color w:val="000000"/>
                <w:sz w:val="20"/>
                <w:szCs w:val="20"/>
                <w:lang w:val="en-GB"/>
              </w:rPr>
              <w:t>cooperation</w:t>
            </w:r>
          </w:p>
          <w:p w14:paraId="47292472" w14:textId="0BFEAC6B" w:rsidR="00476743" w:rsidRPr="00037C61" w:rsidRDefault="00476743" w:rsidP="00014AA0">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olor w:val="000000" w:themeColor="text1"/>
                <w:sz w:val="20"/>
                <w:szCs w:val="20"/>
                <w:lang w:val="en-GB"/>
              </w:rPr>
            </w:pPr>
            <w:r w:rsidRPr="00037C61">
              <w:rPr>
                <w:rFonts w:eastAsia="Calibri" w:cs="Calibri"/>
                <w:color w:val="000000" w:themeColor="text1"/>
                <w:sz w:val="20"/>
                <w:szCs w:val="20"/>
                <w:lang w:val="en-GB"/>
              </w:rPr>
              <w:t xml:space="preserve">Further waves of pandemic decreasing the volume of cross-border interactions and hindering the operation of </w:t>
            </w:r>
            <w:r w:rsidR="00C61ACA" w:rsidRPr="00037C61">
              <w:rPr>
                <w:rFonts w:eastAsia="Calibri" w:cs="Calibri"/>
                <w:color w:val="000000" w:themeColor="text1"/>
                <w:sz w:val="20"/>
                <w:szCs w:val="20"/>
                <w:lang w:val="en-GB"/>
              </w:rPr>
              <w:t xml:space="preserve">existing and potential </w:t>
            </w:r>
            <w:r w:rsidRPr="00037C61">
              <w:rPr>
                <w:rFonts w:eastAsia="Calibri" w:cs="Calibri"/>
                <w:color w:val="000000" w:themeColor="text1"/>
                <w:sz w:val="20"/>
                <w:szCs w:val="20"/>
                <w:lang w:val="en-GB"/>
              </w:rPr>
              <w:t>cross-border cooperation models.</w:t>
            </w:r>
          </w:p>
          <w:p w14:paraId="10680175" w14:textId="33C477CF" w:rsidR="00476743" w:rsidRPr="00DB74BF" w:rsidRDefault="66AAA297" w:rsidP="74CEAA85">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olor w:val="000000" w:themeColor="text1"/>
                <w:sz w:val="20"/>
                <w:szCs w:val="20"/>
                <w:lang w:val="en-GB"/>
              </w:rPr>
            </w:pPr>
            <w:r w:rsidRPr="00037C61">
              <w:rPr>
                <w:rFonts w:eastAsiaTheme="minorEastAsia"/>
                <w:color w:val="000000" w:themeColor="text1"/>
                <w:sz w:val="20"/>
                <w:szCs w:val="20"/>
                <w:lang w:val="en-GB"/>
              </w:rPr>
              <w:t xml:space="preserve">Administrative and legal barriers (including sector standards and requirements) to plan and delivery joint public services in the PA. </w:t>
            </w:r>
          </w:p>
          <w:p w14:paraId="13351BEA" w14:textId="2EBA8606" w:rsidR="00C551C6" w:rsidRPr="00DB74BF" w:rsidRDefault="00C551C6" w:rsidP="74CEAA85">
            <w:pPr>
              <w:numPr>
                <w:ilvl w:val="0"/>
                <w:numId w:val="12"/>
              </w:numPr>
              <w:pBdr>
                <w:top w:val="nil"/>
                <w:left w:val="nil"/>
                <w:bottom w:val="nil"/>
                <w:right w:val="nil"/>
                <w:between w:val="nil"/>
              </w:pBdr>
              <w:spacing w:after="240"/>
              <w:ind w:left="306"/>
              <w:cnfStyle w:val="000000100000" w:firstRow="0" w:lastRow="0" w:firstColumn="0" w:lastColumn="0" w:oddVBand="0" w:evenVBand="0" w:oddHBand="1" w:evenHBand="0" w:firstRowFirstColumn="0" w:firstRowLastColumn="0" w:lastRowFirstColumn="0" w:lastRowLastColumn="0"/>
              <w:rPr>
                <w:rFonts w:eastAsiaTheme="minorEastAsia" w:cs="Calibri"/>
                <w:color w:val="000000" w:themeColor="text1"/>
                <w:sz w:val="20"/>
                <w:szCs w:val="20"/>
                <w:lang w:val="en-GB"/>
              </w:rPr>
            </w:pPr>
            <w:r w:rsidRPr="00DB74BF">
              <w:rPr>
                <w:rFonts w:eastAsiaTheme="minorEastAsia" w:cs="Calibri"/>
                <w:color w:val="000000" w:themeColor="text1"/>
                <w:sz w:val="20"/>
                <w:szCs w:val="20"/>
                <w:lang w:val="en-GB"/>
              </w:rPr>
              <w:t>Due to the different “subsidiarity interpretation” of the national authorities of the two countries in the different decision-making mechanisms, the relevant territorial actors (eg county municipalities) do not participate with equal weight from the Hungarian and Romanian sides.</w:t>
            </w:r>
          </w:p>
          <w:p w14:paraId="093B1E25" w14:textId="77777777" w:rsidR="00476743" w:rsidRDefault="00476743" w:rsidP="00476743">
            <w:pPr>
              <w:pBdr>
                <w:top w:val="nil"/>
                <w:left w:val="nil"/>
                <w:bottom w:val="nil"/>
                <w:right w:val="nil"/>
                <w:between w:val="nil"/>
              </w:pBdr>
              <w:spacing w:after="240"/>
              <w:ind w:left="-54"/>
              <w:cnfStyle w:val="000000100000" w:firstRow="0" w:lastRow="0" w:firstColumn="0" w:lastColumn="0" w:oddVBand="0" w:evenVBand="0" w:oddHBand="1" w:evenHBand="0" w:firstRowFirstColumn="0" w:firstRowLastColumn="0" w:lastRowFirstColumn="0" w:lastRowLastColumn="0"/>
              <w:rPr>
                <w:rFonts w:eastAsiaTheme="minorEastAsia"/>
                <w:b/>
                <w:bCs/>
                <w:color w:val="000000" w:themeColor="text1"/>
                <w:sz w:val="20"/>
                <w:szCs w:val="20"/>
                <w:lang w:val="en-GB"/>
              </w:rPr>
            </w:pPr>
          </w:p>
          <w:p w14:paraId="010CA965" w14:textId="31BBB5D3" w:rsidR="00325D69" w:rsidRPr="00037C61" w:rsidRDefault="00325D69" w:rsidP="00476743">
            <w:pPr>
              <w:pBdr>
                <w:top w:val="nil"/>
                <w:left w:val="nil"/>
                <w:bottom w:val="nil"/>
                <w:right w:val="nil"/>
                <w:between w:val="nil"/>
              </w:pBdr>
              <w:spacing w:after="240"/>
              <w:ind w:left="-54"/>
              <w:cnfStyle w:val="000000100000" w:firstRow="0" w:lastRow="0" w:firstColumn="0" w:lastColumn="0" w:oddVBand="0" w:evenVBand="0" w:oddHBand="1" w:evenHBand="0" w:firstRowFirstColumn="0" w:firstRowLastColumn="0" w:lastRowFirstColumn="0" w:lastRowLastColumn="0"/>
              <w:rPr>
                <w:sz w:val="20"/>
                <w:szCs w:val="20"/>
                <w:lang w:val="en-GB"/>
              </w:rPr>
            </w:pPr>
          </w:p>
        </w:tc>
      </w:tr>
    </w:tbl>
    <w:p w14:paraId="10B11561" w14:textId="77777777" w:rsidR="00565AE1" w:rsidRPr="00037C61" w:rsidRDefault="00565AE1" w:rsidP="00E26DBC">
      <w:pPr>
        <w:rPr>
          <w:lang w:val="en-GB"/>
        </w:rPr>
        <w:sectPr w:rsidR="00565AE1" w:rsidRPr="00037C61" w:rsidSect="00565AE1">
          <w:pgSz w:w="16838" w:h="11906" w:orient="landscape"/>
          <w:pgMar w:top="1440" w:right="1440" w:bottom="1440" w:left="1713" w:header="708" w:footer="828" w:gutter="0"/>
          <w:cols w:space="708"/>
          <w:docGrid w:linePitch="360"/>
        </w:sectPr>
      </w:pPr>
    </w:p>
    <w:p w14:paraId="0D927293" w14:textId="21AAD74D" w:rsidR="009A01B1" w:rsidRPr="00037C61" w:rsidRDefault="2BE5FF45">
      <w:pPr>
        <w:pStyle w:val="Heading1"/>
        <w:rPr>
          <w:rFonts w:asciiTheme="minorHAnsi" w:eastAsiaTheme="minorEastAsia" w:hAnsiTheme="minorHAnsi" w:cstheme="minorBidi"/>
          <w:bCs/>
        </w:rPr>
      </w:pPr>
      <w:bookmarkStart w:id="837" w:name="_pxx0nomnby67" w:colFirst="0" w:colLast="0"/>
      <w:bookmarkStart w:id="838" w:name="_Toc53137225"/>
      <w:bookmarkStart w:id="839" w:name="_Toc50723352"/>
      <w:bookmarkStart w:id="840" w:name="_Toc64619563"/>
      <w:bookmarkEnd w:id="837"/>
      <w:r w:rsidRPr="00037C61">
        <w:lastRenderedPageBreak/>
        <w:t>Territorial specificities and Cross-Border Functional Areas</w:t>
      </w:r>
      <w:bookmarkEnd w:id="838"/>
      <w:bookmarkEnd w:id="839"/>
      <w:bookmarkEnd w:id="840"/>
      <w:r w:rsidRPr="00037C61">
        <w:t xml:space="preserve"> </w:t>
      </w:r>
    </w:p>
    <w:p w14:paraId="46422F98" w14:textId="0E4F78A3" w:rsidR="009A01B1" w:rsidRPr="00037C61" w:rsidRDefault="009A01B1" w:rsidP="009A01B1">
      <w:pPr>
        <w:spacing w:line="256" w:lineRule="auto"/>
        <w:rPr>
          <w:lang w:val="en-GB"/>
        </w:rPr>
      </w:pPr>
      <w:r w:rsidRPr="00037C61">
        <w:rPr>
          <w:lang w:val="en-GB"/>
        </w:rPr>
        <w:t xml:space="preserve"> </w:t>
      </w:r>
    </w:p>
    <w:p w14:paraId="44CD3CA5" w14:textId="77777777" w:rsidR="009A01B1" w:rsidRPr="00037C61" w:rsidRDefault="009A01B1" w:rsidP="27B0E377">
      <w:pPr>
        <w:spacing w:before="240" w:after="0" w:line="254" w:lineRule="auto"/>
        <w:jc w:val="right"/>
        <w:rPr>
          <w:sz w:val="20"/>
          <w:szCs w:val="20"/>
          <w:lang w:val="en-GB"/>
        </w:rPr>
      </w:pPr>
      <w:r w:rsidRPr="00037C61">
        <w:rPr>
          <w:sz w:val="20"/>
          <w:szCs w:val="20"/>
          <w:lang w:val="en-GB"/>
        </w:rPr>
        <w:t>„</w:t>
      </w:r>
      <w:r w:rsidRPr="00037C61">
        <w:rPr>
          <w:i/>
          <w:iCs/>
          <w:sz w:val="20"/>
          <w:szCs w:val="20"/>
          <w:lang w:val="en-GB"/>
        </w:rPr>
        <w:t xml:space="preserve">We are convinced of the importance to promote the approach related to functional areas and territorial cooperation at local, cross-border, regional, national and transnational level as a tool for spatial development, according to our means and competences and we call upon all relevant actors to also promote this approach.” – </w:t>
      </w:r>
      <w:r w:rsidRPr="00037C61">
        <w:rPr>
          <w:sz w:val="20"/>
          <w:szCs w:val="20"/>
          <w:lang w:val="en-GB"/>
        </w:rPr>
        <w:t xml:space="preserve">The 17th session of the Council of Europe Conference of Ministers </w:t>
      </w:r>
    </w:p>
    <w:p w14:paraId="6AF0E981" w14:textId="407D2FB2" w:rsidR="009A01B1" w:rsidRPr="00037C61" w:rsidRDefault="009A01B1" w:rsidP="009A01B1">
      <w:pPr>
        <w:spacing w:line="254" w:lineRule="auto"/>
        <w:jc w:val="right"/>
        <w:rPr>
          <w:sz w:val="20"/>
          <w:lang w:val="en-GB"/>
        </w:rPr>
      </w:pPr>
      <w:r w:rsidRPr="00037C61">
        <w:rPr>
          <w:sz w:val="20"/>
          <w:lang w:val="en-GB"/>
        </w:rPr>
        <w:t>responsible for Spatial Planning (CEMAT), Bucharest, 2017</w:t>
      </w:r>
    </w:p>
    <w:p w14:paraId="19D3BC71" w14:textId="77777777" w:rsidR="009A01B1" w:rsidRPr="00037C61" w:rsidRDefault="009A01B1" w:rsidP="009A01B1">
      <w:pPr>
        <w:spacing w:line="256" w:lineRule="auto"/>
        <w:rPr>
          <w:lang w:val="en-GB"/>
        </w:rPr>
      </w:pPr>
    </w:p>
    <w:p w14:paraId="04DAE553" w14:textId="45E4894E" w:rsidR="009A01B1" w:rsidRPr="00037C61" w:rsidRDefault="6446A0E8" w:rsidP="00BB1B56">
      <w:pPr>
        <w:pStyle w:val="Heading2"/>
        <w:rPr>
          <w:rFonts w:eastAsia="Calibri"/>
        </w:rPr>
      </w:pPr>
      <w:bookmarkStart w:id="841" w:name="_Toc53137226"/>
      <w:bookmarkStart w:id="842" w:name="_Toc50723353"/>
      <w:bookmarkStart w:id="843" w:name="_Toc64619564"/>
      <w:r w:rsidRPr="00037C61">
        <w:rPr>
          <w:rFonts w:eastAsia="Calibri"/>
        </w:rPr>
        <w:t>Introduction</w:t>
      </w:r>
      <w:bookmarkEnd w:id="841"/>
      <w:bookmarkEnd w:id="842"/>
      <w:bookmarkEnd w:id="843"/>
      <w:r w:rsidRPr="00037C61">
        <w:rPr>
          <w:rFonts w:eastAsia="Calibri"/>
        </w:rPr>
        <w:t xml:space="preserve"> </w:t>
      </w:r>
    </w:p>
    <w:p w14:paraId="16BB65F0" w14:textId="7AD38451" w:rsidR="00264D5D" w:rsidRPr="00037C61" w:rsidRDefault="00BC34F3" w:rsidP="009A01B1">
      <w:pPr>
        <w:spacing w:line="256" w:lineRule="auto"/>
        <w:rPr>
          <w:lang w:val="en-GB"/>
        </w:rPr>
      </w:pPr>
      <w:bookmarkStart w:id="844" w:name="_Hlk55727339"/>
      <w:r w:rsidRPr="00037C61">
        <w:rPr>
          <w:lang w:val="en-GB"/>
        </w:rPr>
        <w:t>The 7</w:t>
      </w:r>
      <w:r w:rsidRPr="00037C61">
        <w:rPr>
          <w:vertAlign w:val="superscript"/>
          <w:lang w:val="en-GB"/>
        </w:rPr>
        <w:t>th</w:t>
      </w:r>
      <w:r w:rsidRPr="00037C61">
        <w:rPr>
          <w:lang w:val="en-GB"/>
        </w:rPr>
        <w:t xml:space="preserve"> Report on economic, social and territorial Cohesion: My region, My Europe, Our future (EC, 2017)</w:t>
      </w:r>
      <w:bookmarkEnd w:id="844"/>
      <w:r w:rsidRPr="00037C61">
        <w:rPr>
          <w:lang w:val="en-GB"/>
        </w:rPr>
        <w:t xml:space="preserve"> highlights an increasing number of new global challenges, which have the potential to significantly impact cohesion within Europe. The state of social, economic and environmental development within the cross-border </w:t>
      </w:r>
      <w:r w:rsidR="005171E7" w:rsidRPr="00037C61">
        <w:rPr>
          <w:lang w:val="en-GB"/>
        </w:rPr>
        <w:t>programme area</w:t>
      </w:r>
      <w:r w:rsidRPr="00037C61">
        <w:rPr>
          <w:lang w:val="en-GB"/>
        </w:rPr>
        <w:t xml:space="preserve"> between Romania and Hungary is reflective of both internal processes and border effects, as well as these European-wide and global challenges. Megatrends and challenges such as the 4</w:t>
      </w:r>
      <w:r w:rsidRPr="00037C61">
        <w:rPr>
          <w:vertAlign w:val="superscript"/>
          <w:lang w:val="en-GB"/>
        </w:rPr>
        <w:t>th</w:t>
      </w:r>
      <w:r w:rsidRPr="00037C61">
        <w:rPr>
          <w:lang w:val="en-GB"/>
        </w:rPr>
        <w:t xml:space="preserve"> industrial revolution, AI and blockchain, economic globalisation, urbanisation and widening of the urban-rural divide, climate change, migration and even pandemics need to be considered as key factors underpinning the future development of the region. </w:t>
      </w:r>
    </w:p>
    <w:p w14:paraId="165D698D" w14:textId="68CDC806" w:rsidR="00051B99" w:rsidRPr="00037C61" w:rsidRDefault="00264D5D" w:rsidP="009A01B1">
      <w:pPr>
        <w:spacing w:line="256" w:lineRule="auto"/>
        <w:rPr>
          <w:lang w:val="en-GB"/>
        </w:rPr>
      </w:pPr>
      <w:r w:rsidRPr="00037C61">
        <w:rPr>
          <w:lang w:val="en-GB"/>
        </w:rPr>
        <w:t xml:space="preserve">An approach to these challenges, supported by the European Commission, Committee of the Regions and several ESPON </w:t>
      </w:r>
      <w:r w:rsidR="002A7DFD" w:rsidRPr="00037C61">
        <w:rPr>
          <w:lang w:val="en-GB"/>
        </w:rPr>
        <w:t xml:space="preserve">reports and </w:t>
      </w:r>
      <w:r w:rsidRPr="00037C61">
        <w:rPr>
          <w:lang w:val="en-GB"/>
        </w:rPr>
        <w:t xml:space="preserve">studies </w:t>
      </w:r>
      <w:r w:rsidR="002A7DFD" w:rsidRPr="00037C61">
        <w:rPr>
          <w:lang w:val="en-GB"/>
        </w:rPr>
        <w:t xml:space="preserve">(ESPON Policy Brief 6, 2017; </w:t>
      </w:r>
      <w:r w:rsidR="009B6FBE" w:rsidRPr="00037C61">
        <w:rPr>
          <w:lang w:val="en-GB"/>
        </w:rPr>
        <w:t xml:space="preserve">TIA CBC, 2019; </w:t>
      </w:r>
      <w:r w:rsidR="002A7DFD" w:rsidRPr="00037C61">
        <w:rPr>
          <w:lang w:val="en-GB"/>
        </w:rPr>
        <w:t xml:space="preserve">BRIDGES, 2019; ETRF, 2019) </w:t>
      </w:r>
      <w:r w:rsidRPr="00037C61">
        <w:rPr>
          <w:lang w:val="en-GB"/>
        </w:rPr>
        <w:t xml:space="preserve">leverages on intensifying cooperation in border regions and concentrating funding through a functional approach (Mehlbye &amp; Böhme, 2018). Successful cross-border cooperation supports functional relationships and functional integration, joint or complementary strength development and multi-level governance. </w:t>
      </w:r>
    </w:p>
    <w:p w14:paraId="73B2EBDA" w14:textId="77777777" w:rsidR="00D87D74" w:rsidRPr="00037C61" w:rsidRDefault="00051B99" w:rsidP="009A01B1">
      <w:pPr>
        <w:spacing w:line="256" w:lineRule="auto"/>
        <w:rPr>
          <w:lang w:val="en-GB"/>
        </w:rPr>
      </w:pPr>
      <w:bookmarkStart w:id="845" w:name="_Hlk61622888"/>
      <w:r w:rsidRPr="00037C61">
        <w:rPr>
          <w:lang w:val="en-GB"/>
        </w:rPr>
        <w:t>D</w:t>
      </w:r>
      <w:r w:rsidR="00264D5D" w:rsidRPr="00037C61">
        <w:rPr>
          <w:lang w:val="en-GB"/>
        </w:rPr>
        <w:t xml:space="preserve">ue to the complexities of each territory, there is no universally-accepted definition of a </w:t>
      </w:r>
      <w:r w:rsidR="00264D5D" w:rsidRPr="00037C61">
        <w:rPr>
          <w:b/>
          <w:bCs/>
          <w:lang w:val="en-GB"/>
        </w:rPr>
        <w:t xml:space="preserve">functional </w:t>
      </w:r>
      <w:r w:rsidRPr="00037C61">
        <w:rPr>
          <w:b/>
          <w:bCs/>
          <w:lang w:val="en-GB"/>
        </w:rPr>
        <w:t xml:space="preserve">cross-border (CB) </w:t>
      </w:r>
      <w:r w:rsidR="00264D5D" w:rsidRPr="00037C61">
        <w:rPr>
          <w:b/>
          <w:bCs/>
          <w:lang w:val="en-GB"/>
        </w:rPr>
        <w:t>a</w:t>
      </w:r>
      <w:r w:rsidRPr="00037C61">
        <w:rPr>
          <w:b/>
          <w:bCs/>
          <w:lang w:val="en-GB"/>
        </w:rPr>
        <w:t>rea</w:t>
      </w:r>
      <w:r w:rsidRPr="00037C61">
        <w:rPr>
          <w:lang w:val="en-GB"/>
        </w:rPr>
        <w:t xml:space="preserve">, although a strong body of research has been produced in the last decade either focusing on </w:t>
      </w:r>
      <w:r w:rsidRPr="00037C61">
        <w:rPr>
          <w:i/>
          <w:iCs/>
          <w:lang w:val="en-GB"/>
        </w:rPr>
        <w:t>CB functional urban regions</w:t>
      </w:r>
      <w:r w:rsidRPr="00037C61">
        <w:rPr>
          <w:lang w:val="en-GB"/>
        </w:rPr>
        <w:t xml:space="preserve"> (Möller et al., 2018), on the concept of „</w:t>
      </w:r>
      <w:r w:rsidRPr="00037C61">
        <w:rPr>
          <w:i/>
          <w:iCs/>
          <w:lang w:val="en-GB"/>
        </w:rPr>
        <w:t>cross-border integration</w:t>
      </w:r>
      <w:r w:rsidRPr="00037C61">
        <w:rPr>
          <w:lang w:val="en-GB"/>
        </w:rPr>
        <w:t xml:space="preserve">” (Durand, 2015) and its inclusion of cultural and political relations beyond the economic sphere (Decoville et al., 2013), or generally on cross-border mobility as a contribution to spatial integration (Medeiros, 2020). </w:t>
      </w:r>
    </w:p>
    <w:p w14:paraId="4362993D" w14:textId="1285336A" w:rsidR="00A41470" w:rsidRPr="00037C61" w:rsidRDefault="00D87D74" w:rsidP="009A01B1">
      <w:pPr>
        <w:spacing w:line="256" w:lineRule="auto"/>
        <w:rPr>
          <w:lang w:val="en-GB"/>
        </w:rPr>
      </w:pPr>
      <w:r w:rsidRPr="00037C61">
        <w:rPr>
          <w:lang w:val="en-GB"/>
        </w:rPr>
        <w:t xml:space="preserve">This </w:t>
      </w:r>
      <w:r w:rsidR="00A41470" w:rsidRPr="00037C61">
        <w:rPr>
          <w:lang w:val="en-GB"/>
        </w:rPr>
        <w:t xml:space="preserve">recent </w:t>
      </w:r>
      <w:r w:rsidRPr="00037C61">
        <w:rPr>
          <w:lang w:val="en-GB"/>
        </w:rPr>
        <w:t xml:space="preserve">shift in the European perspective on the role and functionality of internal border regions </w:t>
      </w:r>
      <w:r w:rsidR="00A41470" w:rsidRPr="00037C61">
        <w:rPr>
          <w:lang w:val="en-GB"/>
        </w:rPr>
        <w:t>is not a new policy</w:t>
      </w:r>
      <w:r w:rsidRPr="00037C61">
        <w:rPr>
          <w:lang w:val="en-GB"/>
        </w:rPr>
        <w:t xml:space="preserve">. Rather, it builds on </w:t>
      </w:r>
      <w:r w:rsidR="00A41470" w:rsidRPr="00037C61">
        <w:rPr>
          <w:lang w:val="en-GB"/>
        </w:rPr>
        <w:t xml:space="preserve">a decade of </w:t>
      </w:r>
      <w:r w:rsidRPr="00037C61">
        <w:rPr>
          <w:lang w:val="en-GB"/>
        </w:rPr>
        <w:t xml:space="preserve">research </w:t>
      </w:r>
      <w:r w:rsidR="00A41470" w:rsidRPr="00037C61">
        <w:rPr>
          <w:lang w:val="en-GB"/>
        </w:rPr>
        <w:t>driven</w:t>
      </w:r>
      <w:r w:rsidRPr="00037C61">
        <w:rPr>
          <w:lang w:val="en-GB"/>
        </w:rPr>
        <w:t xml:space="preserve"> by the </w:t>
      </w:r>
      <w:r w:rsidR="00A41470" w:rsidRPr="00037C61">
        <w:rPr>
          <w:lang w:val="en-GB"/>
        </w:rPr>
        <w:t xml:space="preserve">recent enlargements of the European Union (2004, 2007) and liberalisation of borders, </w:t>
      </w:r>
      <w:r w:rsidRPr="00037C61">
        <w:rPr>
          <w:lang w:val="en-GB"/>
        </w:rPr>
        <w:t>which transformed the perception of border areas from peripheries to dynamic regions</w:t>
      </w:r>
      <w:r w:rsidR="00A41470" w:rsidRPr="00037C61">
        <w:rPr>
          <w:lang w:val="en-GB"/>
        </w:rPr>
        <w:t xml:space="preserve">. </w:t>
      </w:r>
      <w:r w:rsidRPr="00037C61">
        <w:rPr>
          <w:lang w:val="en-GB"/>
        </w:rPr>
        <w:t xml:space="preserve">ESPON </w:t>
      </w:r>
      <w:r w:rsidR="00A41470" w:rsidRPr="00037C61">
        <w:rPr>
          <w:lang w:val="en-GB"/>
        </w:rPr>
        <w:t xml:space="preserve">Targeted Analyses such as </w:t>
      </w:r>
      <w:r w:rsidRPr="00037C61">
        <w:rPr>
          <w:lang w:val="en-GB"/>
        </w:rPr>
        <w:t xml:space="preserve">METROBORDER </w:t>
      </w:r>
      <w:r w:rsidR="00A41470" w:rsidRPr="00037C61">
        <w:rPr>
          <w:lang w:val="en-GB"/>
        </w:rPr>
        <w:t>(</w:t>
      </w:r>
      <w:r w:rsidRPr="00037C61">
        <w:rPr>
          <w:lang w:val="en-GB"/>
        </w:rPr>
        <w:t>2010</w:t>
      </w:r>
      <w:r w:rsidR="00A41470" w:rsidRPr="00037C61">
        <w:rPr>
          <w:lang w:val="en-GB"/>
        </w:rPr>
        <w:t xml:space="preserve">) and </w:t>
      </w:r>
      <w:r w:rsidRPr="00037C61">
        <w:rPr>
          <w:lang w:val="en-GB"/>
        </w:rPr>
        <w:t>GEOSPECS</w:t>
      </w:r>
      <w:r w:rsidR="00A41470" w:rsidRPr="00037C61">
        <w:rPr>
          <w:lang w:val="en-GB"/>
        </w:rPr>
        <w:t xml:space="preserve"> (</w:t>
      </w:r>
      <w:r w:rsidRPr="00037C61">
        <w:rPr>
          <w:lang w:val="en-GB"/>
        </w:rPr>
        <w:t>2012)</w:t>
      </w:r>
      <w:r w:rsidR="00A41470" w:rsidRPr="00037C61">
        <w:rPr>
          <w:lang w:val="en-GB"/>
        </w:rPr>
        <w:t xml:space="preserve"> highlighted the potential for cross-border polycentricity and polycentric functional spatial organisation in Europe, as well as possible methodologies for analysing functional integration in border areas, based on interactions as well as social, economic and spatial convergence. </w:t>
      </w:r>
    </w:p>
    <w:p w14:paraId="51E7D9D9" w14:textId="1F880067" w:rsidR="00795C43" w:rsidRPr="00037C61" w:rsidRDefault="00A41470" w:rsidP="009A01B1">
      <w:pPr>
        <w:spacing w:line="256" w:lineRule="auto"/>
        <w:rPr>
          <w:lang w:val="en-GB"/>
        </w:rPr>
      </w:pPr>
      <w:r w:rsidRPr="00037C61">
        <w:rPr>
          <w:lang w:val="en-GB"/>
        </w:rPr>
        <w:t xml:space="preserve">Based on this research, and in the TA context for the cross-border </w:t>
      </w:r>
      <w:r w:rsidR="005171E7" w:rsidRPr="00037C61">
        <w:rPr>
          <w:lang w:val="en-GB"/>
        </w:rPr>
        <w:t>programme area</w:t>
      </w:r>
      <w:r w:rsidRPr="00037C61">
        <w:rPr>
          <w:lang w:val="en-GB"/>
        </w:rPr>
        <w:t xml:space="preserve"> between Romania and Hungary, w</w:t>
      </w:r>
      <w:r w:rsidR="00015984" w:rsidRPr="00037C61">
        <w:rPr>
          <w:lang w:val="en-GB"/>
        </w:rPr>
        <w:t xml:space="preserve">e can define the </w:t>
      </w:r>
      <w:r w:rsidR="006E02CA" w:rsidRPr="00037C61">
        <w:rPr>
          <w:lang w:val="en-GB"/>
        </w:rPr>
        <w:t xml:space="preserve">Cross-Border Functional Areas </w:t>
      </w:r>
      <w:r w:rsidR="00015984" w:rsidRPr="00037C61">
        <w:rPr>
          <w:lang w:val="en-GB"/>
        </w:rPr>
        <w:t>(CBFA) as</w:t>
      </w:r>
      <w:r w:rsidR="00795C43" w:rsidRPr="00037C61">
        <w:rPr>
          <w:lang w:val="en-GB"/>
        </w:rPr>
        <w:t xml:space="preserve">: </w:t>
      </w:r>
    </w:p>
    <w:p w14:paraId="63F9A9F3" w14:textId="6A9165EC" w:rsidR="00795C43" w:rsidRPr="00037C61" w:rsidRDefault="00795C43" w:rsidP="00014AA0">
      <w:pPr>
        <w:pStyle w:val="ListParagraph"/>
        <w:numPr>
          <w:ilvl w:val="0"/>
          <w:numId w:val="6"/>
        </w:numPr>
        <w:rPr>
          <w:lang w:val="en-GB"/>
        </w:rPr>
      </w:pPr>
      <w:r w:rsidRPr="00037C61">
        <w:rPr>
          <w:lang w:val="en-GB"/>
        </w:rPr>
        <w:t>R</w:t>
      </w:r>
      <w:r w:rsidR="00015984" w:rsidRPr="00037C61">
        <w:rPr>
          <w:lang w:val="en-GB"/>
        </w:rPr>
        <w:t xml:space="preserve">egions which function as a </w:t>
      </w:r>
      <w:r w:rsidR="00015984" w:rsidRPr="00037C61">
        <w:rPr>
          <w:b/>
          <w:bCs/>
          <w:lang w:val="en-GB"/>
        </w:rPr>
        <w:t>unitary system</w:t>
      </w:r>
      <w:r w:rsidR="000449DE" w:rsidRPr="00037C61">
        <w:rPr>
          <w:b/>
          <w:bCs/>
          <w:lang w:val="en-GB"/>
        </w:rPr>
        <w:t xml:space="preserve"> </w:t>
      </w:r>
      <w:r w:rsidR="000449DE" w:rsidRPr="00037C61">
        <w:rPr>
          <w:lang w:val="en-GB"/>
        </w:rPr>
        <w:t>(i.e. from a functional, natural capital point of view)</w:t>
      </w:r>
      <w:r w:rsidRPr="00037C61">
        <w:rPr>
          <w:lang w:val="en-GB"/>
        </w:rPr>
        <w:t>,</w:t>
      </w:r>
      <w:r w:rsidR="00015984" w:rsidRPr="00037C61">
        <w:rPr>
          <w:lang w:val="en-GB"/>
        </w:rPr>
        <w:t xml:space="preserve"> </w:t>
      </w:r>
    </w:p>
    <w:p w14:paraId="0BD53A11" w14:textId="5C2F72B4" w:rsidR="00795C43" w:rsidRPr="00037C61" w:rsidRDefault="00795C43" w:rsidP="00014AA0">
      <w:pPr>
        <w:pStyle w:val="ListParagraph"/>
        <w:numPr>
          <w:ilvl w:val="0"/>
          <w:numId w:val="6"/>
        </w:numPr>
        <w:rPr>
          <w:lang w:val="en-GB"/>
        </w:rPr>
      </w:pPr>
      <w:r w:rsidRPr="00037C61">
        <w:rPr>
          <w:lang w:val="en-GB"/>
        </w:rPr>
        <w:lastRenderedPageBreak/>
        <w:t xml:space="preserve">defined on a </w:t>
      </w:r>
      <w:r w:rsidRPr="00037C61">
        <w:rPr>
          <w:b/>
          <w:bCs/>
          <w:lang w:val="en-GB"/>
        </w:rPr>
        <w:t>basis of distance</w:t>
      </w:r>
      <w:r w:rsidRPr="00037C61">
        <w:rPr>
          <w:lang w:val="en-GB"/>
        </w:rPr>
        <w:t xml:space="preserve"> to a politically defined border demarcation, </w:t>
      </w:r>
    </w:p>
    <w:p w14:paraId="0A4578CF" w14:textId="151D22B2" w:rsidR="00795C43" w:rsidRPr="00037C61" w:rsidRDefault="00795C43" w:rsidP="00014AA0">
      <w:pPr>
        <w:pStyle w:val="ListParagraph"/>
        <w:numPr>
          <w:ilvl w:val="0"/>
          <w:numId w:val="6"/>
        </w:numPr>
        <w:rPr>
          <w:lang w:val="en-GB"/>
        </w:rPr>
      </w:pPr>
      <w:r w:rsidRPr="00037C61">
        <w:rPr>
          <w:lang w:val="en-GB"/>
        </w:rPr>
        <w:t xml:space="preserve">with a </w:t>
      </w:r>
      <w:r w:rsidRPr="00037C61">
        <w:rPr>
          <w:b/>
          <w:bCs/>
          <w:lang w:val="en-GB"/>
        </w:rPr>
        <w:t xml:space="preserve">functionality </w:t>
      </w:r>
      <w:r w:rsidRPr="00037C61">
        <w:rPr>
          <w:lang w:val="en-GB"/>
        </w:rPr>
        <w:t>b</w:t>
      </w:r>
      <w:r w:rsidR="00015984" w:rsidRPr="00037C61">
        <w:rPr>
          <w:lang w:val="en-GB"/>
        </w:rPr>
        <w:t>ased on one or several criteria of soci</w:t>
      </w:r>
      <w:r w:rsidRPr="00037C61">
        <w:rPr>
          <w:lang w:val="en-GB"/>
        </w:rPr>
        <w:t>o-demographic</w:t>
      </w:r>
      <w:r w:rsidR="00015984" w:rsidRPr="00037C61">
        <w:rPr>
          <w:lang w:val="en-GB"/>
        </w:rPr>
        <w:t xml:space="preserve">, cultural, economic, </w:t>
      </w:r>
      <w:r w:rsidRPr="00037C61">
        <w:rPr>
          <w:lang w:val="en-GB"/>
        </w:rPr>
        <w:t xml:space="preserve">knowledge and </w:t>
      </w:r>
      <w:r w:rsidR="00015984" w:rsidRPr="00037C61">
        <w:rPr>
          <w:lang w:val="en-GB"/>
        </w:rPr>
        <w:t xml:space="preserve">environmental </w:t>
      </w:r>
      <w:r w:rsidRPr="00037C61">
        <w:rPr>
          <w:lang w:val="en-GB"/>
        </w:rPr>
        <w:t xml:space="preserve">nature, </w:t>
      </w:r>
    </w:p>
    <w:p w14:paraId="149FDDDD" w14:textId="0C73FAB2" w:rsidR="00795C43" w:rsidRPr="00037C61" w:rsidRDefault="00795C43" w:rsidP="00014AA0">
      <w:pPr>
        <w:pStyle w:val="ListParagraph"/>
        <w:numPr>
          <w:ilvl w:val="0"/>
          <w:numId w:val="6"/>
        </w:numPr>
        <w:rPr>
          <w:lang w:val="en-GB"/>
        </w:rPr>
      </w:pPr>
      <w:r w:rsidRPr="00037C61">
        <w:rPr>
          <w:lang w:val="en-GB"/>
        </w:rPr>
        <w:t xml:space="preserve">which in turn determines </w:t>
      </w:r>
      <w:r w:rsidRPr="00037C61">
        <w:rPr>
          <w:b/>
          <w:bCs/>
          <w:lang w:val="en-GB"/>
        </w:rPr>
        <w:t>the cohesion and nature of internal and external interactions</w:t>
      </w:r>
      <w:r w:rsidRPr="00037C61">
        <w:rPr>
          <w:lang w:val="en-GB"/>
        </w:rPr>
        <w:t xml:space="preserve">. </w:t>
      </w:r>
    </w:p>
    <w:p w14:paraId="0D1A0D52" w14:textId="6F11EB7A" w:rsidR="00715644" w:rsidRPr="00037C61" w:rsidRDefault="006E02CA" w:rsidP="00715644">
      <w:pPr>
        <w:pStyle w:val="InterregROHUBullet1"/>
        <w:numPr>
          <w:ilvl w:val="0"/>
          <w:numId w:val="0"/>
        </w:numPr>
        <w:ind w:left="207"/>
      </w:pPr>
      <w:r w:rsidRPr="00037C61">
        <w:t>Cross-Border Functional Areas ar</w:t>
      </w:r>
      <w:r w:rsidR="00795C43" w:rsidRPr="00037C61">
        <w:t xml:space="preserve">e linked both to common capital, as well as through common challenges and opportunities for development. </w:t>
      </w:r>
      <w:r w:rsidRPr="00037C61">
        <w:t xml:space="preserve">They are not an abstract concept, or tributary to administrative delineations, but rather </w:t>
      </w:r>
      <w:r w:rsidR="22683EFD" w:rsidRPr="00037C61">
        <w:t xml:space="preserve">should </w:t>
      </w:r>
      <w:r w:rsidRPr="00037C61">
        <w:t xml:space="preserve">exist </w:t>
      </w:r>
      <w:r w:rsidRPr="00037C61">
        <w:rPr>
          <w:i/>
          <w:iCs/>
        </w:rPr>
        <w:t xml:space="preserve">de facto. </w:t>
      </w:r>
      <w:r w:rsidR="7C543FAA" w:rsidRPr="00037C61">
        <w:t>One</w:t>
      </w:r>
      <w:r w:rsidRPr="00037C61">
        <w:t xml:space="preserve"> </w:t>
      </w:r>
      <w:r w:rsidR="319FD0C4" w:rsidRPr="00037C61">
        <w:t xml:space="preserve">of the </w:t>
      </w:r>
      <w:r w:rsidRPr="00037C61">
        <w:t>purpose</w:t>
      </w:r>
      <w:r w:rsidR="00DD2042" w:rsidRPr="00037C61">
        <w:t>s</w:t>
      </w:r>
      <w:r w:rsidRPr="00037C61">
        <w:t xml:space="preserve"> of the Territorial Analysis is to identify, delineate and characterise them based on the challenges and potentials </w:t>
      </w:r>
      <w:r w:rsidR="00715644" w:rsidRPr="00037C61">
        <w:t xml:space="preserve">in order to inform the development of proposals for investment concentration, highlighting: </w:t>
      </w:r>
    </w:p>
    <w:p w14:paraId="3A87C7CB" w14:textId="02026AE5" w:rsidR="00715644" w:rsidRPr="00037C61" w:rsidRDefault="00715644" w:rsidP="00715644">
      <w:pPr>
        <w:pStyle w:val="InterregROHUBullet1"/>
        <w:ind w:left="709"/>
      </w:pPr>
      <w:r w:rsidRPr="00037C61">
        <w:t xml:space="preserve">CBFA which should be targeted with actions supporting joint development of </w:t>
      </w:r>
      <w:r w:rsidRPr="00037C61">
        <w:rPr>
          <w:b/>
          <w:bCs w:val="0"/>
        </w:rPr>
        <w:t xml:space="preserve">cross-border potential and existing strengths; </w:t>
      </w:r>
    </w:p>
    <w:p w14:paraId="0608917D" w14:textId="1D02AAF7" w:rsidR="00715644" w:rsidRPr="00037C61" w:rsidRDefault="00715644" w:rsidP="00715644">
      <w:pPr>
        <w:pStyle w:val="InterregROHUBullet1"/>
        <w:ind w:left="709"/>
      </w:pPr>
      <w:r w:rsidRPr="00037C61">
        <w:t xml:space="preserve">CBFA which should be targeted with actions supporting </w:t>
      </w:r>
      <w:r w:rsidRPr="00037C61">
        <w:rPr>
          <w:b/>
          <w:bCs w:val="0"/>
        </w:rPr>
        <w:t>restructuring and development of new functions in areas facing significant common development challenges.</w:t>
      </w:r>
      <w:r w:rsidRPr="00037C61">
        <w:t xml:space="preserve"> </w:t>
      </w:r>
    </w:p>
    <w:p w14:paraId="1569581A" w14:textId="4DFE9D0C" w:rsidR="002A4F5D" w:rsidRPr="00037C61" w:rsidRDefault="52230E0C" w:rsidP="004F037A">
      <w:pPr>
        <w:tabs>
          <w:tab w:val="left" w:pos="1000"/>
        </w:tabs>
        <w:spacing w:line="256" w:lineRule="auto"/>
        <w:rPr>
          <w:lang w:val="en-GB"/>
        </w:rPr>
      </w:pPr>
      <w:r w:rsidRPr="00037C61">
        <w:rPr>
          <w:lang w:val="en-GB"/>
        </w:rPr>
        <w:t>In order to highlight relevant conclusions and recommendations, this chapter builds on the conclusions of the thematic analysis (Chapter 2) to understand what barriers and enablers currently shape the context for cooperation in the cross-border PA between Romania and Hungary (</w:t>
      </w:r>
      <w:r w:rsidRPr="00037C61">
        <w:rPr>
          <w:b/>
          <w:bCs/>
          <w:i/>
          <w:iCs/>
          <w:lang w:val="en-GB"/>
        </w:rPr>
        <w:t xml:space="preserve">border effects </w:t>
      </w:r>
      <w:r w:rsidRPr="00037C61">
        <w:rPr>
          <w:lang w:val="en-GB"/>
        </w:rPr>
        <w:t xml:space="preserve">– Chapter 3.2). Within this frame, a multi-dimensional analysis further focuses on identifying: </w:t>
      </w:r>
    </w:p>
    <w:p w14:paraId="27D6B87B" w14:textId="0830161A" w:rsidR="002A4F5D" w:rsidRPr="00037C61" w:rsidRDefault="004F037A" w:rsidP="004F037A">
      <w:pPr>
        <w:pStyle w:val="InterregROHUBullet1"/>
        <w:ind w:left="426"/>
      </w:pPr>
      <w:r w:rsidRPr="00037C61">
        <w:rPr>
          <w:b/>
          <w:bCs w:val="0"/>
        </w:rPr>
        <w:t>C</w:t>
      </w:r>
      <w:r w:rsidR="002A4F5D" w:rsidRPr="00037C61">
        <w:rPr>
          <w:b/>
          <w:bCs w:val="0"/>
        </w:rPr>
        <w:t>ooperation hotspots</w:t>
      </w:r>
      <w:r w:rsidR="002A4F5D" w:rsidRPr="00037C61">
        <w:t xml:space="preserve">, where cross-border links are stronger and which present evidence of CBC taking place either ad-hoc or institutionalized (e.g. </w:t>
      </w:r>
      <w:r w:rsidR="00CF2872" w:rsidRPr="00037C61">
        <w:t xml:space="preserve">twinnings and </w:t>
      </w:r>
      <w:r w:rsidR="002A4F5D" w:rsidRPr="00037C61">
        <w:t>through EGTCs)</w:t>
      </w:r>
    </w:p>
    <w:p w14:paraId="6D019E3F" w14:textId="331C93B5" w:rsidR="002A4F5D" w:rsidRPr="00037C61" w:rsidRDefault="004F037A" w:rsidP="004F037A">
      <w:pPr>
        <w:pStyle w:val="InterregROHUBullet1"/>
        <w:ind w:left="426"/>
      </w:pPr>
      <w:r w:rsidRPr="00037C61">
        <w:t>T</w:t>
      </w:r>
      <w:r w:rsidR="002A4F5D" w:rsidRPr="00037C61">
        <w:t xml:space="preserve">he </w:t>
      </w:r>
      <w:r w:rsidR="002A4F5D" w:rsidRPr="00037C61">
        <w:rPr>
          <w:b/>
          <w:bCs w:val="0"/>
        </w:rPr>
        <w:t>cross-border catchment area</w:t>
      </w:r>
      <w:r w:rsidR="002A4F5D" w:rsidRPr="00037C61">
        <w:t xml:space="preserve">, in which commuting is more intense, and which represents a key area to implement policy measures improving socio-economic development. However, it is to note that commuting data, alongside other key metrics of the </w:t>
      </w:r>
      <w:r w:rsidR="005171E7" w:rsidRPr="00037C61">
        <w:t>programme area</w:t>
      </w:r>
      <w:r w:rsidR="002A4F5D" w:rsidRPr="00037C61">
        <w:t xml:space="preserve"> performance, is lacking for both Romania as well as Hungary at sub-regional level. A proxy for this assessment is the border accessibility, combined with the level of service (public transport, rail</w:t>
      </w:r>
      <w:r w:rsidR="00027EE5" w:rsidRPr="00037C61">
        <w:t xml:space="preserve">, higher education, health </w:t>
      </w:r>
      <w:r w:rsidR="00CF2872" w:rsidRPr="00037C61">
        <w:t>and other public functions</w:t>
      </w:r>
      <w:r w:rsidR="002A4F5D" w:rsidRPr="00037C61">
        <w:t xml:space="preserve">) connecting larger urban centers.  </w:t>
      </w:r>
    </w:p>
    <w:p w14:paraId="18CF5C30" w14:textId="4337FB83" w:rsidR="002A4F5D" w:rsidRPr="00037C61" w:rsidRDefault="004F037A" w:rsidP="004F037A">
      <w:pPr>
        <w:pStyle w:val="InterregROHUBullet1"/>
        <w:ind w:left="426"/>
      </w:pPr>
      <w:r w:rsidRPr="00037C61">
        <w:rPr>
          <w:b/>
          <w:bCs w:val="0"/>
        </w:rPr>
        <w:t>Functional Urban Areas (FUA</w:t>
      </w:r>
      <w:r w:rsidR="00F7747D" w:rsidRPr="00037C61">
        <w:rPr>
          <w:b/>
          <w:bCs w:val="0"/>
        </w:rPr>
        <w:t>s</w:t>
      </w:r>
      <w:r w:rsidRPr="00037C61">
        <w:rPr>
          <w:b/>
          <w:bCs w:val="0"/>
        </w:rPr>
        <w:t>)</w:t>
      </w:r>
      <w:r w:rsidR="00F7747D" w:rsidRPr="00037C61">
        <w:rPr>
          <w:b/>
          <w:bCs w:val="0"/>
        </w:rPr>
        <w:t xml:space="preserve"> </w:t>
      </w:r>
      <w:r w:rsidR="00F7747D" w:rsidRPr="00037C61">
        <w:t xml:space="preserve">on either side of the border; </w:t>
      </w:r>
    </w:p>
    <w:p w14:paraId="2BDCB595" w14:textId="29E80845" w:rsidR="002A4F5D" w:rsidRPr="00037C61" w:rsidRDefault="004F037A" w:rsidP="004F037A">
      <w:pPr>
        <w:pStyle w:val="InterregROHUBullet1"/>
        <w:ind w:left="426"/>
      </w:pPr>
      <w:r w:rsidRPr="00037C61">
        <w:rPr>
          <w:b/>
          <w:bCs w:val="0"/>
        </w:rPr>
        <w:t>CB</w:t>
      </w:r>
      <w:r w:rsidR="002A4F5D" w:rsidRPr="00037C61">
        <w:rPr>
          <w:b/>
          <w:bCs w:val="0"/>
        </w:rPr>
        <w:t xml:space="preserve"> natural</w:t>
      </w:r>
      <w:r w:rsidRPr="00037C61">
        <w:rPr>
          <w:b/>
          <w:bCs w:val="0"/>
        </w:rPr>
        <w:t xml:space="preserve"> resources and</w:t>
      </w:r>
      <w:r w:rsidR="002A4F5D" w:rsidRPr="00037C61">
        <w:rPr>
          <w:b/>
          <w:bCs w:val="0"/>
        </w:rPr>
        <w:t xml:space="preserve"> protected areas</w:t>
      </w:r>
      <w:r w:rsidRPr="00037C61">
        <w:t>, which can allow effective management of natural heritage</w:t>
      </w:r>
      <w:r w:rsidR="00027EE5" w:rsidRPr="00037C61">
        <w:t xml:space="preserve">, joint land management </w:t>
      </w:r>
      <w:r w:rsidRPr="00037C61">
        <w:t xml:space="preserve">and common </w:t>
      </w:r>
      <w:r w:rsidR="00413C68" w:rsidRPr="00037C61">
        <w:t>valorisation</w:t>
      </w:r>
      <w:r w:rsidRPr="00037C61">
        <w:t xml:space="preserve"> of natural resources</w:t>
      </w:r>
      <w:r w:rsidR="00027EE5" w:rsidRPr="00037C61">
        <w:t xml:space="preserve">(including underground assets, such as </w:t>
      </w:r>
      <w:r w:rsidRPr="00037C61">
        <w:t xml:space="preserve"> geothermal</w:t>
      </w:r>
      <w:r w:rsidR="00027EE5" w:rsidRPr="00037C61">
        <w:t xml:space="preserve"> resources)</w:t>
      </w:r>
      <w:r w:rsidRPr="00037C61">
        <w:t xml:space="preserve">; </w:t>
      </w:r>
      <w:r w:rsidR="002A4F5D" w:rsidRPr="00037C61">
        <w:t xml:space="preserve"> </w:t>
      </w:r>
    </w:p>
    <w:p w14:paraId="16722AFC" w14:textId="1060DB88" w:rsidR="002A4F5D" w:rsidRPr="00037C61" w:rsidRDefault="004F037A" w:rsidP="004F037A">
      <w:pPr>
        <w:pStyle w:val="InterregROHUBullet1"/>
        <w:ind w:left="426"/>
      </w:pPr>
      <w:r w:rsidRPr="00037C61">
        <w:rPr>
          <w:b/>
          <w:bCs w:val="0"/>
        </w:rPr>
        <w:t>Complementary factors</w:t>
      </w:r>
      <w:r w:rsidRPr="00037C61">
        <w:t xml:space="preserve">, such as: areas with the same social, economic and physical challenges (depopulating areas, </w:t>
      </w:r>
      <w:r w:rsidR="00CF2872" w:rsidRPr="00037C61">
        <w:t>marginalised areas</w:t>
      </w:r>
      <w:r w:rsidRPr="00037C61">
        <w:t xml:space="preserve">, etc). </w:t>
      </w:r>
    </w:p>
    <w:bookmarkEnd w:id="845"/>
    <w:p w14:paraId="26C882A5" w14:textId="11D392E2" w:rsidR="00F7747D" w:rsidRPr="00037C61" w:rsidRDefault="00F7747D" w:rsidP="00F7747D">
      <w:pPr>
        <w:pStyle w:val="InterregROHUBullet1"/>
        <w:numPr>
          <w:ilvl w:val="0"/>
          <w:numId w:val="0"/>
        </w:numPr>
      </w:pPr>
      <w:r w:rsidRPr="00037C61">
        <w:rPr>
          <w:b/>
          <w:bCs w:val="0"/>
        </w:rPr>
        <w:t>The analysis will finally provide a proposal for Cross-border Functional Areas</w:t>
      </w:r>
      <w:r w:rsidRPr="00037C61">
        <w:t>, associated with more intense cross-border exchange and more populated areas, defined also through the existence or opportunity of cross-border services, leisure and culture activities, existence of objectives of regional interest (e</w:t>
      </w:r>
      <w:r w:rsidR="3A7D94CC" w:rsidRPr="00037C61">
        <w:t>.</w:t>
      </w:r>
      <w:r w:rsidRPr="00037C61">
        <w:t xml:space="preserve">g. airports) on one side or the other. </w:t>
      </w:r>
    </w:p>
    <w:p w14:paraId="38952E25" w14:textId="59FBB98A" w:rsidR="002A4F5D" w:rsidRPr="00037C61" w:rsidRDefault="004F037A" w:rsidP="00383579">
      <w:pPr>
        <w:spacing w:line="256" w:lineRule="auto"/>
        <w:rPr>
          <w:lang w:val="en-GB"/>
        </w:rPr>
      </w:pPr>
      <w:r w:rsidRPr="00037C61">
        <w:rPr>
          <w:lang w:val="en-GB"/>
        </w:rPr>
        <w:t>The goal of this methodology is to advance a flexible and place-based approach to the delineation of CBFA for policy implementation within the framework of the next cooperation program between Romania and Hungary, in the 2021-2027 period.</w:t>
      </w:r>
    </w:p>
    <w:p w14:paraId="5AF7B206" w14:textId="065AF9A6" w:rsidR="009B6FBE" w:rsidRPr="00037C61" w:rsidRDefault="00413C68" w:rsidP="00413C68">
      <w:pPr>
        <w:pStyle w:val="Heading2"/>
        <w:tabs>
          <w:tab w:val="left" w:pos="5124"/>
        </w:tabs>
        <w:rPr>
          <w:rFonts w:eastAsia="Calibri"/>
        </w:rPr>
      </w:pPr>
      <w:r w:rsidRPr="00037C61">
        <w:lastRenderedPageBreak/>
        <w:t xml:space="preserve"> </w:t>
      </w:r>
      <w:bookmarkStart w:id="846" w:name="_Toc53137227"/>
      <w:bookmarkStart w:id="847" w:name="_Toc50723354"/>
      <w:bookmarkStart w:id="848" w:name="_Toc64619565"/>
      <w:r w:rsidR="00280FE2" w:rsidRPr="00037C61">
        <w:t>B</w:t>
      </w:r>
      <w:r w:rsidR="009B6FBE" w:rsidRPr="00037C61">
        <w:rPr>
          <w:rFonts w:eastAsia="Calibri"/>
        </w:rPr>
        <w:t>order effects</w:t>
      </w:r>
      <w:bookmarkEnd w:id="846"/>
      <w:bookmarkEnd w:id="847"/>
      <w:bookmarkEnd w:id="848"/>
      <w:r w:rsidR="009B6FBE" w:rsidRPr="00037C61">
        <w:rPr>
          <w:rFonts w:eastAsia="Calibri"/>
        </w:rPr>
        <w:t xml:space="preserve"> </w:t>
      </w:r>
    </w:p>
    <w:p w14:paraId="58695C7F" w14:textId="233ABA12" w:rsidR="0055630A" w:rsidRPr="00037C61" w:rsidRDefault="00652456" w:rsidP="0055630A">
      <w:pPr>
        <w:tabs>
          <w:tab w:val="left" w:pos="1000"/>
          <w:tab w:val="left" w:pos="7020"/>
        </w:tabs>
        <w:spacing w:line="256" w:lineRule="auto"/>
        <w:rPr>
          <w:lang w:val="en-GB"/>
        </w:rPr>
      </w:pPr>
      <w:r w:rsidRPr="00037C61">
        <w:rPr>
          <w:lang w:val="en-GB"/>
        </w:rPr>
        <w:t xml:space="preserve">Borders are </w:t>
      </w:r>
      <w:r w:rsidRPr="00037C61">
        <w:rPr>
          <w:b/>
          <w:lang w:val="en-GB"/>
        </w:rPr>
        <w:t xml:space="preserve">multidimensional, </w:t>
      </w:r>
      <w:r w:rsidRPr="00037C61">
        <w:rPr>
          <w:lang w:val="en-GB"/>
        </w:rPr>
        <w:t>meaning they can be described and a</w:t>
      </w:r>
      <w:r w:rsidR="002A4322" w:rsidRPr="00037C61">
        <w:rPr>
          <w:lang w:val="en-GB"/>
        </w:rPr>
        <w:t>nalys</w:t>
      </w:r>
      <w:r w:rsidRPr="00037C61">
        <w:rPr>
          <w:lang w:val="en-GB"/>
        </w:rPr>
        <w:t>ed based on a multitude of key characteristics</w:t>
      </w:r>
      <w:r w:rsidR="0055630A" w:rsidRPr="00037C61">
        <w:rPr>
          <w:lang w:val="en-GB"/>
        </w:rPr>
        <w:t>: political nature of the borders, natural, economic and socio-cultural characteristics.</w:t>
      </w:r>
      <w:r w:rsidR="0055630A" w:rsidRPr="00037C61">
        <w:rPr>
          <w:b/>
          <w:lang w:val="en-GB"/>
        </w:rPr>
        <w:t xml:space="preserve"> </w:t>
      </w:r>
      <w:r w:rsidR="0055630A" w:rsidRPr="00037C61">
        <w:rPr>
          <w:lang w:val="en-GB"/>
        </w:rPr>
        <w:t xml:space="preserve">ESPON GEOSPECS (2012) defines </w:t>
      </w:r>
      <w:r w:rsidR="0055630A" w:rsidRPr="00037C61">
        <w:rPr>
          <w:b/>
          <w:bCs/>
          <w:i/>
          <w:iCs/>
          <w:lang w:val="en-GB"/>
        </w:rPr>
        <w:t>border effects</w:t>
      </w:r>
      <w:r w:rsidR="0055630A" w:rsidRPr="00037C61">
        <w:rPr>
          <w:lang w:val="en-GB"/>
        </w:rPr>
        <w:t xml:space="preserve"> as consequences which can result from this multidimensional reality of European </w:t>
      </w:r>
      <w:r w:rsidR="00413C68" w:rsidRPr="00037C61">
        <w:rPr>
          <w:lang w:val="en-GB"/>
        </w:rPr>
        <w:t>borders and</w:t>
      </w:r>
      <w:r w:rsidR="00F8093E" w:rsidRPr="00037C61">
        <w:rPr>
          <w:lang w:val="en-GB"/>
        </w:rPr>
        <w:t xml:space="preserve"> classifies them based on the nature of their effect in „closure effects” (discriminatory filters, or barriers) and „opening effects” (interfaces, commonalities, or enablers). </w:t>
      </w:r>
    </w:p>
    <w:p w14:paraId="6713F4C1" w14:textId="7037A1E3" w:rsidR="009B6FBE" w:rsidRPr="00037C61" w:rsidRDefault="00652456" w:rsidP="00652456">
      <w:pPr>
        <w:rPr>
          <w:b/>
          <w:bCs/>
          <w:lang w:val="en-GB"/>
        </w:rPr>
      </w:pPr>
      <w:r w:rsidRPr="00037C61">
        <w:rPr>
          <w:lang w:val="en-GB"/>
        </w:rPr>
        <w:t>The Romanian-Hungarian border is primarily associated with the ubiquitous polity and policy dimension. However, it possesses several other features which are related to the particular physical, geographical, socio-cultural and economic context in both countries</w:t>
      </w:r>
      <w:r w:rsidR="0055630A" w:rsidRPr="00037C61">
        <w:rPr>
          <w:lang w:val="en-GB"/>
        </w:rPr>
        <w:t xml:space="preserve">, </w:t>
      </w:r>
      <w:r w:rsidRPr="00037C61">
        <w:rPr>
          <w:lang w:val="en-GB"/>
        </w:rPr>
        <w:t xml:space="preserve">which can represent either </w:t>
      </w:r>
      <w:r w:rsidRPr="00037C61">
        <w:rPr>
          <w:b/>
          <w:bCs/>
          <w:lang w:val="en-GB"/>
        </w:rPr>
        <w:t xml:space="preserve">enablers or barriers to cross-border cooperation. </w:t>
      </w:r>
    </w:p>
    <w:p w14:paraId="1AB5E9EF" w14:textId="4AC9AAD0" w:rsidR="001112BA" w:rsidRPr="00037C61" w:rsidRDefault="52230E0C" w:rsidP="00F7747D">
      <w:pPr>
        <w:rPr>
          <w:lang w:val="en-GB"/>
        </w:rPr>
      </w:pPr>
      <w:r w:rsidRPr="00037C61">
        <w:rPr>
          <w:lang w:val="en-GB"/>
        </w:rPr>
        <w:t xml:space="preserve">Apart from the natural / topographical ones, all characteristics of the border areas are conditioned by </w:t>
      </w:r>
      <w:r w:rsidRPr="00037C61">
        <w:rPr>
          <w:b/>
          <w:bCs/>
          <w:lang w:val="en-GB"/>
        </w:rPr>
        <w:t>domestic policy action</w:t>
      </w:r>
      <w:r w:rsidRPr="00037C61">
        <w:rPr>
          <w:lang w:val="en-GB"/>
        </w:rPr>
        <w:t xml:space="preserve"> in both Romania and Hungary - but they </w:t>
      </w:r>
      <w:r w:rsidRPr="00037C61">
        <w:rPr>
          <w:b/>
          <w:bCs/>
          <w:lang w:val="en-GB"/>
        </w:rPr>
        <w:t>generate cross-border implications</w:t>
      </w:r>
      <w:r w:rsidRPr="00037C61">
        <w:rPr>
          <w:lang w:val="en-GB"/>
        </w:rPr>
        <w:t xml:space="preserve"> affecting the socio-economic dynamics of the PA and the livelihoods of citizens in both countries. In fact, many border effects in the PA are associated with several dimensions and represent a result of </w:t>
      </w:r>
      <w:r w:rsidRPr="00037C61">
        <w:rPr>
          <w:b/>
          <w:bCs/>
          <w:lang w:val="en-GB"/>
        </w:rPr>
        <w:t>cross-impacts</w:t>
      </w:r>
      <w:r w:rsidRPr="00037C61">
        <w:rPr>
          <w:lang w:val="en-GB"/>
        </w:rPr>
        <w:t xml:space="preserve">. For example, the political-administrative dimension and the level of infrastructure development impact the performance of cross-border mobility at road border crossings. </w:t>
      </w:r>
    </w:p>
    <w:p w14:paraId="12C89D27" w14:textId="527DA3BA" w:rsidR="00F7747D" w:rsidRPr="00037C61" w:rsidRDefault="00F7747D" w:rsidP="001112BA">
      <w:pPr>
        <w:spacing w:line="256" w:lineRule="auto"/>
        <w:rPr>
          <w:lang w:val="en-GB"/>
        </w:rPr>
      </w:pPr>
      <w:r w:rsidRPr="00037C61">
        <w:rPr>
          <w:lang w:val="en-GB"/>
        </w:rPr>
        <w:t xml:space="preserve">For the cross-border </w:t>
      </w:r>
      <w:r w:rsidR="005171E7" w:rsidRPr="00037C61">
        <w:rPr>
          <w:lang w:val="en-GB"/>
        </w:rPr>
        <w:t>programme area</w:t>
      </w:r>
      <w:r w:rsidRPr="00037C61">
        <w:rPr>
          <w:lang w:val="en-GB"/>
        </w:rPr>
        <w:t xml:space="preserve"> between Romania and Hungary, we define a synthesis matrix of the border realities highlighted in the thematic analysis (Chapter 2) on the main politico-administrative, socio-cultural, economic and physical dimensions (</w:t>
      </w:r>
      <w:r w:rsidR="008C077A" w:rsidRPr="00037C61">
        <w:rPr>
          <w:lang w:val="en-GB"/>
        </w:rPr>
        <w:fldChar w:fldCharType="begin"/>
      </w:r>
      <w:r w:rsidR="008C077A" w:rsidRPr="00037C61">
        <w:rPr>
          <w:lang w:val="en-GB"/>
        </w:rPr>
        <w:instrText xml:space="preserve"> REF _Ref50295412 \h </w:instrText>
      </w:r>
      <w:r w:rsidR="008C077A" w:rsidRPr="00037C61">
        <w:rPr>
          <w:lang w:val="en-GB"/>
        </w:rPr>
      </w:r>
      <w:r w:rsidR="008C077A" w:rsidRPr="00037C61">
        <w:rPr>
          <w:lang w:val="en-GB"/>
        </w:rPr>
        <w:fldChar w:fldCharType="separate"/>
      </w:r>
      <w:r w:rsidR="00050E54" w:rsidRPr="00037C61">
        <w:rPr>
          <w:lang w:val="en-GB"/>
        </w:rPr>
        <w:t xml:space="preserve">Table </w:t>
      </w:r>
      <w:r w:rsidR="00050E54">
        <w:rPr>
          <w:noProof/>
          <w:lang w:val="en-GB"/>
        </w:rPr>
        <w:t>51</w:t>
      </w:r>
      <w:r w:rsidR="008C077A" w:rsidRPr="00037C61">
        <w:rPr>
          <w:lang w:val="en-GB"/>
        </w:rPr>
        <w:fldChar w:fldCharType="end"/>
      </w:r>
      <w:r w:rsidR="008C077A" w:rsidRPr="00037C61">
        <w:rPr>
          <w:lang w:val="en-GB"/>
        </w:rPr>
        <w:t xml:space="preserve">). </w:t>
      </w:r>
    </w:p>
    <w:p w14:paraId="4FAEAE59" w14:textId="7B637C0C" w:rsidR="00F7747D" w:rsidRPr="00037C61" w:rsidRDefault="00F7747D" w:rsidP="001112BA">
      <w:pPr>
        <w:spacing w:line="256" w:lineRule="auto"/>
        <w:rPr>
          <w:lang w:val="en-GB"/>
        </w:rPr>
      </w:pPr>
    </w:p>
    <w:p w14:paraId="329AD1E5" w14:textId="77777777" w:rsidR="00F7747D" w:rsidRPr="00037C61" w:rsidRDefault="00F7747D" w:rsidP="001112BA">
      <w:pPr>
        <w:spacing w:line="256" w:lineRule="auto"/>
        <w:rPr>
          <w:lang w:val="en-GB"/>
        </w:rPr>
      </w:pPr>
    </w:p>
    <w:p w14:paraId="21AFD22F" w14:textId="77777777" w:rsidR="00F7747D" w:rsidRPr="00037C61" w:rsidRDefault="00F7747D" w:rsidP="001112BA">
      <w:pPr>
        <w:spacing w:line="256" w:lineRule="auto"/>
        <w:rPr>
          <w:lang w:val="en-GB"/>
        </w:rPr>
      </w:pPr>
    </w:p>
    <w:p w14:paraId="1CBAF022" w14:textId="4F91A690" w:rsidR="00F7747D" w:rsidRPr="00037C61" w:rsidRDefault="00F7747D" w:rsidP="001112BA">
      <w:pPr>
        <w:spacing w:line="256" w:lineRule="auto"/>
        <w:rPr>
          <w:lang w:val="en-GB"/>
        </w:rPr>
        <w:sectPr w:rsidR="00F7747D" w:rsidRPr="00037C61" w:rsidSect="009E4103">
          <w:headerReference w:type="default" r:id="rId287"/>
          <w:footerReference w:type="first" r:id="rId288"/>
          <w:pgSz w:w="11906" w:h="16838"/>
          <w:pgMar w:top="1713" w:right="1440" w:bottom="1440" w:left="1440" w:header="708" w:footer="828" w:gutter="0"/>
          <w:cols w:space="708"/>
          <w:docGrid w:linePitch="360"/>
        </w:sectPr>
      </w:pPr>
    </w:p>
    <w:p w14:paraId="1E418AA9" w14:textId="101F52DF" w:rsidR="001112BA" w:rsidRPr="00037C61" w:rsidRDefault="001112BA" w:rsidP="001112BA">
      <w:pPr>
        <w:spacing w:line="256" w:lineRule="auto"/>
        <w:rPr>
          <w:lang w:val="en-GB"/>
        </w:rPr>
      </w:pPr>
    </w:p>
    <w:p w14:paraId="47CF101A" w14:textId="38FF017E" w:rsidR="00F7747D" w:rsidRPr="00037C61" w:rsidRDefault="00F7747D" w:rsidP="00F7747D">
      <w:pPr>
        <w:pStyle w:val="Caption"/>
        <w:keepNext/>
        <w:jc w:val="left"/>
        <w:rPr>
          <w:lang w:val="en-GB"/>
        </w:rPr>
      </w:pPr>
      <w:bookmarkStart w:id="849" w:name="_Ref50295412"/>
      <w:bookmarkStart w:id="850" w:name="_Toc50584213"/>
      <w:bookmarkStart w:id="851" w:name="_Toc58237673"/>
      <w:r w:rsidRPr="00037C61">
        <w:rPr>
          <w:lang w:val="en-GB"/>
        </w:rPr>
        <w:t xml:space="preserve">Table </w:t>
      </w:r>
      <w:r w:rsidR="00552808" w:rsidRPr="00037C61">
        <w:rPr>
          <w:lang w:val="en-GB"/>
        </w:rPr>
        <w:fldChar w:fldCharType="begin"/>
      </w:r>
      <w:r w:rsidR="00552808" w:rsidRPr="00037C61">
        <w:rPr>
          <w:lang w:val="en-GB"/>
        </w:rPr>
        <w:instrText xml:space="preserve"> SEQ Table \* ARABIC </w:instrText>
      </w:r>
      <w:r w:rsidR="00552808" w:rsidRPr="00037C61">
        <w:rPr>
          <w:lang w:val="en-GB"/>
        </w:rPr>
        <w:fldChar w:fldCharType="separate"/>
      </w:r>
      <w:r w:rsidR="005A7BD8">
        <w:rPr>
          <w:noProof/>
          <w:lang w:val="en-GB"/>
        </w:rPr>
        <w:t>51</w:t>
      </w:r>
      <w:r w:rsidR="00552808" w:rsidRPr="00037C61">
        <w:rPr>
          <w:lang w:val="en-GB"/>
        </w:rPr>
        <w:fldChar w:fldCharType="end"/>
      </w:r>
      <w:bookmarkEnd w:id="849"/>
      <w:r w:rsidRPr="00037C61">
        <w:rPr>
          <w:lang w:val="en-GB"/>
        </w:rPr>
        <w:t xml:space="preserve"> - Synthetic matrix of enabling border realities and barriers</w:t>
      </w:r>
      <w:bookmarkEnd w:id="850"/>
      <w:bookmarkEnd w:id="851"/>
      <w:r w:rsidRPr="00037C61">
        <w:rPr>
          <w:lang w:val="en-GB"/>
        </w:rPr>
        <w:t xml:space="preserve"> </w:t>
      </w:r>
    </w:p>
    <w:tbl>
      <w:tblPr>
        <w:tblStyle w:val="GridTable4-Accent11"/>
        <w:tblW w:w="14170" w:type="dxa"/>
        <w:tblLayout w:type="fixed"/>
        <w:tblLook w:val="0620" w:firstRow="1" w:lastRow="0" w:firstColumn="0" w:lastColumn="0" w:noHBand="1" w:noVBand="1"/>
      </w:tblPr>
      <w:tblGrid>
        <w:gridCol w:w="1271"/>
        <w:gridCol w:w="3402"/>
        <w:gridCol w:w="2410"/>
        <w:gridCol w:w="3260"/>
        <w:gridCol w:w="3827"/>
      </w:tblGrid>
      <w:tr w:rsidR="00EF4973" w:rsidRPr="00037C61" w14:paraId="3166BF00" w14:textId="77777777" w:rsidTr="00457478">
        <w:trPr>
          <w:cnfStyle w:val="100000000000" w:firstRow="1" w:lastRow="0" w:firstColumn="0" w:lastColumn="0" w:oddVBand="0" w:evenVBand="0" w:oddHBand="0" w:evenHBand="0" w:firstRowFirstColumn="0" w:firstRowLastColumn="0" w:lastRowFirstColumn="0" w:lastRowLastColumn="0"/>
          <w:trHeight w:val="595"/>
          <w:tblHeader/>
        </w:trPr>
        <w:tc>
          <w:tcPr>
            <w:tcW w:w="1271" w:type="dxa"/>
          </w:tcPr>
          <w:p w14:paraId="4FE2C28B" w14:textId="11E06D66" w:rsidR="00EF4973" w:rsidRPr="00037C61" w:rsidRDefault="00EF4973" w:rsidP="00E30B7F">
            <w:pPr>
              <w:jc w:val="center"/>
              <w:rPr>
                <w:rFonts w:eastAsia="Calibri" w:cs="Calibri"/>
                <w:bCs w:val="0"/>
                <w:color w:val="FFFFFF"/>
                <w:sz w:val="18"/>
                <w:szCs w:val="18"/>
                <w:lang w:val="en-GB"/>
              </w:rPr>
            </w:pPr>
            <w:r w:rsidRPr="00037C61">
              <w:rPr>
                <w:rFonts w:eastAsia="Calibri" w:cs="Calibri"/>
                <w:bCs w:val="0"/>
                <w:color w:val="FFFFFF"/>
                <w:sz w:val="18"/>
                <w:szCs w:val="18"/>
                <w:lang w:val="en-GB"/>
              </w:rPr>
              <w:t xml:space="preserve">BORDER </w:t>
            </w:r>
            <w:r w:rsidR="009615C8" w:rsidRPr="00037C61">
              <w:rPr>
                <w:rFonts w:eastAsia="Calibri" w:cs="Calibri"/>
                <w:bCs w:val="0"/>
                <w:color w:val="FFFFFF"/>
                <w:sz w:val="18"/>
                <w:szCs w:val="18"/>
                <w:lang w:val="en-GB"/>
              </w:rPr>
              <w:t xml:space="preserve">REALITY </w:t>
            </w:r>
            <w:r w:rsidRPr="00037C61">
              <w:rPr>
                <w:rFonts w:eastAsia="Calibri" w:cs="Calibri"/>
                <w:bCs w:val="0"/>
                <w:color w:val="FFFFFF"/>
                <w:sz w:val="18"/>
                <w:szCs w:val="18"/>
                <w:lang w:val="en-GB"/>
              </w:rPr>
              <w:t xml:space="preserve"> MATRIX </w:t>
            </w:r>
          </w:p>
        </w:tc>
        <w:tc>
          <w:tcPr>
            <w:tcW w:w="3402" w:type="dxa"/>
          </w:tcPr>
          <w:p w14:paraId="537125DF" w14:textId="6F84ACB6" w:rsidR="00EF4973" w:rsidRPr="00037C61" w:rsidRDefault="00EF4973" w:rsidP="00E30B7F">
            <w:pPr>
              <w:jc w:val="center"/>
              <w:rPr>
                <w:rFonts w:eastAsia="Calibri" w:cs="Calibri"/>
                <w:bCs w:val="0"/>
                <w:color w:val="FFFFFF"/>
                <w:sz w:val="18"/>
                <w:szCs w:val="18"/>
                <w:lang w:val="en-GB"/>
              </w:rPr>
            </w:pPr>
            <w:r w:rsidRPr="00037C61">
              <w:rPr>
                <w:rFonts w:eastAsia="Calibri" w:cs="Calibri"/>
                <w:bCs w:val="0"/>
                <w:color w:val="FFFFFF"/>
                <w:sz w:val="18"/>
                <w:szCs w:val="18"/>
                <w:lang w:val="en-GB"/>
              </w:rPr>
              <w:t>Politico-administrative dimension</w:t>
            </w:r>
          </w:p>
        </w:tc>
        <w:tc>
          <w:tcPr>
            <w:tcW w:w="2410" w:type="dxa"/>
          </w:tcPr>
          <w:p w14:paraId="6EED3FC9" w14:textId="77B7A05F" w:rsidR="00EF4973" w:rsidRPr="00037C61" w:rsidRDefault="00EF4973" w:rsidP="00E30B7F">
            <w:pPr>
              <w:jc w:val="center"/>
              <w:rPr>
                <w:rFonts w:eastAsia="Calibri" w:cs="Calibri"/>
                <w:bCs w:val="0"/>
                <w:color w:val="FFFFFF"/>
                <w:sz w:val="18"/>
                <w:szCs w:val="18"/>
                <w:lang w:val="en-GB"/>
              </w:rPr>
            </w:pPr>
            <w:r w:rsidRPr="00037C61">
              <w:rPr>
                <w:rFonts w:eastAsia="Calibri" w:cs="Calibri"/>
                <w:bCs w:val="0"/>
                <w:color w:val="FFFFFF"/>
                <w:sz w:val="18"/>
                <w:szCs w:val="18"/>
                <w:lang w:val="en-GB"/>
              </w:rPr>
              <w:t>Socio-cultural dimension</w:t>
            </w:r>
          </w:p>
        </w:tc>
        <w:tc>
          <w:tcPr>
            <w:tcW w:w="3260" w:type="dxa"/>
          </w:tcPr>
          <w:p w14:paraId="69957668" w14:textId="067546CA" w:rsidR="00EF4973" w:rsidRPr="00037C61" w:rsidRDefault="00EF4973" w:rsidP="00E30B7F">
            <w:pPr>
              <w:jc w:val="center"/>
              <w:rPr>
                <w:rFonts w:eastAsia="Calibri" w:cs="Calibri"/>
                <w:bCs w:val="0"/>
                <w:color w:val="FFFFFF"/>
                <w:sz w:val="18"/>
                <w:szCs w:val="18"/>
                <w:lang w:val="en-GB"/>
              </w:rPr>
            </w:pPr>
            <w:r w:rsidRPr="00037C61">
              <w:rPr>
                <w:rFonts w:eastAsia="Calibri" w:cs="Calibri"/>
                <w:bCs w:val="0"/>
                <w:color w:val="FFFFFF"/>
                <w:sz w:val="18"/>
                <w:szCs w:val="18"/>
                <w:lang w:val="en-GB"/>
              </w:rPr>
              <w:t>Economic dimension</w:t>
            </w:r>
          </w:p>
        </w:tc>
        <w:tc>
          <w:tcPr>
            <w:tcW w:w="3827" w:type="dxa"/>
          </w:tcPr>
          <w:p w14:paraId="36C6C9DC" w14:textId="01F8CC88" w:rsidR="00EF4973" w:rsidRPr="00037C61" w:rsidRDefault="00EF4973" w:rsidP="00E30B7F">
            <w:pPr>
              <w:jc w:val="center"/>
              <w:rPr>
                <w:rFonts w:eastAsia="Calibri" w:cs="Calibri"/>
                <w:bCs w:val="0"/>
                <w:color w:val="FFFFFF"/>
                <w:sz w:val="18"/>
                <w:szCs w:val="18"/>
                <w:lang w:val="en-GB"/>
              </w:rPr>
            </w:pPr>
            <w:r w:rsidRPr="00037C61">
              <w:rPr>
                <w:rFonts w:eastAsia="Calibri" w:cs="Calibri"/>
                <w:bCs w:val="0"/>
                <w:color w:val="FFFFFF"/>
                <w:sz w:val="18"/>
                <w:szCs w:val="18"/>
                <w:lang w:val="en-GB"/>
              </w:rPr>
              <w:t>Physical dimension</w:t>
            </w:r>
          </w:p>
        </w:tc>
      </w:tr>
      <w:tr w:rsidR="00EF4973" w:rsidRPr="004A5488" w14:paraId="0505E4B4" w14:textId="77777777" w:rsidTr="00457478">
        <w:trPr>
          <w:trHeight w:val="677"/>
        </w:trPr>
        <w:tc>
          <w:tcPr>
            <w:tcW w:w="1271" w:type="dxa"/>
            <w:vAlign w:val="center"/>
          </w:tcPr>
          <w:p w14:paraId="585CA6AB" w14:textId="449BC081" w:rsidR="00EF4973" w:rsidRPr="00037C61" w:rsidRDefault="00EF4973" w:rsidP="009615C8">
            <w:pPr>
              <w:jc w:val="center"/>
              <w:rPr>
                <w:rFonts w:eastAsia="Calibri" w:cs="Calibri"/>
                <w:b/>
                <w:bCs/>
                <w:sz w:val="18"/>
                <w:szCs w:val="18"/>
                <w:lang w:val="en-GB"/>
              </w:rPr>
            </w:pPr>
            <w:r w:rsidRPr="00037C61">
              <w:rPr>
                <w:rFonts w:eastAsia="Calibri" w:cs="Calibri"/>
                <w:b/>
                <w:bCs/>
                <w:sz w:val="18"/>
                <w:szCs w:val="18"/>
                <w:lang w:val="en-GB"/>
              </w:rPr>
              <w:t>ENABLERS</w:t>
            </w:r>
          </w:p>
        </w:tc>
        <w:tc>
          <w:tcPr>
            <w:tcW w:w="3402" w:type="dxa"/>
          </w:tcPr>
          <w:p w14:paraId="6A16769E" w14:textId="358F7FD1" w:rsidR="00EF4973" w:rsidRPr="00037C61" w:rsidRDefault="00E30B7F"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Similar </w:t>
            </w:r>
            <w:r w:rsidR="005078CB" w:rsidRPr="00037C61">
              <w:rPr>
                <w:rFonts w:cs="Calibri"/>
                <w:sz w:val="18"/>
                <w:szCs w:val="18"/>
                <w:lang w:val="en-GB"/>
              </w:rPr>
              <w:t xml:space="preserve">political </w:t>
            </w:r>
            <w:r w:rsidRPr="00037C61">
              <w:rPr>
                <w:rFonts w:cs="Calibri"/>
                <w:sz w:val="18"/>
                <w:szCs w:val="18"/>
                <w:lang w:val="en-GB"/>
              </w:rPr>
              <w:t xml:space="preserve">administrative systems:  with NUTS 2 statistical-administrative regions, NUTS 3 counties, and LAU 2 local administrative units, enabling horizontal institutional cooperation; </w:t>
            </w:r>
          </w:p>
          <w:p w14:paraId="5A9CB4ED" w14:textId="51275E72" w:rsidR="00E30B7F" w:rsidRPr="00037C61" w:rsidRDefault="00E30B7F"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The consulates-general of Romania in Hungary are both located in the </w:t>
            </w:r>
            <w:r w:rsidR="005171E7" w:rsidRPr="00037C61">
              <w:rPr>
                <w:rFonts w:cs="Calibri"/>
                <w:sz w:val="18"/>
                <w:szCs w:val="18"/>
                <w:lang w:val="en-GB"/>
              </w:rPr>
              <w:t>programme area</w:t>
            </w:r>
            <w:r w:rsidRPr="00037C61">
              <w:rPr>
                <w:rFonts w:cs="Calibri"/>
                <w:sz w:val="18"/>
                <w:szCs w:val="18"/>
                <w:lang w:val="en-GB"/>
              </w:rPr>
              <w:t xml:space="preserve">, in Gyula and Szeged; </w:t>
            </w:r>
          </w:p>
          <w:p w14:paraId="2F95EB33" w14:textId="1CEE697E" w:rsidR="00966EBB" w:rsidRPr="00037C61" w:rsidRDefault="73A3A756"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Long-standing cross-border twinning tradition, most relevantly between potential FA cities (Timișoara – Szeged, Arad – Gyula, Arad – Hódmezővásárhely, Oradea – Debrecen, Satu Mare – Nyíregyháza)</w:t>
            </w:r>
            <w:r w:rsidR="6AAC8CC5" w:rsidRPr="00037C61">
              <w:rPr>
                <w:rFonts w:cs="Calibri"/>
                <w:sz w:val="18"/>
                <w:szCs w:val="18"/>
                <w:lang w:val="en-GB"/>
              </w:rPr>
              <w:t>;</w:t>
            </w:r>
            <w:r w:rsidRPr="00037C61">
              <w:rPr>
                <w:rFonts w:cs="Calibri"/>
                <w:sz w:val="18"/>
                <w:szCs w:val="18"/>
                <w:lang w:val="en-GB"/>
              </w:rPr>
              <w:t xml:space="preserve"> </w:t>
            </w:r>
          </w:p>
          <w:p w14:paraId="4DBA3233" w14:textId="2D0501BA" w:rsidR="00F34086" w:rsidRPr="00037C61" w:rsidRDefault="00F34086"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Joint participation in other cooperation programmes (Interreg Danube Transnational Programme, Interreg Europe, ESPON, Urbact); </w:t>
            </w:r>
          </w:p>
        </w:tc>
        <w:tc>
          <w:tcPr>
            <w:tcW w:w="2410" w:type="dxa"/>
          </w:tcPr>
          <w:p w14:paraId="26EAFD0B" w14:textId="5570698D" w:rsidR="00A52490" w:rsidRPr="00037C61" w:rsidRDefault="00884841"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Because of the physical dimension advantages (green border, common development), there are significant population clusters very close to the border, which facilitates exchange and integration of labour pools of cities such as Debrecen and Oradea; </w:t>
            </w:r>
          </w:p>
          <w:p w14:paraId="3B873CB2" w14:textId="2B7C33A8" w:rsidR="00A52490" w:rsidRPr="00037C61" w:rsidRDefault="5A32B097"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Rich shared cultural heritage</w:t>
            </w:r>
            <w:r w:rsidR="1758FDAE" w:rsidRPr="00037C61">
              <w:rPr>
                <w:rFonts w:cs="Calibri"/>
                <w:sz w:val="18"/>
                <w:szCs w:val="18"/>
                <w:lang w:val="en-GB"/>
              </w:rPr>
              <w:t xml:space="preserve">, </w:t>
            </w:r>
            <w:r w:rsidRPr="00037C61">
              <w:rPr>
                <w:rFonts w:cs="Calibri"/>
                <w:sz w:val="18"/>
                <w:szCs w:val="18"/>
                <w:lang w:val="en-GB"/>
              </w:rPr>
              <w:t>including jointly promoted heritage either through common projects / initiatives or through European networks (eg. Réseau Art Nouveau Network cultural route)</w:t>
            </w:r>
            <w:r w:rsidR="19D0EF7F" w:rsidRPr="00037C61">
              <w:rPr>
                <w:rFonts w:cs="Calibri"/>
                <w:sz w:val="18"/>
                <w:szCs w:val="18"/>
                <w:lang w:val="en-GB"/>
              </w:rPr>
              <w:t>;</w:t>
            </w:r>
            <w:r w:rsidRPr="00037C61">
              <w:rPr>
                <w:rFonts w:cs="Calibri"/>
                <w:sz w:val="18"/>
                <w:szCs w:val="18"/>
                <w:lang w:val="en-GB"/>
              </w:rPr>
              <w:t xml:space="preserve"> </w:t>
            </w:r>
          </w:p>
          <w:p w14:paraId="1DADBE4A" w14:textId="26EF9E7C" w:rsidR="00B173AC" w:rsidRPr="00037C61" w:rsidRDefault="00B173AC" w:rsidP="005E0849">
            <w:pPr>
              <w:ind w:left="33"/>
              <w:jc w:val="left"/>
              <w:rPr>
                <w:rFonts w:cs="Calibri"/>
                <w:sz w:val="18"/>
                <w:szCs w:val="18"/>
                <w:lang w:val="en-GB"/>
              </w:rPr>
            </w:pPr>
          </w:p>
        </w:tc>
        <w:tc>
          <w:tcPr>
            <w:tcW w:w="3260" w:type="dxa"/>
          </w:tcPr>
          <w:p w14:paraId="22CBCF35" w14:textId="10C9917C" w:rsidR="008C077A" w:rsidRPr="00037C61" w:rsidRDefault="1BCA352F"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Although </w:t>
            </w:r>
            <w:r w:rsidR="008C077A" w:rsidRPr="00037C61">
              <w:rPr>
                <w:rFonts w:cs="Calibri"/>
                <w:sz w:val="18"/>
                <w:szCs w:val="18"/>
                <w:lang w:val="en-GB"/>
              </w:rPr>
              <w:t>still a catching up region with internal disparities from the point of view of GDP, GVA and FDI, in the last 10 years there has been convergence between the two parts of the cross-border region, making implementation of</w:t>
            </w:r>
            <w:r w:rsidR="78A2BDE4" w:rsidRPr="00037C61">
              <w:rPr>
                <w:rFonts w:cs="Calibri"/>
                <w:sz w:val="18"/>
                <w:szCs w:val="18"/>
                <w:lang w:val="en-GB"/>
              </w:rPr>
              <w:t xml:space="preserve"> joint</w:t>
            </w:r>
            <w:r w:rsidR="008C077A" w:rsidRPr="00037C61">
              <w:rPr>
                <w:rFonts w:cs="Calibri"/>
                <w:sz w:val="18"/>
                <w:szCs w:val="18"/>
                <w:lang w:val="en-GB"/>
              </w:rPr>
              <w:t xml:space="preserve"> economic policies </w:t>
            </w:r>
            <w:r w:rsidR="78A2BDE4" w:rsidRPr="00037C61">
              <w:rPr>
                <w:rFonts w:cs="Calibri"/>
                <w:sz w:val="18"/>
                <w:szCs w:val="18"/>
                <w:lang w:val="en-GB"/>
              </w:rPr>
              <w:t xml:space="preserve">an opportunity; </w:t>
            </w:r>
          </w:p>
          <w:p w14:paraId="54235C68" w14:textId="7CEF0CEC" w:rsidR="00B173AC" w:rsidRPr="00037C61" w:rsidRDefault="00B173AC"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Economic synergies and potential cooperation domains in ICT, services, construction, energy, tourism, sport and health, </w:t>
            </w:r>
            <w:r w:rsidR="00413C68" w:rsidRPr="00037C61">
              <w:rPr>
                <w:rFonts w:cs="Calibri"/>
                <w:sz w:val="18"/>
                <w:szCs w:val="18"/>
                <w:lang w:val="en-GB"/>
              </w:rPr>
              <w:t>agri-food</w:t>
            </w:r>
            <w:r w:rsidRPr="00037C61">
              <w:rPr>
                <w:rFonts w:cs="Calibri"/>
                <w:sz w:val="18"/>
                <w:szCs w:val="18"/>
                <w:lang w:val="en-GB"/>
              </w:rPr>
              <w:t xml:space="preserve"> / bioeconomy; </w:t>
            </w:r>
          </w:p>
          <w:p w14:paraId="44B139F4" w14:textId="1E7E5FAA" w:rsidR="008C077A" w:rsidRPr="00037C61" w:rsidRDefault="008C077A"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Complementarity of specialisation, with a dominance of industrial sectors on the Romanian side (especially in the south two counties) and a profile specialized on services, finance and public services in the Hungarian side</w:t>
            </w:r>
            <w:r w:rsidR="19BC89B8" w:rsidRPr="00037C61">
              <w:rPr>
                <w:rFonts w:cs="Calibri"/>
                <w:sz w:val="18"/>
                <w:szCs w:val="18"/>
                <w:lang w:val="en-GB"/>
              </w:rPr>
              <w:t>;</w:t>
            </w:r>
            <w:r w:rsidRPr="00037C61">
              <w:rPr>
                <w:rFonts w:cs="Calibri"/>
                <w:sz w:val="18"/>
                <w:szCs w:val="18"/>
                <w:lang w:val="en-GB"/>
              </w:rPr>
              <w:t xml:space="preserve"> </w:t>
            </w:r>
          </w:p>
          <w:p w14:paraId="04CA7504" w14:textId="6DF67DE8" w:rsidR="00A52490" w:rsidRPr="00037C61" w:rsidRDefault="6446A0E8"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Hajdú-Bihar, Csongrád-Csanád and Timiș represent developed R&amp;D and university centres in the regional context, which already have established links (with ca. 60% researchers in Hungary working on both side of the border); </w:t>
            </w:r>
          </w:p>
          <w:p w14:paraId="76AC8FF2" w14:textId="1019CDF3" w:rsidR="00B173AC" w:rsidRPr="00037C61" w:rsidRDefault="00B173AC"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High potential for cross-border valorisation of cultural and natural heritage through cooperation in tourism, connected services and creative industries; </w:t>
            </w:r>
          </w:p>
        </w:tc>
        <w:tc>
          <w:tcPr>
            <w:tcW w:w="3827" w:type="dxa"/>
          </w:tcPr>
          <w:p w14:paraId="491204FA" w14:textId="77777777" w:rsidR="00F34086" w:rsidRPr="00037C61" w:rsidRDefault="00F34086" w:rsidP="00E30B7F">
            <w:pPr>
              <w:jc w:val="left"/>
              <w:rPr>
                <w:rFonts w:eastAsia="Calibri" w:cs="Calibri"/>
                <w:sz w:val="18"/>
                <w:szCs w:val="18"/>
                <w:lang w:val="en-GB"/>
              </w:rPr>
            </w:pPr>
          </w:p>
          <w:p w14:paraId="5A3BFEF2" w14:textId="131CFFB3" w:rsidR="00F34086" w:rsidRPr="00037C61" w:rsidRDefault="00F34086"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No natural obstacles: the border between Romania and Hungary is a „green border”</w:t>
            </w:r>
            <w:r w:rsidR="004E3DFE" w:rsidRPr="00037C61">
              <w:rPr>
                <w:rFonts w:cs="Calibri"/>
                <w:sz w:val="18"/>
                <w:szCs w:val="18"/>
                <w:lang w:val="en-GB"/>
              </w:rPr>
              <w:t xml:space="preserve"> (ESPON-INTERACT, 2007)</w:t>
            </w:r>
            <w:r w:rsidRPr="00037C61">
              <w:rPr>
                <w:rFonts w:cs="Calibri"/>
                <w:sz w:val="18"/>
                <w:szCs w:val="18"/>
                <w:lang w:val="en-GB"/>
              </w:rPr>
              <w:t xml:space="preserve">, </w:t>
            </w:r>
            <w:r w:rsidR="004E3DFE" w:rsidRPr="00037C61">
              <w:rPr>
                <w:rFonts w:cs="Calibri"/>
                <w:sz w:val="18"/>
                <w:szCs w:val="18"/>
                <w:lang w:val="en-GB"/>
              </w:rPr>
              <w:t>a plain area in which physical obstacles such as mountain ranges or large rivers do not exist, facilitating movement;</w:t>
            </w:r>
          </w:p>
          <w:p w14:paraId="1DE4FDE2" w14:textId="441FBC2D" w:rsidR="00EF4973" w:rsidRPr="00037C61" w:rsidRDefault="004E3DFE"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Rivers and riparian zones represent an element of continuity between the two countries, creating corridors perpendicular to the border (Mureș, Crișul Alb, Crișul Repede, Someș) which have historically represented corridors of development and can represent a point of natural area management convergence; </w:t>
            </w:r>
          </w:p>
          <w:p w14:paraId="1082F50C" w14:textId="7128C43D" w:rsidR="0004131F" w:rsidRPr="00037C61" w:rsidRDefault="00222DAC"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The Romanian-Hungarian border sector features good prerequisites for increased cross-border mobility – 15 international traffic crossing points (10 by road, and 5 by rail), relatively evenly distributed with an average spacing of ca. 43 km</w:t>
            </w:r>
            <w:r w:rsidR="4787CBFD" w:rsidRPr="00037C61">
              <w:rPr>
                <w:rFonts w:cs="Calibri"/>
                <w:sz w:val="18"/>
                <w:szCs w:val="18"/>
                <w:lang w:val="en-GB"/>
              </w:rPr>
              <w:t>;</w:t>
            </w:r>
          </w:p>
          <w:p w14:paraId="7B24A823" w14:textId="525D1DA9" w:rsidR="0004131F" w:rsidRPr="00037C61" w:rsidRDefault="52230E0C"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Complementary regional air transport infrastructure, with an important international hub in the south of the PA (Timișoara Airport, 1.6 mil. Passengers per year), a large airport towards the northern part of the cooperation area (Debrecen Airport, ca. 360,000 passengers per year), and several small airports and ports, which can be valorized in the cross-border context; </w:t>
            </w:r>
          </w:p>
        </w:tc>
      </w:tr>
      <w:tr w:rsidR="00EF4973" w:rsidRPr="004A5488" w14:paraId="6B13132E" w14:textId="77777777" w:rsidTr="00457478">
        <w:trPr>
          <w:trHeight w:val="902"/>
        </w:trPr>
        <w:tc>
          <w:tcPr>
            <w:tcW w:w="1271" w:type="dxa"/>
            <w:vAlign w:val="center"/>
          </w:tcPr>
          <w:p w14:paraId="525F1828" w14:textId="2634F29A" w:rsidR="00EF4973" w:rsidRPr="00037C61" w:rsidRDefault="00EF4973" w:rsidP="009615C8">
            <w:pPr>
              <w:jc w:val="center"/>
              <w:rPr>
                <w:rFonts w:eastAsia="Calibri" w:cs="Calibri"/>
                <w:b/>
                <w:bCs/>
                <w:sz w:val="18"/>
                <w:szCs w:val="18"/>
                <w:lang w:val="en-GB"/>
              </w:rPr>
            </w:pPr>
            <w:r w:rsidRPr="00037C61">
              <w:rPr>
                <w:rFonts w:eastAsia="Calibri" w:cs="Calibri"/>
                <w:b/>
                <w:bCs/>
                <w:sz w:val="18"/>
                <w:szCs w:val="18"/>
                <w:lang w:val="en-GB"/>
              </w:rPr>
              <w:lastRenderedPageBreak/>
              <w:t>BARRIERS</w:t>
            </w:r>
          </w:p>
        </w:tc>
        <w:tc>
          <w:tcPr>
            <w:tcW w:w="3402" w:type="dxa"/>
          </w:tcPr>
          <w:p w14:paraId="18CE745D" w14:textId="6517A8DD" w:rsidR="00E30B7F" w:rsidRPr="00037C61" w:rsidRDefault="322C2650" w:rsidP="00014AA0">
            <w:pPr>
              <w:pStyle w:val="InterregROHUBullet1"/>
              <w:numPr>
                <w:ilvl w:val="0"/>
                <w:numId w:val="7"/>
              </w:numPr>
              <w:spacing w:after="160"/>
              <w:ind w:left="175" w:hanging="142"/>
              <w:jc w:val="left"/>
              <w:rPr>
                <w:sz w:val="18"/>
                <w:szCs w:val="18"/>
              </w:rPr>
            </w:pPr>
            <w:r w:rsidRPr="00037C61">
              <w:rPr>
                <w:sz w:val="18"/>
                <w:szCs w:val="18"/>
              </w:rPr>
              <w:t>Romania and Hungary have different Schengen status</w:t>
            </w:r>
            <w:r w:rsidR="468BA86A" w:rsidRPr="00037C61">
              <w:rPr>
                <w:sz w:val="18"/>
                <w:szCs w:val="18"/>
              </w:rPr>
              <w:t xml:space="preserve">; movement across the border is significantly reduced compared to intra-Schengen national borders; </w:t>
            </w:r>
          </w:p>
          <w:p w14:paraId="1DB38F00" w14:textId="70F5912D" w:rsidR="00E30B7F" w:rsidRPr="00037C61" w:rsidRDefault="009615C8" w:rsidP="00014AA0">
            <w:pPr>
              <w:pStyle w:val="InterregROHUBullet1"/>
              <w:numPr>
                <w:ilvl w:val="0"/>
                <w:numId w:val="7"/>
              </w:numPr>
              <w:spacing w:after="160"/>
              <w:ind w:left="175" w:hanging="142"/>
              <w:jc w:val="left"/>
              <w:rPr>
                <w:sz w:val="18"/>
                <w:szCs w:val="18"/>
              </w:rPr>
            </w:pPr>
            <w:r w:rsidRPr="00037C61">
              <w:rPr>
                <w:sz w:val="18"/>
                <w:szCs w:val="18"/>
              </w:rPr>
              <w:t xml:space="preserve">Romania and Hungary have different currencies (Romanian Leu, Hungarian Forint), different standard VAT rates (19% and 27%) and different effective tax rates on gross salaries (42% and 34% respectively), adding complexity to trade and CB business collaboration; </w:t>
            </w:r>
          </w:p>
          <w:p w14:paraId="716C7054" w14:textId="79CA94B4" w:rsidR="00CA36DF" w:rsidRPr="00037C61" w:rsidRDefault="00CA36DF" w:rsidP="00014AA0">
            <w:pPr>
              <w:pStyle w:val="InterregROHUBullet1"/>
              <w:numPr>
                <w:ilvl w:val="0"/>
                <w:numId w:val="7"/>
              </w:numPr>
              <w:spacing w:after="160"/>
              <w:ind w:left="175" w:hanging="142"/>
              <w:jc w:val="left"/>
              <w:rPr>
                <w:sz w:val="18"/>
                <w:szCs w:val="18"/>
              </w:rPr>
            </w:pPr>
            <w:r w:rsidRPr="00037C61">
              <w:rPr>
                <w:sz w:val="18"/>
                <w:szCs w:val="18"/>
              </w:rPr>
              <w:t>Differences in administrative levels and delivery of certain public services may add complexity or b</w:t>
            </w:r>
            <w:r w:rsidR="00AC2652" w:rsidRPr="00037C61">
              <w:rPr>
                <w:sz w:val="18"/>
                <w:szCs w:val="18"/>
              </w:rPr>
              <w:t xml:space="preserve">arriers to cross-border PS initiatives;  </w:t>
            </w:r>
          </w:p>
        </w:tc>
        <w:tc>
          <w:tcPr>
            <w:tcW w:w="2410" w:type="dxa"/>
          </w:tcPr>
          <w:p w14:paraId="3704097C" w14:textId="2B54E70A" w:rsidR="00EF4973" w:rsidRPr="00037C61" w:rsidRDefault="32DA97D2"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For </w:t>
            </w:r>
            <w:r w:rsidR="3EF1ABB4" w:rsidRPr="00037C61">
              <w:rPr>
                <w:rFonts w:cs="Calibri"/>
                <w:sz w:val="18"/>
                <w:szCs w:val="18"/>
                <w:lang w:val="en-GB"/>
              </w:rPr>
              <w:t>not bili</w:t>
            </w:r>
            <w:r w:rsidR="5D31D654" w:rsidRPr="00037C61">
              <w:rPr>
                <w:rFonts w:cs="Calibri"/>
                <w:sz w:val="18"/>
                <w:szCs w:val="18"/>
                <w:lang w:val="en-GB"/>
              </w:rPr>
              <w:t>n</w:t>
            </w:r>
            <w:r w:rsidR="3EF1ABB4" w:rsidRPr="00037C61">
              <w:rPr>
                <w:rFonts w:cs="Calibri"/>
                <w:sz w:val="18"/>
                <w:szCs w:val="18"/>
                <w:lang w:val="en-GB"/>
              </w:rPr>
              <w:t xml:space="preserve">gual </w:t>
            </w:r>
            <w:r w:rsidRPr="00037C61">
              <w:rPr>
                <w:rFonts w:cs="Calibri"/>
                <w:sz w:val="18"/>
                <w:szCs w:val="18"/>
                <w:lang w:val="en-GB"/>
              </w:rPr>
              <w:t>citizens l, l</w:t>
            </w:r>
            <w:r w:rsidR="596DF3BB" w:rsidRPr="00037C61">
              <w:rPr>
                <w:rFonts w:cs="Calibri"/>
                <w:sz w:val="18"/>
                <w:szCs w:val="18"/>
                <w:lang w:val="en-GB"/>
              </w:rPr>
              <w:t>anguage (Hungarian – fino-ugric, and Romanian –</w:t>
            </w:r>
            <w:r w:rsidR="00413C68" w:rsidRPr="00037C61">
              <w:rPr>
                <w:rFonts w:cs="Calibri"/>
                <w:sz w:val="18"/>
                <w:szCs w:val="18"/>
                <w:lang w:val="en-GB"/>
              </w:rPr>
              <w:t xml:space="preserve"> latin</w:t>
            </w:r>
            <w:r w:rsidR="596DF3BB" w:rsidRPr="00037C61">
              <w:rPr>
                <w:rFonts w:cs="Calibri"/>
                <w:sz w:val="18"/>
                <w:szCs w:val="18"/>
                <w:lang w:val="en-GB"/>
              </w:rPr>
              <w:t xml:space="preserve">) is a </w:t>
            </w:r>
            <w:r w:rsidR="1821DE26" w:rsidRPr="00037C61">
              <w:rPr>
                <w:rFonts w:cs="Calibri"/>
                <w:sz w:val="18"/>
                <w:szCs w:val="18"/>
                <w:lang w:val="en-GB"/>
              </w:rPr>
              <w:t>hard barrier rather than a centripetal force especially on the Hungarian side, where the ethnic mix is lower than in Romania</w:t>
            </w:r>
            <w:r w:rsidR="78A2BDE4" w:rsidRPr="00037C61">
              <w:rPr>
                <w:rFonts w:cs="Calibri"/>
                <w:sz w:val="18"/>
                <w:szCs w:val="18"/>
                <w:lang w:val="en-GB"/>
              </w:rPr>
              <w:t xml:space="preserve">; </w:t>
            </w:r>
          </w:p>
          <w:p w14:paraId="50E3BA27" w14:textId="3A500F62" w:rsidR="00087802" w:rsidRPr="00037C61" w:rsidRDefault="00B173AC"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Different </w:t>
            </w:r>
            <w:r w:rsidR="00413C68" w:rsidRPr="00037C61">
              <w:rPr>
                <w:rFonts w:cs="Calibri"/>
                <w:sz w:val="18"/>
                <w:szCs w:val="18"/>
                <w:lang w:val="en-GB"/>
              </w:rPr>
              <w:t>r</w:t>
            </w:r>
            <w:r w:rsidR="009A4591" w:rsidRPr="00037C61">
              <w:rPr>
                <w:rFonts w:cs="Calibri"/>
                <w:sz w:val="18"/>
                <w:szCs w:val="18"/>
                <w:lang w:val="en-GB"/>
              </w:rPr>
              <w:t>eligion</w:t>
            </w:r>
            <w:r w:rsidRPr="00037C61">
              <w:rPr>
                <w:rFonts w:cs="Calibri"/>
                <w:sz w:val="18"/>
                <w:szCs w:val="18"/>
                <w:lang w:val="en-GB"/>
              </w:rPr>
              <w:t xml:space="preserve"> (catholic and orthodox)</w:t>
            </w:r>
            <w:r w:rsidR="00087802" w:rsidRPr="00037C61">
              <w:rPr>
                <w:rFonts w:cs="Calibri"/>
                <w:sz w:val="18"/>
                <w:szCs w:val="18"/>
                <w:lang w:val="en-GB"/>
              </w:rPr>
              <w:t xml:space="preserve">; </w:t>
            </w:r>
          </w:p>
        </w:tc>
        <w:tc>
          <w:tcPr>
            <w:tcW w:w="3260" w:type="dxa"/>
          </w:tcPr>
          <w:p w14:paraId="291FDF37" w14:textId="57B612C8" w:rsidR="00B173AC" w:rsidRPr="00037C61" w:rsidRDefault="661A661F"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Uneven development of business support infrastructure (</w:t>
            </w:r>
            <w:r w:rsidR="35E6D84A" w:rsidRPr="00037C61">
              <w:rPr>
                <w:rFonts w:cs="Calibri"/>
                <w:sz w:val="18"/>
                <w:szCs w:val="18"/>
                <w:lang w:val="en-GB"/>
              </w:rPr>
              <w:t>e.g.</w:t>
            </w:r>
            <w:r w:rsidRPr="00037C61">
              <w:rPr>
                <w:rFonts w:cs="Calibri"/>
                <w:sz w:val="18"/>
                <w:szCs w:val="18"/>
                <w:lang w:val="en-GB"/>
              </w:rPr>
              <w:t xml:space="preserve"> industrial parks, three times less in Romania) indicates potential barriers</w:t>
            </w:r>
            <w:r w:rsidR="3A42C44E" w:rsidRPr="00037C61">
              <w:rPr>
                <w:rFonts w:cs="Calibri"/>
                <w:sz w:val="18"/>
                <w:szCs w:val="18"/>
                <w:lang w:val="en-GB"/>
              </w:rPr>
              <w:t>;</w:t>
            </w:r>
            <w:r w:rsidRPr="00037C61">
              <w:rPr>
                <w:rFonts w:cs="Calibri"/>
                <w:sz w:val="18"/>
                <w:szCs w:val="18"/>
                <w:lang w:val="en-GB"/>
              </w:rPr>
              <w:t xml:space="preserve"> </w:t>
            </w:r>
          </w:p>
          <w:p w14:paraId="0FDF0E7E" w14:textId="33E340E5" w:rsidR="00EF4973" w:rsidRPr="00037C61" w:rsidRDefault="00EF4973" w:rsidP="005E0849">
            <w:pPr>
              <w:jc w:val="left"/>
              <w:rPr>
                <w:rFonts w:cs="Calibri"/>
                <w:sz w:val="18"/>
                <w:szCs w:val="18"/>
                <w:lang w:val="en-GB"/>
              </w:rPr>
            </w:pPr>
          </w:p>
        </w:tc>
        <w:tc>
          <w:tcPr>
            <w:tcW w:w="3827" w:type="dxa"/>
          </w:tcPr>
          <w:p w14:paraId="7B41A11B" w14:textId="7EFB5D17" w:rsidR="004F037A" w:rsidRPr="00037C61" w:rsidRDefault="004F037A"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Although advantaged by the topography, the border permeability is quite low due to the low carrying capacity of the infrastructure connecting the two countries. Isochrones of 45 and 60 minutes show a higher net accessibility in Hungary</w:t>
            </w:r>
            <w:r w:rsidR="5B263919" w:rsidRPr="00037C61">
              <w:rPr>
                <w:rFonts w:cs="Calibri"/>
                <w:sz w:val="18"/>
                <w:szCs w:val="18"/>
                <w:lang w:val="en-GB"/>
              </w:rPr>
              <w:t>;</w:t>
            </w:r>
            <w:r w:rsidRPr="00037C61">
              <w:rPr>
                <w:rFonts w:cs="Calibri"/>
                <w:sz w:val="18"/>
                <w:szCs w:val="18"/>
                <w:lang w:val="en-GB"/>
              </w:rPr>
              <w:t xml:space="preserve"> </w:t>
            </w:r>
          </w:p>
          <w:p w14:paraId="521578CA" w14:textId="7B3D1F4D" w:rsidR="0004131F" w:rsidRPr="00037C61" w:rsidRDefault="0004131F"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Low road and rail network density in the border area, </w:t>
            </w:r>
            <w:r w:rsidR="00FF373B" w:rsidRPr="00037C61">
              <w:rPr>
                <w:rFonts w:cs="Calibri"/>
                <w:sz w:val="18"/>
                <w:szCs w:val="18"/>
                <w:lang w:val="en-GB"/>
              </w:rPr>
              <w:t>and low accessibility in spite of a relatively high proximity index (Dijkstra, Poleman &amp; Ackermans, 2018)</w:t>
            </w:r>
            <w:r w:rsidR="004F037A" w:rsidRPr="00037C61">
              <w:rPr>
                <w:rFonts w:cs="Calibri"/>
                <w:sz w:val="18"/>
                <w:szCs w:val="18"/>
                <w:lang w:val="en-GB"/>
              </w:rPr>
              <w:t xml:space="preserve">, which reduce attractiveness of border commuting; </w:t>
            </w:r>
          </w:p>
          <w:p w14:paraId="6AD40673" w14:textId="010F5F43" w:rsidR="00EF4973" w:rsidRPr="00037C61" w:rsidRDefault="00FF373B" w:rsidP="00014AA0">
            <w:pPr>
              <w:pStyle w:val="ListParagraph"/>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Limited passenger transport service provided by private companies and no joint public transport initiatives in the cross-border area; existing service not calibrated with the timing of daily commute, and vulnerable to unforeseen events such as border closures; </w:t>
            </w:r>
          </w:p>
          <w:p w14:paraId="630861D0" w14:textId="68A878E0" w:rsidR="00EF4973" w:rsidRPr="00037C61" w:rsidRDefault="00FF373B" w:rsidP="00014AA0">
            <w:pPr>
              <w:pStyle w:val="ListParagraph"/>
              <w:keepNext/>
              <w:numPr>
                <w:ilvl w:val="0"/>
                <w:numId w:val="7"/>
              </w:numPr>
              <w:spacing w:after="160" w:line="240" w:lineRule="auto"/>
              <w:ind w:left="175" w:hanging="142"/>
              <w:jc w:val="left"/>
              <w:rPr>
                <w:rFonts w:cs="Calibri"/>
                <w:sz w:val="18"/>
                <w:szCs w:val="18"/>
                <w:lang w:val="en-GB"/>
              </w:rPr>
            </w:pPr>
            <w:r w:rsidRPr="00037C61">
              <w:rPr>
                <w:rFonts w:cs="Calibri"/>
                <w:sz w:val="18"/>
                <w:szCs w:val="18"/>
                <w:lang w:val="en-GB"/>
              </w:rPr>
              <w:t xml:space="preserve">Fragmented natural heritage protection and management strategies, with NATURA 2000 sites (most specifically SPAs) delineated on the administrative border, in lack of joint / co-management; </w:t>
            </w:r>
          </w:p>
        </w:tc>
      </w:tr>
    </w:tbl>
    <w:p w14:paraId="1002F574" w14:textId="6FA54FEB" w:rsidR="5CA115F1" w:rsidRPr="00037C61" w:rsidRDefault="5CA115F1">
      <w:pPr>
        <w:rPr>
          <w:lang w:val="en-GB"/>
        </w:rPr>
      </w:pPr>
    </w:p>
    <w:p w14:paraId="7F6D1AAF" w14:textId="303D6FC1" w:rsidR="008C077A" w:rsidRPr="00037C61" w:rsidRDefault="008C077A" w:rsidP="008C077A">
      <w:pPr>
        <w:keepNext/>
        <w:spacing w:after="0" w:line="256" w:lineRule="auto"/>
        <w:rPr>
          <w:lang w:val="en-GB"/>
        </w:rPr>
      </w:pPr>
      <w:r w:rsidRPr="00037C61">
        <w:rPr>
          <w:noProof/>
          <w:lang w:val="ro-RO" w:eastAsia="ro-RO"/>
        </w:rPr>
        <w:lastRenderedPageBreak/>
        <w:drawing>
          <wp:inline distT="0" distB="0" distL="0" distR="0" wp14:anchorId="4E0AF9DE" wp14:editId="246491C4">
            <wp:extent cx="7962900" cy="5092703"/>
            <wp:effectExtent l="38100" t="38100" r="38100" b="317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289" cstate="print">
                      <a:extLst>
                        <a:ext uri="{28A0092B-C50C-407E-A947-70E740481C1C}">
                          <a14:useLocalDpi xmlns:a14="http://schemas.microsoft.com/office/drawing/2010/main"/>
                        </a:ext>
                      </a:extLst>
                    </a:blip>
                    <a:stretch>
                      <a:fillRect/>
                    </a:stretch>
                  </pic:blipFill>
                  <pic:spPr bwMode="auto">
                    <a:xfrm>
                      <a:off x="0" y="0"/>
                      <a:ext cx="7979791" cy="5103506"/>
                    </a:xfrm>
                    <a:prstGeom prst="rect">
                      <a:avLst/>
                    </a:prstGeom>
                    <a:ln w="28575">
                      <a:solidFill>
                        <a:schemeClr val="bg2"/>
                      </a:solidFill>
                    </a:ln>
                    <a:extLst>
                      <a:ext uri="{53640926-AAD7-44D8-BBD7-CCE9431645EC}">
                        <a14:shadowObscured xmlns:a14="http://schemas.microsoft.com/office/drawing/2010/main"/>
                      </a:ext>
                    </a:extLst>
                  </pic:spPr>
                </pic:pic>
              </a:graphicData>
            </a:graphic>
          </wp:inline>
        </w:drawing>
      </w:r>
    </w:p>
    <w:p w14:paraId="698A471A" w14:textId="5AEC18B8" w:rsidR="008C077A" w:rsidRPr="00037C61" w:rsidRDefault="008C077A" w:rsidP="008C077A">
      <w:pPr>
        <w:pStyle w:val="Caption"/>
        <w:jc w:val="both"/>
        <w:rPr>
          <w:lang w:val="en-GB"/>
        </w:rPr>
      </w:pPr>
      <w:bookmarkStart w:id="852" w:name="_Toc50657606"/>
      <w:bookmarkStart w:id="853" w:name="_Toc6461108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140</w:t>
      </w:r>
      <w:r w:rsidR="00412697">
        <w:rPr>
          <w:lang w:val="en-GB"/>
        </w:rPr>
        <w:fldChar w:fldCharType="end"/>
      </w:r>
      <w:r w:rsidRPr="00037C61">
        <w:rPr>
          <w:lang w:val="en-GB"/>
        </w:rPr>
        <w:t xml:space="preserve"> - Typology of functional urban areas in border areas.</w:t>
      </w:r>
      <w:bookmarkEnd w:id="852"/>
      <w:bookmarkEnd w:id="853"/>
      <w:r w:rsidRPr="00037C61">
        <w:rPr>
          <w:lang w:val="en-GB"/>
        </w:rPr>
        <w:t xml:space="preserve"> </w:t>
      </w:r>
    </w:p>
    <w:p w14:paraId="1C7D93FA" w14:textId="13CE39C0" w:rsidR="001112BA" w:rsidRPr="00037C61" w:rsidRDefault="008C077A" w:rsidP="008C077A">
      <w:pPr>
        <w:pStyle w:val="Caption"/>
        <w:jc w:val="both"/>
        <w:rPr>
          <w:lang w:val="en-GB"/>
        </w:rPr>
      </w:pPr>
      <w:r w:rsidRPr="00037C61">
        <w:rPr>
          <w:lang w:val="en-GB"/>
        </w:rPr>
        <w:t xml:space="preserve">Source: ESPON GEOSPECS (2012) </w:t>
      </w:r>
    </w:p>
    <w:p w14:paraId="388A90DE" w14:textId="3E74A8D4" w:rsidR="008C077A" w:rsidRPr="00037C61" w:rsidRDefault="008C077A" w:rsidP="008C077A">
      <w:pPr>
        <w:rPr>
          <w:lang w:val="en-GB"/>
        </w:rPr>
        <w:sectPr w:rsidR="008C077A" w:rsidRPr="00037C61" w:rsidSect="001112BA">
          <w:headerReference w:type="default" r:id="rId290"/>
          <w:footerReference w:type="first" r:id="rId291"/>
          <w:pgSz w:w="16838" w:h="11906" w:orient="landscape"/>
          <w:pgMar w:top="1440" w:right="1713" w:bottom="1440" w:left="1440" w:header="708" w:footer="828" w:gutter="0"/>
          <w:cols w:space="708"/>
          <w:docGrid w:linePitch="360"/>
        </w:sectPr>
      </w:pPr>
    </w:p>
    <w:p w14:paraId="2A9FC30D" w14:textId="7DF06734" w:rsidR="001142D1" w:rsidRPr="00037C61" w:rsidRDefault="6446A0E8" w:rsidP="00BB1B56">
      <w:pPr>
        <w:pStyle w:val="Heading2"/>
        <w:rPr>
          <w:rFonts w:eastAsia="Calibri"/>
        </w:rPr>
      </w:pPr>
      <w:bookmarkStart w:id="854" w:name="_Toc53137228"/>
      <w:bookmarkStart w:id="855" w:name="_Toc50723355"/>
      <w:bookmarkStart w:id="856" w:name="_Toc64619566"/>
      <w:r w:rsidRPr="00037C61">
        <w:rPr>
          <w:rFonts w:eastAsia="Calibri"/>
        </w:rPr>
        <w:lastRenderedPageBreak/>
        <w:t>Cross-border linkages</w:t>
      </w:r>
      <w:r w:rsidR="00C36342" w:rsidRPr="00037C61">
        <w:rPr>
          <w:rFonts w:eastAsia="Calibri"/>
        </w:rPr>
        <w:t>,</w:t>
      </w:r>
      <w:r w:rsidRPr="00037C61">
        <w:rPr>
          <w:rFonts w:eastAsia="Calibri"/>
        </w:rPr>
        <w:t xml:space="preserve"> catchment areas</w:t>
      </w:r>
      <w:bookmarkEnd w:id="854"/>
      <w:bookmarkEnd w:id="855"/>
      <w:r w:rsidRPr="00037C61">
        <w:rPr>
          <w:rFonts w:eastAsia="Calibri"/>
        </w:rPr>
        <w:t xml:space="preserve"> </w:t>
      </w:r>
      <w:r w:rsidR="00C36342" w:rsidRPr="00037C61">
        <w:rPr>
          <w:rFonts w:eastAsia="Calibri"/>
        </w:rPr>
        <w:t>and territorial particularities</w:t>
      </w:r>
      <w:bookmarkEnd w:id="856"/>
    </w:p>
    <w:p w14:paraId="11013210" w14:textId="4AA9F403" w:rsidR="00C36342" w:rsidRPr="00037C61" w:rsidRDefault="00C36342" w:rsidP="00457478">
      <w:pPr>
        <w:pStyle w:val="Heading3"/>
      </w:pPr>
      <w:bookmarkStart w:id="857" w:name="_Toc64619567"/>
      <w:r w:rsidRPr="00037C61">
        <w:t>Linkages and common catchment areas</w:t>
      </w:r>
      <w:bookmarkEnd w:id="857"/>
      <w:r w:rsidRPr="00037C61">
        <w:t xml:space="preserve"> </w:t>
      </w:r>
    </w:p>
    <w:p w14:paraId="5A87E2AE" w14:textId="26EDEF47" w:rsidR="00F3072A" w:rsidRPr="00037C61" w:rsidRDefault="00F3072A" w:rsidP="00F3072A">
      <w:pPr>
        <w:spacing w:line="256" w:lineRule="auto"/>
        <w:rPr>
          <w:rFonts w:eastAsia="Calibri" w:cs="Calibri"/>
          <w:lang w:val="en-GB"/>
        </w:rPr>
      </w:pPr>
      <w:r w:rsidRPr="00037C61">
        <w:rPr>
          <w:rFonts w:eastAsia="Calibri" w:cs="Calibri"/>
          <w:lang w:val="en-GB"/>
        </w:rPr>
        <w:t xml:space="preserve">Commuting and labour mobility, cross-border transport of goods and intensity of service use by persons outside the jurisdiction of a border administration represent key evidence for delineating cross-border catchment areas in the </w:t>
      </w:r>
      <w:r w:rsidR="005171E7" w:rsidRPr="00037C61">
        <w:rPr>
          <w:rFonts w:eastAsia="Calibri" w:cs="Calibri"/>
          <w:lang w:val="en-GB"/>
        </w:rPr>
        <w:t>programme area</w:t>
      </w:r>
      <w:r w:rsidRPr="00037C61">
        <w:rPr>
          <w:rFonts w:eastAsia="Calibri" w:cs="Calibri"/>
          <w:lang w:val="en-GB"/>
        </w:rPr>
        <w:t xml:space="preserve"> between Romania and Hungary. While there is a low level of data availability at sub-national level in both countries with respect to these data, several particularities can still be highlighte</w:t>
      </w:r>
      <w:r w:rsidR="00E13454" w:rsidRPr="00037C61">
        <w:rPr>
          <w:rFonts w:eastAsia="Calibri" w:cs="Calibri"/>
          <w:lang w:val="en-GB"/>
        </w:rPr>
        <w:t xml:space="preserve">d, especially by placing the region in European context and leveraging on existing studies such as </w:t>
      </w:r>
      <w:bookmarkStart w:id="858" w:name="_Hlk55727391"/>
      <w:r w:rsidR="00E13454" w:rsidRPr="00037C61">
        <w:rPr>
          <w:rFonts w:eastAsia="Calibri" w:cs="Calibri"/>
          <w:lang w:val="en-GB"/>
        </w:rPr>
        <w:t xml:space="preserve">ESPON TRACC (2012), </w:t>
      </w:r>
      <w:bookmarkEnd w:id="858"/>
      <w:r w:rsidR="00E13454" w:rsidRPr="00037C61">
        <w:rPr>
          <w:rFonts w:eastAsia="Calibri" w:cs="Calibri"/>
          <w:lang w:val="en-GB"/>
        </w:rPr>
        <w:t xml:space="preserve">which highlight </w:t>
      </w:r>
      <w:r w:rsidR="000D0552" w:rsidRPr="00037C61">
        <w:rPr>
          <w:rFonts w:eastAsia="Calibri" w:cs="Calibri"/>
          <w:lang w:val="en-GB"/>
        </w:rPr>
        <w:t xml:space="preserve">particularities and disparities in regional accessibility patterns. </w:t>
      </w:r>
    </w:p>
    <w:p w14:paraId="2A10106B" w14:textId="0F81A538" w:rsidR="00F3072A" w:rsidRPr="00037C61" w:rsidRDefault="00F3072A" w:rsidP="00F3072A">
      <w:pPr>
        <w:keepNext/>
        <w:spacing w:after="0" w:line="256" w:lineRule="auto"/>
        <w:rPr>
          <w:lang w:val="en-GB"/>
        </w:rPr>
      </w:pPr>
      <w:r w:rsidRPr="00037C61">
        <w:rPr>
          <w:noProof/>
          <w:lang w:val="ro-RO" w:eastAsia="ro-RO"/>
        </w:rPr>
        <w:drawing>
          <wp:inline distT="0" distB="0" distL="0" distR="0" wp14:anchorId="019533DD" wp14:editId="4138C24D">
            <wp:extent cx="5562600" cy="6324493"/>
            <wp:effectExtent l="38100" t="38100" r="38100" b="387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rotWithShape="1">
                    <a:blip r:embed="rId292" cstate="print">
                      <a:extLst>
                        <a:ext uri="{28A0092B-C50C-407E-A947-70E740481C1C}">
                          <a14:useLocalDpi xmlns:a14="http://schemas.microsoft.com/office/drawing/2010/main"/>
                        </a:ext>
                      </a:extLst>
                    </a:blip>
                    <a:srcRect/>
                    <a:stretch/>
                  </pic:blipFill>
                  <pic:spPr bwMode="auto">
                    <a:xfrm>
                      <a:off x="0" y="0"/>
                      <a:ext cx="5565757" cy="6328082"/>
                    </a:xfrm>
                    <a:prstGeom prst="rect">
                      <a:avLst/>
                    </a:prstGeom>
                    <a:noFill/>
                    <a:ln w="28575">
                      <a:solidFill>
                        <a:schemeClr val="bg2"/>
                      </a:solidFill>
                    </a:ln>
                    <a:extLst>
                      <a:ext uri="{53640926-AAD7-44D8-BBD7-CCE9431645EC}">
                        <a14:shadowObscured xmlns:a14="http://schemas.microsoft.com/office/drawing/2010/main"/>
                      </a:ext>
                    </a:extLst>
                  </pic:spPr>
                </pic:pic>
              </a:graphicData>
            </a:graphic>
          </wp:inline>
        </w:drawing>
      </w:r>
    </w:p>
    <w:p w14:paraId="45529F3B" w14:textId="4BEE0664" w:rsidR="00F3072A" w:rsidRPr="00037C61" w:rsidRDefault="00F3072A" w:rsidP="00F3072A">
      <w:pPr>
        <w:pStyle w:val="Caption"/>
        <w:jc w:val="both"/>
        <w:rPr>
          <w:lang w:val="en-GB"/>
        </w:rPr>
      </w:pPr>
      <w:bookmarkStart w:id="859" w:name="_Ref50467956"/>
      <w:bookmarkStart w:id="860" w:name="_Toc50657607"/>
      <w:bookmarkStart w:id="861" w:name="_Toc6461108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141</w:t>
      </w:r>
      <w:r w:rsidR="00412697">
        <w:rPr>
          <w:lang w:val="en-GB"/>
        </w:rPr>
        <w:fldChar w:fldCharType="end"/>
      </w:r>
      <w:bookmarkEnd w:id="859"/>
      <w:r w:rsidRPr="00037C61">
        <w:rPr>
          <w:lang w:val="en-GB"/>
        </w:rPr>
        <w:t xml:space="preserve"> - Cross-border urban connectivity in European context.</w:t>
      </w:r>
      <w:bookmarkEnd w:id="860"/>
      <w:bookmarkEnd w:id="861"/>
      <w:r w:rsidRPr="00037C61">
        <w:rPr>
          <w:lang w:val="en-GB"/>
        </w:rPr>
        <w:t xml:space="preserve"> </w:t>
      </w:r>
    </w:p>
    <w:p w14:paraId="35F9B033" w14:textId="411125C8" w:rsidR="00F3072A" w:rsidRPr="00037C61" w:rsidRDefault="00F3072A" w:rsidP="00E13454">
      <w:pPr>
        <w:pStyle w:val="Caption"/>
        <w:jc w:val="both"/>
        <w:rPr>
          <w:lang w:val="en-GB"/>
        </w:rPr>
      </w:pPr>
      <w:r w:rsidRPr="00037C61">
        <w:rPr>
          <w:lang w:val="en-GB"/>
        </w:rPr>
        <w:t>Source: ESPON TRACC (2012)</w:t>
      </w:r>
    </w:p>
    <w:p w14:paraId="68FDF0A2" w14:textId="7527C8AE" w:rsidR="000D0552" w:rsidRPr="00037C61" w:rsidRDefault="00426CDB" w:rsidP="00F3072A">
      <w:pPr>
        <w:spacing w:line="256" w:lineRule="auto"/>
        <w:rPr>
          <w:lang w:val="en-GB"/>
        </w:rPr>
      </w:pPr>
      <w:r w:rsidRPr="00037C61">
        <w:rPr>
          <w:b/>
          <w:lang w:val="en-GB"/>
        </w:rPr>
        <w:lastRenderedPageBreak/>
        <w:t>With respect to the main linkages</w:t>
      </w:r>
      <w:r w:rsidRPr="00037C61">
        <w:rPr>
          <w:lang w:val="en-GB"/>
        </w:rPr>
        <w:t>, r</w:t>
      </w:r>
      <w:r w:rsidR="000D0552" w:rsidRPr="00037C61">
        <w:rPr>
          <w:lang w:val="en-GB"/>
        </w:rPr>
        <w:t xml:space="preserve">oad transport is </w:t>
      </w:r>
      <w:r w:rsidR="00741C9A" w:rsidRPr="00037C61">
        <w:rPr>
          <w:lang w:val="en-GB"/>
        </w:rPr>
        <w:t xml:space="preserve">generally </w:t>
      </w:r>
      <w:r w:rsidR="000D0552" w:rsidRPr="00037C61">
        <w:rPr>
          <w:lang w:val="en-GB"/>
        </w:rPr>
        <w:t xml:space="preserve">fastest in short-distance cross-border traffic, and due the underdevelopment of train service, the primary connections in the area </w:t>
      </w:r>
      <w:r w:rsidR="00741C9A" w:rsidRPr="00037C61">
        <w:rPr>
          <w:lang w:val="en-GB"/>
        </w:rPr>
        <w:t xml:space="preserve">are </w:t>
      </w:r>
      <w:r w:rsidR="00413C68" w:rsidRPr="00037C61">
        <w:rPr>
          <w:lang w:val="en-GB"/>
        </w:rPr>
        <w:t>established</w:t>
      </w:r>
      <w:r w:rsidR="00741C9A" w:rsidRPr="00037C61">
        <w:rPr>
          <w:lang w:val="en-GB"/>
        </w:rPr>
        <w:t xml:space="preserve"> exclusively via the road network</w:t>
      </w:r>
      <w:r w:rsidR="000D0552" w:rsidRPr="00037C61">
        <w:rPr>
          <w:lang w:val="en-GB"/>
        </w:rPr>
        <w:t xml:space="preserve">. The administrative border effect generates an overall reduced cross-border mobility, especially outside the main transport corridors – however, put into regional perspective, the </w:t>
      </w:r>
      <w:r w:rsidR="00E13454" w:rsidRPr="00037C61">
        <w:rPr>
          <w:lang w:val="en-GB"/>
        </w:rPr>
        <w:t xml:space="preserve">city-to-city relations below </w:t>
      </w:r>
      <w:r w:rsidR="000D0552" w:rsidRPr="00037C61">
        <w:rPr>
          <w:lang w:val="en-GB"/>
        </w:rPr>
        <w:t xml:space="preserve">a </w:t>
      </w:r>
      <w:r w:rsidR="00E13454" w:rsidRPr="00037C61">
        <w:rPr>
          <w:lang w:val="en-GB"/>
        </w:rPr>
        <w:t xml:space="preserve">300 minute threshold </w:t>
      </w:r>
      <w:r w:rsidR="000D0552" w:rsidRPr="00037C61">
        <w:rPr>
          <w:lang w:val="en-GB"/>
        </w:rPr>
        <w:t xml:space="preserve">for cities over 50,000 inhabitants are </w:t>
      </w:r>
      <w:r w:rsidR="000D0552" w:rsidRPr="00037C61">
        <w:rPr>
          <w:b/>
          <w:lang w:val="en-GB"/>
        </w:rPr>
        <w:t xml:space="preserve">significantly higher in the </w:t>
      </w:r>
      <w:r w:rsidR="005171E7" w:rsidRPr="00037C61">
        <w:rPr>
          <w:b/>
          <w:bCs/>
          <w:lang w:val="en-GB"/>
        </w:rPr>
        <w:t>programme area</w:t>
      </w:r>
      <w:r w:rsidR="00E13454" w:rsidRPr="00037C61">
        <w:rPr>
          <w:b/>
          <w:bCs/>
          <w:lang w:val="en-GB"/>
        </w:rPr>
        <w:t xml:space="preserve"> compared to </w:t>
      </w:r>
      <w:r w:rsidR="000D0552" w:rsidRPr="00037C61">
        <w:rPr>
          <w:b/>
          <w:bCs/>
          <w:lang w:val="en-GB"/>
        </w:rPr>
        <w:t xml:space="preserve">Eastern Europe </w:t>
      </w:r>
      <w:r w:rsidR="000D0552" w:rsidRPr="00037C61">
        <w:rPr>
          <w:lang w:val="en-GB"/>
        </w:rPr>
        <w:t>(Romania, Bulgaria, Moldova, Ukraine)</w:t>
      </w:r>
      <w:r w:rsidR="00E13454" w:rsidRPr="00037C61">
        <w:rPr>
          <w:lang w:val="en-GB"/>
        </w:rPr>
        <w:t xml:space="preserve">, </w:t>
      </w:r>
      <w:r w:rsidR="000D0552" w:rsidRPr="00037C61">
        <w:rPr>
          <w:lang w:val="en-GB"/>
        </w:rPr>
        <w:t>where if connections exist,</w:t>
      </w:r>
      <w:r w:rsidR="00E13454" w:rsidRPr="00037C61">
        <w:rPr>
          <w:lang w:val="en-GB"/>
        </w:rPr>
        <w:t xml:space="preserve"> travel times are on average much longer.</w:t>
      </w:r>
      <w:r w:rsidR="000D0552" w:rsidRPr="00037C61">
        <w:rPr>
          <w:lang w:val="en-GB"/>
        </w:rPr>
        <w:t xml:space="preserve"> </w:t>
      </w:r>
    </w:p>
    <w:p w14:paraId="202778B3" w14:textId="0487D4E5" w:rsidR="007B2F11" w:rsidRPr="00037C61" w:rsidRDefault="000D0552" w:rsidP="00F3072A">
      <w:pPr>
        <w:spacing w:line="256" w:lineRule="auto"/>
        <w:rPr>
          <w:lang w:val="en-GB"/>
        </w:rPr>
      </w:pPr>
      <w:r w:rsidRPr="00037C61">
        <w:rPr>
          <w:lang w:val="en-GB"/>
        </w:rPr>
        <w:t xml:space="preserve">The intensity of above-average urban connections is high for the area, and this is partially attributed to the particularity of the settlement network: there are </w:t>
      </w:r>
      <w:r w:rsidRPr="00037C61">
        <w:rPr>
          <w:b/>
          <w:bCs/>
          <w:lang w:val="en-GB"/>
        </w:rPr>
        <w:t>two urban clusters</w:t>
      </w:r>
      <w:r w:rsidRPr="00037C61">
        <w:rPr>
          <w:lang w:val="en-GB"/>
        </w:rPr>
        <w:t xml:space="preserve"> which, although concentrated more in the Hungarian</w:t>
      </w:r>
      <w:r w:rsidR="00741C9A" w:rsidRPr="00037C61">
        <w:rPr>
          <w:lang w:val="en-GB"/>
        </w:rPr>
        <w:t xml:space="preserve"> side</w:t>
      </w:r>
      <w:r w:rsidR="007B2F11" w:rsidRPr="00037C61">
        <w:rPr>
          <w:lang w:val="en-GB"/>
        </w:rPr>
        <w:t xml:space="preserve">, establish good connections across the border (highlighted, </w:t>
      </w:r>
      <w:r w:rsidR="00552808" w:rsidRPr="00037C61">
        <w:rPr>
          <w:lang w:val="en-GB"/>
        </w:rPr>
        <w:fldChar w:fldCharType="begin"/>
      </w:r>
      <w:r w:rsidR="00552808" w:rsidRPr="00037C61">
        <w:rPr>
          <w:lang w:val="en-GB"/>
        </w:rPr>
        <w:instrText xml:space="preserve"> REF _Ref50467956  \* MERGEFORMAT </w:instrText>
      </w:r>
      <w:r w:rsidR="00552808" w:rsidRPr="00037C61">
        <w:rPr>
          <w:lang w:val="en-GB"/>
        </w:rPr>
        <w:fldChar w:fldCharType="separate"/>
      </w:r>
      <w:r w:rsidR="00A633B8" w:rsidRPr="00037C61">
        <w:rPr>
          <w:lang w:val="en-GB"/>
        </w:rPr>
        <w:t>Figure 128</w:t>
      </w:r>
      <w:r w:rsidR="00552808" w:rsidRPr="00037C61">
        <w:rPr>
          <w:lang w:val="en-GB"/>
        </w:rPr>
        <w:fldChar w:fldCharType="end"/>
      </w:r>
      <w:r w:rsidR="007B2F11" w:rsidRPr="00037C61">
        <w:rPr>
          <w:lang w:val="en-GB"/>
        </w:rPr>
        <w:t xml:space="preserve">): </w:t>
      </w:r>
    </w:p>
    <w:p w14:paraId="44D1E00C" w14:textId="649DCB2A" w:rsidR="007B2F11" w:rsidRPr="00037C61" w:rsidRDefault="007B2F11" w:rsidP="007B2F11">
      <w:pPr>
        <w:pStyle w:val="InterregROHUBullet1"/>
        <w:ind w:left="567"/>
      </w:pPr>
      <w:r w:rsidRPr="00037C61">
        <w:rPr>
          <w:b/>
          <w:bCs w:val="0"/>
        </w:rPr>
        <w:t xml:space="preserve">Szeged – Békéscsaba – Arad – Timișoara cluster </w:t>
      </w:r>
      <w:r w:rsidRPr="00037C61">
        <w:t xml:space="preserve">in the south; </w:t>
      </w:r>
    </w:p>
    <w:p w14:paraId="5A263C29" w14:textId="124AA11E" w:rsidR="007B2F11" w:rsidRPr="00037C61" w:rsidRDefault="007B2F11" w:rsidP="007B2F11">
      <w:pPr>
        <w:pStyle w:val="InterregROHUBullet1"/>
        <w:ind w:left="567"/>
      </w:pPr>
      <w:r w:rsidRPr="00037C61">
        <w:rPr>
          <w:b/>
          <w:bCs w:val="0"/>
        </w:rPr>
        <w:t>Oradea – Debrecen – Nyíregyháza – Satu Mare cluster</w:t>
      </w:r>
      <w:r w:rsidRPr="00037C61">
        <w:t xml:space="preserve"> in the north of the </w:t>
      </w:r>
      <w:r w:rsidR="005171E7" w:rsidRPr="00037C61">
        <w:t>programme area</w:t>
      </w:r>
      <w:r w:rsidRPr="00037C61">
        <w:t xml:space="preserve">. </w:t>
      </w:r>
    </w:p>
    <w:p w14:paraId="6AF67A8B" w14:textId="2AD3B68C" w:rsidR="0072022E" w:rsidRPr="00037C61" w:rsidRDefault="00741C9A" w:rsidP="007B2F11">
      <w:pPr>
        <w:pStyle w:val="InterregROHUBullet1"/>
        <w:numPr>
          <w:ilvl w:val="0"/>
          <w:numId w:val="0"/>
        </w:numPr>
      </w:pPr>
      <w:r w:rsidRPr="00037C61">
        <w:t xml:space="preserve">The settlement network configuration, tributary to the </w:t>
      </w:r>
      <w:r w:rsidR="64322749" w:rsidRPr="00037C61">
        <w:t xml:space="preserve">physical and geographical conditions </w:t>
      </w:r>
      <w:r w:rsidRPr="00037C61">
        <w:t xml:space="preserve">of the region and to an increasing gradient of development potential towards the West in the case of Romania (as opposed to the sparsely populated mountainous area in the eastern parts of Arad and Bihor counties) makes the </w:t>
      </w:r>
      <w:r w:rsidR="005171E7" w:rsidRPr="00037C61">
        <w:t>programme area</w:t>
      </w:r>
      <w:r w:rsidRPr="00037C61">
        <w:t xml:space="preserve"> a highly vascularized one, albeit more with roads of local importance. </w:t>
      </w:r>
      <w:r w:rsidR="0072022E" w:rsidRPr="00037C61">
        <w:t xml:space="preserve">The average distance to the border for the main urban centres is short (10-30 km for Arad, Békéscsaba, Oradea, Debrecen and Satu Mare, and this is a net advantage for potential cross-border labour mobility. </w:t>
      </w:r>
    </w:p>
    <w:p w14:paraId="47D434D2" w14:textId="2643ACFD" w:rsidR="0072022E" w:rsidRPr="00037C61" w:rsidRDefault="0072022E" w:rsidP="007B2F11">
      <w:pPr>
        <w:pStyle w:val="InterregROHUBullet1"/>
        <w:numPr>
          <w:ilvl w:val="0"/>
          <w:numId w:val="0"/>
        </w:numPr>
        <w:rPr>
          <w:rFonts w:eastAsia="Calibri" w:cs="Calibri"/>
        </w:rPr>
      </w:pPr>
      <w:r w:rsidRPr="00037C61">
        <w:t>While the density of border crossings (road, rail) is high for the Romanian-Hungarian border, t</w:t>
      </w:r>
      <w:r w:rsidR="00741C9A" w:rsidRPr="00037C61">
        <w:t xml:space="preserve">here </w:t>
      </w:r>
      <w:r w:rsidRPr="00037C61">
        <w:t>is a reduced number of cross-border</w:t>
      </w:r>
      <w:r w:rsidR="00741C9A" w:rsidRPr="00037C61">
        <w:t xml:space="preserve"> transport corridors of supra-regional </w:t>
      </w:r>
      <w:r w:rsidRPr="00037C61">
        <w:t>relevance</w:t>
      </w:r>
      <w:r w:rsidR="00741C9A" w:rsidRPr="00037C61">
        <w:t xml:space="preserve"> (</w:t>
      </w:r>
      <w:r w:rsidR="00741C9A" w:rsidRPr="00037C61">
        <w:rPr>
          <w:rFonts w:eastAsia="Calibri" w:cs="Calibri"/>
        </w:rPr>
        <w:t>M43/A1, E60), and their existence weighs strongly in the potential for cross-border exchange</w:t>
      </w:r>
      <w:r w:rsidR="00426CDB" w:rsidRPr="00037C61">
        <w:rPr>
          <w:rFonts w:eastAsia="Calibri" w:cs="Calibri"/>
        </w:rPr>
        <w:t xml:space="preserve"> patterns, with significantly higher intensity in the Debrecen-Oradea area due to physical proximity and Szeged-Arad-Oradea due to the increased highway accessibility</w:t>
      </w:r>
      <w:r w:rsidRPr="00037C61">
        <w:rPr>
          <w:rFonts w:eastAsia="Calibri" w:cs="Calibri"/>
        </w:rPr>
        <w:t xml:space="preserve">. </w:t>
      </w:r>
    </w:p>
    <w:p w14:paraId="0C365BE4" w14:textId="583ED781" w:rsidR="007B2F11" w:rsidRPr="00037C61" w:rsidRDefault="004C2D57" w:rsidP="007B2F11">
      <w:pPr>
        <w:pStyle w:val="InterregROHUBullet1"/>
        <w:numPr>
          <w:ilvl w:val="0"/>
          <w:numId w:val="0"/>
        </w:numPr>
        <w:rPr>
          <w:rFonts w:eastAsia="Calibri" w:cs="Calibri"/>
        </w:rPr>
      </w:pPr>
      <w:r w:rsidRPr="00037C61">
        <w:t>However</w:t>
      </w:r>
      <w:r w:rsidR="00426CDB" w:rsidRPr="00037C61">
        <w:t>, cross-border</w:t>
      </w:r>
      <w:r w:rsidRPr="00037C61">
        <w:t xml:space="preserve"> mobility needs to be supported both by infrastructure as well as traffic management and services. </w:t>
      </w:r>
      <w:r w:rsidR="0072022E" w:rsidRPr="00037C61">
        <w:rPr>
          <w:rFonts w:eastAsia="Calibri" w:cs="Calibri"/>
        </w:rPr>
        <w:t>The</w:t>
      </w:r>
      <w:r w:rsidRPr="00037C61">
        <w:rPr>
          <w:rFonts w:eastAsia="Calibri" w:cs="Calibri"/>
        </w:rPr>
        <w:t>re is</w:t>
      </w:r>
      <w:r w:rsidR="0072022E" w:rsidRPr="00037C61">
        <w:rPr>
          <w:rFonts w:eastAsia="Calibri" w:cs="Calibri"/>
        </w:rPr>
        <w:t xml:space="preserve"> potential for improving </w:t>
      </w:r>
      <w:r w:rsidRPr="00037C61">
        <w:rPr>
          <w:rFonts w:eastAsia="Calibri" w:cs="Calibri"/>
        </w:rPr>
        <w:t>cross-border linkages beyond infrastructure investments by leveraging on good and reliable management solutions of cross-border flows, on cross-border mobility solutions specifically geared towards facilitating exchange in cross-border functional areas, and on supporting green cross-border mobility solutions. In perspective, Romania’s accession in Schengen may significantly improve labour mobility and economic integration of the area.</w:t>
      </w:r>
    </w:p>
    <w:p w14:paraId="3CDD22AA" w14:textId="75363E76" w:rsidR="00426CDB" w:rsidRPr="00037C61" w:rsidRDefault="00426CDB" w:rsidP="00F3072A">
      <w:pPr>
        <w:spacing w:line="256" w:lineRule="auto"/>
        <w:rPr>
          <w:lang w:val="en-GB"/>
        </w:rPr>
      </w:pPr>
      <w:r w:rsidRPr="00037C61">
        <w:rPr>
          <w:lang w:val="en-GB"/>
        </w:rPr>
        <w:t xml:space="preserve">Further, in order to understand the existing and potential linkages between the main urban centres in the </w:t>
      </w:r>
      <w:r w:rsidR="005171E7" w:rsidRPr="00037C61">
        <w:rPr>
          <w:lang w:val="en-GB"/>
        </w:rPr>
        <w:t>programme area</w:t>
      </w:r>
      <w:r w:rsidRPr="00037C61">
        <w:rPr>
          <w:lang w:val="en-GB"/>
        </w:rPr>
        <w:t>, as well as cross-border catchment areas, we analyse</w:t>
      </w:r>
      <w:r w:rsidR="00D667D0" w:rsidRPr="00037C61">
        <w:rPr>
          <w:lang w:val="en-GB"/>
        </w:rPr>
        <w:t xml:space="preserve"> (</w:t>
      </w:r>
      <w:r w:rsidR="00D667D0" w:rsidRPr="00037C61">
        <w:rPr>
          <w:lang w:val="en-GB"/>
        </w:rPr>
        <w:fldChar w:fldCharType="begin"/>
      </w:r>
      <w:r w:rsidR="00D667D0" w:rsidRPr="00037C61">
        <w:rPr>
          <w:lang w:val="en-GB"/>
        </w:rPr>
        <w:instrText xml:space="preserve"> REF _Ref50474235 </w:instrText>
      </w:r>
      <w:r w:rsidR="00D667D0" w:rsidRPr="00037C61">
        <w:rPr>
          <w:lang w:val="en-GB"/>
        </w:rPr>
        <w:fldChar w:fldCharType="separate"/>
      </w:r>
      <w:r w:rsidR="00A633B8" w:rsidRPr="00037C61">
        <w:rPr>
          <w:lang w:val="en-GB"/>
        </w:rPr>
        <w:t xml:space="preserve">Figure </w:t>
      </w:r>
      <w:r w:rsidR="00A633B8" w:rsidRPr="00037C61">
        <w:rPr>
          <w:noProof/>
          <w:lang w:val="en-GB"/>
        </w:rPr>
        <w:t>128</w:t>
      </w:r>
      <w:r w:rsidR="00D667D0" w:rsidRPr="00037C61">
        <w:rPr>
          <w:lang w:val="en-GB"/>
        </w:rPr>
        <w:fldChar w:fldCharType="end"/>
      </w:r>
      <w:r w:rsidRPr="00037C61">
        <w:rPr>
          <w:lang w:val="en-GB"/>
        </w:rPr>
        <w:t xml:space="preserve">: </w:t>
      </w:r>
    </w:p>
    <w:p w14:paraId="14E96CD4" w14:textId="22B67C9D" w:rsidR="00426CDB" w:rsidRPr="00037C61" w:rsidRDefault="00426CDB" w:rsidP="00426CDB">
      <w:pPr>
        <w:pStyle w:val="InterregROHUBullet1"/>
        <w:ind w:left="709"/>
      </w:pPr>
      <w:r w:rsidRPr="00037C61">
        <w:t xml:space="preserve">The distribution of urban centres with a population over 30,000 inhabitants, which have the potential to provide a wide range of specialized public services and which host a range of functions with cross-border cooperation potential; </w:t>
      </w:r>
    </w:p>
    <w:p w14:paraId="4DD7575F" w14:textId="53FB7352" w:rsidR="00426CDB" w:rsidRPr="00037C61" w:rsidRDefault="00426CDB" w:rsidP="00426CDB">
      <w:pPr>
        <w:pStyle w:val="InterregROHUBullet1"/>
        <w:ind w:left="709"/>
      </w:pPr>
      <w:r w:rsidRPr="00037C61">
        <w:t xml:space="preserve">The distribution of smaller urban centres, between 10-30,000 inhabitants, which while still </w:t>
      </w:r>
      <w:r w:rsidR="00D667D0" w:rsidRPr="00037C61">
        <w:t xml:space="preserve">representing potential development hotspots and providing public services for the municipalities in their catchment area, can improve or specialize their function through cooperation; </w:t>
      </w:r>
    </w:p>
    <w:p w14:paraId="1D30B0CE" w14:textId="492345BF" w:rsidR="007B2F11" w:rsidRPr="00037C61" w:rsidRDefault="00426CDB" w:rsidP="00426CDB">
      <w:pPr>
        <w:pStyle w:val="InterregROHUBullet1"/>
        <w:ind w:left="709"/>
      </w:pPr>
      <w:r w:rsidRPr="00037C61">
        <w:t xml:space="preserve">The 30-kilometer accessibility range for the </w:t>
      </w:r>
      <w:r w:rsidR="00D667D0" w:rsidRPr="00037C61">
        <w:t xml:space="preserve">urban centres, roughly corresponding to the 30’ isochrone for service access. </w:t>
      </w:r>
    </w:p>
    <w:p w14:paraId="53ABBD1C" w14:textId="170EEC8F" w:rsidR="00D667D0" w:rsidRPr="00037C61" w:rsidRDefault="00E13454" w:rsidP="00D667D0">
      <w:pPr>
        <w:keepNext/>
        <w:spacing w:after="0"/>
        <w:rPr>
          <w:lang w:val="en-GB"/>
        </w:rPr>
      </w:pPr>
      <w:r w:rsidRPr="00037C61">
        <w:rPr>
          <w:noProof/>
          <w:lang w:val="ro-RO" w:eastAsia="ro-RO"/>
        </w:rPr>
        <w:lastRenderedPageBreak/>
        <w:drawing>
          <wp:inline distT="0" distB="0" distL="0" distR="0" wp14:anchorId="6259457F" wp14:editId="3982E35B">
            <wp:extent cx="4786278" cy="6235700"/>
            <wp:effectExtent l="38100" t="38100" r="33655" b="317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cstate="print">
                      <a:extLst>
                        <a:ext uri="{28A0092B-C50C-407E-A947-70E740481C1C}">
                          <a14:useLocalDpi xmlns:a14="http://schemas.microsoft.com/office/drawing/2010/main"/>
                        </a:ext>
                      </a:extLst>
                    </a:blip>
                    <a:srcRect/>
                    <a:stretch>
                      <a:fillRect/>
                    </a:stretch>
                  </pic:blipFill>
                  <pic:spPr bwMode="auto">
                    <a:xfrm>
                      <a:off x="0" y="0"/>
                      <a:ext cx="4797698" cy="6250578"/>
                    </a:xfrm>
                    <a:prstGeom prst="rect">
                      <a:avLst/>
                    </a:prstGeom>
                    <a:noFill/>
                    <a:ln w="28575">
                      <a:solidFill>
                        <a:schemeClr val="bg2"/>
                      </a:solidFill>
                    </a:ln>
                  </pic:spPr>
                </pic:pic>
              </a:graphicData>
            </a:graphic>
          </wp:inline>
        </w:drawing>
      </w:r>
    </w:p>
    <w:p w14:paraId="1A191C98" w14:textId="2D6C9491" w:rsidR="00D667D0" w:rsidRPr="00037C61" w:rsidRDefault="00D667D0" w:rsidP="00D667D0">
      <w:pPr>
        <w:pStyle w:val="Caption"/>
        <w:jc w:val="both"/>
        <w:rPr>
          <w:lang w:val="en-GB"/>
        </w:rPr>
      </w:pPr>
      <w:bookmarkStart w:id="862" w:name="_Ref50474235"/>
      <w:bookmarkStart w:id="863" w:name="_Toc50657608"/>
      <w:bookmarkStart w:id="864" w:name="_Toc6461109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142</w:t>
      </w:r>
      <w:r w:rsidR="00412697">
        <w:rPr>
          <w:lang w:val="en-GB"/>
        </w:rPr>
        <w:fldChar w:fldCharType="end"/>
      </w:r>
      <w:bookmarkEnd w:id="862"/>
      <w:r w:rsidRPr="00037C61">
        <w:rPr>
          <w:lang w:val="en-GB"/>
        </w:rPr>
        <w:t xml:space="preserve"> - High density urban clusters and potential cross-border functional areas.</w:t>
      </w:r>
      <w:bookmarkEnd w:id="863"/>
      <w:bookmarkEnd w:id="864"/>
      <w:r w:rsidRPr="00037C61">
        <w:rPr>
          <w:lang w:val="en-GB"/>
        </w:rPr>
        <w:t xml:space="preserve"> </w:t>
      </w:r>
    </w:p>
    <w:p w14:paraId="0524B359" w14:textId="272DA4F7" w:rsidR="00F3072A" w:rsidRPr="00037C61" w:rsidRDefault="00D667D0" w:rsidP="00D667D0">
      <w:pPr>
        <w:pStyle w:val="Caption"/>
        <w:jc w:val="both"/>
        <w:rPr>
          <w:lang w:val="en-GB"/>
        </w:rPr>
      </w:pPr>
      <w:r w:rsidRPr="00037C61">
        <w:rPr>
          <w:lang w:val="en-GB"/>
        </w:rPr>
        <w:t xml:space="preserve">Data sources: INS, KSH, openrouteservice.org </w:t>
      </w:r>
    </w:p>
    <w:p w14:paraId="4E0A807F" w14:textId="16551DC1" w:rsidR="001142D1" w:rsidRPr="00037C61" w:rsidRDefault="001142D1" w:rsidP="001142D1">
      <w:pPr>
        <w:spacing w:line="256" w:lineRule="auto"/>
        <w:rPr>
          <w:lang w:val="en-GB"/>
        </w:rPr>
      </w:pPr>
    </w:p>
    <w:p w14:paraId="456E4D96" w14:textId="6BCBD4B8" w:rsidR="006A0ACA" w:rsidRPr="00037C61" w:rsidRDefault="002017E0" w:rsidP="001142D1">
      <w:pPr>
        <w:spacing w:line="256" w:lineRule="auto"/>
        <w:rPr>
          <w:rFonts w:eastAsia="Calibri" w:cs="Calibri"/>
          <w:lang w:val="en-GB"/>
        </w:rPr>
      </w:pPr>
      <w:r w:rsidRPr="00037C61">
        <w:rPr>
          <w:rFonts w:eastAsia="Calibri" w:cs="Calibri"/>
          <w:lang w:val="en-GB"/>
        </w:rPr>
        <w:t>The urban density disparity highlighted in Chapter</w:t>
      </w:r>
      <w:r w:rsidR="00D575FF">
        <w:rPr>
          <w:rFonts w:eastAsia="Calibri" w:cs="Calibri"/>
          <w:lang w:val="en-GB"/>
        </w:rPr>
        <w:t xml:space="preserve"> </w:t>
      </w:r>
      <w:r w:rsidR="00D575FF">
        <w:rPr>
          <w:rFonts w:eastAsia="Calibri" w:cs="Calibri"/>
          <w:lang w:val="en-GB"/>
        </w:rPr>
        <w:fldChar w:fldCharType="begin"/>
      </w:r>
      <w:r w:rsidR="00D575FF">
        <w:rPr>
          <w:rFonts w:eastAsia="Calibri" w:cs="Calibri"/>
          <w:lang w:val="en-GB"/>
        </w:rPr>
        <w:instrText xml:space="preserve"> REF _Ref64610178 \r \h </w:instrText>
      </w:r>
      <w:r w:rsidR="00D575FF">
        <w:rPr>
          <w:rFonts w:eastAsia="Calibri" w:cs="Calibri"/>
          <w:lang w:val="en-GB"/>
        </w:rPr>
      </w:r>
      <w:r w:rsidR="00D575FF">
        <w:rPr>
          <w:rFonts w:eastAsia="Calibri" w:cs="Calibri"/>
          <w:lang w:val="en-GB"/>
        </w:rPr>
        <w:fldChar w:fldCharType="separate"/>
      </w:r>
      <w:r w:rsidR="00D575FF">
        <w:rPr>
          <w:rFonts w:eastAsia="Calibri" w:cs="Calibri"/>
          <w:lang w:val="en-GB"/>
        </w:rPr>
        <w:t>2.1.1</w:t>
      </w:r>
      <w:r w:rsidR="00D575FF">
        <w:rPr>
          <w:rFonts w:eastAsia="Calibri" w:cs="Calibri"/>
          <w:lang w:val="en-GB"/>
        </w:rPr>
        <w:fldChar w:fldCharType="end"/>
      </w:r>
      <w:r w:rsidRPr="00037C61">
        <w:rPr>
          <w:rFonts w:eastAsia="Calibri" w:cs="Calibri"/>
          <w:lang w:val="en-GB"/>
        </w:rPr>
        <w:t xml:space="preserve"> </w:t>
      </w:r>
      <w:r w:rsidRPr="00037C61">
        <w:rPr>
          <w:rFonts w:eastAsia="Calibri" w:cs="Calibri"/>
          <w:lang w:val="en-GB"/>
        </w:rPr>
        <w:fldChar w:fldCharType="begin"/>
      </w:r>
      <w:r w:rsidRPr="00037C61">
        <w:rPr>
          <w:rFonts w:eastAsia="Calibri" w:cs="Calibri"/>
          <w:lang w:val="en-GB"/>
        </w:rPr>
        <w:instrText xml:space="preserve"> REF _Ref50474648 \w </w:instrText>
      </w:r>
      <w:r w:rsidRPr="00037C61">
        <w:rPr>
          <w:rFonts w:eastAsia="Calibri" w:cs="Calibri"/>
          <w:lang w:val="en-GB"/>
        </w:rPr>
        <w:fldChar w:fldCharType="end"/>
      </w:r>
      <w:r w:rsidRPr="00037C61">
        <w:rPr>
          <w:rFonts w:eastAsia="Calibri" w:cs="Calibri"/>
          <w:lang w:val="en-GB"/>
        </w:rPr>
        <w:t xml:space="preserve"> is further highlighted when looking at the distribution of main and secondary urban centres and their service catchment areas. The</w:t>
      </w:r>
      <w:r w:rsidR="00F86D1D" w:rsidRPr="00037C61">
        <w:rPr>
          <w:rFonts w:eastAsia="Calibri" w:cs="Calibri"/>
          <w:lang w:val="en-GB"/>
        </w:rPr>
        <w:t xml:space="preserve"> four</w:t>
      </w:r>
      <w:r w:rsidRPr="00037C61">
        <w:rPr>
          <w:rFonts w:eastAsia="Calibri" w:cs="Calibri"/>
          <w:lang w:val="en-GB"/>
        </w:rPr>
        <w:t xml:space="preserve"> Hungarian counties are not only more urbanised, but</w:t>
      </w:r>
      <w:r w:rsidRPr="00037C61">
        <w:rPr>
          <w:rFonts w:eastAsia="Calibri" w:cs="Calibri"/>
          <w:b/>
          <w:bCs/>
          <w:lang w:val="en-GB"/>
        </w:rPr>
        <w:t xml:space="preserve"> </w:t>
      </w:r>
      <w:r w:rsidR="00F86D1D" w:rsidRPr="00037C61">
        <w:rPr>
          <w:rFonts w:eastAsia="Calibri" w:cs="Calibri"/>
          <w:b/>
          <w:bCs/>
          <w:lang w:val="en-GB"/>
        </w:rPr>
        <w:t>the catchment areas for</w:t>
      </w:r>
      <w:r w:rsidR="006A0ACA" w:rsidRPr="00037C61">
        <w:rPr>
          <w:rFonts w:eastAsia="Calibri" w:cs="Calibri"/>
          <w:b/>
          <w:bCs/>
          <w:lang w:val="en-GB"/>
        </w:rPr>
        <w:t xml:space="preserve"> urban</w:t>
      </w:r>
      <w:r w:rsidR="00F86D1D" w:rsidRPr="00037C61">
        <w:rPr>
          <w:rFonts w:eastAsia="Calibri" w:cs="Calibri"/>
          <w:b/>
          <w:bCs/>
          <w:lang w:val="en-GB"/>
        </w:rPr>
        <w:t xml:space="preserve"> services cover almost all of the </w:t>
      </w:r>
      <w:r w:rsidR="005171E7" w:rsidRPr="00037C61">
        <w:rPr>
          <w:rFonts w:eastAsia="Calibri" w:cs="Calibri"/>
          <w:b/>
          <w:bCs/>
          <w:lang w:val="en-GB"/>
        </w:rPr>
        <w:t>programme area</w:t>
      </w:r>
      <w:r w:rsidR="00F86D1D" w:rsidRPr="00037C61">
        <w:rPr>
          <w:rFonts w:eastAsia="Calibri" w:cs="Calibri"/>
          <w:b/>
          <w:bCs/>
          <w:lang w:val="en-GB"/>
        </w:rPr>
        <w:t xml:space="preserve"> territory</w:t>
      </w:r>
      <w:r w:rsidR="1E36D85C" w:rsidRPr="00037C61">
        <w:rPr>
          <w:rFonts w:eastAsia="Calibri" w:cs="Calibri"/>
          <w:b/>
          <w:bCs/>
          <w:lang w:val="en-GB"/>
        </w:rPr>
        <w:t xml:space="preserve"> from Hungary</w:t>
      </w:r>
      <w:r w:rsidR="00F86D1D" w:rsidRPr="00037C61">
        <w:rPr>
          <w:rFonts w:eastAsia="Calibri" w:cs="Calibri"/>
          <w:b/>
          <w:bCs/>
          <w:lang w:val="en-GB"/>
        </w:rPr>
        <w:t>.</w:t>
      </w:r>
      <w:r w:rsidR="00F86D1D" w:rsidRPr="00037C61">
        <w:rPr>
          <w:rFonts w:eastAsia="Calibri" w:cs="Calibri"/>
          <w:lang w:val="en-GB"/>
        </w:rPr>
        <w:t xml:space="preserve"> In contrast, less urbanisation (especially in Arad), unfavourable topography and a more fragmented landscape in the southern part of the Romanian side generate a contrasting picture, where counties </w:t>
      </w:r>
      <w:r w:rsidR="006A0ACA" w:rsidRPr="00037C61">
        <w:rPr>
          <w:rFonts w:eastAsia="Calibri" w:cs="Calibri"/>
          <w:lang w:val="en-GB"/>
        </w:rPr>
        <w:t xml:space="preserve">can only partially ensure higher-level or more specialised service provision in the hinterlands of the main urban centres (Arad, Timișoara). </w:t>
      </w:r>
    </w:p>
    <w:p w14:paraId="28F38DB9" w14:textId="2084DBB0" w:rsidR="006A0ACA" w:rsidRPr="00037C61" w:rsidRDefault="6446A0E8" w:rsidP="001142D1">
      <w:pPr>
        <w:spacing w:line="256" w:lineRule="auto"/>
        <w:rPr>
          <w:rFonts w:eastAsia="Calibri" w:cs="Calibri"/>
          <w:lang w:val="en-GB"/>
        </w:rPr>
      </w:pPr>
      <w:r w:rsidRPr="00037C61">
        <w:rPr>
          <w:rFonts w:eastAsia="Calibri" w:cs="Calibri"/>
          <w:lang w:val="en-GB"/>
        </w:rPr>
        <w:t>On the Hungarian side, two high-density national urban clusters can be distinguished, in Csongrád-Csanád – Békés, and Hajdú-Bihar – Szabolcs-Szatmár-Bereg. Echoing the orientation of the cross-border road linkages presented above (</w:t>
      </w:r>
      <w:r w:rsidRPr="00037C61">
        <w:rPr>
          <w:rFonts w:eastAsia="Calibri" w:cs="Calibri"/>
          <w:lang w:val="en-GB"/>
        </w:rPr>
        <w:fldChar w:fldCharType="begin"/>
      </w:r>
      <w:r w:rsidRPr="00037C61">
        <w:rPr>
          <w:rFonts w:eastAsia="Calibri" w:cs="Calibri"/>
          <w:lang w:val="en-GB"/>
        </w:rPr>
        <w:instrText xml:space="preserve"> REF _Ref50467956 </w:instrText>
      </w:r>
      <w:r w:rsidRPr="00037C61">
        <w:rPr>
          <w:rFonts w:eastAsia="Calibri" w:cs="Calibri"/>
          <w:lang w:val="en-GB"/>
        </w:rPr>
        <w:fldChar w:fldCharType="separate"/>
      </w:r>
      <w:r w:rsidR="00A633B8" w:rsidRPr="00037C61">
        <w:rPr>
          <w:lang w:val="en-GB"/>
        </w:rPr>
        <w:t xml:space="preserve">Figure </w:t>
      </w:r>
      <w:r w:rsidR="00A633B8" w:rsidRPr="00037C61">
        <w:rPr>
          <w:noProof/>
          <w:lang w:val="en-GB"/>
        </w:rPr>
        <w:t>128</w:t>
      </w:r>
      <w:r w:rsidRPr="00037C61">
        <w:rPr>
          <w:rFonts w:eastAsia="Calibri" w:cs="Calibri"/>
          <w:lang w:val="en-GB"/>
        </w:rPr>
        <w:fldChar w:fldCharType="end"/>
      </w:r>
      <w:r w:rsidRPr="00037C61">
        <w:rPr>
          <w:rFonts w:eastAsia="Calibri" w:cs="Calibri"/>
          <w:lang w:val="en-GB"/>
        </w:rPr>
        <w:t xml:space="preserve">), the clusters connect to the main urban centres on </w:t>
      </w:r>
      <w:r w:rsidRPr="00037C61">
        <w:rPr>
          <w:rFonts w:eastAsia="Calibri" w:cs="Calibri"/>
          <w:lang w:val="en-GB"/>
        </w:rPr>
        <w:lastRenderedPageBreak/>
        <w:t>the Romanian side, supporting the emergence of two</w:t>
      </w:r>
      <w:r w:rsidR="3799354F" w:rsidRPr="00037C61">
        <w:rPr>
          <w:rFonts w:eastAsia="Calibri" w:cs="Calibri"/>
          <w:lang w:val="en-GB"/>
        </w:rPr>
        <w:t xml:space="preserve"> potential</w:t>
      </w:r>
      <w:r w:rsidRPr="00037C61">
        <w:rPr>
          <w:rFonts w:eastAsia="Calibri" w:cs="Calibri"/>
          <w:lang w:val="en-GB"/>
        </w:rPr>
        <w:t xml:space="preserve"> Cross-border Functional Areas alongside the main cross-border transport corridors. The perspective of wider territorial integration, of Békéscsaba in the southern part and the Nyíregyháza – Satu Mare connection in the north, is promising but depends on the improvement of connections not only between the two countries, but also at national level.  </w:t>
      </w:r>
    </w:p>
    <w:p w14:paraId="67D0465E" w14:textId="55A4D9D5" w:rsidR="005465E1" w:rsidRPr="00037C61" w:rsidRDefault="005465E1" w:rsidP="001142D1">
      <w:pPr>
        <w:spacing w:line="256" w:lineRule="auto"/>
        <w:rPr>
          <w:rFonts w:eastAsia="Calibri" w:cs="Calibri"/>
          <w:lang w:val="en-GB"/>
        </w:rPr>
      </w:pPr>
      <w:r w:rsidRPr="00037C61">
        <w:rPr>
          <w:rFonts w:eastAsia="Calibri" w:cs="Calibri"/>
          <w:lang w:val="en-GB"/>
        </w:rPr>
        <w:t xml:space="preserve">The </w:t>
      </w:r>
      <w:r w:rsidRPr="00037C61">
        <w:rPr>
          <w:rFonts w:eastAsia="Calibri" w:cs="Calibri"/>
          <w:b/>
          <w:bCs/>
          <w:lang w:val="en-GB"/>
        </w:rPr>
        <w:t>clustering tendency in a southern and a northern functional cross-border area</w:t>
      </w:r>
      <w:r w:rsidRPr="00037C61">
        <w:rPr>
          <w:rFonts w:eastAsia="Calibri" w:cs="Calibri"/>
          <w:lang w:val="en-GB"/>
        </w:rPr>
        <w:t xml:space="preserve">, with a less-developed wedge between the four lower and four upper counties, is further supported by the evidence of high-competitiveness endowments. Several endowments support both a higher integration at European level as well as the rise in regional competitiveness and innovation potential – among them, we consider </w:t>
      </w:r>
      <w:r w:rsidRPr="00037C61">
        <w:rPr>
          <w:rFonts w:eastAsia="Calibri" w:cs="Calibri"/>
          <w:b/>
          <w:bCs/>
          <w:lang w:val="en-GB"/>
        </w:rPr>
        <w:t>universities and airports</w:t>
      </w:r>
      <w:r w:rsidRPr="00037C61">
        <w:rPr>
          <w:rFonts w:eastAsia="Calibri" w:cs="Calibri"/>
          <w:lang w:val="en-GB"/>
        </w:rPr>
        <w:t xml:space="preserve"> to be the most relevant. While they have been analysed individually in the Thematic Analysis (Chapter 2), an overlap provides important indications of complementarities and potential for cooperation. </w:t>
      </w:r>
    </w:p>
    <w:p w14:paraId="0985DF7C" w14:textId="62FFB25C" w:rsidR="00131774" w:rsidRPr="00037C61" w:rsidRDefault="00307E3F" w:rsidP="001142D1">
      <w:pPr>
        <w:spacing w:line="256" w:lineRule="auto"/>
        <w:rPr>
          <w:rFonts w:eastAsia="Calibri" w:cs="Calibri"/>
          <w:lang w:val="en-GB"/>
        </w:rPr>
      </w:pPr>
      <w:r w:rsidRPr="00037C61">
        <w:rPr>
          <w:rFonts w:eastAsia="Calibri" w:cs="Calibri"/>
          <w:lang w:val="en-GB"/>
        </w:rPr>
        <w:t xml:space="preserve">In what concerns the </w:t>
      </w:r>
      <w:r w:rsidRPr="00037C61">
        <w:rPr>
          <w:rFonts w:eastAsia="Calibri" w:cs="Calibri"/>
          <w:b/>
          <w:bCs/>
          <w:lang w:val="en-GB"/>
        </w:rPr>
        <w:t>distribution of universities</w:t>
      </w:r>
      <w:r w:rsidRPr="00037C61">
        <w:rPr>
          <w:rFonts w:eastAsia="Calibri" w:cs="Calibri"/>
          <w:lang w:val="en-GB"/>
        </w:rPr>
        <w:t xml:space="preserve">, it is important to stress the </w:t>
      </w:r>
      <w:r w:rsidR="00862EF3" w:rsidRPr="00037C61">
        <w:rPr>
          <w:rFonts w:eastAsia="Calibri" w:cs="Calibri"/>
          <w:lang w:val="en-GB"/>
        </w:rPr>
        <w:t>strong</w:t>
      </w:r>
      <w:r w:rsidRPr="00037C61">
        <w:rPr>
          <w:rFonts w:eastAsia="Calibri" w:cs="Calibri"/>
          <w:lang w:val="en-GB"/>
        </w:rPr>
        <w:t xml:space="preserve"> vocation of the main cities (Timișoara, Debrecen – the oldest in the country, Szeged, Oradea), with smaller centres offering complementary applied research</w:t>
      </w:r>
      <w:r w:rsidR="00862EF3" w:rsidRPr="00037C61">
        <w:rPr>
          <w:rFonts w:eastAsia="Calibri" w:cs="Calibri"/>
          <w:lang w:val="en-GB"/>
        </w:rPr>
        <w:t xml:space="preserve">, science, engineering and design specialisations). </w:t>
      </w:r>
    </w:p>
    <w:p w14:paraId="574A1FD5" w14:textId="7270A855" w:rsidR="00D667D0" w:rsidRPr="00037C61" w:rsidRDefault="00584766" w:rsidP="00D667D0">
      <w:pPr>
        <w:keepNext/>
        <w:spacing w:after="0" w:line="256" w:lineRule="auto"/>
        <w:rPr>
          <w:lang w:val="en-GB"/>
        </w:rPr>
      </w:pPr>
      <w:r w:rsidRPr="00037C61">
        <w:rPr>
          <w:noProof/>
          <w:lang w:val="ro-RO" w:eastAsia="ro-RO"/>
        </w:rPr>
        <w:drawing>
          <wp:inline distT="0" distB="0" distL="0" distR="0" wp14:anchorId="55E5365A" wp14:editId="50F1FD7B">
            <wp:extent cx="3948622" cy="5142583"/>
            <wp:effectExtent l="38100" t="38100" r="33020" b="393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94" cstate="print">
                      <a:extLst>
                        <a:ext uri="{28A0092B-C50C-407E-A947-70E740481C1C}">
                          <a14:useLocalDpi xmlns:a14="http://schemas.microsoft.com/office/drawing/2010/main"/>
                        </a:ext>
                      </a:extLst>
                    </a:blip>
                    <a:stretch>
                      <a:fillRect/>
                    </a:stretch>
                  </pic:blipFill>
                  <pic:spPr bwMode="auto">
                    <a:xfrm>
                      <a:off x="0" y="0"/>
                      <a:ext cx="3967528" cy="5167206"/>
                    </a:xfrm>
                    <a:prstGeom prst="rect">
                      <a:avLst/>
                    </a:prstGeom>
                    <a:noFill/>
                    <a:ln w="28575">
                      <a:solidFill>
                        <a:schemeClr val="bg2"/>
                      </a:solidFill>
                    </a:ln>
                  </pic:spPr>
                </pic:pic>
              </a:graphicData>
            </a:graphic>
          </wp:inline>
        </w:drawing>
      </w:r>
    </w:p>
    <w:p w14:paraId="42324FCB" w14:textId="05AC7F73" w:rsidR="00D667D0" w:rsidRPr="00037C61" w:rsidRDefault="00D667D0" w:rsidP="00D667D0">
      <w:pPr>
        <w:pStyle w:val="Caption"/>
        <w:jc w:val="both"/>
        <w:rPr>
          <w:lang w:val="en-GB"/>
        </w:rPr>
      </w:pPr>
      <w:bookmarkStart w:id="865" w:name="_Toc50657609"/>
      <w:bookmarkStart w:id="866" w:name="_Toc6461109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143</w:t>
      </w:r>
      <w:r w:rsidR="00412697">
        <w:rPr>
          <w:lang w:val="en-GB"/>
        </w:rPr>
        <w:fldChar w:fldCharType="end"/>
      </w:r>
      <w:r w:rsidRPr="00037C61">
        <w:rPr>
          <w:lang w:val="en-GB"/>
        </w:rPr>
        <w:t xml:space="preserve"> - Competitiveness endowments: International airports and public universities, by catchment area and size.</w:t>
      </w:r>
      <w:bookmarkEnd w:id="865"/>
      <w:bookmarkEnd w:id="866"/>
      <w:r w:rsidRPr="00037C61">
        <w:rPr>
          <w:lang w:val="en-GB"/>
        </w:rPr>
        <w:t xml:space="preserve"> </w:t>
      </w:r>
    </w:p>
    <w:p w14:paraId="36A6B41B" w14:textId="30C74887" w:rsidR="001142D1" w:rsidRPr="00037C61" w:rsidRDefault="00D667D0" w:rsidP="00D667D0">
      <w:pPr>
        <w:pStyle w:val="Caption"/>
        <w:jc w:val="both"/>
        <w:rPr>
          <w:lang w:val="en-GB"/>
        </w:rPr>
      </w:pPr>
      <w:r w:rsidRPr="00037C61">
        <w:rPr>
          <w:lang w:val="en-GB"/>
        </w:rPr>
        <w:t>Data sources: INS, KSH, iso4app.net</w:t>
      </w:r>
    </w:p>
    <w:p w14:paraId="77A2E1AA" w14:textId="77777777" w:rsidR="00C36342" w:rsidRPr="00037C61" w:rsidRDefault="00C36342" w:rsidP="00457478">
      <w:pPr>
        <w:pStyle w:val="Heading3"/>
      </w:pPr>
      <w:bookmarkStart w:id="867" w:name="_Toc64619568"/>
      <w:r w:rsidRPr="00037C61">
        <w:lastRenderedPageBreak/>
        <w:t>Disadvantaged and peripheral areas</w:t>
      </w:r>
      <w:bookmarkEnd w:id="867"/>
      <w:r w:rsidRPr="00037C61">
        <w:t xml:space="preserve"> </w:t>
      </w:r>
    </w:p>
    <w:p w14:paraId="06AF558D" w14:textId="3EE023A8" w:rsidR="00C36342" w:rsidRPr="00037C61" w:rsidRDefault="00C36342" w:rsidP="00C36342">
      <w:pPr>
        <w:rPr>
          <w:lang w:val="en-GB"/>
        </w:rPr>
      </w:pPr>
      <w:r w:rsidRPr="00037C61">
        <w:rPr>
          <w:lang w:val="en-GB"/>
        </w:rPr>
        <w:t xml:space="preserve">There are several areas within the border area between Romania and Hungary where development is generally lower: low-density rural, depopulating, or otherwise disadvantaged areas from the topographical, accessibility or socio-economic point of view. </w:t>
      </w:r>
    </w:p>
    <w:p w14:paraId="0F71C762" w14:textId="54B5A1E3" w:rsidR="00C36342" w:rsidRPr="00037C61" w:rsidRDefault="00C36342" w:rsidP="00C36342">
      <w:pPr>
        <w:rPr>
          <w:lang w:val="en-GB"/>
        </w:rPr>
      </w:pPr>
      <w:r w:rsidRPr="00037C61">
        <w:rPr>
          <w:lang w:val="en-GB"/>
        </w:rPr>
        <w:t xml:space="preserve">The following sections show that disadvantaged and peripheral areas in the PA identify only to a limited extent a “proximity communities” at cross border level, which limits the opportunity to develop integrated territorial interventions addressed to these territories. Additionally, as the definition of marginalised community differs across the border, before planning joint and / or integrated interventions, </w:t>
      </w:r>
      <w:r w:rsidRPr="00037C61">
        <w:rPr>
          <w:b/>
          <w:bCs/>
          <w:lang w:val="en-GB"/>
        </w:rPr>
        <w:t>additional analysis of specific common needs shall be required</w:t>
      </w:r>
      <w:r w:rsidRPr="00037C61">
        <w:rPr>
          <w:lang w:val="en-GB"/>
        </w:rPr>
        <w:t xml:space="preserve">. What is certain, in any case, is that both PA sides do have peripheral territories and disadvantaged areas: the opportunity of cooperation in this field shall be further assessed, in order to determine if a cross-border approach (a joint strategy for peripheral areas) may have the desirable impact on reducing the internal disparities in the whole PA territory, from the perspective of an increased internal cohesion.   </w:t>
      </w:r>
    </w:p>
    <w:p w14:paraId="0E04C945" w14:textId="77777777" w:rsidR="00C36342" w:rsidRPr="00037C61" w:rsidRDefault="00C36342" w:rsidP="00C36342">
      <w:pPr>
        <w:rPr>
          <w:lang w:val="en-GB"/>
        </w:rPr>
      </w:pPr>
      <w:r w:rsidRPr="00037C61">
        <w:rPr>
          <w:noProof/>
          <w:lang w:val="ro-RO" w:eastAsia="ro-RO"/>
        </w:rPr>
        <w:drawing>
          <wp:anchor distT="0" distB="0" distL="114300" distR="114300" simplePos="0" relativeHeight="251655680" behindDoc="0" locked="0" layoutInCell="1" allowOverlap="1" wp14:anchorId="09B0C070" wp14:editId="33C3C7DE">
            <wp:simplePos x="0" y="0"/>
            <wp:positionH relativeFrom="column">
              <wp:align>left</wp:align>
            </wp:positionH>
            <wp:positionV relativeFrom="paragraph">
              <wp:posOffset>0</wp:posOffset>
            </wp:positionV>
            <wp:extent cx="3234690" cy="4212590"/>
            <wp:effectExtent l="0" t="0" r="0" b="0"/>
            <wp:wrapSquare wrapText="bothSides"/>
            <wp:docPr id="5833297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95">
                      <a:extLst>
                        <a:ext uri="{28A0092B-C50C-407E-A947-70E740481C1C}">
                          <a14:useLocalDpi xmlns:a14="http://schemas.microsoft.com/office/drawing/2010/main" val="0"/>
                        </a:ext>
                      </a:extLst>
                    </a:blip>
                    <a:stretch>
                      <a:fillRect/>
                    </a:stretch>
                  </pic:blipFill>
                  <pic:spPr>
                    <a:xfrm>
                      <a:off x="0" y="0"/>
                      <a:ext cx="3234690" cy="4212590"/>
                    </a:xfrm>
                    <a:prstGeom prst="rect">
                      <a:avLst/>
                    </a:prstGeom>
                  </pic:spPr>
                </pic:pic>
              </a:graphicData>
            </a:graphic>
            <wp14:sizeRelH relativeFrom="page">
              <wp14:pctWidth>0</wp14:pctWidth>
            </wp14:sizeRelH>
            <wp14:sizeRelV relativeFrom="page">
              <wp14:pctHeight>0</wp14:pctHeight>
            </wp14:sizeRelV>
          </wp:anchor>
        </w:drawing>
      </w:r>
      <w:r w:rsidRPr="00037C61">
        <w:rPr>
          <w:lang w:val="en-GB"/>
        </w:rPr>
        <w:t xml:space="preserve">Both countries’ national legislation recognizes the existence of </w:t>
      </w:r>
      <w:r w:rsidRPr="00037C61">
        <w:rPr>
          <w:b/>
          <w:bCs/>
          <w:lang w:val="en-GB"/>
        </w:rPr>
        <w:t>disadvantaged areas</w:t>
      </w:r>
      <w:r w:rsidRPr="00037C61">
        <w:rPr>
          <w:lang w:val="en-GB"/>
        </w:rPr>
        <w:t xml:space="preserve"> – an important instrument to concentrate funding to support measures aimed at social and economic cohesion, rural renaissance, provision of public services and support for entrepreneurship, within the cross-border cooperation framework. As expressed in the 2.1 chapter, in Hungary, these areas have been listed in the Government Decree no. 290/2014 (XI. 26), while in Romania, they have first been identified in the Government Emergency Ordnance 24/1998 based on unemployment, physical isolation and infrastructure underdevelopment criteria. </w:t>
      </w:r>
    </w:p>
    <w:p w14:paraId="12AF5B55" w14:textId="282A9D29" w:rsidR="00C36342" w:rsidRPr="00037C61" w:rsidRDefault="00C36342" w:rsidP="00457478">
      <w:pPr>
        <w:rPr>
          <w:lang w:val="en-GB"/>
        </w:rPr>
      </w:pPr>
      <w:r w:rsidRPr="00037C61">
        <w:rPr>
          <w:lang w:val="en-GB"/>
        </w:rPr>
        <w:t>The definition of these areas at cross-border level is not completely coherent. A significant part of the northern Hungarian border counties is considered disadvantaged: the majority of Szabolcs-Szatmár-Bereg county, approximately half of Hajdú-Bihar, and 25% of Békés county (Alpek et al., 2018). In Romania however, the significantly disadvantaged areas are identified in the southern half of the region, mostly in Timiș and Arad (</w:t>
      </w:r>
      <w:r w:rsidR="00EB22AD">
        <w:rPr>
          <w:lang w:val="en-GB"/>
        </w:rPr>
        <w:fldChar w:fldCharType="begin"/>
      </w:r>
      <w:r w:rsidR="00EB22AD">
        <w:rPr>
          <w:lang w:val="en-GB"/>
        </w:rPr>
        <w:instrText xml:space="preserve"> REF _Ref64610269 \h </w:instrText>
      </w:r>
      <w:r w:rsidR="00EB22AD">
        <w:rPr>
          <w:lang w:val="en-GB"/>
        </w:rPr>
      </w:r>
      <w:r w:rsidR="00EB22AD">
        <w:rPr>
          <w:lang w:val="en-GB"/>
        </w:rPr>
        <w:fldChar w:fldCharType="separate"/>
      </w:r>
      <w:r w:rsidR="00EB22AD" w:rsidRPr="00037C61">
        <w:rPr>
          <w:lang w:val="en-GB"/>
        </w:rPr>
        <w:t xml:space="preserve">Figure </w:t>
      </w:r>
      <w:r w:rsidR="00EB22AD">
        <w:rPr>
          <w:noProof/>
          <w:lang w:val="en-GB"/>
        </w:rPr>
        <w:t>144</w:t>
      </w:r>
      <w:r w:rsidR="00EB22AD" w:rsidRPr="00037C61">
        <w:rPr>
          <w:lang w:val="en-GB"/>
        </w:rPr>
        <w:t xml:space="preserve"> - Disadvantaged border areas and inner peripheries.</w:t>
      </w:r>
      <w:r w:rsidR="00EB22AD">
        <w:rPr>
          <w:lang w:val="en-GB"/>
        </w:rPr>
        <w:fldChar w:fldCharType="end"/>
      </w:r>
      <w:r w:rsidRPr="00037C61">
        <w:rPr>
          <w:lang w:val="en-GB"/>
        </w:rPr>
        <w:t>). While the areas are almost completely complementary,</w:t>
      </w:r>
      <w:r w:rsidRPr="00037C61">
        <w:rPr>
          <w:b/>
          <w:bCs/>
          <w:lang w:val="en-GB"/>
        </w:rPr>
        <w:t xml:space="preserve"> they cover the border in a contiguous way, and their existence could potentially be leveraged for the definition of mutually advantageous programs, especially oriented towards enhancing labour participation and mobility.</w:t>
      </w:r>
      <w:r w:rsidRPr="00037C61">
        <w:rPr>
          <w:lang w:val="en-GB"/>
        </w:rPr>
        <w:t xml:space="preserve"> </w:t>
      </w:r>
    </w:p>
    <w:p w14:paraId="6C4F7BAE" w14:textId="05DBF1B5" w:rsidR="00C36342" w:rsidRPr="00037C61" w:rsidRDefault="00C36342" w:rsidP="00C36342">
      <w:pPr>
        <w:pStyle w:val="Caption"/>
        <w:jc w:val="both"/>
        <w:rPr>
          <w:lang w:val="en-GB"/>
        </w:rPr>
      </w:pPr>
      <w:bookmarkStart w:id="868" w:name="_Ref64610269"/>
      <w:bookmarkStart w:id="869" w:name="_Toc6461109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144</w:t>
      </w:r>
      <w:r w:rsidR="00412697">
        <w:rPr>
          <w:lang w:val="en-GB"/>
        </w:rPr>
        <w:fldChar w:fldCharType="end"/>
      </w:r>
      <w:r w:rsidRPr="00037C61">
        <w:rPr>
          <w:lang w:val="en-GB"/>
        </w:rPr>
        <w:t xml:space="preserve"> - Disadvantaged border areas and inner peripheries.</w:t>
      </w:r>
      <w:bookmarkEnd w:id="868"/>
      <w:bookmarkEnd w:id="869"/>
      <w:r w:rsidRPr="00037C61">
        <w:rPr>
          <w:lang w:val="en-GB"/>
        </w:rPr>
        <w:t xml:space="preserve"> </w:t>
      </w:r>
    </w:p>
    <w:p w14:paraId="4048BE11" w14:textId="77777777" w:rsidR="00C36342" w:rsidRPr="00DB74BF" w:rsidRDefault="00C36342" w:rsidP="00C36342">
      <w:pPr>
        <w:pStyle w:val="Caption"/>
        <w:jc w:val="both"/>
        <w:rPr>
          <w:lang w:val="fr-FR"/>
        </w:rPr>
      </w:pPr>
      <w:r w:rsidRPr="00DB74BF">
        <w:rPr>
          <w:lang w:val="fr-FR"/>
        </w:rPr>
        <w:t xml:space="preserve">Sources: Alpek et al. (2018), MADR, ESPON Prophecy (2017) </w:t>
      </w:r>
    </w:p>
    <w:p w14:paraId="06B7E074" w14:textId="77777777" w:rsidR="00C36342" w:rsidRPr="00DB74BF" w:rsidRDefault="00C36342" w:rsidP="00C36342">
      <w:pPr>
        <w:rPr>
          <w:lang w:val="fr-FR"/>
        </w:rPr>
      </w:pPr>
    </w:p>
    <w:p w14:paraId="41B075C1" w14:textId="6FFC5E74" w:rsidR="00C36342" w:rsidRPr="00037C61" w:rsidRDefault="00C36342" w:rsidP="00C36342">
      <w:pPr>
        <w:rPr>
          <w:lang w:val="en-GB"/>
        </w:rPr>
      </w:pPr>
      <w:r w:rsidRPr="00037C61">
        <w:rPr>
          <w:lang w:val="en-GB"/>
        </w:rPr>
        <w:lastRenderedPageBreak/>
        <w:t xml:space="preserve">A unitary methodology for delineating disadvantaged areas, albeit with a slightly different purpose, is used within the ESPON PROFECY study (2017) - Inner Peripheries: National territories facing challenges of access to basic services of general interest. Disadvantaged areas considered inner peripheries based on lack of access to regional centres overlap to a large degree on the Romanian side with the mountainous disadvantaged areas (Arad, Bihor), while an inner periphery based on socio-economic underdevelopment criteria is identified in the geographical north of the Hungarian programme area, covering all of the Szabolcs-Szatmár-Bereg county. Again, it is interesting to note that there is no spillover effect on the other side of the border: </w:t>
      </w:r>
      <w:r w:rsidRPr="00037C61">
        <w:rPr>
          <w:b/>
          <w:bCs/>
          <w:lang w:val="en-GB"/>
        </w:rPr>
        <w:t>disadvantaged areas in one country seem to be of little consequence to the welfare of their neighbouring counterparts, at least from a policy point of view</w:t>
      </w:r>
      <w:r w:rsidRPr="00037C61">
        <w:rPr>
          <w:lang w:val="en-GB"/>
        </w:rPr>
        <w:t xml:space="preserve">. This is a particularity of the region, as the inner peripheries in the PROPHECY project oftentimes extend across the border in border regions.   </w:t>
      </w:r>
    </w:p>
    <w:p w14:paraId="3FC0832C" w14:textId="4DFA34A4" w:rsidR="009A5621" w:rsidRPr="00037C61" w:rsidRDefault="009A5621" w:rsidP="009A5621">
      <w:pPr>
        <w:pStyle w:val="Caption"/>
        <w:jc w:val="both"/>
        <w:rPr>
          <w:lang w:val="en-GB"/>
        </w:rPr>
      </w:pPr>
      <w:bookmarkStart w:id="870" w:name="_Toc6461109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145</w:t>
      </w:r>
      <w:r w:rsidR="00412697">
        <w:rPr>
          <w:lang w:val="en-GB"/>
        </w:rPr>
        <w:fldChar w:fldCharType="end"/>
      </w:r>
      <w:r w:rsidRPr="00037C61">
        <w:rPr>
          <w:lang w:val="en-GB"/>
        </w:rPr>
        <w:t xml:space="preserve"> - Areas with low access to main and secondary urban centers and afferent services</w:t>
      </w:r>
      <w:bookmarkEnd w:id="870"/>
    </w:p>
    <w:p w14:paraId="53D615CD" w14:textId="7EF9B104" w:rsidR="00C36342" w:rsidRPr="00037C61" w:rsidRDefault="00C36342" w:rsidP="00C36342">
      <w:pPr>
        <w:rPr>
          <w:lang w:val="en-GB"/>
        </w:rPr>
      </w:pPr>
      <w:r w:rsidRPr="00037C61">
        <w:rPr>
          <w:noProof/>
          <w:lang w:val="ro-RO" w:eastAsia="ro-RO"/>
        </w:rPr>
        <w:drawing>
          <wp:anchor distT="0" distB="0" distL="114300" distR="114300" simplePos="0" relativeHeight="251656704" behindDoc="0" locked="0" layoutInCell="1" allowOverlap="1" wp14:anchorId="6F454D22" wp14:editId="5D74DAFD">
            <wp:simplePos x="0" y="0"/>
            <wp:positionH relativeFrom="column">
              <wp:align>left</wp:align>
            </wp:positionH>
            <wp:positionV relativeFrom="paragraph">
              <wp:posOffset>0</wp:posOffset>
            </wp:positionV>
            <wp:extent cx="3702050" cy="4910456"/>
            <wp:effectExtent l="0" t="0" r="0" b="0"/>
            <wp:wrapSquare wrapText="bothSides"/>
            <wp:docPr id="14782152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96">
                      <a:extLst>
                        <a:ext uri="{28A0092B-C50C-407E-A947-70E740481C1C}">
                          <a14:useLocalDpi xmlns:a14="http://schemas.microsoft.com/office/drawing/2010/main" val="0"/>
                        </a:ext>
                      </a:extLst>
                    </a:blip>
                    <a:stretch>
                      <a:fillRect/>
                    </a:stretch>
                  </pic:blipFill>
                  <pic:spPr>
                    <a:xfrm>
                      <a:off x="0" y="0"/>
                      <a:ext cx="3702050" cy="4910456"/>
                    </a:xfrm>
                    <a:prstGeom prst="rect">
                      <a:avLst/>
                    </a:prstGeom>
                  </pic:spPr>
                </pic:pic>
              </a:graphicData>
            </a:graphic>
            <wp14:sizeRelH relativeFrom="page">
              <wp14:pctWidth>0</wp14:pctWidth>
            </wp14:sizeRelH>
            <wp14:sizeRelV relativeFrom="page">
              <wp14:pctHeight>0</wp14:pctHeight>
            </wp14:sizeRelV>
          </wp:anchor>
        </w:drawing>
      </w:r>
      <w:r w:rsidRPr="00037C61">
        <w:rPr>
          <w:lang w:val="en-GB"/>
        </w:rPr>
        <w:t xml:space="preserve">Furthermore, while the distribution of public functions provides an indication of hotspots and potential linkages or complementarities in the programme area, it also offers an indication of </w:t>
      </w:r>
      <w:r w:rsidRPr="00037C61">
        <w:rPr>
          <w:b/>
          <w:bCs/>
          <w:lang w:val="en-GB"/>
        </w:rPr>
        <w:t>where these services are lacking</w:t>
      </w:r>
      <w:r w:rsidRPr="00037C61">
        <w:rPr>
          <w:lang w:val="en-GB"/>
        </w:rPr>
        <w:t xml:space="preserve">, and whether the area clusters or regions which suffer from a significant lack of specialized public services normally provided by small and middle-sized cities. Analysing the accessibility of the main cities as well as the smaller urban centers (over 10,000 inhabitants), several unserviced areas can be distinguished, which are outside the 30 km / 30-minute drive isochrone to these settlements, in their majority in Romania. </w:t>
      </w:r>
    </w:p>
    <w:p w14:paraId="0ED62DEA" w14:textId="579D9A7C" w:rsidR="00C36342" w:rsidRPr="00037C61" w:rsidRDefault="00C36342" w:rsidP="00F76F8F">
      <w:pPr>
        <w:rPr>
          <w:lang w:val="en-GB"/>
        </w:rPr>
      </w:pPr>
      <w:r w:rsidRPr="00037C61">
        <w:rPr>
          <w:lang w:val="en-GB"/>
        </w:rPr>
        <w:t>There is an overlap between the areas in Hajdu-Bihar and Arad/Bihor with the areas identified as inner peripheries in ESPON Prophecy. The rest of these areas are not specifically outside the 30 km radius from cities, but rather inaccessible from an infrastructure point of view: the areas around Timișoara and Arad are particularly showing this pattern of low permeability. To a high degree, these areas are also facing socio-demographic issues, generally being characterised by a very low population density (under 50 inhabitants / km</w:t>
      </w:r>
      <w:r w:rsidRPr="00037C61">
        <w:rPr>
          <w:vertAlign w:val="superscript"/>
          <w:lang w:val="en-GB"/>
        </w:rPr>
        <w:t>2.</w:t>
      </w:r>
      <w:r w:rsidR="009A5621" w:rsidRPr="00037C61">
        <w:rPr>
          <w:lang w:val="en-GB"/>
        </w:rPr>
        <w:t>).</w:t>
      </w:r>
    </w:p>
    <w:p w14:paraId="5372C8DF" w14:textId="20D57E74" w:rsidR="00C36342" w:rsidRPr="00037C61" w:rsidRDefault="00C36342" w:rsidP="00C36342">
      <w:pPr>
        <w:spacing w:line="256" w:lineRule="auto"/>
        <w:rPr>
          <w:lang w:val="en-GB"/>
        </w:rPr>
      </w:pPr>
    </w:p>
    <w:p w14:paraId="7590E881" w14:textId="172CA1B2" w:rsidR="00C36342" w:rsidRPr="00037C61" w:rsidRDefault="00C36342" w:rsidP="00C36342">
      <w:pPr>
        <w:spacing w:line="256" w:lineRule="auto"/>
        <w:rPr>
          <w:lang w:val="en-GB"/>
        </w:rPr>
      </w:pPr>
    </w:p>
    <w:p w14:paraId="202D7862" w14:textId="3ED734B0" w:rsidR="00C36342" w:rsidRPr="00037C61" w:rsidRDefault="27B0E377" w:rsidP="00457478">
      <w:pPr>
        <w:keepNext/>
        <w:spacing w:after="0" w:line="256" w:lineRule="auto"/>
        <w:jc w:val="left"/>
        <w:rPr>
          <w:lang w:val="en-GB"/>
        </w:rPr>
      </w:pPr>
      <w:r w:rsidRPr="00037C61">
        <w:rPr>
          <w:noProof/>
          <w:lang w:val="ro-RO" w:eastAsia="ro-RO"/>
        </w:rPr>
        <w:lastRenderedPageBreak/>
        <w:drawing>
          <wp:anchor distT="0" distB="0" distL="114300" distR="114300" simplePos="0" relativeHeight="251657728" behindDoc="0" locked="0" layoutInCell="1" allowOverlap="1" wp14:anchorId="01EF61C8" wp14:editId="45B1D1C6">
            <wp:simplePos x="0" y="0"/>
            <wp:positionH relativeFrom="column">
              <wp:align>right</wp:align>
            </wp:positionH>
            <wp:positionV relativeFrom="paragraph">
              <wp:posOffset>0</wp:posOffset>
            </wp:positionV>
            <wp:extent cx="3422015" cy="4543425"/>
            <wp:effectExtent l="0" t="0" r="0" b="0"/>
            <wp:wrapSquare wrapText="bothSides"/>
            <wp:docPr id="6442813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97">
                      <a:extLst>
                        <a:ext uri="{28A0092B-C50C-407E-A947-70E740481C1C}">
                          <a14:useLocalDpi xmlns:a14="http://schemas.microsoft.com/office/drawing/2010/main" val="0"/>
                        </a:ext>
                      </a:extLst>
                    </a:blip>
                    <a:srcRect l="1731" t="1330" r="1458"/>
                    <a:stretch>
                      <a:fillRect/>
                    </a:stretch>
                  </pic:blipFill>
                  <pic:spPr>
                    <a:xfrm>
                      <a:off x="0" y="0"/>
                      <a:ext cx="3422015" cy="4543425"/>
                    </a:xfrm>
                    <a:prstGeom prst="rect">
                      <a:avLst/>
                    </a:prstGeom>
                  </pic:spPr>
                </pic:pic>
              </a:graphicData>
            </a:graphic>
            <wp14:sizeRelH relativeFrom="page">
              <wp14:pctWidth>0</wp14:pctWidth>
            </wp14:sizeRelH>
            <wp14:sizeRelV relativeFrom="page">
              <wp14:pctHeight>0</wp14:pctHeight>
            </wp14:sizeRelV>
          </wp:anchor>
        </w:drawing>
      </w:r>
    </w:p>
    <w:p w14:paraId="0B70001A" w14:textId="77777777" w:rsidR="00C36342" w:rsidRPr="00037C61" w:rsidRDefault="00C36342" w:rsidP="00C36342">
      <w:pPr>
        <w:rPr>
          <w:lang w:val="en-GB"/>
        </w:rPr>
      </w:pPr>
      <w:r w:rsidRPr="00037C61">
        <w:rPr>
          <w:lang w:val="en-GB"/>
        </w:rPr>
        <w:t xml:space="preserve">At the same time, these areas facing development challenges also have </w:t>
      </w:r>
      <w:r w:rsidRPr="00037C61">
        <w:rPr>
          <w:b/>
          <w:bCs/>
          <w:lang w:val="en-GB"/>
        </w:rPr>
        <w:t>important assets, which can be valorised to support the improvement of attractiveness and socio-economic conditions.</w:t>
      </w:r>
      <w:r w:rsidRPr="00037C61">
        <w:rPr>
          <w:lang w:val="en-GB"/>
        </w:rPr>
        <w:t xml:space="preserve"> The majority of the Natura 2000 network sites is concentrated here, which offers significant sustainable touristic valorisation opportunities, especially in conjunction with the very high agritourism, wine tourism and geothermal / spa potential of the cross-border area. </w:t>
      </w:r>
    </w:p>
    <w:p w14:paraId="516DA061" w14:textId="77777777" w:rsidR="00C36342" w:rsidRPr="00037C61" w:rsidRDefault="00C36342" w:rsidP="00C36342">
      <w:pPr>
        <w:keepNext/>
        <w:spacing w:after="0" w:line="256" w:lineRule="auto"/>
        <w:jc w:val="left"/>
        <w:rPr>
          <w:lang w:val="en-GB"/>
        </w:rPr>
      </w:pPr>
    </w:p>
    <w:p w14:paraId="75AE7B95" w14:textId="10F4C95C" w:rsidR="00C36342" w:rsidRPr="00037C61" w:rsidRDefault="00C36342" w:rsidP="00C36342">
      <w:pPr>
        <w:pStyle w:val="Caption"/>
        <w:jc w:val="both"/>
        <w:rPr>
          <w:lang w:val="en-GB"/>
        </w:rPr>
      </w:pPr>
      <w:bookmarkStart w:id="871" w:name="_Toc64611094"/>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146</w:t>
      </w:r>
      <w:r w:rsidR="00412697">
        <w:rPr>
          <w:lang w:val="en-GB"/>
        </w:rPr>
        <w:fldChar w:fldCharType="end"/>
      </w:r>
      <w:r w:rsidRPr="00037C61">
        <w:rPr>
          <w:lang w:val="en-GB"/>
        </w:rPr>
        <w:t xml:space="preserve"> - Natural assets and potentials in rural depopulating and low-density areas</w:t>
      </w:r>
      <w:bookmarkEnd w:id="871"/>
    </w:p>
    <w:p w14:paraId="683624E7" w14:textId="6205A0FE" w:rsidR="00C36342" w:rsidRPr="00037C61" w:rsidRDefault="00C36342" w:rsidP="00C36342">
      <w:pPr>
        <w:pStyle w:val="Caption"/>
        <w:jc w:val="both"/>
        <w:rPr>
          <w:lang w:val="en-GB"/>
        </w:rPr>
      </w:pPr>
      <w:r w:rsidRPr="00037C61">
        <w:rPr>
          <w:lang w:val="en-GB"/>
        </w:rPr>
        <w:t>Source: authors</w:t>
      </w:r>
    </w:p>
    <w:p w14:paraId="2E15F254" w14:textId="439B2B70" w:rsidR="00A11181" w:rsidRPr="00037C61" w:rsidRDefault="00A11181" w:rsidP="00A11181">
      <w:pPr>
        <w:rPr>
          <w:lang w:val="en-GB"/>
        </w:rPr>
      </w:pPr>
    </w:p>
    <w:p w14:paraId="32DE32EB" w14:textId="423516A5" w:rsidR="00C36342" w:rsidRPr="00037C61" w:rsidRDefault="00C36342" w:rsidP="00A11181">
      <w:pPr>
        <w:rPr>
          <w:lang w:val="en-GB"/>
        </w:rPr>
      </w:pPr>
    </w:p>
    <w:p w14:paraId="09B285B8" w14:textId="1E4A2427" w:rsidR="00C36342" w:rsidRPr="00037C61" w:rsidRDefault="00C36342" w:rsidP="00A11181">
      <w:pPr>
        <w:rPr>
          <w:lang w:val="en-GB"/>
        </w:rPr>
      </w:pPr>
    </w:p>
    <w:p w14:paraId="1D59A4D1" w14:textId="0DDDEF80" w:rsidR="00C36342" w:rsidRPr="00037C61" w:rsidRDefault="00C36342" w:rsidP="00A11181">
      <w:pPr>
        <w:rPr>
          <w:lang w:val="en-GB"/>
        </w:rPr>
      </w:pPr>
    </w:p>
    <w:p w14:paraId="1639C34A" w14:textId="77777777" w:rsidR="00C36342" w:rsidRPr="00037C61" w:rsidRDefault="00C36342" w:rsidP="00A11181">
      <w:pPr>
        <w:rPr>
          <w:lang w:val="en-GB"/>
        </w:rPr>
      </w:pPr>
    </w:p>
    <w:p w14:paraId="6EC0130D" w14:textId="0B4169E3" w:rsidR="001757C6" w:rsidRPr="00037C61" w:rsidRDefault="001757C6" w:rsidP="00457478">
      <w:pPr>
        <w:pStyle w:val="Heading3"/>
        <w:ind w:left="567"/>
      </w:pPr>
      <w:bookmarkStart w:id="872" w:name="_Toc64619569"/>
      <w:r w:rsidRPr="00037C61">
        <w:t xml:space="preserve">Conceptual cross-border linkages </w:t>
      </w:r>
      <w:r w:rsidR="00C36342" w:rsidRPr="00037C61">
        <w:t>and cooperation hotspots</w:t>
      </w:r>
      <w:bookmarkEnd w:id="872"/>
      <w:r w:rsidRPr="00037C61">
        <w:t xml:space="preserve"> </w:t>
      </w:r>
    </w:p>
    <w:p w14:paraId="59A7CED6" w14:textId="77777777" w:rsidR="001757C6" w:rsidRPr="00037C61" w:rsidRDefault="001757C6" w:rsidP="001757C6">
      <w:pPr>
        <w:spacing w:before="240"/>
        <w:rPr>
          <w:lang w:val="en-GB"/>
        </w:rPr>
      </w:pPr>
      <w:r w:rsidRPr="00037C61">
        <w:rPr>
          <w:lang w:val="en-GB"/>
        </w:rPr>
        <w:t xml:space="preserve">Based on the ESPON ETRF study (2019), an overlap of the two national territorial development concepts of Hungary and Romania respectively (both for the year 2030) highlight a joint recognition and underlining of the major two cross-border development corridors: Szeged – Arad (-Timișoara), and Oradea – Debrecen (-Nyíregyháza). </w:t>
      </w:r>
    </w:p>
    <w:p w14:paraId="15B6BDFD" w14:textId="77777777" w:rsidR="001757C6" w:rsidRPr="00037C61" w:rsidRDefault="001757C6" w:rsidP="001757C6">
      <w:pPr>
        <w:rPr>
          <w:lang w:val="en-GB"/>
        </w:rPr>
      </w:pPr>
      <w:r w:rsidRPr="00037C61">
        <w:rPr>
          <w:lang w:val="en-GB"/>
        </w:rPr>
        <w:t>Furthermore, the Romanian Strategic concept of territorial development for 2030 (Ministry of Development, Public Works and Housing, 2008) states as priorities three key priorities which acknowledge the integration of the cross-border area:</w:t>
      </w:r>
    </w:p>
    <w:p w14:paraId="1EA34903" w14:textId="77777777" w:rsidR="001757C6" w:rsidRPr="00037C61" w:rsidRDefault="001757C6" w:rsidP="001757C6">
      <w:pPr>
        <w:pStyle w:val="InterregROHUBullet1"/>
        <w:ind w:left="567"/>
      </w:pPr>
      <w:r w:rsidRPr="00037C61">
        <w:t xml:space="preserve">The creation of cross-border polycentric development structures </w:t>
      </w:r>
    </w:p>
    <w:p w14:paraId="7934B11B" w14:textId="77777777" w:rsidR="001757C6" w:rsidRPr="00037C61" w:rsidRDefault="001757C6" w:rsidP="001757C6">
      <w:pPr>
        <w:pStyle w:val="InterregROHUBullet1"/>
        <w:ind w:left="567"/>
      </w:pPr>
      <w:r w:rsidRPr="00037C61">
        <w:t xml:space="preserve">Thematic cooperation, with impact in territorial development, within the polycentric networks at cross-border and cross-national level </w:t>
      </w:r>
    </w:p>
    <w:p w14:paraId="757B61C6" w14:textId="77777777" w:rsidR="001757C6" w:rsidRPr="00037C61" w:rsidRDefault="001757C6" w:rsidP="001757C6">
      <w:pPr>
        <w:pStyle w:val="InterregROHUBullet1"/>
        <w:ind w:left="567"/>
      </w:pPr>
      <w:r w:rsidRPr="00037C61">
        <w:t xml:space="preserve">Promotion of cooperation among cities at cross-border and cross-national regional scale </w:t>
      </w:r>
    </w:p>
    <w:p w14:paraId="1962EAA2" w14:textId="72F504C7" w:rsidR="001757C6" w:rsidRPr="00037C61" w:rsidRDefault="001757C6" w:rsidP="001757C6">
      <w:pPr>
        <w:keepNext/>
        <w:spacing w:after="0" w:line="256" w:lineRule="auto"/>
        <w:rPr>
          <w:lang w:val="en-GB"/>
        </w:rPr>
      </w:pPr>
      <w:r w:rsidRPr="00037C61">
        <w:rPr>
          <w:noProof/>
          <w:lang w:val="ro-RO" w:eastAsia="ro-RO"/>
        </w:rPr>
        <w:lastRenderedPageBreak/>
        <w:drawing>
          <wp:inline distT="0" distB="0" distL="0" distR="0" wp14:anchorId="51B49097" wp14:editId="688C42E6">
            <wp:extent cx="4832348" cy="2907670"/>
            <wp:effectExtent l="0" t="0" r="6350" b="6985"/>
            <wp:docPr id="799357047" name="Picture 799357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47"/>
                    <pic:cNvPicPr/>
                  </pic:nvPicPr>
                  <pic:blipFill>
                    <a:blip r:embed="rId298">
                      <a:extLst>
                        <a:ext uri="{28A0092B-C50C-407E-A947-70E740481C1C}">
                          <a14:useLocalDpi xmlns:a14="http://schemas.microsoft.com/office/drawing/2010/main"/>
                        </a:ext>
                      </a:extLst>
                    </a:blip>
                    <a:stretch>
                      <a:fillRect/>
                    </a:stretch>
                  </pic:blipFill>
                  <pic:spPr>
                    <a:xfrm>
                      <a:off x="0" y="0"/>
                      <a:ext cx="4832348" cy="2907670"/>
                    </a:xfrm>
                    <a:prstGeom prst="rect">
                      <a:avLst/>
                    </a:prstGeom>
                  </pic:spPr>
                </pic:pic>
              </a:graphicData>
            </a:graphic>
          </wp:inline>
        </w:drawing>
      </w:r>
    </w:p>
    <w:p w14:paraId="02D00C84" w14:textId="0CCBED7C" w:rsidR="001757C6" w:rsidRPr="00037C61" w:rsidRDefault="001757C6" w:rsidP="001757C6">
      <w:pPr>
        <w:pStyle w:val="Caption"/>
        <w:jc w:val="both"/>
        <w:rPr>
          <w:lang w:val="en-GB"/>
        </w:rPr>
      </w:pPr>
      <w:bookmarkStart w:id="873" w:name="_Toc64611095"/>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147</w:t>
      </w:r>
      <w:r w:rsidR="00412697">
        <w:rPr>
          <w:lang w:val="en-GB"/>
        </w:rPr>
        <w:fldChar w:fldCharType="end"/>
      </w:r>
      <w:r w:rsidRPr="00037C61">
        <w:rPr>
          <w:lang w:val="en-GB"/>
        </w:rPr>
        <w:t xml:space="preserve"> - Cross-border corridors and potentials in national territorial development concepts.</w:t>
      </w:r>
      <w:bookmarkEnd w:id="873"/>
      <w:r w:rsidRPr="00037C61">
        <w:rPr>
          <w:lang w:val="en-GB"/>
        </w:rPr>
        <w:t xml:space="preserve"> </w:t>
      </w:r>
    </w:p>
    <w:p w14:paraId="027CD842" w14:textId="77777777" w:rsidR="001757C6" w:rsidRPr="00037C61" w:rsidRDefault="001757C6" w:rsidP="001757C6">
      <w:pPr>
        <w:pStyle w:val="Caption"/>
        <w:jc w:val="both"/>
        <w:rPr>
          <w:lang w:val="en-GB"/>
        </w:rPr>
      </w:pPr>
      <w:r w:rsidRPr="00037C61">
        <w:rPr>
          <w:lang w:val="en-GB"/>
        </w:rPr>
        <w:t>Source: after ESPON ETRF (2019)</w:t>
      </w:r>
    </w:p>
    <w:p w14:paraId="0A810737" w14:textId="77777777" w:rsidR="001757C6" w:rsidRPr="00037C61" w:rsidRDefault="001757C6" w:rsidP="001757C6">
      <w:pPr>
        <w:rPr>
          <w:lang w:val="en-GB"/>
        </w:rPr>
      </w:pPr>
    </w:p>
    <w:p w14:paraId="4A4F1D4A" w14:textId="36FB5338" w:rsidR="001757C6" w:rsidRPr="00037C61" w:rsidRDefault="00C36342" w:rsidP="001757C6">
      <w:pPr>
        <w:spacing w:line="256" w:lineRule="auto"/>
        <w:rPr>
          <w:lang w:val="en-GB"/>
        </w:rPr>
      </w:pPr>
      <w:r w:rsidRPr="00037C61">
        <w:rPr>
          <w:lang w:val="en-GB"/>
        </w:rPr>
        <w:t xml:space="preserve">As far as cooperation structures are concerned, </w:t>
      </w:r>
      <w:r w:rsidRPr="00037C61">
        <w:rPr>
          <w:b/>
          <w:bCs/>
          <w:lang w:val="en-GB"/>
        </w:rPr>
        <w:t>f</w:t>
      </w:r>
      <w:r w:rsidR="001757C6" w:rsidRPr="00037C61">
        <w:rPr>
          <w:b/>
          <w:bCs/>
          <w:lang w:val="en-GB"/>
        </w:rPr>
        <w:t xml:space="preserve">rom the point of view of institutionalized and informal cooperation, </w:t>
      </w:r>
      <w:r w:rsidR="001757C6" w:rsidRPr="00037C61">
        <w:rPr>
          <w:lang w:val="en-GB"/>
        </w:rPr>
        <w:t xml:space="preserve">the border region between Romania and Hungary represents one of the richer areas in the European context. Based on the analysis performed in </w:t>
      </w:r>
      <w:r w:rsidR="001757C6" w:rsidRPr="00037C61">
        <w:rPr>
          <w:b/>
          <w:lang w:val="en-GB"/>
        </w:rPr>
        <w:t xml:space="preserve">Chapter </w:t>
      </w:r>
      <w:r w:rsidR="001757C6" w:rsidRPr="00037C61">
        <w:rPr>
          <w:b/>
          <w:lang w:val="en-GB"/>
        </w:rPr>
        <w:fldChar w:fldCharType="begin"/>
      </w:r>
      <w:r w:rsidR="001757C6" w:rsidRPr="00037C61">
        <w:rPr>
          <w:b/>
          <w:lang w:val="en-GB"/>
        </w:rPr>
        <w:instrText xml:space="preserve"> REF _Ref50305449 \w  \* MERGEFORMAT </w:instrText>
      </w:r>
      <w:r w:rsidR="001757C6" w:rsidRPr="00037C61">
        <w:rPr>
          <w:b/>
          <w:lang w:val="en-GB"/>
        </w:rPr>
        <w:fldChar w:fldCharType="separate"/>
      </w:r>
      <w:r w:rsidR="00A633B8" w:rsidRPr="00037C61">
        <w:rPr>
          <w:b/>
          <w:lang w:val="en-GB"/>
        </w:rPr>
        <w:t>2.6.4</w:t>
      </w:r>
      <w:r w:rsidR="001757C6" w:rsidRPr="00037C61">
        <w:rPr>
          <w:b/>
          <w:lang w:val="en-GB"/>
        </w:rPr>
        <w:fldChar w:fldCharType="end"/>
      </w:r>
      <w:r w:rsidR="001757C6" w:rsidRPr="00037C61">
        <w:rPr>
          <w:lang w:val="en-GB"/>
        </w:rPr>
        <w:t xml:space="preserve">, several particularities can be highlighted with respect to the number and distribution of these forms of cooperation. </w:t>
      </w:r>
    </w:p>
    <w:p w14:paraId="61C3F98D" w14:textId="0E33AE6D" w:rsidR="001757C6" w:rsidRPr="00037C61" w:rsidRDefault="001757C6" w:rsidP="005E0849">
      <w:pPr>
        <w:spacing w:line="256" w:lineRule="auto"/>
        <w:rPr>
          <w:color w:val="000000"/>
          <w:lang w:val="en-GB"/>
        </w:rPr>
      </w:pPr>
      <w:r w:rsidRPr="00037C61">
        <w:rPr>
          <w:lang w:val="en-GB"/>
        </w:rPr>
        <w:t>The programme area features a high number of municipality twinning agreements with other municipalities across the border (132), with up to six such agreements per LAU2 unit (Valea lui Mihai, Bihor county). The larger cities or border townships tend to be more open to cooperation and twinning, as a form of urban diplomacy and recognition of the historical links still perceivable in shared heritage, even linguistic (eg. Bihar/Biharia/Bihor, Szatmár/Satu Mare, Nagykereki/Cherechiu, etc). These bilateral agreements represent a good foundation for further development of common projects or initiatives at the very local level, in the cross-border cooperation context. Furthermore, there are four EGTCs in the cooperation area, albeit two of them (</w:t>
      </w:r>
      <w:r w:rsidRPr="00037C61">
        <w:rPr>
          <w:color w:val="000000" w:themeColor="text1"/>
          <w:lang w:val="en-GB"/>
        </w:rPr>
        <w:t>European Common Future Building EGTC and European Border Cities EGTC) cover a limited territory and consequently have a reduced territorial impact of investment. Lastly</w:t>
      </w:r>
      <w:r w:rsidR="00837AF6" w:rsidRPr="00037C61">
        <w:rPr>
          <w:color w:val="000000" w:themeColor="text1"/>
          <w:lang w:val="en-GB"/>
        </w:rPr>
        <w:t>, 7 of the 8 counties in the PA are part of</w:t>
      </w:r>
      <w:r w:rsidRPr="00037C61">
        <w:rPr>
          <w:color w:val="000000" w:themeColor="text1"/>
          <w:lang w:val="en-GB"/>
        </w:rPr>
        <w:t xml:space="preserve"> constituted and operational Euroregions, two of them within a wider context (DKMT and Carpathia) and one of them targeting cooperation at regional level between Hajdú-Bihar – Bihor. </w:t>
      </w:r>
    </w:p>
    <w:p w14:paraId="364984AB" w14:textId="6756D704" w:rsidR="001757C6" w:rsidRPr="00037C61" w:rsidRDefault="001757C6" w:rsidP="001757C6">
      <w:pPr>
        <w:pStyle w:val="Caption"/>
        <w:keepNext/>
        <w:jc w:val="left"/>
        <w:rPr>
          <w:lang w:val="en-GB"/>
        </w:rPr>
      </w:pPr>
      <w:bookmarkStart w:id="874" w:name="_Toc58237674"/>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52</w:t>
      </w:r>
      <w:r w:rsidRPr="00037C61">
        <w:rPr>
          <w:lang w:val="en-GB"/>
        </w:rPr>
        <w:fldChar w:fldCharType="end"/>
      </w:r>
      <w:r w:rsidRPr="00037C61">
        <w:rPr>
          <w:lang w:val="en-GB"/>
        </w:rPr>
        <w:t xml:space="preserve"> - Overview of institutionalized cooperation forms in the PA</w:t>
      </w:r>
      <w:bookmarkEnd w:id="874"/>
    </w:p>
    <w:tbl>
      <w:tblPr>
        <w:tblStyle w:val="ListTable3-Accent11"/>
        <w:tblW w:w="8938" w:type="dxa"/>
        <w:tblLook w:val="04A0" w:firstRow="1" w:lastRow="0" w:firstColumn="1" w:lastColumn="0" w:noHBand="0" w:noVBand="1"/>
      </w:tblPr>
      <w:tblGrid>
        <w:gridCol w:w="2408"/>
        <w:gridCol w:w="2215"/>
        <w:gridCol w:w="1880"/>
        <w:gridCol w:w="2435"/>
      </w:tblGrid>
      <w:tr w:rsidR="001757C6" w:rsidRPr="00037C61" w14:paraId="0E5E533E" w14:textId="77777777" w:rsidTr="00457478">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408" w:type="dxa"/>
            <w:hideMark/>
          </w:tcPr>
          <w:p w14:paraId="3D7363EC" w14:textId="77777777" w:rsidR="001757C6" w:rsidRPr="00037C61" w:rsidRDefault="001757C6" w:rsidP="001757C6">
            <w:pPr>
              <w:jc w:val="center"/>
              <w:rPr>
                <w:rFonts w:eastAsia="Times New Roman" w:cs="Calibri"/>
                <w:color w:val="000000"/>
                <w:sz w:val="18"/>
                <w:szCs w:val="18"/>
                <w:lang w:val="en-GB" w:eastAsia="en-GB"/>
              </w:rPr>
            </w:pPr>
          </w:p>
        </w:tc>
        <w:tc>
          <w:tcPr>
            <w:tcW w:w="2215" w:type="dxa"/>
            <w:hideMark/>
          </w:tcPr>
          <w:p w14:paraId="0ECD195F" w14:textId="77777777" w:rsidR="001757C6" w:rsidRPr="00037C61" w:rsidRDefault="001757C6" w:rsidP="001757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r w:rsidRPr="00037C61">
              <w:rPr>
                <w:rFonts w:eastAsia="Times New Roman" w:cs="Calibri"/>
                <w:sz w:val="18"/>
                <w:szCs w:val="18"/>
                <w:lang w:val="en-GB" w:eastAsia="en-GB"/>
              </w:rPr>
              <w:t>Twinning* in the cooperation area</w:t>
            </w:r>
          </w:p>
        </w:tc>
        <w:tc>
          <w:tcPr>
            <w:tcW w:w="1880" w:type="dxa"/>
            <w:hideMark/>
          </w:tcPr>
          <w:p w14:paraId="6D5313AC" w14:textId="77777777" w:rsidR="001757C6" w:rsidRPr="00037C61" w:rsidRDefault="001757C6" w:rsidP="001757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r w:rsidRPr="00037C61">
              <w:rPr>
                <w:rFonts w:eastAsia="Times New Roman" w:cs="Calibri"/>
                <w:sz w:val="18"/>
                <w:szCs w:val="18"/>
                <w:lang w:val="en-GB" w:eastAsia="en-GB"/>
              </w:rPr>
              <w:t>EGTCs</w:t>
            </w:r>
          </w:p>
        </w:tc>
        <w:tc>
          <w:tcPr>
            <w:tcW w:w="2435" w:type="dxa"/>
            <w:hideMark/>
          </w:tcPr>
          <w:p w14:paraId="2726963C" w14:textId="77777777" w:rsidR="001757C6" w:rsidRPr="00037C61" w:rsidRDefault="001757C6" w:rsidP="001757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 w:val="18"/>
                <w:szCs w:val="18"/>
                <w:lang w:val="en-GB" w:eastAsia="en-GB"/>
              </w:rPr>
            </w:pPr>
            <w:r w:rsidRPr="00037C61">
              <w:rPr>
                <w:rFonts w:eastAsia="Times New Roman" w:cs="Calibri"/>
                <w:sz w:val="18"/>
                <w:szCs w:val="18"/>
                <w:lang w:val="en-GB" w:eastAsia="en-GB"/>
              </w:rPr>
              <w:t>Euroregions</w:t>
            </w:r>
          </w:p>
        </w:tc>
      </w:tr>
      <w:tr w:rsidR="001757C6" w:rsidRPr="00037C61" w14:paraId="7C9693E6" w14:textId="77777777" w:rsidTr="004574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08" w:type="dxa"/>
            <w:shd w:val="clear" w:color="auto" w:fill="EAEDF6" w:themeFill="accent2" w:themeFillTint="33"/>
            <w:hideMark/>
          </w:tcPr>
          <w:p w14:paraId="53AC2406"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Hajdú-Bihar</w:t>
            </w:r>
          </w:p>
        </w:tc>
        <w:tc>
          <w:tcPr>
            <w:tcW w:w="2215" w:type="dxa"/>
            <w:shd w:val="clear" w:color="auto" w:fill="EAEDF6" w:themeFill="accent2" w:themeFillTint="33"/>
            <w:noWrap/>
            <w:hideMark/>
          </w:tcPr>
          <w:p w14:paraId="0DEEE45B"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39</w:t>
            </w:r>
          </w:p>
        </w:tc>
        <w:tc>
          <w:tcPr>
            <w:tcW w:w="1880" w:type="dxa"/>
            <w:shd w:val="clear" w:color="auto" w:fill="EAEDF6" w:themeFill="accent2" w:themeFillTint="33"/>
            <w:noWrap/>
            <w:hideMark/>
          </w:tcPr>
          <w:p w14:paraId="20BB394C"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2435" w:type="dxa"/>
            <w:shd w:val="clear" w:color="auto" w:fill="EAEDF6" w:themeFill="accent2" w:themeFillTint="33"/>
            <w:noWrap/>
            <w:hideMark/>
          </w:tcPr>
          <w:p w14:paraId="4991E1F7"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w:t>
            </w:r>
          </w:p>
        </w:tc>
      </w:tr>
      <w:tr w:rsidR="001757C6" w:rsidRPr="00037C61" w14:paraId="474753B3" w14:textId="77777777" w:rsidTr="00457478">
        <w:trPr>
          <w:trHeight w:val="227"/>
        </w:trPr>
        <w:tc>
          <w:tcPr>
            <w:cnfStyle w:val="001000000000" w:firstRow="0" w:lastRow="0" w:firstColumn="1" w:lastColumn="0" w:oddVBand="0" w:evenVBand="0" w:oddHBand="0" w:evenHBand="0" w:firstRowFirstColumn="0" w:firstRowLastColumn="0" w:lastRowFirstColumn="0" w:lastRowLastColumn="0"/>
            <w:tcW w:w="2408" w:type="dxa"/>
            <w:hideMark/>
          </w:tcPr>
          <w:p w14:paraId="37B4D039"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Szabolcs-Szatmár-Bereg</w:t>
            </w:r>
          </w:p>
        </w:tc>
        <w:tc>
          <w:tcPr>
            <w:tcW w:w="2215" w:type="dxa"/>
            <w:noWrap/>
            <w:hideMark/>
          </w:tcPr>
          <w:p w14:paraId="2EA4E350"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36</w:t>
            </w:r>
          </w:p>
        </w:tc>
        <w:tc>
          <w:tcPr>
            <w:tcW w:w="1880" w:type="dxa"/>
            <w:noWrap/>
            <w:hideMark/>
          </w:tcPr>
          <w:p w14:paraId="06B14E48"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w:t>
            </w:r>
          </w:p>
        </w:tc>
        <w:tc>
          <w:tcPr>
            <w:tcW w:w="2435" w:type="dxa"/>
            <w:noWrap/>
            <w:hideMark/>
          </w:tcPr>
          <w:p w14:paraId="5B14C7F1"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r>
      <w:tr w:rsidR="001757C6" w:rsidRPr="00037C61" w14:paraId="07543AF9" w14:textId="77777777" w:rsidTr="004574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08" w:type="dxa"/>
            <w:hideMark/>
          </w:tcPr>
          <w:p w14:paraId="1662CA21"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Békés</w:t>
            </w:r>
          </w:p>
        </w:tc>
        <w:tc>
          <w:tcPr>
            <w:tcW w:w="2215" w:type="dxa"/>
            <w:noWrap/>
            <w:hideMark/>
          </w:tcPr>
          <w:p w14:paraId="66F10E21"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36</w:t>
            </w:r>
          </w:p>
        </w:tc>
        <w:tc>
          <w:tcPr>
            <w:tcW w:w="1880" w:type="dxa"/>
            <w:noWrap/>
            <w:hideMark/>
          </w:tcPr>
          <w:p w14:paraId="48B80664"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2435" w:type="dxa"/>
            <w:noWrap/>
            <w:hideMark/>
          </w:tcPr>
          <w:p w14:paraId="56DA1493" w14:textId="6FB73A5A" w:rsidR="001757C6" w:rsidRPr="00037C61" w:rsidRDefault="00F60029"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0</w:t>
            </w:r>
          </w:p>
        </w:tc>
      </w:tr>
      <w:tr w:rsidR="001757C6" w:rsidRPr="00037C61" w14:paraId="0397C246" w14:textId="77777777" w:rsidTr="00457478">
        <w:trPr>
          <w:trHeight w:val="227"/>
        </w:trPr>
        <w:tc>
          <w:tcPr>
            <w:cnfStyle w:val="001000000000" w:firstRow="0" w:lastRow="0" w:firstColumn="1" w:lastColumn="0" w:oddVBand="0" w:evenVBand="0" w:oddHBand="0" w:evenHBand="0" w:firstRowFirstColumn="0" w:firstRowLastColumn="0" w:lastRowFirstColumn="0" w:lastRowLastColumn="0"/>
            <w:tcW w:w="2408" w:type="dxa"/>
            <w:hideMark/>
          </w:tcPr>
          <w:p w14:paraId="456727B1"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themeColor="text1"/>
                <w:sz w:val="18"/>
                <w:szCs w:val="18"/>
                <w:lang w:val="en-GB" w:eastAsia="en-GB"/>
              </w:rPr>
              <w:t>Csongrád-Csanád</w:t>
            </w:r>
          </w:p>
        </w:tc>
        <w:tc>
          <w:tcPr>
            <w:tcW w:w="2215" w:type="dxa"/>
            <w:noWrap/>
            <w:hideMark/>
          </w:tcPr>
          <w:p w14:paraId="216A84D9"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21</w:t>
            </w:r>
          </w:p>
        </w:tc>
        <w:tc>
          <w:tcPr>
            <w:tcW w:w="1880" w:type="dxa"/>
            <w:noWrap/>
            <w:hideMark/>
          </w:tcPr>
          <w:p w14:paraId="0E77409E"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2435" w:type="dxa"/>
            <w:noWrap/>
            <w:hideMark/>
          </w:tcPr>
          <w:p w14:paraId="0FF6A154"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r>
      <w:tr w:rsidR="001757C6" w:rsidRPr="00037C61" w14:paraId="7108207B" w14:textId="77777777" w:rsidTr="004574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08" w:type="dxa"/>
            <w:shd w:val="clear" w:color="auto" w:fill="EAEDF6" w:themeFill="accent2" w:themeFillTint="33"/>
            <w:hideMark/>
          </w:tcPr>
          <w:p w14:paraId="7004B817"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Bihor</w:t>
            </w:r>
          </w:p>
        </w:tc>
        <w:tc>
          <w:tcPr>
            <w:tcW w:w="2215" w:type="dxa"/>
            <w:shd w:val="clear" w:color="auto" w:fill="EAEDF6" w:themeFill="accent2" w:themeFillTint="33"/>
            <w:noWrap/>
            <w:hideMark/>
          </w:tcPr>
          <w:p w14:paraId="00174132"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52</w:t>
            </w:r>
          </w:p>
        </w:tc>
        <w:tc>
          <w:tcPr>
            <w:tcW w:w="1880" w:type="dxa"/>
            <w:shd w:val="clear" w:color="auto" w:fill="EAEDF6" w:themeFill="accent2" w:themeFillTint="33"/>
            <w:noWrap/>
            <w:hideMark/>
          </w:tcPr>
          <w:p w14:paraId="172CD1F1"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2435" w:type="dxa"/>
            <w:shd w:val="clear" w:color="auto" w:fill="EAEDF6" w:themeFill="accent2" w:themeFillTint="33"/>
            <w:noWrap/>
            <w:hideMark/>
          </w:tcPr>
          <w:p w14:paraId="2D7EB590"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w:t>
            </w:r>
          </w:p>
        </w:tc>
      </w:tr>
      <w:tr w:rsidR="001757C6" w:rsidRPr="00037C61" w14:paraId="1D84B18A" w14:textId="77777777" w:rsidTr="00457478">
        <w:trPr>
          <w:trHeight w:val="227"/>
        </w:trPr>
        <w:tc>
          <w:tcPr>
            <w:cnfStyle w:val="001000000000" w:firstRow="0" w:lastRow="0" w:firstColumn="1" w:lastColumn="0" w:oddVBand="0" w:evenVBand="0" w:oddHBand="0" w:evenHBand="0" w:firstRowFirstColumn="0" w:firstRowLastColumn="0" w:lastRowFirstColumn="0" w:lastRowLastColumn="0"/>
            <w:tcW w:w="2408" w:type="dxa"/>
            <w:hideMark/>
          </w:tcPr>
          <w:p w14:paraId="5FD30E23"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Satu Mare</w:t>
            </w:r>
          </w:p>
        </w:tc>
        <w:tc>
          <w:tcPr>
            <w:tcW w:w="2215" w:type="dxa"/>
            <w:noWrap/>
            <w:hideMark/>
          </w:tcPr>
          <w:p w14:paraId="3ED22D81"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32</w:t>
            </w:r>
          </w:p>
        </w:tc>
        <w:tc>
          <w:tcPr>
            <w:tcW w:w="1880" w:type="dxa"/>
            <w:noWrap/>
            <w:hideMark/>
          </w:tcPr>
          <w:p w14:paraId="20289112"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2</w:t>
            </w:r>
          </w:p>
        </w:tc>
        <w:tc>
          <w:tcPr>
            <w:tcW w:w="2435" w:type="dxa"/>
            <w:noWrap/>
            <w:hideMark/>
          </w:tcPr>
          <w:p w14:paraId="4F5225E5"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r>
      <w:tr w:rsidR="001757C6" w:rsidRPr="00037C61" w14:paraId="53CB4A8F" w14:textId="77777777" w:rsidTr="0045747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08" w:type="dxa"/>
            <w:hideMark/>
          </w:tcPr>
          <w:p w14:paraId="069BAB77"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Arad</w:t>
            </w:r>
          </w:p>
        </w:tc>
        <w:tc>
          <w:tcPr>
            <w:tcW w:w="2215" w:type="dxa"/>
            <w:noWrap/>
            <w:hideMark/>
          </w:tcPr>
          <w:p w14:paraId="1D0DADC7"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30</w:t>
            </w:r>
          </w:p>
        </w:tc>
        <w:tc>
          <w:tcPr>
            <w:tcW w:w="1880" w:type="dxa"/>
            <w:noWrap/>
            <w:hideMark/>
          </w:tcPr>
          <w:p w14:paraId="30D071F4"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2435" w:type="dxa"/>
            <w:noWrap/>
            <w:hideMark/>
          </w:tcPr>
          <w:p w14:paraId="47B05C21" w14:textId="77777777" w:rsidR="001757C6" w:rsidRPr="00037C61" w:rsidRDefault="001757C6" w:rsidP="001757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r>
      <w:tr w:rsidR="001757C6" w:rsidRPr="00037C61" w14:paraId="2773AAE2" w14:textId="77777777" w:rsidTr="00457478">
        <w:trPr>
          <w:trHeight w:val="227"/>
        </w:trPr>
        <w:tc>
          <w:tcPr>
            <w:cnfStyle w:val="001000000000" w:firstRow="0" w:lastRow="0" w:firstColumn="1" w:lastColumn="0" w:oddVBand="0" w:evenVBand="0" w:oddHBand="0" w:evenHBand="0" w:firstRowFirstColumn="0" w:firstRowLastColumn="0" w:lastRowFirstColumn="0" w:lastRowLastColumn="0"/>
            <w:tcW w:w="2408" w:type="dxa"/>
            <w:hideMark/>
          </w:tcPr>
          <w:p w14:paraId="38F8315B" w14:textId="77777777" w:rsidR="001757C6" w:rsidRPr="00037C61" w:rsidRDefault="001757C6" w:rsidP="001757C6">
            <w:pPr>
              <w:jc w:val="center"/>
              <w:rPr>
                <w:rFonts w:eastAsia="Times New Roman" w:cs="Calibri"/>
                <w:color w:val="000000"/>
                <w:sz w:val="18"/>
                <w:szCs w:val="18"/>
                <w:lang w:val="en-GB" w:eastAsia="en-GB"/>
              </w:rPr>
            </w:pPr>
            <w:r w:rsidRPr="00037C61">
              <w:rPr>
                <w:rFonts w:eastAsia="Times New Roman" w:cs="Calibri"/>
                <w:color w:val="000000"/>
                <w:sz w:val="18"/>
                <w:szCs w:val="18"/>
                <w:lang w:val="en-GB" w:eastAsia="en-GB"/>
              </w:rPr>
              <w:t>Timiș</w:t>
            </w:r>
          </w:p>
        </w:tc>
        <w:tc>
          <w:tcPr>
            <w:tcW w:w="2215" w:type="dxa"/>
            <w:noWrap/>
            <w:hideMark/>
          </w:tcPr>
          <w:p w14:paraId="248A4EFF"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18</w:t>
            </w:r>
          </w:p>
        </w:tc>
        <w:tc>
          <w:tcPr>
            <w:tcW w:w="1880" w:type="dxa"/>
            <w:noWrap/>
            <w:hideMark/>
          </w:tcPr>
          <w:p w14:paraId="6905456E"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c>
          <w:tcPr>
            <w:tcW w:w="2435" w:type="dxa"/>
            <w:noWrap/>
            <w:hideMark/>
          </w:tcPr>
          <w:p w14:paraId="0A458107" w14:textId="77777777" w:rsidR="001757C6" w:rsidRPr="00037C61" w:rsidRDefault="001757C6" w:rsidP="001757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n-GB" w:eastAsia="en-GB"/>
              </w:rPr>
            </w:pPr>
            <w:r w:rsidRPr="00037C61">
              <w:rPr>
                <w:rFonts w:eastAsia="Times New Roman" w:cs="Calibri"/>
                <w:color w:val="000000"/>
                <w:sz w:val="18"/>
                <w:szCs w:val="18"/>
                <w:lang w:val="en-GB" w:eastAsia="en-GB"/>
              </w:rPr>
              <w:t>1</w:t>
            </w:r>
          </w:p>
        </w:tc>
      </w:tr>
    </w:tbl>
    <w:p w14:paraId="1B6F6291" w14:textId="2CC3D61F" w:rsidR="001757C6" w:rsidRPr="00037C61" w:rsidRDefault="001757C6" w:rsidP="001757C6">
      <w:pPr>
        <w:spacing w:line="256" w:lineRule="auto"/>
        <w:rPr>
          <w:sz w:val="18"/>
          <w:lang w:val="en-GB"/>
        </w:rPr>
      </w:pPr>
      <w:r w:rsidRPr="00037C61">
        <w:rPr>
          <w:sz w:val="18"/>
          <w:lang w:val="en-GB"/>
        </w:rPr>
        <w:t>*</w:t>
      </w:r>
      <w:r w:rsidRPr="00037C61">
        <w:rPr>
          <w:i/>
          <w:sz w:val="18"/>
          <w:lang w:val="en-GB"/>
        </w:rPr>
        <w:t>twinnings are calculated based on the number of LAU2 units in the county which are twinned with units from the other side of the border, within the cooperation area</w:t>
      </w:r>
      <w:r w:rsidRPr="00037C61">
        <w:rPr>
          <w:sz w:val="18"/>
          <w:lang w:val="en-GB"/>
        </w:rPr>
        <w:t xml:space="preserve"> </w:t>
      </w:r>
    </w:p>
    <w:p w14:paraId="1B250C93" w14:textId="0FB0053D" w:rsidR="001757C6" w:rsidRPr="00037C61" w:rsidRDefault="000C5A56" w:rsidP="001757C6">
      <w:pPr>
        <w:rPr>
          <w:color w:val="000000"/>
          <w:lang w:val="en-GB"/>
        </w:rPr>
      </w:pPr>
      <w:r w:rsidRPr="00037C61">
        <w:rPr>
          <w:noProof/>
          <w:lang w:val="ro-RO" w:eastAsia="ro-RO"/>
        </w:rPr>
        <w:lastRenderedPageBreak/>
        <w:drawing>
          <wp:anchor distT="0" distB="0" distL="114300" distR="114300" simplePos="0" relativeHeight="251684352" behindDoc="0" locked="0" layoutInCell="1" allowOverlap="1" wp14:anchorId="209D9BF1" wp14:editId="5A53998F">
            <wp:simplePos x="0" y="0"/>
            <wp:positionH relativeFrom="margin">
              <wp:posOffset>2221865</wp:posOffset>
            </wp:positionH>
            <wp:positionV relativeFrom="paragraph">
              <wp:posOffset>411480</wp:posOffset>
            </wp:positionV>
            <wp:extent cx="3491230" cy="4547235"/>
            <wp:effectExtent l="0" t="0" r="0" b="5715"/>
            <wp:wrapSquare wrapText="bothSides"/>
            <wp:docPr id="799357050" name="Picture 799357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491230" cy="4547235"/>
                    </a:xfrm>
                    <a:prstGeom prst="rect">
                      <a:avLst/>
                    </a:prstGeom>
                  </pic:spPr>
                </pic:pic>
              </a:graphicData>
            </a:graphic>
            <wp14:sizeRelH relativeFrom="margin">
              <wp14:pctWidth>0</wp14:pctWidth>
            </wp14:sizeRelH>
            <wp14:sizeRelV relativeFrom="margin">
              <wp14:pctHeight>0</wp14:pctHeight>
            </wp14:sizeRelV>
          </wp:anchor>
        </w:drawing>
      </w:r>
      <w:r w:rsidR="001757C6" w:rsidRPr="00037C61">
        <w:rPr>
          <w:lang w:val="en-GB"/>
        </w:rPr>
        <w:t xml:space="preserve">Cooperation agreements are generally more prolific in the </w:t>
      </w:r>
      <w:r w:rsidR="001757C6" w:rsidRPr="00037C61">
        <w:rPr>
          <w:color w:val="000000" w:themeColor="text1"/>
          <w:lang w:val="en-GB"/>
        </w:rPr>
        <w:t xml:space="preserve">Hajdú-Bihar – Bihor area, underlining the linkages between the Debrecen-Oradea binome. On the other hand, the southernmost counties of Timiș and Csongrád-Csanád have a relatively lower number of twinning agreements, indicating that this instrument is less common practice towards the southern border with Serbia. However, there is a twinning agreement between Timișoara and Szeged, as is the case with the other county seats / capitals of Debrecen-Oradea and Nyíregyháza-Satu Mare (but not Békéscsaba-Arad, which also presents weak links from a physical and socio-economic connectivity point of view). </w:t>
      </w:r>
    </w:p>
    <w:p w14:paraId="77602A35" w14:textId="406DAB5F" w:rsidR="001757C6" w:rsidRPr="00037C61" w:rsidRDefault="001757C6" w:rsidP="74CEAA85">
      <w:pPr>
        <w:rPr>
          <w:color w:val="000000" w:themeColor="text1"/>
          <w:lang w:val="en-GB"/>
        </w:rPr>
      </w:pPr>
      <w:r w:rsidRPr="00037C61">
        <w:rPr>
          <w:color w:val="000000" w:themeColor="text1"/>
          <w:lang w:val="en-GB"/>
        </w:rPr>
        <w:t>Overlapping the main agreements at territorial level and between the main urban centers, we can distinguish two general cross-border cooperation hotspot areas in the programme area</w:t>
      </w:r>
      <w:r w:rsidR="5DA5C83C" w:rsidRPr="00037C61">
        <w:rPr>
          <w:color w:val="000000" w:themeColor="text1"/>
          <w:lang w:val="en-GB"/>
        </w:rPr>
        <w:t>.</w:t>
      </w:r>
    </w:p>
    <w:p w14:paraId="3F40260B" w14:textId="6A416793" w:rsidR="001757C6" w:rsidRPr="00037C61" w:rsidRDefault="001757C6" w:rsidP="001757C6">
      <w:pPr>
        <w:keepNext/>
        <w:spacing w:after="0" w:line="256" w:lineRule="auto"/>
        <w:rPr>
          <w:lang w:val="en-GB"/>
        </w:rPr>
      </w:pPr>
    </w:p>
    <w:p w14:paraId="1B005854" w14:textId="6081B07A" w:rsidR="001757C6" w:rsidRPr="00037C61" w:rsidRDefault="001757C6" w:rsidP="001757C6">
      <w:pPr>
        <w:pStyle w:val="Caption"/>
        <w:jc w:val="left"/>
        <w:rPr>
          <w:lang w:val="en-GB"/>
        </w:rPr>
      </w:pPr>
      <w:bookmarkStart w:id="875" w:name="_Toc64611096"/>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148</w:t>
      </w:r>
      <w:r w:rsidR="00412697">
        <w:rPr>
          <w:lang w:val="en-GB"/>
        </w:rPr>
        <w:fldChar w:fldCharType="end"/>
      </w:r>
      <w:r w:rsidRPr="00037C61">
        <w:rPr>
          <w:lang w:val="en-GB"/>
        </w:rPr>
        <w:t xml:space="preserve"> - Cross-border cooperation hotspot areas in the programme area</w:t>
      </w:r>
      <w:bookmarkEnd w:id="875"/>
    </w:p>
    <w:p w14:paraId="7C659639" w14:textId="77777777" w:rsidR="00BB7D11" w:rsidRPr="00037C61" w:rsidRDefault="00BB7D11" w:rsidP="00A11181">
      <w:pPr>
        <w:rPr>
          <w:lang w:val="en-GB"/>
        </w:rPr>
      </w:pPr>
    </w:p>
    <w:p w14:paraId="0EB42FD4" w14:textId="77777777" w:rsidR="00C36342" w:rsidRPr="00037C61" w:rsidRDefault="00C36342" w:rsidP="30EED610">
      <w:pPr>
        <w:spacing w:before="200" w:after="0" w:line="240" w:lineRule="auto"/>
        <w:rPr>
          <w:b/>
          <w:bCs/>
          <w:color w:val="002060"/>
          <w:sz w:val="24"/>
          <w:szCs w:val="24"/>
          <w:lang w:val="en-GB"/>
        </w:rPr>
      </w:pPr>
    </w:p>
    <w:p w14:paraId="3C2524B2" w14:textId="3ED00BD0" w:rsidR="00C36342" w:rsidRPr="00037C61" w:rsidRDefault="00C36342" w:rsidP="002A4F5D">
      <w:pPr>
        <w:spacing w:line="256" w:lineRule="auto"/>
        <w:rPr>
          <w:lang w:val="en-GB"/>
        </w:rPr>
      </w:pPr>
      <w:r w:rsidRPr="00037C61">
        <w:rPr>
          <w:lang w:val="en-GB"/>
        </w:rPr>
        <w:br w:type="page"/>
      </w:r>
    </w:p>
    <w:p w14:paraId="395BCBD7" w14:textId="2E742E6E" w:rsidR="00BB7D11" w:rsidRPr="00037C61" w:rsidRDefault="6446A0E8" w:rsidP="005E0849">
      <w:pPr>
        <w:pStyle w:val="Heading2"/>
      </w:pPr>
      <w:bookmarkStart w:id="876" w:name="_Toc53895211"/>
      <w:bookmarkStart w:id="877" w:name="_Toc53895212"/>
      <w:bookmarkStart w:id="878" w:name="_Ref52976651"/>
      <w:bookmarkStart w:id="879" w:name="_Toc53137230"/>
      <w:bookmarkStart w:id="880" w:name="_Toc50723357"/>
      <w:bookmarkStart w:id="881" w:name="_Toc64619570"/>
      <w:bookmarkEnd w:id="876"/>
      <w:bookmarkEnd w:id="877"/>
      <w:r w:rsidRPr="00037C61">
        <w:lastRenderedPageBreak/>
        <w:t xml:space="preserve">Functional </w:t>
      </w:r>
      <w:r w:rsidR="002963AE" w:rsidRPr="00037C61">
        <w:t>area</w:t>
      </w:r>
      <w:r w:rsidRPr="00037C61">
        <w:t xml:space="preserve"> typologies and urban quality factors</w:t>
      </w:r>
      <w:bookmarkEnd w:id="878"/>
      <w:bookmarkEnd w:id="879"/>
      <w:bookmarkEnd w:id="880"/>
      <w:bookmarkEnd w:id="881"/>
    </w:p>
    <w:p w14:paraId="71B64AF1" w14:textId="77777777" w:rsidR="00BB7D11" w:rsidRPr="00037C61" w:rsidRDefault="00BB7D11" w:rsidP="00BB7D11">
      <w:pPr>
        <w:pStyle w:val="Heading3"/>
      </w:pPr>
      <w:bookmarkStart w:id="882" w:name="_Toc64619571"/>
      <w:r w:rsidRPr="00037C61">
        <w:t>Theoretical hinterlands and the influence of main urban centers</w:t>
      </w:r>
      <w:bookmarkEnd w:id="882"/>
    </w:p>
    <w:p w14:paraId="7965E500" w14:textId="77777777" w:rsidR="00BB7D11" w:rsidRPr="00037C61" w:rsidRDefault="00BB7D11" w:rsidP="00BB7D11">
      <w:pPr>
        <w:spacing w:after="0" w:line="240" w:lineRule="auto"/>
        <w:rPr>
          <w:b/>
          <w:color w:val="002060"/>
          <w:lang w:val="en-GB"/>
        </w:rPr>
      </w:pPr>
      <w:r w:rsidRPr="00037C61">
        <w:rPr>
          <w:b/>
          <w:color w:val="002060"/>
          <w:lang w:val="en-GB"/>
        </w:rPr>
        <w:t xml:space="preserve">Theoretical hinterlands of main urban centers </w:t>
      </w:r>
    </w:p>
    <w:p w14:paraId="550F2F1A" w14:textId="77777777" w:rsidR="00BB7D11" w:rsidRPr="00037C61" w:rsidRDefault="00BB7D11" w:rsidP="00BB7D11">
      <w:pPr>
        <w:spacing w:after="0" w:line="240" w:lineRule="auto"/>
        <w:rPr>
          <w:b/>
          <w:color w:val="002060"/>
          <w:sz w:val="24"/>
          <w:lang w:val="en-GB"/>
        </w:rPr>
      </w:pPr>
      <w:r w:rsidRPr="00037C61">
        <w:rPr>
          <w:lang w:val="en-GB"/>
        </w:rPr>
        <w:t>Reilly’s law of retail gravitation states that larger cities will have a larger sphere of influence than smaller ones, meaning people travel further to reach a larger city. The law presumes the geography of the area is flat without any rivers, roads, or mountains to alter a consumer's decision of where to travel to buy goods. It also assumes consumers are indifferent between the actual cities.</w:t>
      </w:r>
      <w:r w:rsidRPr="00037C61">
        <w:rPr>
          <w:b/>
          <w:color w:val="002060"/>
          <w:sz w:val="24"/>
          <w:lang w:val="en-GB"/>
        </w:rPr>
        <w:t xml:space="preserve"> </w:t>
      </w:r>
    </w:p>
    <w:p w14:paraId="428EED42" w14:textId="77777777" w:rsidR="00BB7D11" w:rsidRPr="00037C61" w:rsidRDefault="00BB7D11" w:rsidP="00BB7D11">
      <w:pPr>
        <w:spacing w:after="0" w:line="240" w:lineRule="auto"/>
        <w:rPr>
          <w:b/>
          <w:color w:val="002060"/>
          <w:sz w:val="24"/>
          <w:lang w:val="en-GB"/>
        </w:rPr>
      </w:pPr>
    </w:p>
    <w:p w14:paraId="0030DDA3" w14:textId="0B1BC1F0" w:rsidR="00BB7D11" w:rsidRPr="00037C61" w:rsidRDefault="00BB7D11" w:rsidP="00BB7D11">
      <w:pPr>
        <w:rPr>
          <w:lang w:val="en-GB"/>
        </w:rPr>
      </w:pPr>
      <w:r w:rsidRPr="00037C61">
        <w:rPr>
          <w:i/>
          <w:noProof/>
          <w:lang w:val="ro-RO" w:eastAsia="ro-RO"/>
        </w:rPr>
        <mc:AlternateContent>
          <mc:Choice Requires="wps">
            <w:drawing>
              <wp:anchor distT="0" distB="0" distL="114300" distR="114300" simplePos="0" relativeHeight="251659776" behindDoc="0" locked="0" layoutInCell="1" allowOverlap="1" wp14:anchorId="32837FB3" wp14:editId="0345FE94">
                <wp:simplePos x="0" y="0"/>
                <wp:positionH relativeFrom="column">
                  <wp:posOffset>0</wp:posOffset>
                </wp:positionH>
                <wp:positionV relativeFrom="paragraph">
                  <wp:posOffset>4032250</wp:posOffset>
                </wp:positionV>
                <wp:extent cx="3027045" cy="635"/>
                <wp:effectExtent l="0" t="0" r="0" b="0"/>
                <wp:wrapSquare wrapText="bothSides"/>
                <wp:docPr id="1490160190" name="Text Box 1490160190"/>
                <wp:cNvGraphicFramePr/>
                <a:graphic xmlns:a="http://schemas.openxmlformats.org/drawingml/2006/main">
                  <a:graphicData uri="http://schemas.microsoft.com/office/word/2010/wordprocessingShape">
                    <wps:wsp>
                      <wps:cNvSpPr txBox="1"/>
                      <wps:spPr>
                        <a:xfrm>
                          <a:off x="0" y="0"/>
                          <a:ext cx="3027045" cy="635"/>
                        </a:xfrm>
                        <a:prstGeom prst="rect">
                          <a:avLst/>
                        </a:prstGeom>
                        <a:solidFill>
                          <a:prstClr val="white"/>
                        </a:solidFill>
                        <a:ln>
                          <a:noFill/>
                        </a:ln>
                      </wps:spPr>
                      <wps:txbx>
                        <w:txbxContent>
                          <w:p w14:paraId="5FA4F402" w14:textId="2C155BB4" w:rsidR="00944B4A" w:rsidRPr="00612AD6" w:rsidRDefault="00944B4A" w:rsidP="00BB7D11">
                            <w:pPr>
                              <w:pStyle w:val="Caption"/>
                              <w:jc w:val="left"/>
                              <w:rPr>
                                <w:lang w:val="en-US"/>
                              </w:rPr>
                            </w:pPr>
                            <w:bookmarkStart w:id="883" w:name="_Toc64611097"/>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149</w:t>
                            </w:r>
                            <w:r>
                              <w:rPr>
                                <w:lang w:val="en-US"/>
                              </w:rPr>
                              <w:fldChar w:fldCharType="end"/>
                            </w:r>
                            <w:r w:rsidRPr="00612AD6">
                              <w:rPr>
                                <w:lang w:val="en-US"/>
                              </w:rPr>
                              <w:t xml:space="preserve"> - Theoretical hinterlands of main urban centers</w:t>
                            </w:r>
                            <w:bookmarkEnd w:id="883"/>
                            <w:r w:rsidRPr="00612AD6">
                              <w:rPr>
                                <w:lang w:val="en-US"/>
                              </w:rPr>
                              <w:t xml:space="preserve"> </w:t>
                            </w:r>
                          </w:p>
                          <w:p w14:paraId="5631CF36" w14:textId="77777777" w:rsidR="00944B4A" w:rsidRPr="00AE3177" w:rsidRDefault="00944B4A" w:rsidP="00BB7D11">
                            <w:pPr>
                              <w:pStyle w:val="Caption"/>
                              <w:jc w:val="left"/>
                              <w:rPr>
                                <w:rFonts w:eastAsia="Times New Roman" w:cs="Calibri"/>
                                <w:b/>
                                <w:bCs/>
                                <w:noProof/>
                                <w:color w:val="002060"/>
                                <w:sz w:val="24"/>
                                <w:szCs w:val="24"/>
                                <w:lang w:val="en-US"/>
                              </w:rPr>
                            </w:pPr>
                            <w:r>
                              <w:t>Source: calculated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37FB3" id="Text Box 1490160190" o:spid="_x0000_s1055" type="#_x0000_t202" style="position:absolute;left:0;text-align:left;margin-left:0;margin-top:317.5pt;width:238.35pt;height:.0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" stroked="f">
                <v:textbox style="mso-fit-shape-to-text:t" inset="0,0,0,0">
                  <w:txbxContent>
                    <w:p w14:paraId="5FA4F402" w14:textId="2C155BB4" w:rsidR="00944B4A" w:rsidRPr="00612AD6" w:rsidRDefault="00944B4A" w:rsidP="00BB7D11">
                      <w:pPr>
                        <w:pStyle w:val="Didascalia"/>
                        <w:jc w:val="left"/>
                        <w:rPr>
                          <w:lang w:val="en-US"/>
                        </w:rPr>
                      </w:pPr>
                      <w:bookmarkStart w:id="1031" w:name="_Toc64611097"/>
                      <w:r w:rsidRPr="00612AD6">
                        <w:rPr>
                          <w:lang w:val="en-US"/>
                        </w:rPr>
                        <w:t xml:space="preserve">Figure </w:t>
                      </w:r>
                      <w:r>
                        <w:rPr>
                          <w:lang w:val="en-US"/>
                        </w:rPr>
                        <w:fldChar w:fldCharType="begin"/>
                      </w:r>
                      <w:r>
                        <w:rPr>
                          <w:lang w:val="en-US"/>
                        </w:rPr>
                        <w:instrText xml:space="preserve"> SEQ Figure \* ARABIC </w:instrText>
                      </w:r>
                      <w:r>
                        <w:rPr>
                          <w:lang w:val="en-US"/>
                        </w:rPr>
                        <w:fldChar w:fldCharType="separate"/>
                      </w:r>
                      <w:r>
                        <w:rPr>
                          <w:noProof/>
                          <w:lang w:val="en-US"/>
                        </w:rPr>
                        <w:t>149</w:t>
                      </w:r>
                      <w:r>
                        <w:rPr>
                          <w:lang w:val="en-US"/>
                        </w:rPr>
                        <w:fldChar w:fldCharType="end"/>
                      </w:r>
                      <w:r w:rsidRPr="00612AD6">
                        <w:rPr>
                          <w:lang w:val="en-US"/>
                        </w:rPr>
                        <w:t xml:space="preserve"> - Theoretical hinterlands of main urban centers</w:t>
                      </w:r>
                      <w:bookmarkEnd w:id="1031"/>
                      <w:r w:rsidRPr="00612AD6">
                        <w:rPr>
                          <w:lang w:val="en-US"/>
                        </w:rPr>
                        <w:t xml:space="preserve"> </w:t>
                      </w:r>
                    </w:p>
                    <w:p w14:paraId="5631CF36" w14:textId="77777777" w:rsidR="00944B4A" w:rsidRPr="00AE3177" w:rsidRDefault="00944B4A" w:rsidP="00BB7D11">
                      <w:pPr>
                        <w:pStyle w:val="Didascalia"/>
                        <w:jc w:val="left"/>
                        <w:rPr>
                          <w:rFonts w:eastAsia="Times New Roman" w:cs="Calibri"/>
                          <w:b/>
                          <w:bCs/>
                          <w:noProof/>
                          <w:color w:val="002060"/>
                          <w:sz w:val="24"/>
                          <w:szCs w:val="24"/>
                          <w:lang w:val="en-US"/>
                        </w:rPr>
                      </w:pPr>
                      <w:r>
                        <w:t xml:space="preserve">Source: </w:t>
                      </w:r>
                      <w:proofErr w:type="spellStart"/>
                      <w:r>
                        <w:t>calculated</w:t>
                      </w:r>
                      <w:proofErr w:type="spellEnd"/>
                    </w:p>
                  </w:txbxContent>
                </v:textbox>
                <w10:wrap type="square"/>
              </v:shape>
            </w:pict>
          </mc:Fallback>
        </mc:AlternateContent>
      </w:r>
      <w:r w:rsidRPr="00037C61">
        <w:rPr>
          <w:b/>
          <w:i/>
          <w:noProof/>
          <w:color w:val="002060"/>
          <w:sz w:val="24"/>
          <w:lang w:val="ro-RO" w:eastAsia="ro-RO"/>
        </w:rPr>
        <w:drawing>
          <wp:anchor distT="0" distB="0" distL="114300" distR="114300" simplePos="0" relativeHeight="251658752" behindDoc="0" locked="0" layoutInCell="1" allowOverlap="1" wp14:anchorId="5B4F4740" wp14:editId="2F441C87">
            <wp:simplePos x="0" y="0"/>
            <wp:positionH relativeFrom="column">
              <wp:posOffset>0</wp:posOffset>
            </wp:positionH>
            <wp:positionV relativeFrom="paragraph">
              <wp:posOffset>462</wp:posOffset>
            </wp:positionV>
            <wp:extent cx="3027218" cy="3975479"/>
            <wp:effectExtent l="0" t="0" r="1905" b="6350"/>
            <wp:wrapSquare wrapText="bothSides"/>
            <wp:docPr id="1490160191" name="Picture 149016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_HU_Interreg_5_2_3.png"/>
                    <pic:cNvPicPr/>
                  </pic:nvPicPr>
                  <pic:blipFill rotWithShape="1">
                    <a:blip r:embed="rId300" cstate="print">
                      <a:extLst>
                        <a:ext uri="{28A0092B-C50C-407E-A947-70E740481C1C}">
                          <a14:useLocalDpi xmlns:a14="http://schemas.microsoft.com/office/drawing/2010/main"/>
                        </a:ext>
                      </a:extLst>
                    </a:blip>
                    <a:srcRect/>
                    <a:stretch/>
                  </pic:blipFill>
                  <pic:spPr bwMode="auto">
                    <a:xfrm>
                      <a:off x="0" y="0"/>
                      <a:ext cx="3027218" cy="3975479"/>
                    </a:xfrm>
                    <a:prstGeom prst="rect">
                      <a:avLst/>
                    </a:prstGeom>
                    <a:ln>
                      <a:noFill/>
                    </a:ln>
                    <a:extLst>
                      <a:ext uri="{53640926-AAD7-44D8-BBD7-CCE9431645EC}">
                        <a14:shadowObscured xmlns:a14="http://schemas.microsoft.com/office/drawing/2010/main"/>
                      </a:ext>
                    </a:extLst>
                  </pic:spPr>
                </pic:pic>
              </a:graphicData>
            </a:graphic>
          </wp:anchor>
        </w:drawing>
      </w:r>
      <w:r w:rsidRPr="00037C61">
        <w:rPr>
          <w:lang w:val="en-GB"/>
        </w:rPr>
        <w:t>Analysing the map for the main urban centers and urban subcentres, we see that there are areas of overlapping and transborder `spillover` potential influence, partly defined by transportation opportunities. One important overlap of hinterlands is the Debrecen - Oradea subregion, which is known for past cooperation. The northern part of the region consists of a high density of subcentres in close proximity, alb</w:t>
      </w:r>
      <w:r w:rsidR="00C36342" w:rsidRPr="00037C61">
        <w:rPr>
          <w:lang w:val="en-GB"/>
        </w:rPr>
        <w:t>eit</w:t>
      </w:r>
      <w:r w:rsidRPr="00037C61">
        <w:rPr>
          <w:lang w:val="en-GB"/>
        </w:rPr>
        <w:t xml:space="preserve"> the actual subregion is not recognized as an actual cross-border area of cooperation. The urban centers which have a major hinterland are Timișoara and Debrecen - these two cities can play important roles as growth poles of the south cross-border region and the northern counterpart. </w:t>
      </w:r>
    </w:p>
    <w:p w14:paraId="18BC2807" w14:textId="2094AA31" w:rsidR="00BB7D11" w:rsidRPr="00037C61" w:rsidRDefault="00BB7D11" w:rsidP="00BB7D11">
      <w:pPr>
        <w:rPr>
          <w:lang w:val="en-GB"/>
        </w:rPr>
      </w:pPr>
      <w:r w:rsidRPr="00037C61">
        <w:rPr>
          <w:lang w:val="en-GB"/>
        </w:rPr>
        <w:t xml:space="preserve">Major `spill-overs` of the hinterlands exist because of the close proximity of the city to the border, and the different state of the road infrastructure development (regarding highways and major roads). </w:t>
      </w:r>
    </w:p>
    <w:p w14:paraId="35631381" w14:textId="7F072131" w:rsidR="00BB7D11" w:rsidRPr="00037C61" w:rsidRDefault="00BB7D11" w:rsidP="00BB7D11">
      <w:pPr>
        <w:rPr>
          <w:lang w:val="en-GB"/>
        </w:rPr>
      </w:pPr>
      <w:r w:rsidRPr="00037C61">
        <w:rPr>
          <w:lang w:val="en-GB"/>
        </w:rPr>
        <w:t>On the Romanian side, there are some disadvantaged areas, especially in the east of Bihor county. Those settlements also face other challenges regarding urban development such as hills and mountain areas. Also, the major city Cluj-Napoca is a competitive center at a regional level situated at the same travel distance as Oradea, for settlements situated in the east of Bihor.</w:t>
      </w:r>
    </w:p>
    <w:p w14:paraId="34F01DCC" w14:textId="77777777" w:rsidR="00BB7D11" w:rsidRPr="00037C61" w:rsidRDefault="00BB7D11" w:rsidP="00BB7D11">
      <w:pPr>
        <w:spacing w:before="240" w:after="0" w:line="240" w:lineRule="auto"/>
        <w:rPr>
          <w:b/>
          <w:color w:val="FF0000"/>
          <w:lang w:val="en-GB"/>
        </w:rPr>
      </w:pPr>
      <w:r w:rsidRPr="00037C61">
        <w:rPr>
          <w:b/>
          <w:color w:val="002060"/>
          <w:lang w:val="en-GB"/>
        </w:rPr>
        <w:t>Main urban centers and the catchment area</w:t>
      </w:r>
    </w:p>
    <w:p w14:paraId="7AB3DE18" w14:textId="6C2C2159" w:rsidR="00BB7D11" w:rsidRPr="00037C61" w:rsidRDefault="00BB7D11" w:rsidP="00BB7D11">
      <w:pPr>
        <w:rPr>
          <w:lang w:val="en-GB"/>
        </w:rPr>
      </w:pPr>
      <w:r w:rsidRPr="00037C61">
        <w:rPr>
          <w:lang w:val="en-GB"/>
        </w:rPr>
        <w:t>The isochrone map in</w:t>
      </w:r>
      <w:r w:rsidR="00703CA5" w:rsidRPr="00037C61">
        <w:rPr>
          <w:lang w:val="en-GB"/>
        </w:rPr>
        <w:t xml:space="preserve"> Figure </w:t>
      </w:r>
      <w:r w:rsidR="00C36342" w:rsidRPr="00037C61">
        <w:rPr>
          <w:lang w:val="en-GB"/>
        </w:rPr>
        <w:t xml:space="preserve">135 </w:t>
      </w:r>
      <w:r w:rsidRPr="00037C61">
        <w:rPr>
          <w:lang w:val="en-GB"/>
        </w:rPr>
        <w:t xml:space="preserve">represents the travel distance with the car, the travel time being 30 minutes (green areas) or 60 minutes (red areas). Oradea and Debrecen are in very close proximity, which can facilitate better collaboration.  </w:t>
      </w:r>
    </w:p>
    <w:p w14:paraId="615C2764" w14:textId="35488CBB" w:rsidR="00BB7D11" w:rsidRPr="00037C61" w:rsidRDefault="00BB7D11" w:rsidP="00BB7D11">
      <w:pPr>
        <w:rPr>
          <w:lang w:val="en-GB"/>
        </w:rPr>
      </w:pPr>
      <w:r w:rsidRPr="00037C61">
        <w:rPr>
          <w:lang w:val="en-GB"/>
        </w:rPr>
        <w:t xml:space="preserve">The second major cluster is composed of Szeged, Arad, Timișoara. Békéscsaba city is at the confluence of two major potential functional clusters (Debrecen – Oradea already being a well-recognized cross-border area of cooperation).  </w:t>
      </w:r>
    </w:p>
    <w:p w14:paraId="27601E17" w14:textId="77777777" w:rsidR="00BB7D11" w:rsidRPr="00037C61" w:rsidRDefault="00BB7D11" w:rsidP="00BB7D11">
      <w:pPr>
        <w:rPr>
          <w:lang w:val="en-GB"/>
        </w:rPr>
      </w:pPr>
      <w:r w:rsidRPr="00037C61">
        <w:rPr>
          <w:lang w:val="en-GB"/>
        </w:rPr>
        <w:lastRenderedPageBreak/>
        <w:t xml:space="preserve">Satu Mare city and catchment area need better physical connections with the Hungarian counterpart - Nyíregyháza and also with the Romanian city centers (especially Oradea).  </w:t>
      </w:r>
    </w:p>
    <w:p w14:paraId="2D6F2E60" w14:textId="77777777" w:rsidR="00BB7D11" w:rsidRPr="00037C61" w:rsidRDefault="00BB7D11" w:rsidP="00BB7D11">
      <w:pPr>
        <w:rPr>
          <w:lang w:val="en-GB"/>
        </w:rPr>
      </w:pPr>
    </w:p>
    <w:p w14:paraId="1D52E06F" w14:textId="19409868" w:rsidR="00BB7D11" w:rsidRPr="00037C61" w:rsidRDefault="00BB7D11" w:rsidP="00BB7D11">
      <w:pPr>
        <w:spacing w:after="0" w:line="240" w:lineRule="auto"/>
        <w:rPr>
          <w:sz w:val="24"/>
          <w:lang w:val="en-GB"/>
        </w:rPr>
      </w:pPr>
      <w:r w:rsidRPr="00037C61">
        <w:rPr>
          <w:noProof/>
          <w:sz w:val="24"/>
          <w:lang w:val="ro-RO" w:eastAsia="ro-RO"/>
        </w:rPr>
        <w:drawing>
          <wp:inline distT="0" distB="0" distL="0" distR="0" wp14:anchorId="7A397DEB" wp14:editId="630739B0">
            <wp:extent cx="5743575" cy="4388717"/>
            <wp:effectExtent l="0" t="0" r="0" b="0"/>
            <wp:docPr id="799356993" name="Picture 79935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rotWithShape="1">
                    <a:blip r:embed="rId301" cstate="print">
                      <a:extLst>
                        <a:ext uri="{28A0092B-C50C-407E-A947-70E740481C1C}">
                          <a14:useLocalDpi xmlns:a14="http://schemas.microsoft.com/office/drawing/2010/main"/>
                        </a:ext>
                      </a:extLst>
                    </a:blip>
                    <a:srcRect/>
                    <a:stretch/>
                  </pic:blipFill>
                  <pic:spPr bwMode="auto">
                    <a:xfrm>
                      <a:off x="0" y="0"/>
                      <a:ext cx="5746596" cy="4391025"/>
                    </a:xfrm>
                    <a:prstGeom prst="rect">
                      <a:avLst/>
                    </a:prstGeom>
                    <a:ln>
                      <a:noFill/>
                    </a:ln>
                    <a:extLst>
                      <a:ext uri="{53640926-AAD7-44D8-BBD7-CCE9431645EC}">
                        <a14:shadowObscured xmlns:a14="http://schemas.microsoft.com/office/drawing/2010/main"/>
                      </a:ext>
                    </a:extLst>
                  </pic:spPr>
                </pic:pic>
              </a:graphicData>
            </a:graphic>
          </wp:inline>
        </w:drawing>
      </w:r>
    </w:p>
    <w:p w14:paraId="0F78C7B6" w14:textId="3C22D9F9" w:rsidR="00BB7D11" w:rsidRPr="00037C61" w:rsidRDefault="00BB7D11" w:rsidP="00BB7D11">
      <w:pPr>
        <w:pStyle w:val="Caption"/>
        <w:jc w:val="left"/>
        <w:rPr>
          <w:lang w:val="en-GB"/>
        </w:rPr>
      </w:pPr>
      <w:bookmarkStart w:id="884" w:name="_Toc64611098"/>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150</w:t>
      </w:r>
      <w:r w:rsidR="00412697">
        <w:rPr>
          <w:lang w:val="en-GB"/>
        </w:rPr>
        <w:fldChar w:fldCharType="end"/>
      </w:r>
      <w:r w:rsidRPr="00037C61">
        <w:rPr>
          <w:lang w:val="en-GB"/>
        </w:rPr>
        <w:t xml:space="preserve"> - Isochrone map 30min and 60min for main urban centers</w:t>
      </w:r>
      <w:bookmarkEnd w:id="884"/>
      <w:r w:rsidRPr="00037C61">
        <w:rPr>
          <w:lang w:val="en-GB"/>
        </w:rPr>
        <w:t xml:space="preserve"> </w:t>
      </w:r>
    </w:p>
    <w:p w14:paraId="27924C3D" w14:textId="77777777" w:rsidR="00BB7D11" w:rsidRPr="00037C61" w:rsidRDefault="00BB7D11" w:rsidP="00BB7D11">
      <w:pPr>
        <w:pStyle w:val="Caption"/>
        <w:jc w:val="left"/>
        <w:rPr>
          <w:lang w:val="en-GB"/>
        </w:rPr>
      </w:pPr>
      <w:r w:rsidRPr="00037C61">
        <w:rPr>
          <w:lang w:val="en-GB"/>
        </w:rPr>
        <w:t>Source – Open Route Services</w:t>
      </w:r>
    </w:p>
    <w:p w14:paraId="6B02685F" w14:textId="25D78FC6" w:rsidR="00BB7D11" w:rsidRPr="00037C61" w:rsidRDefault="00BB7D11" w:rsidP="005E0849">
      <w:pPr>
        <w:rPr>
          <w:lang w:val="en-GB"/>
        </w:rPr>
      </w:pPr>
    </w:p>
    <w:p w14:paraId="6F3F8554" w14:textId="3B37C4E2" w:rsidR="00C36342" w:rsidRPr="00037C61" w:rsidRDefault="00C36342" w:rsidP="00457478">
      <w:pPr>
        <w:pStyle w:val="Heading3"/>
      </w:pPr>
      <w:bookmarkStart w:id="885" w:name="_Toc64619572"/>
      <w:r w:rsidRPr="00037C61">
        <w:t>Urban centres: assessment of public functions</w:t>
      </w:r>
      <w:bookmarkEnd w:id="885"/>
      <w:r w:rsidRPr="00037C61">
        <w:t xml:space="preserve"> </w:t>
      </w:r>
    </w:p>
    <w:p w14:paraId="351F39C0" w14:textId="77777777" w:rsidR="00C36342" w:rsidRPr="00037C61" w:rsidRDefault="00C36342" w:rsidP="00C36342">
      <w:pPr>
        <w:rPr>
          <w:lang w:val="en-GB"/>
        </w:rPr>
      </w:pPr>
      <w:r w:rsidRPr="00037C61">
        <w:rPr>
          <w:lang w:val="en-GB"/>
        </w:rPr>
        <w:t xml:space="preserve">In order to determine the core public function characteristics of urban settlements in the area, a desk research was conducted, taking into account LAU2 settlements that have a population of over 5000 inhabitants. The importance of this analysis is to find out, from the perspective of public functions, which settlements have a good range of services and which settlements have distinct public functions with a high degree of attractiveness. </w:t>
      </w:r>
    </w:p>
    <w:p w14:paraId="09F75BF0" w14:textId="77777777" w:rsidR="00C36342" w:rsidRPr="00037C61" w:rsidRDefault="00C36342" w:rsidP="00C36342">
      <w:pPr>
        <w:spacing w:after="0"/>
        <w:rPr>
          <w:rFonts w:eastAsiaTheme="majorEastAsia" w:cs="Calibri"/>
          <w:b/>
          <w:bCs/>
          <w:color w:val="002060"/>
          <w:sz w:val="24"/>
          <w:szCs w:val="24"/>
          <w:lang w:val="en-GB"/>
        </w:rPr>
      </w:pPr>
    </w:p>
    <w:p w14:paraId="718EA9DA" w14:textId="77777777" w:rsidR="00C36342" w:rsidRPr="00037C61" w:rsidRDefault="00C36342" w:rsidP="00C36342">
      <w:pPr>
        <w:spacing w:line="22" w:lineRule="atLeast"/>
        <w:rPr>
          <w:lang w:val="en-GB"/>
        </w:rPr>
      </w:pPr>
      <w:r w:rsidRPr="00037C61">
        <w:rPr>
          <w:lang w:val="en-GB"/>
        </w:rPr>
        <w:t>In order to have a spatial comparison of selected LAU2 settlements, the analysed public functions will be summed up as a final score for each settlement represented on four maps (also each map has a series of distinct layers, highlighting relevant public functions for cross-border development):</w:t>
      </w:r>
    </w:p>
    <w:p w14:paraId="0916FBB9" w14:textId="77777777" w:rsidR="00C36342" w:rsidRPr="00037C61" w:rsidRDefault="00C36342" w:rsidP="00C36342">
      <w:pPr>
        <w:pStyle w:val="InterregROHUBullet1"/>
        <w:spacing w:line="22" w:lineRule="atLeast"/>
        <w:ind w:left="709"/>
      </w:pPr>
      <w:r w:rsidRPr="00037C61">
        <w:t xml:space="preserve">Public functions (local relevance): Formula = </w:t>
      </w:r>
      <w:r w:rsidRPr="00037C61">
        <w:rPr>
          <w:i/>
        </w:rPr>
        <w:t xml:space="preserve">Health </w:t>
      </w:r>
      <w:r w:rsidRPr="00037C61">
        <w:t xml:space="preserve">+ </w:t>
      </w:r>
      <w:r w:rsidRPr="00037C61">
        <w:rPr>
          <w:i/>
        </w:rPr>
        <w:t>Education and culture</w:t>
      </w:r>
      <w:r w:rsidRPr="00037C61">
        <w:t xml:space="preserve"> (maximum score 12)</w:t>
      </w:r>
    </w:p>
    <w:p w14:paraId="51C38E7F" w14:textId="77777777" w:rsidR="00C36342" w:rsidRPr="00037C61" w:rsidRDefault="00C36342" w:rsidP="00C36342">
      <w:pPr>
        <w:pStyle w:val="InterregROHUBullet1"/>
        <w:spacing w:line="22" w:lineRule="atLeast"/>
        <w:ind w:left="709"/>
      </w:pPr>
      <w:r w:rsidRPr="00037C61">
        <w:t>Free time: Formula = Leisure and free time + Sports (maximum score 9)</w:t>
      </w:r>
    </w:p>
    <w:p w14:paraId="563E7102" w14:textId="77777777" w:rsidR="00C36342" w:rsidRPr="00037C61" w:rsidRDefault="00C36342" w:rsidP="00C36342">
      <w:pPr>
        <w:pStyle w:val="InterregROHUBullet1"/>
        <w:spacing w:line="22" w:lineRule="atLeast"/>
        <w:ind w:left="709"/>
      </w:pPr>
      <w:r w:rsidRPr="00037C61">
        <w:lastRenderedPageBreak/>
        <w:t>Touristic functions and amenities: Formula = Amenities and events with touristic relevance + Amenities and services (maximum score 15)</w:t>
      </w:r>
    </w:p>
    <w:p w14:paraId="34822F85" w14:textId="77777777" w:rsidR="00C36342" w:rsidRPr="00037C61" w:rsidRDefault="00C36342" w:rsidP="00C36342">
      <w:pPr>
        <w:pStyle w:val="InterregROHUBullet1"/>
        <w:spacing w:line="22" w:lineRule="atLeast"/>
        <w:ind w:left="709"/>
      </w:pPr>
      <w:r w:rsidRPr="00037C61">
        <w:t xml:space="preserve">Public functions Synthesis – Total score: Formula= </w:t>
      </w:r>
      <w:r w:rsidRPr="00037C61">
        <w:rPr>
          <w:i/>
          <w:iCs/>
        </w:rPr>
        <w:t xml:space="preserve">Public functions (local relevance) </w:t>
      </w:r>
      <w:r w:rsidRPr="00037C61">
        <w:t xml:space="preserve">+ </w:t>
      </w:r>
      <w:r w:rsidRPr="00037C61">
        <w:rPr>
          <w:i/>
          <w:iCs/>
        </w:rPr>
        <w:t xml:space="preserve">Free time </w:t>
      </w:r>
      <w:r w:rsidRPr="00037C61">
        <w:t xml:space="preserve">+ </w:t>
      </w:r>
      <w:r w:rsidRPr="00037C61">
        <w:rPr>
          <w:i/>
          <w:iCs/>
        </w:rPr>
        <w:t xml:space="preserve">Touristic functions and amenities </w:t>
      </w:r>
      <w:r w:rsidRPr="00037C61">
        <w:t>(maximum score 36)</w:t>
      </w:r>
    </w:p>
    <w:p w14:paraId="0165DA56" w14:textId="77777777" w:rsidR="00C36342" w:rsidRPr="00037C61" w:rsidRDefault="00C36342" w:rsidP="00C36342">
      <w:pPr>
        <w:spacing w:line="22" w:lineRule="atLeast"/>
        <w:rPr>
          <w:lang w:val="en-GB"/>
        </w:rPr>
      </w:pPr>
      <w:r w:rsidRPr="00037C61">
        <w:rPr>
          <w:lang w:val="en-GB"/>
        </w:rPr>
        <w:t xml:space="preserve">For each map, a series of distinct elements were represented, in order to better understand the territorial distribution. </w:t>
      </w:r>
    </w:p>
    <w:p w14:paraId="3B75C0A0" w14:textId="5C3A1D31" w:rsidR="00C36342" w:rsidRPr="00037C61" w:rsidRDefault="00C36342" w:rsidP="00457478">
      <w:pPr>
        <w:pStyle w:val="InterregROHUBullet1"/>
        <w:ind w:left="426"/>
      </w:pPr>
      <w:r w:rsidRPr="00037C61">
        <w:t xml:space="preserve">For Map 1: Public functions (local relevance), transport services, and health infrastructure was also represented (only for LAU2 settlements that have a population over 500 inhabitants). We can see that the cross-border region has a dense distribution of airports. </w:t>
      </w:r>
    </w:p>
    <w:p w14:paraId="2F6B9A7C" w14:textId="77777777" w:rsidR="00C36342" w:rsidRPr="00037C61" w:rsidRDefault="00C36342" w:rsidP="00457478">
      <w:pPr>
        <w:pStyle w:val="InterregROHUBullet1"/>
        <w:ind w:left="426"/>
      </w:pPr>
      <w:r w:rsidRPr="00037C61">
        <w:t xml:space="preserve">For Map 2: Free time, the distinct layers that are relevant for this analysis are the distribution of museums and zoos. </w:t>
      </w:r>
    </w:p>
    <w:p w14:paraId="4E125C9D" w14:textId="77777777" w:rsidR="00C36342" w:rsidRPr="00037C61" w:rsidRDefault="00C36342" w:rsidP="00457478">
      <w:pPr>
        <w:pStyle w:val="InterregROHUBullet1"/>
        <w:ind w:left="426"/>
      </w:pPr>
      <w:r w:rsidRPr="00037C61">
        <w:t>For Map 3: Touristic functions and amenities, the distinct layers represent the distinctive competence: thermal baths (being an area with major geothermal resources) and castles (in some cases fortresses).</w:t>
      </w:r>
    </w:p>
    <w:p w14:paraId="5E79A256" w14:textId="50E66975" w:rsidR="00C36342" w:rsidRPr="00037C61" w:rsidRDefault="00C36342" w:rsidP="00457478">
      <w:pPr>
        <w:pStyle w:val="InterregROHUBullet1"/>
        <w:ind w:left="426"/>
      </w:pPr>
      <w:r w:rsidRPr="00037C61">
        <w:t>For Map 4: Public functions Synthesis – Total score, major roads network, and rail network is represented in order to better understand the cross-border cooperation potential.</w:t>
      </w:r>
    </w:p>
    <w:p w14:paraId="7B559C79" w14:textId="24971B3D" w:rsidR="00C36342" w:rsidRPr="00037C61" w:rsidRDefault="00C36342" w:rsidP="00C36342">
      <w:pPr>
        <w:pStyle w:val="Caption"/>
        <w:keepNext/>
        <w:jc w:val="left"/>
        <w:rPr>
          <w:lang w:val="en-GB"/>
        </w:rPr>
      </w:pPr>
      <w:bookmarkStart w:id="886" w:name="_Toc58237675"/>
      <w:r w:rsidRPr="00037C61">
        <w:rPr>
          <w:lang w:val="en-GB"/>
        </w:rPr>
        <w:t xml:space="preserve">Table </w:t>
      </w:r>
      <w:r w:rsidRPr="00037C61">
        <w:rPr>
          <w:lang w:val="en-GB"/>
        </w:rPr>
        <w:fldChar w:fldCharType="begin"/>
      </w:r>
      <w:r w:rsidRPr="00037C61">
        <w:rPr>
          <w:lang w:val="en-GB"/>
        </w:rPr>
        <w:instrText xml:space="preserve"> SEQ Table \* ARABIC </w:instrText>
      </w:r>
      <w:r w:rsidRPr="00037C61">
        <w:rPr>
          <w:lang w:val="en-GB"/>
        </w:rPr>
        <w:fldChar w:fldCharType="separate"/>
      </w:r>
      <w:r w:rsidR="005A7BD8">
        <w:rPr>
          <w:noProof/>
          <w:lang w:val="en-GB"/>
        </w:rPr>
        <w:t>53</w:t>
      </w:r>
      <w:r w:rsidRPr="00037C61">
        <w:rPr>
          <w:lang w:val="en-GB"/>
        </w:rPr>
        <w:fldChar w:fldCharType="end"/>
      </w:r>
      <w:r w:rsidRPr="00037C61">
        <w:rPr>
          <w:lang w:val="en-GB"/>
        </w:rPr>
        <w:t xml:space="preserve"> - Public functions analysed in the PA</w:t>
      </w:r>
      <w:bookmarkEnd w:id="886"/>
    </w:p>
    <w:tbl>
      <w:tblPr>
        <w:tblStyle w:val="ListTable3-Accent11"/>
        <w:tblW w:w="0" w:type="auto"/>
        <w:tblLook w:val="04A0" w:firstRow="1" w:lastRow="0" w:firstColumn="1" w:lastColumn="0" w:noHBand="0" w:noVBand="1"/>
      </w:tblPr>
      <w:tblGrid>
        <w:gridCol w:w="2920"/>
        <w:gridCol w:w="6036"/>
      </w:tblGrid>
      <w:tr w:rsidR="00C36342" w:rsidRPr="00037C61" w14:paraId="0CACE55B" w14:textId="77777777" w:rsidTr="00457478">
        <w:trPr>
          <w:cnfStyle w:val="100000000000" w:firstRow="1" w:lastRow="0" w:firstColumn="0" w:lastColumn="0" w:oddVBand="0" w:evenVBand="0" w:oddHBand="0" w:evenHBand="0" w:firstRowFirstColumn="0" w:firstRowLastColumn="0" w:lastRowFirstColumn="0" w:lastRowLastColumn="0"/>
          <w:trHeight w:val="16"/>
        </w:trPr>
        <w:tc>
          <w:tcPr>
            <w:cnfStyle w:val="001000000100" w:firstRow="0" w:lastRow="0" w:firstColumn="1" w:lastColumn="0" w:oddVBand="0" w:evenVBand="0" w:oddHBand="0" w:evenHBand="0" w:firstRowFirstColumn="1" w:firstRowLastColumn="0" w:lastRowFirstColumn="0" w:lastRowLastColumn="0"/>
            <w:tcW w:w="2920" w:type="dxa"/>
            <w:hideMark/>
          </w:tcPr>
          <w:p w14:paraId="1E60C8FE" w14:textId="77777777" w:rsidR="00C36342" w:rsidRPr="00037C61" w:rsidRDefault="00C36342" w:rsidP="00C36342">
            <w:pPr>
              <w:spacing w:line="150" w:lineRule="atLeast"/>
              <w:jc w:val="left"/>
              <w:rPr>
                <w:sz w:val="20"/>
                <w:szCs w:val="20"/>
                <w:lang w:val="en-GB"/>
              </w:rPr>
            </w:pPr>
            <w:r w:rsidRPr="00037C61">
              <w:rPr>
                <w:sz w:val="20"/>
                <w:szCs w:val="20"/>
                <w:lang w:val="en-GB"/>
              </w:rPr>
              <w:t>Category of public functions</w:t>
            </w:r>
          </w:p>
        </w:tc>
        <w:tc>
          <w:tcPr>
            <w:tcW w:w="6036" w:type="dxa"/>
            <w:hideMark/>
          </w:tcPr>
          <w:p w14:paraId="020B75A5" w14:textId="77777777" w:rsidR="00C36342" w:rsidRPr="00037C61" w:rsidRDefault="00C36342" w:rsidP="00C36342">
            <w:pPr>
              <w:spacing w:line="150" w:lineRule="atLeast"/>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37C61">
              <w:rPr>
                <w:sz w:val="20"/>
                <w:szCs w:val="20"/>
                <w:lang w:val="en-GB"/>
              </w:rPr>
              <w:t>Public functions</w:t>
            </w:r>
          </w:p>
        </w:tc>
      </w:tr>
      <w:tr w:rsidR="00C36342" w:rsidRPr="004A5488" w14:paraId="2A62AF71" w14:textId="77777777" w:rsidTr="00457478">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920" w:type="dxa"/>
            <w:hideMark/>
          </w:tcPr>
          <w:p w14:paraId="5FE78031" w14:textId="77777777" w:rsidR="00C36342" w:rsidRPr="00037C61" w:rsidRDefault="00C36342" w:rsidP="00014AA0">
            <w:pPr>
              <w:pStyle w:val="ListParagraph"/>
              <w:numPr>
                <w:ilvl w:val="0"/>
                <w:numId w:val="5"/>
              </w:numPr>
              <w:spacing w:after="0" w:line="360" w:lineRule="auto"/>
              <w:jc w:val="left"/>
              <w:textAlignment w:val="baseline"/>
              <w:rPr>
                <w:b w:val="0"/>
                <w:color w:val="000000"/>
                <w:sz w:val="20"/>
                <w:szCs w:val="20"/>
                <w:lang w:val="en-GB"/>
              </w:rPr>
            </w:pPr>
            <w:r w:rsidRPr="00037C61">
              <w:rPr>
                <w:color w:val="000000"/>
                <w:sz w:val="20"/>
                <w:szCs w:val="20"/>
                <w:lang w:val="en-GB"/>
              </w:rPr>
              <w:t>Health</w:t>
            </w:r>
          </w:p>
        </w:tc>
        <w:tc>
          <w:tcPr>
            <w:tcW w:w="6036" w:type="dxa"/>
            <w:hideMark/>
          </w:tcPr>
          <w:p w14:paraId="4F2DC81C" w14:textId="77777777" w:rsidR="00C36342" w:rsidRPr="00037C61" w:rsidRDefault="00C36342" w:rsidP="00C36342">
            <w:pPr>
              <w:spacing w:line="360"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color w:val="000000"/>
                <w:sz w:val="20"/>
                <w:szCs w:val="20"/>
                <w:lang w:val="en-GB"/>
              </w:rPr>
              <w:t>Pharmacy/ General Practitioner/ Ambulance station/ Hospital/ Outpatient care facilities</w:t>
            </w:r>
          </w:p>
        </w:tc>
      </w:tr>
      <w:tr w:rsidR="00C36342" w:rsidRPr="004A5488" w14:paraId="0006FB4B" w14:textId="77777777" w:rsidTr="00457478">
        <w:trPr>
          <w:trHeight w:val="115"/>
        </w:trPr>
        <w:tc>
          <w:tcPr>
            <w:cnfStyle w:val="001000000000" w:firstRow="0" w:lastRow="0" w:firstColumn="1" w:lastColumn="0" w:oddVBand="0" w:evenVBand="0" w:oddHBand="0" w:evenHBand="0" w:firstRowFirstColumn="0" w:firstRowLastColumn="0" w:lastRowFirstColumn="0" w:lastRowLastColumn="0"/>
            <w:tcW w:w="2920" w:type="dxa"/>
            <w:hideMark/>
          </w:tcPr>
          <w:p w14:paraId="26F150A7" w14:textId="77777777" w:rsidR="00C36342" w:rsidRPr="00037C61" w:rsidRDefault="00C36342" w:rsidP="00014AA0">
            <w:pPr>
              <w:pStyle w:val="ListParagraph"/>
              <w:numPr>
                <w:ilvl w:val="0"/>
                <w:numId w:val="5"/>
              </w:numPr>
              <w:spacing w:after="0" w:line="360" w:lineRule="auto"/>
              <w:jc w:val="left"/>
              <w:textAlignment w:val="baseline"/>
              <w:rPr>
                <w:b w:val="0"/>
                <w:color w:val="000000"/>
                <w:sz w:val="20"/>
                <w:szCs w:val="20"/>
                <w:lang w:val="en-GB"/>
              </w:rPr>
            </w:pPr>
            <w:r w:rsidRPr="00037C61">
              <w:rPr>
                <w:color w:val="000000"/>
                <w:sz w:val="20"/>
                <w:szCs w:val="20"/>
                <w:lang w:val="en-GB"/>
              </w:rPr>
              <w:t>Education and culture</w:t>
            </w:r>
          </w:p>
        </w:tc>
        <w:tc>
          <w:tcPr>
            <w:tcW w:w="6036" w:type="dxa"/>
            <w:hideMark/>
          </w:tcPr>
          <w:p w14:paraId="12AFDEE7" w14:textId="77777777" w:rsidR="00C36342" w:rsidRPr="00037C61" w:rsidRDefault="00C36342" w:rsidP="00C36342">
            <w:pPr>
              <w:spacing w:line="360" w:lineRule="auto"/>
              <w:jc w:val="left"/>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color w:val="000000"/>
                <w:sz w:val="20"/>
                <w:szCs w:val="20"/>
                <w:lang w:val="en-GB"/>
              </w:rPr>
              <w:t>Nursery/ Primary and secondary / University - college/ Culture center/ Theatre</w:t>
            </w:r>
          </w:p>
        </w:tc>
      </w:tr>
      <w:tr w:rsidR="00C36342" w:rsidRPr="004A5488" w14:paraId="175650C2" w14:textId="77777777" w:rsidTr="00457478">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2920" w:type="dxa"/>
            <w:hideMark/>
          </w:tcPr>
          <w:p w14:paraId="26E328A4" w14:textId="77777777" w:rsidR="00C36342" w:rsidRPr="00037C61" w:rsidRDefault="00C36342" w:rsidP="00014AA0">
            <w:pPr>
              <w:pStyle w:val="ListParagraph"/>
              <w:numPr>
                <w:ilvl w:val="0"/>
                <w:numId w:val="5"/>
              </w:numPr>
              <w:spacing w:after="0" w:line="360" w:lineRule="auto"/>
              <w:jc w:val="left"/>
              <w:textAlignment w:val="baseline"/>
              <w:rPr>
                <w:b w:val="0"/>
                <w:color w:val="000000"/>
                <w:sz w:val="20"/>
                <w:szCs w:val="20"/>
                <w:lang w:val="en-GB"/>
              </w:rPr>
            </w:pPr>
            <w:r w:rsidRPr="00037C61">
              <w:rPr>
                <w:color w:val="000000"/>
                <w:sz w:val="20"/>
                <w:szCs w:val="20"/>
                <w:lang w:val="en-GB"/>
              </w:rPr>
              <w:t>Transport</w:t>
            </w:r>
            <w:r w:rsidRPr="00037C61">
              <w:rPr>
                <w:color w:val="000000"/>
                <w:sz w:val="20"/>
                <w:szCs w:val="20"/>
                <w:lang w:val="en-GB"/>
              </w:rPr>
              <w:tab/>
            </w:r>
          </w:p>
        </w:tc>
        <w:tc>
          <w:tcPr>
            <w:tcW w:w="6036" w:type="dxa"/>
            <w:hideMark/>
          </w:tcPr>
          <w:p w14:paraId="739ADE7D" w14:textId="77777777" w:rsidR="00C36342" w:rsidRPr="00037C61" w:rsidRDefault="00C36342" w:rsidP="00C36342">
            <w:pPr>
              <w:spacing w:line="360"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color w:val="000000"/>
                <w:sz w:val="20"/>
                <w:szCs w:val="20"/>
                <w:lang w:val="en-GB"/>
              </w:rPr>
              <w:t>Bus station/ Railway station/ Port/ Airport</w:t>
            </w:r>
          </w:p>
        </w:tc>
      </w:tr>
      <w:tr w:rsidR="00C36342" w:rsidRPr="004A5488" w14:paraId="0E0121D4" w14:textId="77777777" w:rsidTr="00457478">
        <w:trPr>
          <w:trHeight w:val="119"/>
        </w:trPr>
        <w:tc>
          <w:tcPr>
            <w:cnfStyle w:val="001000000000" w:firstRow="0" w:lastRow="0" w:firstColumn="1" w:lastColumn="0" w:oddVBand="0" w:evenVBand="0" w:oddHBand="0" w:evenHBand="0" w:firstRowFirstColumn="0" w:firstRowLastColumn="0" w:lastRowFirstColumn="0" w:lastRowLastColumn="0"/>
            <w:tcW w:w="2920" w:type="dxa"/>
            <w:hideMark/>
          </w:tcPr>
          <w:p w14:paraId="6564D2F4" w14:textId="77777777" w:rsidR="00C36342" w:rsidRPr="00037C61" w:rsidRDefault="00C36342" w:rsidP="00014AA0">
            <w:pPr>
              <w:pStyle w:val="ListParagraph"/>
              <w:numPr>
                <w:ilvl w:val="0"/>
                <w:numId w:val="4"/>
              </w:numPr>
              <w:spacing w:after="0" w:line="360" w:lineRule="auto"/>
              <w:jc w:val="left"/>
              <w:textAlignment w:val="baseline"/>
              <w:rPr>
                <w:b w:val="0"/>
                <w:color w:val="000000"/>
                <w:sz w:val="20"/>
                <w:szCs w:val="20"/>
                <w:lang w:val="en-GB"/>
              </w:rPr>
            </w:pPr>
            <w:r w:rsidRPr="00037C61">
              <w:rPr>
                <w:color w:val="000000"/>
                <w:sz w:val="20"/>
                <w:szCs w:val="20"/>
                <w:lang w:val="en-GB"/>
              </w:rPr>
              <w:t>Leisure and free-time</w:t>
            </w:r>
            <w:r w:rsidRPr="00037C61">
              <w:rPr>
                <w:color w:val="000000"/>
                <w:sz w:val="20"/>
                <w:szCs w:val="20"/>
                <w:lang w:val="en-GB"/>
              </w:rPr>
              <w:tab/>
            </w:r>
          </w:p>
        </w:tc>
        <w:tc>
          <w:tcPr>
            <w:tcW w:w="6036" w:type="dxa"/>
            <w:hideMark/>
          </w:tcPr>
          <w:p w14:paraId="67FDC87C" w14:textId="77777777" w:rsidR="00C36342" w:rsidRPr="00037C61" w:rsidRDefault="00C36342" w:rsidP="00C36342">
            <w:pPr>
              <w:spacing w:line="360" w:lineRule="auto"/>
              <w:jc w:val="left"/>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color w:val="000000"/>
                <w:sz w:val="20"/>
                <w:szCs w:val="20"/>
                <w:lang w:val="en-GB"/>
              </w:rPr>
              <w:t>Cinema/ Concert hall/ Zoo/ Public swimming pool/ Dog - horse - car race track</w:t>
            </w:r>
          </w:p>
        </w:tc>
      </w:tr>
      <w:tr w:rsidR="00C36342" w:rsidRPr="004A5488" w14:paraId="58B2C3A3" w14:textId="77777777" w:rsidTr="00457478">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920" w:type="dxa"/>
            <w:hideMark/>
          </w:tcPr>
          <w:p w14:paraId="5C7B8141" w14:textId="77777777" w:rsidR="00C36342" w:rsidRPr="00037C61" w:rsidRDefault="00C36342" w:rsidP="00014AA0">
            <w:pPr>
              <w:pStyle w:val="ListParagraph"/>
              <w:numPr>
                <w:ilvl w:val="0"/>
                <w:numId w:val="4"/>
              </w:numPr>
              <w:spacing w:after="0" w:line="360" w:lineRule="auto"/>
              <w:jc w:val="left"/>
              <w:textAlignment w:val="baseline"/>
              <w:rPr>
                <w:b w:val="0"/>
                <w:color w:val="000000"/>
                <w:sz w:val="20"/>
                <w:szCs w:val="20"/>
                <w:lang w:val="en-GB"/>
              </w:rPr>
            </w:pPr>
            <w:r w:rsidRPr="00037C61">
              <w:rPr>
                <w:color w:val="000000"/>
                <w:sz w:val="20"/>
                <w:szCs w:val="20"/>
                <w:lang w:val="en-GB"/>
              </w:rPr>
              <w:t>Sports</w:t>
            </w:r>
            <w:r w:rsidRPr="00037C61">
              <w:rPr>
                <w:color w:val="000000"/>
                <w:sz w:val="20"/>
                <w:szCs w:val="20"/>
                <w:lang w:val="en-GB"/>
              </w:rPr>
              <w:tab/>
            </w:r>
            <w:r w:rsidRPr="00037C61">
              <w:rPr>
                <w:color w:val="000000"/>
                <w:sz w:val="20"/>
                <w:szCs w:val="20"/>
                <w:lang w:val="en-GB"/>
              </w:rPr>
              <w:tab/>
            </w:r>
          </w:p>
        </w:tc>
        <w:tc>
          <w:tcPr>
            <w:tcW w:w="6036" w:type="dxa"/>
            <w:hideMark/>
          </w:tcPr>
          <w:p w14:paraId="091A8025" w14:textId="77777777" w:rsidR="00C36342" w:rsidRPr="00037C61" w:rsidRDefault="00C36342" w:rsidP="00C36342">
            <w:pPr>
              <w:spacing w:line="360"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color w:val="000000"/>
                <w:sz w:val="20"/>
                <w:szCs w:val="20"/>
                <w:lang w:val="en-GB"/>
              </w:rPr>
              <w:t>Sports center/ Football stadium/ Athletics center/ Winter sport center</w:t>
            </w:r>
          </w:p>
        </w:tc>
      </w:tr>
      <w:tr w:rsidR="00C36342" w:rsidRPr="004A5488" w14:paraId="664B4AF6" w14:textId="77777777" w:rsidTr="00457478">
        <w:trPr>
          <w:trHeight w:val="354"/>
        </w:trPr>
        <w:tc>
          <w:tcPr>
            <w:cnfStyle w:val="001000000000" w:firstRow="0" w:lastRow="0" w:firstColumn="1" w:lastColumn="0" w:oddVBand="0" w:evenVBand="0" w:oddHBand="0" w:evenHBand="0" w:firstRowFirstColumn="0" w:firstRowLastColumn="0" w:lastRowFirstColumn="0" w:lastRowLastColumn="0"/>
            <w:tcW w:w="2920" w:type="dxa"/>
            <w:hideMark/>
          </w:tcPr>
          <w:p w14:paraId="5D0826E5" w14:textId="77777777" w:rsidR="00C36342" w:rsidRPr="00037C61" w:rsidRDefault="00C36342" w:rsidP="00014AA0">
            <w:pPr>
              <w:pStyle w:val="ListParagraph"/>
              <w:numPr>
                <w:ilvl w:val="0"/>
                <w:numId w:val="4"/>
              </w:numPr>
              <w:spacing w:after="0" w:line="360" w:lineRule="auto"/>
              <w:jc w:val="left"/>
              <w:textAlignment w:val="baseline"/>
              <w:rPr>
                <w:b w:val="0"/>
                <w:color w:val="000000"/>
                <w:sz w:val="20"/>
                <w:szCs w:val="20"/>
                <w:lang w:val="en-GB"/>
              </w:rPr>
            </w:pPr>
            <w:r w:rsidRPr="00037C61">
              <w:rPr>
                <w:color w:val="000000"/>
                <w:sz w:val="20"/>
                <w:szCs w:val="20"/>
                <w:lang w:val="en-GB"/>
              </w:rPr>
              <w:t>Amenities and events with touristic relevance</w:t>
            </w:r>
          </w:p>
        </w:tc>
        <w:tc>
          <w:tcPr>
            <w:tcW w:w="6036" w:type="dxa"/>
            <w:hideMark/>
          </w:tcPr>
          <w:p w14:paraId="1CC90180" w14:textId="77777777" w:rsidR="00C36342" w:rsidRPr="00037C61" w:rsidRDefault="00C36342" w:rsidP="00C36342">
            <w:pPr>
              <w:spacing w:line="360" w:lineRule="auto"/>
              <w:jc w:val="left"/>
              <w:cnfStyle w:val="000000000000" w:firstRow="0" w:lastRow="0" w:firstColumn="0" w:lastColumn="0" w:oddVBand="0" w:evenVBand="0" w:oddHBand="0" w:evenHBand="0" w:firstRowFirstColumn="0" w:firstRowLastColumn="0" w:lastRowFirstColumn="0" w:lastRowLastColumn="0"/>
              <w:rPr>
                <w:sz w:val="20"/>
                <w:szCs w:val="20"/>
                <w:lang w:val="en-GB"/>
              </w:rPr>
            </w:pPr>
            <w:r w:rsidRPr="00037C61">
              <w:rPr>
                <w:color w:val="000000"/>
                <w:sz w:val="20"/>
                <w:szCs w:val="20"/>
                <w:lang w:val="en-GB"/>
              </w:rPr>
              <w:t>Thermal baths/ Medical tourism attraction (salt mines/ spa)/ Significant culinary tourism attraction (e.g. part of a wine region, has at least one regionally / Nationally significant gastronomy festival etc.)/ Significant cultural tourism attraction (e.g. has at least one regionally or nationally significant cultural festival like Sziget Fesztivál in Budapest)/ High rated restaurant (e.g. restaurants with Michelin star(s))/ Castles/ Museum/ Touristic accommodation facility</w:t>
            </w:r>
          </w:p>
        </w:tc>
      </w:tr>
      <w:tr w:rsidR="00C36342" w:rsidRPr="004A5488" w14:paraId="4E98E700" w14:textId="77777777" w:rsidTr="00457478">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2920" w:type="dxa"/>
            <w:hideMark/>
          </w:tcPr>
          <w:p w14:paraId="7187B9CC" w14:textId="77777777" w:rsidR="00C36342" w:rsidRPr="00037C61" w:rsidRDefault="00C36342" w:rsidP="00014AA0">
            <w:pPr>
              <w:pStyle w:val="ListParagraph"/>
              <w:numPr>
                <w:ilvl w:val="0"/>
                <w:numId w:val="4"/>
              </w:numPr>
              <w:spacing w:after="0" w:line="360" w:lineRule="auto"/>
              <w:jc w:val="left"/>
              <w:textAlignment w:val="baseline"/>
              <w:rPr>
                <w:b w:val="0"/>
                <w:color w:val="000000"/>
                <w:sz w:val="20"/>
                <w:szCs w:val="20"/>
                <w:lang w:val="en-GB"/>
              </w:rPr>
            </w:pPr>
            <w:r w:rsidRPr="00037C61">
              <w:rPr>
                <w:color w:val="000000"/>
                <w:sz w:val="20"/>
                <w:szCs w:val="20"/>
                <w:lang w:val="en-GB"/>
              </w:rPr>
              <w:t>Amenities and services</w:t>
            </w:r>
          </w:p>
        </w:tc>
        <w:tc>
          <w:tcPr>
            <w:tcW w:w="6036" w:type="dxa"/>
            <w:hideMark/>
          </w:tcPr>
          <w:p w14:paraId="7EEFBFAA" w14:textId="77777777" w:rsidR="00C36342" w:rsidRPr="00037C61" w:rsidRDefault="00C36342" w:rsidP="00C36342">
            <w:pPr>
              <w:spacing w:line="360"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37C61">
              <w:rPr>
                <w:color w:val="000000"/>
                <w:sz w:val="20"/>
                <w:szCs w:val="20"/>
                <w:lang w:val="en-GB"/>
              </w:rPr>
              <w:t>Restaurant/ Bank/ ATM/ Hyper-supermarket/ Marketplace/ Mall</w:t>
            </w:r>
          </w:p>
        </w:tc>
      </w:tr>
    </w:tbl>
    <w:p w14:paraId="5AE2C9C8" w14:textId="3A3AA5E8" w:rsidR="00C36342" w:rsidRPr="00037C61" w:rsidRDefault="00C36342" w:rsidP="00C36342">
      <w:pPr>
        <w:spacing w:after="0"/>
        <w:rPr>
          <w:rFonts w:eastAsiaTheme="majorEastAsia" w:cs="Calibri"/>
          <w:bCs/>
          <w:sz w:val="24"/>
          <w:szCs w:val="24"/>
          <w:lang w:val="en-GB"/>
        </w:rPr>
      </w:pPr>
    </w:p>
    <w:p w14:paraId="76FB945D" w14:textId="69D5F8CD" w:rsidR="00C36342" w:rsidRPr="00037C61" w:rsidRDefault="00C36342" w:rsidP="00C36342">
      <w:pPr>
        <w:spacing w:after="0"/>
        <w:rPr>
          <w:rFonts w:eastAsiaTheme="majorEastAsia" w:cs="Calibri"/>
          <w:bCs/>
          <w:sz w:val="24"/>
          <w:szCs w:val="24"/>
          <w:lang w:val="en-GB"/>
        </w:rPr>
      </w:pPr>
      <w:r w:rsidRPr="00037C61">
        <w:rPr>
          <w:rFonts w:eastAsiaTheme="majorEastAsia" w:cs="Calibri"/>
          <w:bCs/>
          <w:sz w:val="24"/>
          <w:szCs w:val="24"/>
          <w:lang w:val="en-GB"/>
        </w:rPr>
        <w:br w:type="page"/>
      </w:r>
    </w:p>
    <w:p w14:paraId="50B6CCB4" w14:textId="72528B7A" w:rsidR="00C36342" w:rsidRPr="00037C61" w:rsidRDefault="00C36342" w:rsidP="00C36342">
      <w:pPr>
        <w:spacing w:after="0"/>
        <w:rPr>
          <w:lang w:val="en-GB"/>
        </w:rPr>
      </w:pPr>
      <w:r w:rsidRPr="00037C61">
        <w:rPr>
          <w:lang w:val="en-GB"/>
        </w:rPr>
        <w:lastRenderedPageBreak/>
        <w:t xml:space="preserve">Regarding </w:t>
      </w:r>
      <w:r w:rsidRPr="00037C61">
        <w:rPr>
          <w:b/>
          <w:bCs/>
          <w:lang w:val="en-GB"/>
        </w:rPr>
        <w:t>public functions development at a local level</w:t>
      </w:r>
      <w:r w:rsidRPr="00037C61">
        <w:rPr>
          <w:lang w:val="en-GB"/>
        </w:rPr>
        <w:t xml:space="preserve">, for LAU2 settlements that have more than 5000 inhabitants, the Hungarian side has a better and more complex distribution than the Romanian side. For this analysis, transport functions were not part of the scoring formula, but it remains relevant because it can show potential areas for future territorial cooperation. At the same time, it is important to have a spatial representation of the health infrastructure (settlements with hospitals and ambulances, settlements with just hospitals, settlements with just ambulances) in order to better determine major clusters and disadvantaged areas. A more in-depth analysis of health infrastructure distribution has been provided in chapter </w:t>
      </w:r>
      <w:r w:rsidRPr="00037C61">
        <w:rPr>
          <w:lang w:val="en-GB"/>
        </w:rPr>
        <w:fldChar w:fldCharType="begin"/>
      </w:r>
      <w:r w:rsidRPr="00037C61">
        <w:rPr>
          <w:lang w:val="en-GB"/>
        </w:rPr>
        <w:instrText xml:space="preserve"> REF _Ref53439784 \r \h  \* MERGEFORMAT </w:instrText>
      </w:r>
      <w:r w:rsidRPr="00037C61">
        <w:rPr>
          <w:lang w:val="en-GB"/>
        </w:rPr>
      </w:r>
      <w:r w:rsidRPr="00037C61">
        <w:rPr>
          <w:lang w:val="en-GB"/>
        </w:rPr>
        <w:fldChar w:fldCharType="separate"/>
      </w:r>
      <w:r w:rsidR="00A633B8" w:rsidRPr="00037C61">
        <w:rPr>
          <w:lang w:val="en-GB"/>
        </w:rPr>
        <w:t>2.2.2</w:t>
      </w:r>
      <w:r w:rsidRPr="00037C61">
        <w:rPr>
          <w:lang w:val="en-GB"/>
        </w:rPr>
        <w:fldChar w:fldCharType="end"/>
      </w:r>
      <w:r w:rsidRPr="00037C61">
        <w:rPr>
          <w:lang w:val="en-GB"/>
        </w:rPr>
        <w:t>(regarding health infrastructure collaboration).</w:t>
      </w:r>
    </w:p>
    <w:p w14:paraId="4963F53E" w14:textId="77777777" w:rsidR="00C36342" w:rsidRPr="00037C61" w:rsidRDefault="00C36342" w:rsidP="00C36342">
      <w:pPr>
        <w:keepNext/>
        <w:spacing w:after="0"/>
        <w:rPr>
          <w:lang w:val="en-GB"/>
        </w:rPr>
      </w:pPr>
      <w:r w:rsidRPr="00037C61">
        <w:rPr>
          <w:noProof/>
          <w:lang w:val="ro-RO" w:eastAsia="ro-RO"/>
        </w:rPr>
        <w:drawing>
          <wp:inline distT="0" distB="0" distL="0" distR="0" wp14:anchorId="77E06C1E" wp14:editId="6F1CBA8C">
            <wp:extent cx="5296808" cy="6934202"/>
            <wp:effectExtent l="38100" t="38100" r="37465" b="38100"/>
            <wp:docPr id="799356995" name="Picture 799356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6995"/>
                    <pic:cNvPicPr/>
                  </pic:nvPicPr>
                  <pic:blipFill>
                    <a:blip r:embed="rId302">
                      <a:extLst>
                        <a:ext uri="{28A0092B-C50C-407E-A947-70E740481C1C}">
                          <a14:useLocalDpi xmlns:a14="http://schemas.microsoft.com/office/drawing/2010/main" val="0"/>
                        </a:ext>
                      </a:extLst>
                    </a:blip>
                    <a:stretch>
                      <a:fillRect/>
                    </a:stretch>
                  </pic:blipFill>
                  <pic:spPr>
                    <a:xfrm>
                      <a:off x="0" y="0"/>
                      <a:ext cx="5296808" cy="6934202"/>
                    </a:xfrm>
                    <a:prstGeom prst="rect">
                      <a:avLst/>
                    </a:prstGeom>
                    <a:ln w="28575">
                      <a:solidFill>
                        <a:schemeClr val="bg2"/>
                      </a:solidFill>
                    </a:ln>
                  </pic:spPr>
                </pic:pic>
              </a:graphicData>
            </a:graphic>
          </wp:inline>
        </w:drawing>
      </w:r>
    </w:p>
    <w:p w14:paraId="1AC42178" w14:textId="3C88B134" w:rsidR="00C36342" w:rsidRPr="00037C61" w:rsidRDefault="00C36342" w:rsidP="00C36342">
      <w:pPr>
        <w:pStyle w:val="Caption"/>
        <w:jc w:val="both"/>
        <w:rPr>
          <w:lang w:val="en-GB"/>
        </w:rPr>
      </w:pPr>
      <w:bookmarkStart w:id="887" w:name="_Toc64611099"/>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151</w:t>
      </w:r>
      <w:r w:rsidR="00412697">
        <w:rPr>
          <w:lang w:val="en-GB"/>
        </w:rPr>
        <w:fldChar w:fldCharType="end"/>
      </w:r>
      <w:r w:rsidRPr="00037C61">
        <w:rPr>
          <w:lang w:val="en-GB"/>
        </w:rPr>
        <w:t xml:space="preserve"> – Public functions (local relevance) score distribution map</w:t>
      </w:r>
      <w:bookmarkEnd w:id="887"/>
      <w:r w:rsidRPr="00037C61">
        <w:rPr>
          <w:lang w:val="en-GB"/>
        </w:rPr>
        <w:t xml:space="preserve"> </w:t>
      </w:r>
    </w:p>
    <w:p w14:paraId="7144B92E" w14:textId="77777777" w:rsidR="00C36342" w:rsidRPr="00037C61" w:rsidRDefault="00C36342" w:rsidP="00C36342">
      <w:pPr>
        <w:pStyle w:val="Caption"/>
        <w:jc w:val="both"/>
        <w:rPr>
          <w:lang w:val="en-GB"/>
        </w:rPr>
      </w:pPr>
      <w:r w:rsidRPr="00037C61">
        <w:rPr>
          <w:lang w:val="en-GB"/>
        </w:rPr>
        <w:t>Source : calculated from desk research and statistics from INS, KSH</w:t>
      </w:r>
    </w:p>
    <w:p w14:paraId="5DBD8AB5" w14:textId="53E2F2A5" w:rsidR="00C36342" w:rsidRPr="00037C61" w:rsidRDefault="00C36342" w:rsidP="00457478">
      <w:pPr>
        <w:spacing w:after="0"/>
        <w:rPr>
          <w:lang w:val="en-GB"/>
        </w:rPr>
      </w:pPr>
      <w:r w:rsidRPr="00037C61">
        <w:rPr>
          <w:b/>
          <w:bCs/>
          <w:lang w:val="en-GB"/>
        </w:rPr>
        <w:lastRenderedPageBreak/>
        <w:t>The total score of the free time public functions distribution</w:t>
      </w:r>
      <w:r w:rsidRPr="00037C61">
        <w:rPr>
          <w:lang w:val="en-GB"/>
        </w:rPr>
        <w:t xml:space="preserve"> shows that only the major cities have a well-developed infrastructure regarding such public functions. We can see that the settlements in the influence area of major cities have less free-time public functions, because the main city provides them. </w:t>
      </w:r>
    </w:p>
    <w:p w14:paraId="422B958A" w14:textId="77777777" w:rsidR="00C36342" w:rsidRPr="00037C61" w:rsidRDefault="00C36342" w:rsidP="00C36342">
      <w:pPr>
        <w:keepNext/>
        <w:spacing w:after="0"/>
        <w:jc w:val="left"/>
        <w:rPr>
          <w:lang w:val="en-GB"/>
        </w:rPr>
      </w:pPr>
    </w:p>
    <w:p w14:paraId="6C1C8ABA" w14:textId="483C08D4" w:rsidR="00C36342" w:rsidRPr="00037C61" w:rsidRDefault="00C36342" w:rsidP="00C36342">
      <w:pPr>
        <w:keepNext/>
        <w:spacing w:after="0"/>
        <w:jc w:val="left"/>
        <w:rPr>
          <w:lang w:val="en-GB"/>
        </w:rPr>
      </w:pPr>
      <w:r w:rsidRPr="00037C61">
        <w:rPr>
          <w:noProof/>
          <w:lang w:val="ro-RO" w:eastAsia="ro-RO"/>
        </w:rPr>
        <w:drawing>
          <wp:inline distT="0" distB="0" distL="0" distR="0" wp14:anchorId="244D5FFD" wp14:editId="44BC92CC">
            <wp:extent cx="5492750" cy="7190714"/>
            <wp:effectExtent l="38100" t="38100" r="31750" b="29845"/>
            <wp:docPr id="799357020" name="Picture 79935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20"/>
                    <pic:cNvPicPr/>
                  </pic:nvPicPr>
                  <pic:blipFill>
                    <a:blip r:embed="rId303">
                      <a:extLst>
                        <a:ext uri="{28A0092B-C50C-407E-A947-70E740481C1C}">
                          <a14:useLocalDpi xmlns:a14="http://schemas.microsoft.com/office/drawing/2010/main" val="0"/>
                        </a:ext>
                      </a:extLst>
                    </a:blip>
                    <a:stretch>
                      <a:fillRect/>
                    </a:stretch>
                  </pic:blipFill>
                  <pic:spPr>
                    <a:xfrm>
                      <a:off x="0" y="0"/>
                      <a:ext cx="5492750" cy="7190714"/>
                    </a:xfrm>
                    <a:prstGeom prst="rect">
                      <a:avLst/>
                    </a:prstGeom>
                    <a:ln w="28575">
                      <a:solidFill>
                        <a:schemeClr val="bg2"/>
                      </a:solidFill>
                    </a:ln>
                  </pic:spPr>
                </pic:pic>
              </a:graphicData>
            </a:graphic>
          </wp:inline>
        </w:drawing>
      </w:r>
    </w:p>
    <w:p w14:paraId="1E02F064" w14:textId="2D9728B6" w:rsidR="00C36342" w:rsidRPr="00037C61" w:rsidRDefault="00C36342" w:rsidP="00C36342">
      <w:pPr>
        <w:pStyle w:val="Caption"/>
        <w:jc w:val="both"/>
        <w:rPr>
          <w:lang w:val="en-GB"/>
        </w:rPr>
      </w:pPr>
      <w:bookmarkStart w:id="888" w:name="_Toc64611100"/>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152</w:t>
      </w:r>
      <w:r w:rsidR="00412697">
        <w:rPr>
          <w:lang w:val="en-GB"/>
        </w:rPr>
        <w:fldChar w:fldCharType="end"/>
      </w:r>
      <w:r w:rsidRPr="00037C61">
        <w:rPr>
          <w:lang w:val="en-GB"/>
        </w:rPr>
        <w:t xml:space="preserve"> – Free-time public functions score distribution map</w:t>
      </w:r>
      <w:bookmarkEnd w:id="888"/>
      <w:r w:rsidRPr="00037C61">
        <w:rPr>
          <w:lang w:val="en-GB"/>
        </w:rPr>
        <w:t xml:space="preserve"> </w:t>
      </w:r>
    </w:p>
    <w:p w14:paraId="71CCF8AD" w14:textId="497B957C" w:rsidR="00C36342" w:rsidRPr="00037C61" w:rsidRDefault="00C36342" w:rsidP="00C36342">
      <w:pPr>
        <w:pStyle w:val="Caption"/>
        <w:jc w:val="both"/>
        <w:rPr>
          <w:lang w:val="en-GB"/>
        </w:rPr>
      </w:pPr>
      <w:r w:rsidRPr="00037C61">
        <w:rPr>
          <w:lang w:val="en-GB"/>
        </w:rPr>
        <w:t>Source: calculated from desk research and statistics from INS, KSH</w:t>
      </w:r>
    </w:p>
    <w:p w14:paraId="263EC7EA" w14:textId="3B4BB089" w:rsidR="00C36342" w:rsidRPr="00037C61" w:rsidRDefault="00C36342" w:rsidP="00C36342">
      <w:pPr>
        <w:rPr>
          <w:lang w:val="en-GB"/>
        </w:rPr>
      </w:pPr>
    </w:p>
    <w:p w14:paraId="7F77554B" w14:textId="77777777" w:rsidR="00C36342" w:rsidRPr="00037C61" w:rsidRDefault="00C36342" w:rsidP="00C36342">
      <w:pPr>
        <w:rPr>
          <w:lang w:val="en-GB"/>
        </w:rPr>
      </w:pPr>
    </w:p>
    <w:p w14:paraId="1671971E" w14:textId="0E22E409" w:rsidR="00C36342" w:rsidRPr="00037C61" w:rsidRDefault="00C36342" w:rsidP="00C36342">
      <w:pPr>
        <w:spacing w:after="0"/>
        <w:rPr>
          <w:lang w:val="en-GB"/>
        </w:rPr>
      </w:pPr>
      <w:r w:rsidRPr="00037C61">
        <w:rPr>
          <w:b/>
          <w:bCs/>
          <w:lang w:val="en-GB"/>
        </w:rPr>
        <w:t>The distribution map of touristic functions and amenities</w:t>
      </w:r>
      <w:r w:rsidRPr="00037C61">
        <w:rPr>
          <w:lang w:val="en-GB"/>
        </w:rPr>
        <w:t xml:space="preserve"> shows part of the region's touristic attractiveness. The score only shows the total number of available public functions, the overall touristic relevance being detailed in the Chapter </w:t>
      </w:r>
      <w:r w:rsidRPr="00037C61">
        <w:rPr>
          <w:lang w:val="en-GB"/>
        </w:rPr>
        <w:fldChar w:fldCharType="begin"/>
      </w:r>
      <w:r w:rsidRPr="00037C61">
        <w:rPr>
          <w:lang w:val="en-GB"/>
        </w:rPr>
        <w:instrText xml:space="preserve"> REF _Ref53439875 \r \h </w:instrText>
      </w:r>
      <w:r w:rsidRPr="00037C61">
        <w:rPr>
          <w:lang w:val="en-GB"/>
        </w:rPr>
      </w:r>
      <w:r w:rsidRPr="00037C61">
        <w:rPr>
          <w:lang w:val="en-GB"/>
        </w:rPr>
        <w:fldChar w:fldCharType="separate"/>
      </w:r>
      <w:r w:rsidR="00A633B8" w:rsidRPr="00037C61">
        <w:rPr>
          <w:lang w:val="en-GB"/>
        </w:rPr>
        <w:t>2.3.3.3</w:t>
      </w:r>
      <w:r w:rsidRPr="00037C61">
        <w:rPr>
          <w:lang w:val="en-GB"/>
        </w:rPr>
        <w:fldChar w:fldCharType="end"/>
      </w:r>
      <w:r w:rsidRPr="00037C61">
        <w:rPr>
          <w:lang w:val="en-GB"/>
        </w:rPr>
        <w:fldChar w:fldCharType="begin"/>
      </w:r>
      <w:r w:rsidRPr="00037C61">
        <w:rPr>
          <w:lang w:val="en-GB"/>
        </w:rPr>
        <w:instrText xml:space="preserve"> REF _Ref53439879 \h </w:instrText>
      </w:r>
      <w:r w:rsidRPr="00037C61">
        <w:rPr>
          <w:lang w:val="en-GB"/>
        </w:rPr>
      </w:r>
      <w:r w:rsidRPr="00037C61">
        <w:rPr>
          <w:lang w:val="en-GB"/>
        </w:rPr>
        <w:fldChar w:fldCharType="separate"/>
      </w:r>
      <w:r w:rsidRPr="00037C61">
        <w:rPr>
          <w:lang w:val="en-GB"/>
        </w:rPr>
        <w:t>Tourism and hospitality</w:t>
      </w:r>
      <w:r w:rsidRPr="00037C61">
        <w:rPr>
          <w:lang w:val="en-GB"/>
        </w:rPr>
        <w:fldChar w:fldCharType="end"/>
      </w:r>
      <w:r w:rsidRPr="00037C61">
        <w:rPr>
          <w:lang w:val="en-GB"/>
        </w:rPr>
        <w:t>. One important aspect of this analysis is the territorial distribution of thermal baths facilities and architectural heritage - castles. Hungarian region has a total of 24 settlements with thermal bath facilities and Romanian region has a total of 15, regarding natural resources, both regions have a strong potential for balneary / spa tourism.</w:t>
      </w:r>
    </w:p>
    <w:p w14:paraId="1C870A51" w14:textId="77777777" w:rsidR="00C36342" w:rsidRPr="00037C61" w:rsidRDefault="00C36342" w:rsidP="00C36342">
      <w:pPr>
        <w:spacing w:after="0"/>
        <w:rPr>
          <w:lang w:val="en-GB"/>
        </w:rPr>
      </w:pPr>
    </w:p>
    <w:p w14:paraId="03A393CE" w14:textId="77777777" w:rsidR="00C36342" w:rsidRPr="00037C61" w:rsidRDefault="00C36342" w:rsidP="00C36342">
      <w:pPr>
        <w:spacing w:after="0"/>
        <w:rPr>
          <w:lang w:val="en-GB"/>
        </w:rPr>
      </w:pPr>
      <w:r w:rsidRPr="00037C61">
        <w:rPr>
          <w:noProof/>
          <w:lang w:val="ro-RO" w:eastAsia="ro-RO"/>
        </w:rPr>
        <mc:AlternateContent>
          <mc:Choice Requires="wps">
            <w:drawing>
              <wp:anchor distT="0" distB="0" distL="114300" distR="114300" simplePos="0" relativeHeight="251700736" behindDoc="0" locked="0" layoutInCell="1" allowOverlap="1" wp14:anchorId="2827E520" wp14:editId="26DEFD01">
                <wp:simplePos x="0" y="0"/>
                <wp:positionH relativeFrom="column">
                  <wp:posOffset>45720</wp:posOffset>
                </wp:positionH>
                <wp:positionV relativeFrom="paragraph">
                  <wp:posOffset>40640</wp:posOffset>
                </wp:positionV>
                <wp:extent cx="2011680" cy="716280"/>
                <wp:effectExtent l="0" t="0" r="26670" b="26670"/>
                <wp:wrapNone/>
                <wp:docPr id="602792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716280"/>
                        </a:xfrm>
                        <a:prstGeom prst="rect">
                          <a:avLst/>
                        </a:prstGeom>
                        <a:solidFill>
                          <a:srgbClr val="FFFFFF"/>
                        </a:solidFill>
                        <a:ln w="19050">
                          <a:solidFill>
                            <a:srgbClr val="000000"/>
                          </a:solidFill>
                          <a:miter lim="800000"/>
                          <a:headEnd/>
                          <a:tailEnd/>
                        </a:ln>
                      </wps:spPr>
                      <wps:txbx>
                        <w:txbxContent>
                          <w:p w14:paraId="7B0B8BC4" w14:textId="77777777" w:rsidR="00944B4A" w:rsidRPr="00847958" w:rsidRDefault="00944B4A" w:rsidP="00662F53">
                            <w:pPr>
                              <w:spacing w:after="0"/>
                              <w:jc w:val="center"/>
                              <w:rPr>
                                <w:b/>
                                <w:bCs/>
                                <w:sz w:val="24"/>
                                <w:szCs w:val="24"/>
                                <w:lang w:val="en-GB"/>
                              </w:rPr>
                            </w:pPr>
                            <w:r w:rsidRPr="00847958">
                              <w:rPr>
                                <w:b/>
                                <w:bCs/>
                                <w:sz w:val="24"/>
                                <w:szCs w:val="24"/>
                                <w:lang w:val="en-GB"/>
                              </w:rPr>
                              <w:t>Touristic functions and amenities</w:t>
                            </w:r>
                          </w:p>
                          <w:p w14:paraId="04FDCD53" w14:textId="77777777" w:rsidR="00944B4A" w:rsidRPr="00847958" w:rsidRDefault="00944B4A" w:rsidP="00662F53">
                            <w:pPr>
                              <w:spacing w:after="0"/>
                              <w:jc w:val="center"/>
                              <w:rPr>
                                <w:lang w:val="en-GB"/>
                              </w:rPr>
                            </w:pPr>
                            <w:r w:rsidRPr="00847958">
                              <w:rPr>
                                <w:lang w:val="en-GB"/>
                              </w:rPr>
                              <w:t>Score distribution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27E520" id="Text Box 2" o:spid="_x0000_s1056" type="#_x0000_t202" style="position:absolute;left:0;text-align:left;margin-left:3.6pt;margin-top:3.2pt;width:158.4pt;height:56.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" strokeweight="1.5pt">
                <v:textbox>
                  <w:txbxContent>
                    <w:p w14:paraId="7B0B8BC4" w14:textId="77777777" w:rsidR="00944B4A" w:rsidRPr="00847958" w:rsidRDefault="00944B4A" w:rsidP="00662F53">
                      <w:pPr>
                        <w:spacing w:after="0"/>
                        <w:jc w:val="center"/>
                        <w:rPr>
                          <w:b/>
                          <w:bCs/>
                          <w:sz w:val="24"/>
                          <w:szCs w:val="24"/>
                          <w:lang w:val="en-GB"/>
                        </w:rPr>
                      </w:pPr>
                      <w:r w:rsidRPr="00847958">
                        <w:rPr>
                          <w:b/>
                          <w:bCs/>
                          <w:sz w:val="24"/>
                          <w:szCs w:val="24"/>
                          <w:lang w:val="en-GB"/>
                        </w:rPr>
                        <w:t>Touristic functions and amenities</w:t>
                      </w:r>
                    </w:p>
                    <w:p w14:paraId="04FDCD53" w14:textId="77777777" w:rsidR="00944B4A" w:rsidRPr="00847958" w:rsidRDefault="00944B4A" w:rsidP="00662F53">
                      <w:pPr>
                        <w:spacing w:after="0"/>
                        <w:jc w:val="center"/>
                        <w:rPr>
                          <w:lang w:val="en-GB"/>
                        </w:rPr>
                      </w:pPr>
                      <w:r w:rsidRPr="00847958">
                        <w:rPr>
                          <w:lang w:val="en-GB"/>
                        </w:rPr>
                        <w:t>Score distribution map</w:t>
                      </w:r>
                    </w:p>
                  </w:txbxContent>
                </v:textbox>
              </v:shape>
            </w:pict>
          </mc:Fallback>
        </mc:AlternateContent>
      </w:r>
      <w:r w:rsidRPr="00037C61">
        <w:rPr>
          <w:noProof/>
          <w:lang w:val="ro-RO" w:eastAsia="ro-RO"/>
        </w:rPr>
        <w:drawing>
          <wp:inline distT="0" distB="0" distL="0" distR="0" wp14:anchorId="0330B3F0" wp14:editId="5D5104B0">
            <wp:extent cx="5081445" cy="6652260"/>
            <wp:effectExtent l="38100" t="38100" r="43180" b="34290"/>
            <wp:docPr id="799357025" name="Picture 79935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25"/>
                    <pic:cNvPicPr/>
                  </pic:nvPicPr>
                  <pic:blipFill>
                    <a:blip r:embed="rId304">
                      <a:extLst>
                        <a:ext uri="{28A0092B-C50C-407E-A947-70E740481C1C}">
                          <a14:useLocalDpi xmlns:a14="http://schemas.microsoft.com/office/drawing/2010/main" val="0"/>
                        </a:ext>
                      </a:extLst>
                    </a:blip>
                    <a:stretch>
                      <a:fillRect/>
                    </a:stretch>
                  </pic:blipFill>
                  <pic:spPr>
                    <a:xfrm>
                      <a:off x="0" y="0"/>
                      <a:ext cx="5087085" cy="6659644"/>
                    </a:xfrm>
                    <a:prstGeom prst="rect">
                      <a:avLst/>
                    </a:prstGeom>
                    <a:ln w="28575">
                      <a:solidFill>
                        <a:schemeClr val="bg2"/>
                      </a:solidFill>
                    </a:ln>
                  </pic:spPr>
                </pic:pic>
              </a:graphicData>
            </a:graphic>
          </wp:inline>
        </w:drawing>
      </w:r>
    </w:p>
    <w:p w14:paraId="3569F92A" w14:textId="6228441E" w:rsidR="00C36342" w:rsidRPr="00037C61" w:rsidRDefault="00C36342" w:rsidP="00C36342">
      <w:pPr>
        <w:pStyle w:val="Caption"/>
        <w:keepNext/>
        <w:jc w:val="both"/>
        <w:rPr>
          <w:lang w:val="en-GB"/>
        </w:rPr>
      </w:pPr>
      <w:bookmarkStart w:id="889" w:name="_Toc64611101"/>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153</w:t>
      </w:r>
      <w:r w:rsidR="00412697">
        <w:rPr>
          <w:lang w:val="en-GB"/>
        </w:rPr>
        <w:fldChar w:fldCharType="end"/>
      </w:r>
      <w:r w:rsidRPr="00037C61">
        <w:rPr>
          <w:lang w:val="en-GB"/>
        </w:rPr>
        <w:t xml:space="preserve"> - Touristic functions and amenities</w:t>
      </w:r>
      <w:bookmarkEnd w:id="889"/>
    </w:p>
    <w:p w14:paraId="3D8883FE" w14:textId="77777777" w:rsidR="00C36342" w:rsidRPr="00037C61" w:rsidRDefault="00C36342" w:rsidP="00C36342">
      <w:pPr>
        <w:pStyle w:val="Caption"/>
        <w:jc w:val="both"/>
        <w:rPr>
          <w:lang w:val="en-GB"/>
        </w:rPr>
      </w:pPr>
      <w:r w:rsidRPr="00037C61">
        <w:rPr>
          <w:lang w:val="en-GB"/>
        </w:rPr>
        <w:t>Source: calculated from desk research and statistics from INS, KSH</w:t>
      </w:r>
    </w:p>
    <w:p w14:paraId="393C88E8" w14:textId="6451D8AB" w:rsidR="00C36342" w:rsidRPr="00037C61" w:rsidRDefault="00C36342" w:rsidP="00C36342">
      <w:pPr>
        <w:spacing w:after="0"/>
        <w:rPr>
          <w:lang w:val="en-GB"/>
        </w:rPr>
      </w:pPr>
    </w:p>
    <w:p w14:paraId="32F1F675" w14:textId="16B1955D" w:rsidR="00C36342" w:rsidRPr="00037C61" w:rsidRDefault="00C36342" w:rsidP="00662F53">
      <w:pPr>
        <w:rPr>
          <w:lang w:val="en-GB"/>
        </w:rPr>
      </w:pPr>
      <w:r w:rsidRPr="00037C61">
        <w:rPr>
          <w:b/>
          <w:bCs/>
          <w:lang w:val="en-GB"/>
        </w:rPr>
        <w:t>The Public functions Synthesis map</w:t>
      </w:r>
      <w:r w:rsidRPr="00037C61">
        <w:rPr>
          <w:lang w:val="en-GB"/>
        </w:rPr>
        <w:t xml:space="preserve"> (that shows the total score for all public functions analysed) is relevant in this case, because it helps outlining the future cross-border FA. This type of information must be corroborated with economic analysis, demographics, and overall accessibility of the border region and major settlements. Also, it can be observed that the overall development in Hungarian regions is more evenly spread, while in Romanian regions, the overall development is focused of major urban centers – having a more polarised territory. </w:t>
      </w:r>
    </w:p>
    <w:p w14:paraId="23E65A46" w14:textId="77777777" w:rsidR="00C36342" w:rsidRPr="00037C61" w:rsidRDefault="00C36342" w:rsidP="00662F53">
      <w:pPr>
        <w:keepNext/>
        <w:spacing w:after="0"/>
        <w:jc w:val="left"/>
        <w:rPr>
          <w:lang w:val="en-GB"/>
        </w:rPr>
      </w:pPr>
      <w:r w:rsidRPr="00037C61">
        <w:rPr>
          <w:noProof/>
          <w:lang w:val="ro-RO" w:eastAsia="ro-RO"/>
        </w:rPr>
        <w:drawing>
          <wp:inline distT="0" distB="0" distL="0" distR="0" wp14:anchorId="40FBAE39" wp14:editId="7844CCEC">
            <wp:extent cx="5410200" cy="6974452"/>
            <wp:effectExtent l="38100" t="38100" r="38100" b="36195"/>
            <wp:docPr id="799357028" name="Picture 79935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357028"/>
                    <pic:cNvPicPr/>
                  </pic:nvPicPr>
                  <pic:blipFill>
                    <a:blip r:embed="rId305">
                      <a:extLst>
                        <a:ext uri="{28A0092B-C50C-407E-A947-70E740481C1C}">
                          <a14:useLocalDpi xmlns:a14="http://schemas.microsoft.com/office/drawing/2010/main"/>
                        </a:ext>
                      </a:extLst>
                    </a:blip>
                    <a:stretch>
                      <a:fillRect/>
                    </a:stretch>
                  </pic:blipFill>
                  <pic:spPr>
                    <a:xfrm>
                      <a:off x="0" y="0"/>
                      <a:ext cx="5415757" cy="6981616"/>
                    </a:xfrm>
                    <a:prstGeom prst="rect">
                      <a:avLst/>
                    </a:prstGeom>
                    <a:ln w="28575">
                      <a:solidFill>
                        <a:schemeClr val="bg2"/>
                      </a:solidFill>
                    </a:ln>
                  </pic:spPr>
                </pic:pic>
              </a:graphicData>
            </a:graphic>
          </wp:inline>
        </w:drawing>
      </w:r>
    </w:p>
    <w:p w14:paraId="5721FE41" w14:textId="4475BE63" w:rsidR="00C36342" w:rsidRPr="00037C61" w:rsidRDefault="00C36342" w:rsidP="00C36342">
      <w:pPr>
        <w:pStyle w:val="Caption"/>
        <w:jc w:val="both"/>
        <w:rPr>
          <w:lang w:val="en-GB"/>
        </w:rPr>
      </w:pPr>
      <w:bookmarkStart w:id="890" w:name="_Toc64611102"/>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154</w:t>
      </w:r>
      <w:r w:rsidR="00412697">
        <w:rPr>
          <w:lang w:val="en-GB"/>
        </w:rPr>
        <w:fldChar w:fldCharType="end"/>
      </w:r>
      <w:r w:rsidRPr="00037C61">
        <w:rPr>
          <w:lang w:val="en-GB"/>
        </w:rPr>
        <w:t xml:space="preserve"> – Public functions Synthesis total score distribution map</w:t>
      </w:r>
      <w:bookmarkEnd w:id="890"/>
    </w:p>
    <w:p w14:paraId="4E23E0C0" w14:textId="77777777" w:rsidR="00C36342" w:rsidRPr="00037C61" w:rsidRDefault="00C36342" w:rsidP="00C36342">
      <w:pPr>
        <w:pStyle w:val="Caption"/>
        <w:jc w:val="both"/>
        <w:rPr>
          <w:lang w:val="en-GB"/>
        </w:rPr>
      </w:pPr>
      <w:r w:rsidRPr="00037C61">
        <w:rPr>
          <w:lang w:val="en-GB"/>
        </w:rPr>
        <w:t>Source: calculated from desk research and statistics from INS, KSH</w:t>
      </w:r>
    </w:p>
    <w:p w14:paraId="59B36882" w14:textId="77777777" w:rsidR="00C36342" w:rsidRPr="00037C61" w:rsidRDefault="00C36342" w:rsidP="005E0849">
      <w:pPr>
        <w:rPr>
          <w:lang w:val="en-GB"/>
        </w:rPr>
      </w:pPr>
    </w:p>
    <w:p w14:paraId="3E97501E" w14:textId="7E811EA3" w:rsidR="00612AD6" w:rsidRPr="00037C61" w:rsidRDefault="52230E0C" w:rsidP="00413C68">
      <w:pPr>
        <w:pStyle w:val="Heading3"/>
      </w:pPr>
      <w:bookmarkStart w:id="891" w:name="_6rpgtn15i9pv"/>
      <w:bookmarkStart w:id="892" w:name="_jgvb97sxvf9l"/>
      <w:bookmarkStart w:id="893" w:name="_cvwujhekbbp7"/>
      <w:bookmarkStart w:id="894" w:name="_Toc64619573"/>
      <w:bookmarkStart w:id="895" w:name="_Toc53137231"/>
      <w:bookmarkEnd w:id="891"/>
      <w:bookmarkEnd w:id="892"/>
      <w:bookmarkEnd w:id="893"/>
      <w:r w:rsidRPr="00037C61">
        <w:t>Polycentricity in the PA</w:t>
      </w:r>
      <w:bookmarkEnd w:id="894"/>
      <w:r w:rsidRPr="00037C61">
        <w:t xml:space="preserve"> </w:t>
      </w:r>
      <w:bookmarkEnd w:id="895"/>
    </w:p>
    <w:p w14:paraId="0C057EA0" w14:textId="5B9A3668" w:rsidR="00612AD6" w:rsidRPr="00037C61" w:rsidRDefault="00612AD6" w:rsidP="0061187F">
      <w:pPr>
        <w:pStyle w:val="NormalWeb"/>
        <w:spacing w:before="0" w:beforeAutospacing="0" w:after="0" w:afterAutospacing="0"/>
        <w:rPr>
          <w:rFonts w:ascii="Calibri" w:hAnsi="Calibri"/>
          <w:color w:val="000000" w:themeColor="text1"/>
          <w:sz w:val="22"/>
          <w:szCs w:val="22"/>
          <w:lang w:val="en-GB"/>
        </w:rPr>
      </w:pPr>
      <w:r w:rsidRPr="00037C61">
        <w:rPr>
          <w:rFonts w:ascii="Calibri" w:hAnsi="Calibri"/>
          <w:color w:val="000000" w:themeColor="text1"/>
          <w:sz w:val="22"/>
          <w:szCs w:val="22"/>
          <w:lang w:val="en-GB"/>
        </w:rPr>
        <w:t xml:space="preserve">The Hungarian - Romanian border throughout its length presents a variety of urban gradients interacting in different manners between the two countries. The urban cooperation gradients are not strictly following the administrative borders between </w:t>
      </w:r>
      <w:r w:rsidR="005C67E4" w:rsidRPr="00037C61">
        <w:rPr>
          <w:rFonts w:ascii="Calibri" w:hAnsi="Calibri"/>
          <w:color w:val="000000" w:themeColor="text1"/>
          <w:sz w:val="22"/>
          <w:szCs w:val="22"/>
          <w:lang w:val="en-GB"/>
        </w:rPr>
        <w:t xml:space="preserve">counties and even </w:t>
      </w:r>
      <w:r w:rsidRPr="00037C61">
        <w:rPr>
          <w:rFonts w:ascii="Calibri" w:hAnsi="Calibri"/>
          <w:color w:val="000000" w:themeColor="text1"/>
          <w:sz w:val="22"/>
          <w:szCs w:val="22"/>
          <w:lang w:val="en-GB"/>
        </w:rPr>
        <w:t xml:space="preserve">countries, de facto creating a connected territory depending on different elements, ranging from economic cooperation, tourism and cultural ties. Within this territorial analysis, </w:t>
      </w:r>
      <w:r w:rsidR="005C67E4" w:rsidRPr="00037C61">
        <w:rPr>
          <w:rFonts w:ascii="Calibri" w:hAnsi="Calibri"/>
          <w:color w:val="000000" w:themeColor="text1"/>
          <w:sz w:val="22"/>
          <w:szCs w:val="22"/>
          <w:lang w:val="en-GB"/>
        </w:rPr>
        <w:t xml:space="preserve">we analyse </w:t>
      </w:r>
      <w:r w:rsidRPr="00037C61">
        <w:rPr>
          <w:rFonts w:ascii="Calibri" w:hAnsi="Calibri"/>
          <w:color w:val="000000" w:themeColor="text1"/>
          <w:sz w:val="22"/>
          <w:szCs w:val="22"/>
          <w:lang w:val="en-GB"/>
        </w:rPr>
        <w:t xml:space="preserve">the </w:t>
      </w:r>
      <w:r w:rsidR="005C67E4" w:rsidRPr="00037C61">
        <w:rPr>
          <w:rFonts w:ascii="Calibri" w:hAnsi="Calibri"/>
          <w:color w:val="000000" w:themeColor="text1"/>
          <w:sz w:val="22"/>
          <w:szCs w:val="22"/>
          <w:lang w:val="en-GB"/>
        </w:rPr>
        <w:t xml:space="preserve">distribution of the main urban centers and their </w:t>
      </w:r>
      <w:r w:rsidRPr="00037C61">
        <w:rPr>
          <w:rFonts w:ascii="Calibri" w:hAnsi="Calibri"/>
          <w:color w:val="000000" w:themeColor="text1"/>
          <w:sz w:val="22"/>
          <w:szCs w:val="22"/>
          <w:lang w:val="en-GB"/>
        </w:rPr>
        <w:t xml:space="preserve">Functional Urban </w:t>
      </w:r>
      <w:r w:rsidR="005C67E4" w:rsidRPr="00037C61">
        <w:rPr>
          <w:rFonts w:ascii="Calibri" w:hAnsi="Calibri"/>
          <w:color w:val="000000" w:themeColor="text1"/>
          <w:sz w:val="22"/>
          <w:szCs w:val="22"/>
          <w:lang w:val="en-GB"/>
        </w:rPr>
        <w:t>Areas</w:t>
      </w:r>
      <w:r w:rsidRPr="00037C61">
        <w:rPr>
          <w:rFonts w:ascii="Calibri" w:hAnsi="Calibri"/>
          <w:color w:val="000000" w:themeColor="text1"/>
          <w:sz w:val="22"/>
          <w:szCs w:val="22"/>
          <w:lang w:val="en-GB"/>
        </w:rPr>
        <w:t xml:space="preserve"> (FUA</w:t>
      </w:r>
      <w:r w:rsidR="005C67E4" w:rsidRPr="003C452F">
        <w:rPr>
          <w:color w:val="000000" w:themeColor="text1"/>
          <w:vertAlign w:val="superscript"/>
          <w:lang w:val="en-GB"/>
        </w:rPr>
        <w:footnoteReference w:id="41"/>
      </w:r>
      <w:r w:rsidR="005C67E4" w:rsidRPr="00037C61">
        <w:rPr>
          <w:rFonts w:ascii="Calibri" w:hAnsi="Calibri"/>
          <w:color w:val="000000" w:themeColor="text1"/>
          <w:sz w:val="22"/>
          <w:szCs w:val="22"/>
          <w:lang w:val="en-GB"/>
        </w:rPr>
        <w:t>)</w:t>
      </w:r>
      <w:r w:rsidR="002963AE" w:rsidRPr="00037C61">
        <w:rPr>
          <w:rFonts w:ascii="Calibri" w:hAnsi="Calibri"/>
          <w:color w:val="000000" w:themeColor="text1"/>
          <w:sz w:val="22"/>
          <w:szCs w:val="22"/>
          <w:lang w:val="en-GB"/>
        </w:rPr>
        <w:t>, which reveal polycentric patterns with potentially integrated,</w:t>
      </w:r>
      <w:r w:rsidRPr="00037C61">
        <w:rPr>
          <w:rFonts w:ascii="Calibri" w:hAnsi="Calibri"/>
          <w:color w:val="000000" w:themeColor="text1"/>
          <w:sz w:val="22"/>
          <w:szCs w:val="22"/>
          <w:lang w:val="en-GB"/>
        </w:rPr>
        <w:t xml:space="preserve"> or </w:t>
      </w:r>
      <w:r w:rsidR="002963AE" w:rsidRPr="00037C61">
        <w:rPr>
          <w:rFonts w:ascii="Calibri" w:hAnsi="Calibri"/>
          <w:color w:val="000000" w:themeColor="text1"/>
          <w:sz w:val="22"/>
          <w:szCs w:val="22"/>
          <w:lang w:val="en-GB"/>
        </w:rPr>
        <w:t xml:space="preserve">common, cross-border surrounding areas. </w:t>
      </w:r>
      <w:r w:rsidR="005C67E4" w:rsidRPr="00037C61">
        <w:rPr>
          <w:rFonts w:ascii="Calibri" w:hAnsi="Calibri"/>
          <w:color w:val="000000" w:themeColor="text1"/>
          <w:sz w:val="22"/>
          <w:szCs w:val="22"/>
          <w:lang w:val="en-GB"/>
        </w:rPr>
        <w:t xml:space="preserve"> </w:t>
      </w:r>
    </w:p>
    <w:p w14:paraId="08E19D51" w14:textId="77777777" w:rsidR="00BD3793" w:rsidRPr="00037C61" w:rsidRDefault="00BD3793" w:rsidP="27B0E377">
      <w:pPr>
        <w:pStyle w:val="NormalWeb"/>
        <w:spacing w:before="0" w:beforeAutospacing="0" w:after="0" w:afterAutospacing="0"/>
        <w:rPr>
          <w:rFonts w:ascii="Calibri" w:hAnsi="Calibri"/>
          <w:color w:val="000000" w:themeColor="text1"/>
          <w:sz w:val="22"/>
          <w:szCs w:val="22"/>
          <w:lang w:val="en-GB"/>
        </w:rPr>
      </w:pPr>
    </w:p>
    <w:p w14:paraId="49D783A3" w14:textId="543C74AB" w:rsidR="00612AD6" w:rsidRPr="00037C61" w:rsidRDefault="00612AD6" w:rsidP="27B0E377">
      <w:pPr>
        <w:pStyle w:val="NormalWeb"/>
        <w:spacing w:before="0" w:beforeAutospacing="0" w:after="0" w:afterAutospacing="0"/>
        <w:rPr>
          <w:rFonts w:ascii="Calibri" w:hAnsi="Calibri"/>
          <w:color w:val="000000" w:themeColor="text1"/>
          <w:sz w:val="22"/>
          <w:szCs w:val="22"/>
          <w:lang w:val="en-GB"/>
        </w:rPr>
      </w:pPr>
      <w:r w:rsidRPr="00037C61">
        <w:rPr>
          <w:rFonts w:ascii="Calibri" w:hAnsi="Calibri"/>
          <w:color w:val="000000" w:themeColor="text1"/>
          <w:sz w:val="22"/>
          <w:szCs w:val="22"/>
          <w:lang w:val="en-GB"/>
        </w:rPr>
        <w:t xml:space="preserve">When looking at cross-border governance, we see that along the Hungarian - Romanian border there are </w:t>
      </w:r>
      <w:r w:rsidRPr="00037C61">
        <w:rPr>
          <w:rFonts w:ascii="Calibri" w:hAnsi="Calibri"/>
          <w:b/>
          <w:bCs/>
          <w:color w:val="000000" w:themeColor="text1"/>
          <w:sz w:val="22"/>
          <w:szCs w:val="22"/>
          <w:lang w:val="en-GB"/>
        </w:rPr>
        <w:t xml:space="preserve">two </w:t>
      </w:r>
      <w:r w:rsidR="002963AE" w:rsidRPr="00037C61">
        <w:rPr>
          <w:rFonts w:ascii="Calibri" w:hAnsi="Calibri"/>
          <w:b/>
          <w:bCs/>
          <w:color w:val="000000" w:themeColor="text1"/>
          <w:sz w:val="22"/>
          <w:szCs w:val="22"/>
          <w:lang w:val="en-GB"/>
        </w:rPr>
        <w:t>potential</w:t>
      </w:r>
      <w:r w:rsidR="002963AE" w:rsidRPr="00037C61">
        <w:rPr>
          <w:rFonts w:ascii="Calibri" w:hAnsi="Calibri"/>
          <w:color w:val="000000" w:themeColor="text1"/>
          <w:sz w:val="22"/>
          <w:szCs w:val="22"/>
          <w:lang w:val="en-GB"/>
        </w:rPr>
        <w:t xml:space="preserve"> </w:t>
      </w:r>
      <w:r w:rsidR="002963AE" w:rsidRPr="00037C61">
        <w:rPr>
          <w:rFonts w:ascii="Calibri" w:hAnsi="Calibri"/>
          <w:b/>
          <w:bCs/>
          <w:color w:val="000000" w:themeColor="text1"/>
          <w:sz w:val="22"/>
          <w:szCs w:val="22"/>
          <w:lang w:val="en-GB"/>
        </w:rPr>
        <w:t xml:space="preserve">polycentric Cross-border </w:t>
      </w:r>
      <w:r w:rsidRPr="00037C61">
        <w:rPr>
          <w:rFonts w:ascii="Calibri" w:hAnsi="Calibri"/>
          <w:b/>
          <w:bCs/>
          <w:color w:val="000000" w:themeColor="text1"/>
          <w:sz w:val="22"/>
          <w:szCs w:val="22"/>
          <w:lang w:val="en-GB"/>
        </w:rPr>
        <w:t>Functional Areas</w:t>
      </w:r>
      <w:r w:rsidRPr="00037C61">
        <w:rPr>
          <w:rFonts w:ascii="Calibri" w:hAnsi="Calibri"/>
          <w:color w:val="000000" w:themeColor="text1"/>
          <w:sz w:val="22"/>
          <w:szCs w:val="22"/>
          <w:lang w:val="en-GB"/>
        </w:rPr>
        <w:t>, in order of relevance: </w:t>
      </w:r>
    </w:p>
    <w:p w14:paraId="2E5493FF" w14:textId="77777777" w:rsidR="009A5621" w:rsidRPr="00037C61" w:rsidRDefault="009A5621" w:rsidP="27B0E377">
      <w:pPr>
        <w:pStyle w:val="NormalWeb"/>
        <w:spacing w:before="0" w:beforeAutospacing="0" w:after="0" w:afterAutospacing="0"/>
        <w:rPr>
          <w:rFonts w:ascii="Calibri" w:hAnsi="Calibri"/>
          <w:sz w:val="22"/>
          <w:szCs w:val="22"/>
          <w:lang w:val="en-GB"/>
        </w:rPr>
      </w:pPr>
    </w:p>
    <w:p w14:paraId="0EA2CD26" w14:textId="7F2A6CC2" w:rsidR="006D17E7" w:rsidRPr="00DB74BF" w:rsidRDefault="00612AD6" w:rsidP="005E0849">
      <w:pPr>
        <w:pStyle w:val="InterregROHUBullet1"/>
        <w:ind w:left="709"/>
        <w:rPr>
          <w:lang w:val="it-IT"/>
        </w:rPr>
      </w:pPr>
      <w:r w:rsidRPr="00DB74BF">
        <w:rPr>
          <w:lang w:val="it-IT"/>
        </w:rPr>
        <w:t xml:space="preserve">Debrecen </w:t>
      </w:r>
      <w:r w:rsidR="75374136" w:rsidRPr="00DB74BF">
        <w:rPr>
          <w:lang w:val="it-IT"/>
        </w:rPr>
        <w:t xml:space="preserve">- </w:t>
      </w:r>
      <w:r w:rsidRPr="00DB74BF">
        <w:rPr>
          <w:lang w:val="it-IT"/>
        </w:rPr>
        <w:t>Oradea - Nyíregyháza - Satu Mare;</w:t>
      </w:r>
    </w:p>
    <w:p w14:paraId="53738E42" w14:textId="191E5535" w:rsidR="00612AD6" w:rsidRPr="00037C61" w:rsidRDefault="00612AD6" w:rsidP="00204288">
      <w:pPr>
        <w:pStyle w:val="InterregROHUBullet1"/>
        <w:spacing w:after="0"/>
        <w:ind w:left="709" w:hanging="425"/>
      </w:pPr>
      <w:r w:rsidRPr="00037C61">
        <w:t>Szeged - Békéscsaba - Timișoara - Arad. </w:t>
      </w:r>
    </w:p>
    <w:p w14:paraId="0FA2F1A5" w14:textId="77777777" w:rsidR="003E76FB" w:rsidRPr="00037C61" w:rsidRDefault="003E76FB" w:rsidP="00691B01">
      <w:pPr>
        <w:pStyle w:val="InterregROHUBullet1"/>
        <w:numPr>
          <w:ilvl w:val="0"/>
          <w:numId w:val="0"/>
        </w:numPr>
        <w:spacing w:after="0"/>
        <w:ind w:left="284"/>
      </w:pPr>
    </w:p>
    <w:p w14:paraId="41541C88" w14:textId="79230545" w:rsidR="006279BE" w:rsidRPr="00037C61" w:rsidRDefault="006279BE" w:rsidP="74CEAA85">
      <w:pPr>
        <w:pStyle w:val="InterregROHUBullet1"/>
        <w:numPr>
          <w:ilvl w:val="0"/>
          <w:numId w:val="0"/>
        </w:numPr>
        <w:spacing w:after="0"/>
      </w:pPr>
      <w:r w:rsidRPr="00037C61">
        <w:t xml:space="preserve">However, </w:t>
      </w:r>
      <w:r w:rsidRPr="00037C61">
        <w:rPr>
          <w:b/>
        </w:rPr>
        <w:t>sector cooperation can be valorised in order to consolidate cross-border functional areas in priority sectors</w:t>
      </w:r>
      <w:r w:rsidRPr="00037C61">
        <w:t xml:space="preserve">, with the support of cities as drivers for innovation, </w:t>
      </w:r>
      <w:r w:rsidR="003E76FB" w:rsidRPr="00037C61">
        <w:t xml:space="preserve">funding leverage </w:t>
      </w:r>
      <w:r w:rsidR="00A27585" w:rsidRPr="00037C61">
        <w:t>(i.e. from other ERDF allocated to integrated urban development</w:t>
      </w:r>
      <w:r w:rsidR="00450489" w:rsidRPr="00037C61">
        <w:t xml:space="preserve"> at the level of larger urban areas) </w:t>
      </w:r>
      <w:r w:rsidRPr="00037C61">
        <w:t>and improved public services</w:t>
      </w:r>
      <w:r w:rsidR="00450489" w:rsidRPr="00037C61">
        <w:t>, in close connection with policy and services delivery from higher governance level (NUTS 3 and national levels)</w:t>
      </w:r>
      <w:r w:rsidRPr="00037C61">
        <w:t xml:space="preserve">. </w:t>
      </w:r>
    </w:p>
    <w:p w14:paraId="43E2767B" w14:textId="77777777" w:rsidR="00C36342" w:rsidRPr="00037C61" w:rsidRDefault="00C36342" w:rsidP="00691B01">
      <w:pPr>
        <w:pStyle w:val="InterregROHUBullet1"/>
        <w:numPr>
          <w:ilvl w:val="0"/>
          <w:numId w:val="0"/>
        </w:numPr>
        <w:spacing w:after="0"/>
        <w:ind w:left="284"/>
      </w:pPr>
    </w:p>
    <w:p w14:paraId="1E2A0A79" w14:textId="189572A1" w:rsidR="002963AE" w:rsidRPr="00037C61" w:rsidRDefault="002963AE" w:rsidP="002963AE">
      <w:pPr>
        <w:pStyle w:val="NormalWeb"/>
        <w:keepNext/>
        <w:spacing w:before="0" w:beforeAutospacing="0" w:after="0" w:afterAutospacing="0"/>
        <w:rPr>
          <w:lang w:val="en-GB"/>
        </w:rPr>
      </w:pPr>
      <w:r w:rsidRPr="00037C61">
        <w:rPr>
          <w:noProof/>
          <w:lang w:val="ro-RO" w:eastAsia="ro-RO"/>
        </w:rPr>
        <w:lastRenderedPageBreak/>
        <mc:AlternateContent>
          <mc:Choice Requires="wps">
            <w:drawing>
              <wp:anchor distT="0" distB="0" distL="114300" distR="114300" simplePos="0" relativeHeight="251671040" behindDoc="0" locked="0" layoutInCell="1" allowOverlap="1" wp14:anchorId="336C97AB" wp14:editId="273D1332">
                <wp:simplePos x="0" y="0"/>
                <wp:positionH relativeFrom="column">
                  <wp:posOffset>3267075</wp:posOffset>
                </wp:positionH>
                <wp:positionV relativeFrom="paragraph">
                  <wp:posOffset>-4445</wp:posOffset>
                </wp:positionV>
                <wp:extent cx="2321170" cy="738554"/>
                <wp:effectExtent l="0" t="0" r="22225" b="23495"/>
                <wp:wrapNone/>
                <wp:docPr id="626218711" name="Rectangle 30"/>
                <wp:cNvGraphicFramePr/>
                <a:graphic xmlns:a="http://schemas.openxmlformats.org/drawingml/2006/main">
                  <a:graphicData uri="http://schemas.microsoft.com/office/word/2010/wordprocessingShape">
                    <wps:wsp>
                      <wps:cNvSpPr/>
                      <wps:spPr>
                        <a:xfrm>
                          <a:off x="0" y="0"/>
                          <a:ext cx="2321170" cy="7385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FB1A4" w14:textId="09A4EC43" w:rsidR="00944B4A" w:rsidRPr="002963AE" w:rsidRDefault="00944B4A" w:rsidP="002963AE">
                            <w:pPr>
                              <w:spacing w:after="0" w:line="240" w:lineRule="auto"/>
                              <w:jc w:val="center"/>
                              <w:rPr>
                                <w:b/>
                                <w:bCs/>
                                <w:color w:val="0D0D0D" w:themeColor="text1" w:themeTint="F2"/>
                                <w:sz w:val="28"/>
                                <w:szCs w:val="28"/>
                                <w:lang w:val="ro-RO"/>
                              </w:rPr>
                            </w:pPr>
                            <w:r w:rsidRPr="002963AE">
                              <w:rPr>
                                <w:b/>
                                <w:bCs/>
                                <w:color w:val="0D0D0D" w:themeColor="text1" w:themeTint="F2"/>
                                <w:sz w:val="28"/>
                                <w:szCs w:val="28"/>
                                <w:lang w:val="ro-RO"/>
                              </w:rPr>
                              <w:t xml:space="preserve">Cross-border polycentricity </w:t>
                            </w:r>
                          </w:p>
                          <w:p w14:paraId="17087C24" w14:textId="0DE202FD" w:rsidR="00944B4A" w:rsidRPr="002963AE" w:rsidRDefault="00944B4A" w:rsidP="002963AE">
                            <w:pPr>
                              <w:spacing w:after="0" w:line="240" w:lineRule="auto"/>
                              <w:jc w:val="center"/>
                              <w:rPr>
                                <w:b/>
                                <w:bCs/>
                                <w:color w:val="0D0D0D" w:themeColor="text1" w:themeTint="F2"/>
                                <w:sz w:val="28"/>
                                <w:szCs w:val="28"/>
                                <w:lang w:val="ro-RO"/>
                              </w:rPr>
                            </w:pPr>
                            <w:r w:rsidRPr="002963AE">
                              <w:rPr>
                                <w:b/>
                                <w:bCs/>
                                <w:color w:val="0D0D0D" w:themeColor="text1" w:themeTint="F2"/>
                                <w:sz w:val="28"/>
                                <w:szCs w:val="28"/>
                                <w:lang w:val="ro-RO"/>
                              </w:rPr>
                              <w:t>and territorial integration potential for FUAs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6C97AB" id="Rectangle 30" o:spid="_x0000_s1057" style="position:absolute;left:0;text-align:left;margin-left:257.25pt;margin-top:-.35pt;width:182.75pt;height:58.1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" fillcolor="white [3212]" strokecolor="white [3212]" strokeweight="1pt">
                <v:textbox>
                  <w:txbxContent>
                    <w:p w14:paraId="12DFB1A4" w14:textId="09A4EC43" w:rsidR="00944B4A" w:rsidRPr="002963AE" w:rsidRDefault="00944B4A" w:rsidP="002963AE">
                      <w:pPr>
                        <w:spacing w:after="0" w:line="240" w:lineRule="auto"/>
                        <w:jc w:val="center"/>
                        <w:rPr>
                          <w:b/>
                          <w:bCs/>
                          <w:color w:val="0D0D0D" w:themeColor="text1" w:themeTint="F2"/>
                          <w:sz w:val="28"/>
                          <w:szCs w:val="28"/>
                          <w:lang w:val="ro-RO"/>
                        </w:rPr>
                      </w:pPr>
                      <w:r w:rsidRPr="002963AE">
                        <w:rPr>
                          <w:b/>
                          <w:bCs/>
                          <w:color w:val="0D0D0D" w:themeColor="text1" w:themeTint="F2"/>
                          <w:sz w:val="28"/>
                          <w:szCs w:val="28"/>
                          <w:lang w:val="ro-RO"/>
                        </w:rPr>
                        <w:t>Cross-</w:t>
                      </w:r>
                      <w:proofErr w:type="spellStart"/>
                      <w:r w:rsidRPr="002963AE">
                        <w:rPr>
                          <w:b/>
                          <w:bCs/>
                          <w:color w:val="0D0D0D" w:themeColor="text1" w:themeTint="F2"/>
                          <w:sz w:val="28"/>
                          <w:szCs w:val="28"/>
                          <w:lang w:val="ro-RO"/>
                        </w:rPr>
                        <w:t>border</w:t>
                      </w:r>
                      <w:proofErr w:type="spellEnd"/>
                      <w:r w:rsidRPr="002963AE">
                        <w:rPr>
                          <w:b/>
                          <w:bCs/>
                          <w:color w:val="0D0D0D" w:themeColor="text1" w:themeTint="F2"/>
                          <w:sz w:val="28"/>
                          <w:szCs w:val="28"/>
                          <w:lang w:val="ro-RO"/>
                        </w:rPr>
                        <w:t xml:space="preserve"> </w:t>
                      </w:r>
                      <w:proofErr w:type="spellStart"/>
                      <w:r w:rsidRPr="002963AE">
                        <w:rPr>
                          <w:b/>
                          <w:bCs/>
                          <w:color w:val="0D0D0D" w:themeColor="text1" w:themeTint="F2"/>
                          <w:sz w:val="28"/>
                          <w:szCs w:val="28"/>
                          <w:lang w:val="ro-RO"/>
                        </w:rPr>
                        <w:t>polycentricity</w:t>
                      </w:r>
                      <w:proofErr w:type="spellEnd"/>
                      <w:r w:rsidRPr="002963AE">
                        <w:rPr>
                          <w:b/>
                          <w:bCs/>
                          <w:color w:val="0D0D0D" w:themeColor="text1" w:themeTint="F2"/>
                          <w:sz w:val="28"/>
                          <w:szCs w:val="28"/>
                          <w:lang w:val="ro-RO"/>
                        </w:rPr>
                        <w:t xml:space="preserve"> </w:t>
                      </w:r>
                    </w:p>
                    <w:p w14:paraId="17087C24" w14:textId="0DE202FD" w:rsidR="00944B4A" w:rsidRPr="002963AE" w:rsidRDefault="00944B4A" w:rsidP="002963AE">
                      <w:pPr>
                        <w:spacing w:after="0" w:line="240" w:lineRule="auto"/>
                        <w:jc w:val="center"/>
                        <w:rPr>
                          <w:b/>
                          <w:bCs/>
                          <w:color w:val="0D0D0D" w:themeColor="text1" w:themeTint="F2"/>
                          <w:sz w:val="28"/>
                          <w:szCs w:val="28"/>
                          <w:lang w:val="ro-RO"/>
                        </w:rPr>
                      </w:pPr>
                      <w:proofErr w:type="spellStart"/>
                      <w:r w:rsidRPr="002963AE">
                        <w:rPr>
                          <w:b/>
                          <w:bCs/>
                          <w:color w:val="0D0D0D" w:themeColor="text1" w:themeTint="F2"/>
                          <w:sz w:val="28"/>
                          <w:szCs w:val="28"/>
                          <w:lang w:val="ro-RO"/>
                        </w:rPr>
                        <w:t>and</w:t>
                      </w:r>
                      <w:proofErr w:type="spellEnd"/>
                      <w:r w:rsidRPr="002963AE">
                        <w:rPr>
                          <w:b/>
                          <w:bCs/>
                          <w:color w:val="0D0D0D" w:themeColor="text1" w:themeTint="F2"/>
                          <w:sz w:val="28"/>
                          <w:szCs w:val="28"/>
                          <w:lang w:val="ro-RO"/>
                        </w:rPr>
                        <w:t xml:space="preserve"> </w:t>
                      </w:r>
                      <w:proofErr w:type="spellStart"/>
                      <w:r w:rsidRPr="002963AE">
                        <w:rPr>
                          <w:b/>
                          <w:bCs/>
                          <w:color w:val="0D0D0D" w:themeColor="text1" w:themeTint="F2"/>
                          <w:sz w:val="28"/>
                          <w:szCs w:val="28"/>
                          <w:lang w:val="ro-RO"/>
                        </w:rPr>
                        <w:t>territorial</w:t>
                      </w:r>
                      <w:proofErr w:type="spellEnd"/>
                      <w:r w:rsidRPr="002963AE">
                        <w:rPr>
                          <w:b/>
                          <w:bCs/>
                          <w:color w:val="0D0D0D" w:themeColor="text1" w:themeTint="F2"/>
                          <w:sz w:val="28"/>
                          <w:szCs w:val="28"/>
                          <w:lang w:val="ro-RO"/>
                        </w:rPr>
                        <w:t xml:space="preserve"> </w:t>
                      </w:r>
                      <w:proofErr w:type="spellStart"/>
                      <w:r w:rsidRPr="002963AE">
                        <w:rPr>
                          <w:b/>
                          <w:bCs/>
                          <w:color w:val="0D0D0D" w:themeColor="text1" w:themeTint="F2"/>
                          <w:sz w:val="28"/>
                          <w:szCs w:val="28"/>
                          <w:lang w:val="ro-RO"/>
                        </w:rPr>
                        <w:t>integration</w:t>
                      </w:r>
                      <w:proofErr w:type="spellEnd"/>
                      <w:r w:rsidRPr="002963AE">
                        <w:rPr>
                          <w:b/>
                          <w:bCs/>
                          <w:color w:val="0D0D0D" w:themeColor="text1" w:themeTint="F2"/>
                          <w:sz w:val="28"/>
                          <w:szCs w:val="28"/>
                          <w:lang w:val="ro-RO"/>
                        </w:rPr>
                        <w:t xml:space="preserve"> </w:t>
                      </w:r>
                      <w:proofErr w:type="spellStart"/>
                      <w:r w:rsidRPr="002963AE">
                        <w:rPr>
                          <w:b/>
                          <w:bCs/>
                          <w:color w:val="0D0D0D" w:themeColor="text1" w:themeTint="F2"/>
                          <w:sz w:val="28"/>
                          <w:szCs w:val="28"/>
                          <w:lang w:val="ro-RO"/>
                        </w:rPr>
                        <w:t>potential</w:t>
                      </w:r>
                      <w:proofErr w:type="spellEnd"/>
                      <w:r w:rsidRPr="002963AE">
                        <w:rPr>
                          <w:b/>
                          <w:bCs/>
                          <w:color w:val="0D0D0D" w:themeColor="text1" w:themeTint="F2"/>
                          <w:sz w:val="28"/>
                          <w:szCs w:val="28"/>
                          <w:lang w:val="ro-RO"/>
                        </w:rPr>
                        <w:t xml:space="preserve"> for </w:t>
                      </w:r>
                      <w:proofErr w:type="spellStart"/>
                      <w:r w:rsidRPr="002963AE">
                        <w:rPr>
                          <w:b/>
                          <w:bCs/>
                          <w:color w:val="0D0D0D" w:themeColor="text1" w:themeTint="F2"/>
                          <w:sz w:val="28"/>
                          <w:szCs w:val="28"/>
                          <w:lang w:val="ro-RO"/>
                        </w:rPr>
                        <w:t>FUAs</w:t>
                      </w:r>
                      <w:proofErr w:type="spellEnd"/>
                    </w:p>
                  </w:txbxContent>
                </v:textbox>
              </v:rect>
            </w:pict>
          </mc:Fallback>
        </mc:AlternateContent>
      </w:r>
      <w:r w:rsidR="00612AD6" w:rsidRPr="00037C61">
        <w:rPr>
          <w:rFonts w:ascii="Calibri" w:hAnsi="Calibri"/>
          <w:noProof/>
          <w:color w:val="000000"/>
          <w:sz w:val="22"/>
          <w:bdr w:val="none" w:sz="0" w:space="0" w:color="auto" w:frame="1"/>
          <w:lang w:val="ro-RO" w:eastAsia="ro-RO"/>
        </w:rPr>
        <w:drawing>
          <wp:inline distT="0" distB="0" distL="0" distR="0" wp14:anchorId="6879F55B" wp14:editId="0996B2B4">
            <wp:extent cx="5730240" cy="430530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cstate="print">
                      <a:extLst>
                        <a:ext uri="{28A0092B-C50C-407E-A947-70E740481C1C}">
                          <a14:useLocalDpi xmlns:a14="http://schemas.microsoft.com/office/drawing/2010/main"/>
                        </a:ext>
                      </a:extLst>
                    </a:blip>
                    <a:srcRect/>
                    <a:stretch>
                      <a:fillRect/>
                    </a:stretch>
                  </pic:blipFill>
                  <pic:spPr bwMode="auto">
                    <a:xfrm>
                      <a:off x="0" y="0"/>
                      <a:ext cx="5730240" cy="4305300"/>
                    </a:xfrm>
                    <a:prstGeom prst="rect">
                      <a:avLst/>
                    </a:prstGeom>
                    <a:noFill/>
                    <a:ln>
                      <a:noFill/>
                    </a:ln>
                  </pic:spPr>
                </pic:pic>
              </a:graphicData>
            </a:graphic>
          </wp:inline>
        </w:drawing>
      </w:r>
    </w:p>
    <w:p w14:paraId="3A3B2D80" w14:textId="2DF50A0D" w:rsidR="002963AE" w:rsidRPr="00037C61" w:rsidRDefault="002963AE" w:rsidP="002963AE">
      <w:pPr>
        <w:pStyle w:val="Caption"/>
        <w:jc w:val="both"/>
        <w:rPr>
          <w:lang w:val="en-GB"/>
        </w:rPr>
      </w:pPr>
      <w:bookmarkStart w:id="896" w:name="_Toc64611103"/>
      <w:r w:rsidRPr="00037C61">
        <w:rPr>
          <w:lang w:val="en-GB"/>
        </w:rPr>
        <w:t xml:space="preserve">Figure </w:t>
      </w:r>
      <w:r w:rsidR="00412697">
        <w:rPr>
          <w:lang w:val="en-GB"/>
        </w:rPr>
        <w:fldChar w:fldCharType="begin"/>
      </w:r>
      <w:r w:rsidR="00412697">
        <w:rPr>
          <w:lang w:val="en-GB"/>
        </w:rPr>
        <w:instrText xml:space="preserve"> SEQ Figure \* ARABIC </w:instrText>
      </w:r>
      <w:r w:rsidR="00412697">
        <w:rPr>
          <w:lang w:val="en-GB"/>
        </w:rPr>
        <w:fldChar w:fldCharType="separate"/>
      </w:r>
      <w:r w:rsidR="00412697">
        <w:rPr>
          <w:noProof/>
          <w:lang w:val="en-GB"/>
        </w:rPr>
        <w:t>155</w:t>
      </w:r>
      <w:r w:rsidR="00412697">
        <w:rPr>
          <w:lang w:val="en-GB"/>
        </w:rPr>
        <w:fldChar w:fldCharType="end"/>
      </w:r>
      <w:r w:rsidRPr="00037C61">
        <w:rPr>
          <w:lang w:val="en-GB"/>
        </w:rPr>
        <w:t xml:space="preserve"> - Cross-border polycentricity and territorial integration potential of FUAs</w:t>
      </w:r>
      <w:bookmarkEnd w:id="896"/>
    </w:p>
    <w:p w14:paraId="7DC02D81" w14:textId="77777777" w:rsidR="00527ECB" w:rsidRPr="00037C61" w:rsidRDefault="00527ECB" w:rsidP="00457478">
      <w:pPr>
        <w:pStyle w:val="InterregROHUBullet1"/>
        <w:numPr>
          <w:ilvl w:val="0"/>
          <w:numId w:val="0"/>
        </w:numPr>
        <w:spacing w:after="0"/>
      </w:pPr>
    </w:p>
    <w:p w14:paraId="7E3E5C03" w14:textId="778D2B39" w:rsidR="00C36342" w:rsidRPr="00037C61" w:rsidRDefault="00C36342" w:rsidP="00457478">
      <w:pPr>
        <w:pStyle w:val="InterregROHUBullet1"/>
        <w:numPr>
          <w:ilvl w:val="0"/>
          <w:numId w:val="0"/>
        </w:numPr>
        <w:spacing w:after="0"/>
      </w:pPr>
      <w:r w:rsidRPr="00037C61">
        <w:t xml:space="preserve">Increased cooperation in sector functional areas (i.e. research, health, education, management of natural resources) could further evolve into integrated interventions on a wider range of sectors in micro-regions that could eventually be identified in a later stage, following the definition of agreed mechanisms to tackle eventual barriers to cross-border cooperation and governance, with the involvement of different policy levels (cities – counties – national authorities) and local stakeholders (representatives of firms, civil society organisations, universities and others).  </w:t>
      </w:r>
    </w:p>
    <w:p w14:paraId="394B9295" w14:textId="77777777" w:rsidR="00C36342" w:rsidRPr="00037C61" w:rsidRDefault="00C36342" w:rsidP="00457478">
      <w:pPr>
        <w:rPr>
          <w:lang w:val="en-GB"/>
        </w:rPr>
      </w:pPr>
    </w:p>
    <w:p w14:paraId="13256A72" w14:textId="6AA5C84B" w:rsidR="00612AD6" w:rsidRPr="00037C61" w:rsidRDefault="52230E0C" w:rsidP="52230E0C">
      <w:pPr>
        <w:pStyle w:val="NormalWeb"/>
        <w:spacing w:before="0" w:beforeAutospacing="0" w:after="160" w:afterAutospacing="0"/>
        <w:rPr>
          <w:rFonts w:ascii="Calibri" w:hAnsi="Calibri"/>
          <w:sz w:val="22"/>
          <w:szCs w:val="22"/>
          <w:lang w:val="en-GB"/>
        </w:rPr>
      </w:pPr>
      <w:r w:rsidRPr="00037C61">
        <w:rPr>
          <w:rFonts w:ascii="Calibri" w:hAnsi="Calibri"/>
          <w:color w:val="000000" w:themeColor="text1"/>
          <w:sz w:val="22"/>
          <w:szCs w:val="22"/>
          <w:lang w:val="en-GB"/>
        </w:rPr>
        <w:t xml:space="preserve">What emerges from the spatial distribution of the main urban centres’ FUAs in the PA is corroborating the conclusions of the governance and settlement network thematic analyses in Chapter 1. There is a high potential for polycentric development of the cross-border cooperation PA between Romania and Hungary. </w:t>
      </w:r>
    </w:p>
    <w:p w14:paraId="24ACC3EB" w14:textId="1F12B5A3" w:rsidR="00612AD6" w:rsidRPr="00037C61" w:rsidRDefault="00612AD6" w:rsidP="00204288">
      <w:pPr>
        <w:pStyle w:val="NormalWeb"/>
        <w:spacing w:before="0" w:beforeAutospacing="0" w:after="240" w:afterAutospacing="0"/>
        <w:rPr>
          <w:rFonts w:ascii="Calibri" w:hAnsi="Calibri"/>
          <w:color w:val="000000"/>
          <w:sz w:val="22"/>
          <w:lang w:val="en-GB"/>
        </w:rPr>
      </w:pPr>
      <w:r w:rsidRPr="00037C61">
        <w:rPr>
          <w:rFonts w:ascii="Calibri" w:hAnsi="Calibri"/>
          <w:color w:val="000000"/>
          <w:sz w:val="22"/>
          <w:lang w:val="en-GB"/>
        </w:rPr>
        <w:t>Despite the limited structural cooperation amongst cities across the border, there are relevant signs of cooperation amongst stakeholders from the public realm, in terms of health system and education, as well as from the private sector, as related to companies and chambers of commerce. </w:t>
      </w:r>
    </w:p>
    <w:p w14:paraId="277FC9AF" w14:textId="26E35FBC" w:rsidR="00612AD6" w:rsidRPr="00037C61" w:rsidRDefault="00612AD6" w:rsidP="005E0849">
      <w:pPr>
        <w:pStyle w:val="NormalWeb"/>
        <w:spacing w:before="0" w:beforeAutospacing="0" w:after="240" w:afterAutospacing="0"/>
        <w:rPr>
          <w:rFonts w:ascii="Calibri" w:hAnsi="Calibri"/>
          <w:color w:val="000000"/>
          <w:sz w:val="22"/>
          <w:lang w:val="en-GB"/>
        </w:rPr>
      </w:pPr>
      <w:r w:rsidRPr="00037C61">
        <w:rPr>
          <w:rFonts w:ascii="Calibri" w:hAnsi="Calibri"/>
          <w:color w:val="000000"/>
          <w:sz w:val="22"/>
          <w:lang w:val="en-GB"/>
        </w:rPr>
        <w:t>The Romanian-Hungarian border region has a great potential in terms of cross-border public services</w:t>
      </w:r>
      <w:r w:rsidR="00936599" w:rsidRPr="00037C61">
        <w:rPr>
          <w:rFonts w:ascii="Calibri" w:hAnsi="Calibri"/>
          <w:color w:val="000000"/>
          <w:sz w:val="22"/>
          <w:lang w:val="en-GB"/>
        </w:rPr>
        <w:t xml:space="preserve"> (CPS)</w:t>
      </w:r>
      <w:r w:rsidRPr="00037C61">
        <w:rPr>
          <w:rFonts w:ascii="Calibri" w:hAnsi="Calibri"/>
          <w:color w:val="000000"/>
          <w:sz w:val="22"/>
          <w:lang w:val="en-GB"/>
        </w:rPr>
        <w:t>. However, while the Austrian-Hungarian border counts 11 CPS and the Slovakian-Hungarian border 7, at the Romanian-Hungarian border there are only 4 CPS in operation. CPS in the region are limited to healthcare and education. </w:t>
      </w:r>
    </w:p>
    <w:p w14:paraId="6FA89E85" w14:textId="7BE98498" w:rsidR="00612AD6" w:rsidRPr="00037C61" w:rsidRDefault="6446A0E8" w:rsidP="48589249">
      <w:pPr>
        <w:pStyle w:val="NormalWeb"/>
        <w:spacing w:before="0" w:beforeAutospacing="0" w:after="240" w:afterAutospacing="0"/>
        <w:rPr>
          <w:lang w:val="en-GB"/>
        </w:rPr>
      </w:pPr>
      <w:r w:rsidRPr="00037C61">
        <w:rPr>
          <w:rFonts w:ascii="Calibri" w:hAnsi="Calibri"/>
          <w:color w:val="000000" w:themeColor="text1"/>
          <w:sz w:val="22"/>
          <w:szCs w:val="22"/>
          <w:lang w:val="en-GB"/>
        </w:rPr>
        <w:t xml:space="preserve">Interesting elements are also evident in terms of cooperation for economic development. In 2019, chambers of commerce of the counties of Szabolcs-Szatmár-Bereg, Hajdú-Bihar, Békés, Csongrád-Csanád and </w:t>
      </w:r>
      <w:r w:rsidR="00C36342" w:rsidRPr="00037C61">
        <w:rPr>
          <w:rFonts w:ascii="Calibri" w:hAnsi="Calibri"/>
          <w:color w:val="000000" w:themeColor="text1"/>
          <w:sz w:val="22"/>
          <w:szCs w:val="22"/>
          <w:lang w:val="en-GB"/>
        </w:rPr>
        <w:t>Satu Mare, Bihor, Timiș and</w:t>
      </w:r>
      <w:r w:rsidRPr="00037C61">
        <w:rPr>
          <w:rFonts w:ascii="Calibri" w:hAnsi="Calibri"/>
          <w:color w:val="000000" w:themeColor="text1"/>
          <w:sz w:val="22"/>
          <w:szCs w:val="22"/>
          <w:lang w:val="en-GB"/>
        </w:rPr>
        <w:t xml:space="preserve"> Arad signed an agreement to launch interdisciplinary </w:t>
      </w:r>
      <w:r w:rsidRPr="00037C61">
        <w:rPr>
          <w:rFonts w:ascii="Calibri" w:hAnsi="Calibri"/>
          <w:color w:val="000000" w:themeColor="text1"/>
          <w:sz w:val="22"/>
          <w:szCs w:val="22"/>
          <w:lang w:val="en-GB"/>
        </w:rPr>
        <w:lastRenderedPageBreak/>
        <w:t>cooperation to develop cross-border economic relations. This includes supplier activity, participation in exhibitions, training, vocational training, transfer of good practices, establishment of joint ventures, and organization of joint forums. Plans to strengthen the region also include the construction of the Debrecen–Oradea–Békéscsaba–Arad–Timișoara trainline and the M35 motorway.</w:t>
      </w:r>
      <w:r w:rsidR="00E5349F" w:rsidRPr="00037C61">
        <w:rPr>
          <w:rFonts w:ascii="Calibri" w:hAnsi="Calibri"/>
          <w:color w:val="000000" w:themeColor="text1"/>
          <w:sz w:val="22"/>
          <w:szCs w:val="22"/>
          <w:lang w:val="en-GB"/>
        </w:rPr>
        <w:t xml:space="preserve"> </w:t>
      </w:r>
    </w:p>
    <w:p w14:paraId="32D64AEE" w14:textId="0FA62ED5" w:rsidR="00612AD6" w:rsidRPr="00037C61" w:rsidRDefault="00E5349F" w:rsidP="005E0849">
      <w:pPr>
        <w:pStyle w:val="Heading4"/>
        <w:rPr>
          <w:lang w:val="en-GB"/>
        </w:rPr>
      </w:pPr>
      <w:bookmarkStart w:id="897" w:name="_Toc53137232"/>
      <w:r w:rsidRPr="00037C61">
        <w:rPr>
          <w:lang w:val="en-GB"/>
        </w:rPr>
        <w:t xml:space="preserve">Functional Cross-border Area </w:t>
      </w:r>
      <w:bookmarkStart w:id="898" w:name="_Toc50723359"/>
      <w:r w:rsidR="6446A0E8" w:rsidRPr="00037C61">
        <w:rPr>
          <w:lang w:val="en-GB"/>
        </w:rPr>
        <w:t>Debrecen - Oradea - Nyíregyháza - Satu Mare</w:t>
      </w:r>
      <w:bookmarkEnd w:id="897"/>
      <w:bookmarkEnd w:id="898"/>
    </w:p>
    <w:p w14:paraId="6205549D" w14:textId="029F0440" w:rsidR="00612AD6" w:rsidRPr="00037C61" w:rsidRDefault="00694DB0" w:rsidP="00612AD6">
      <w:pPr>
        <w:pStyle w:val="NormalWeb"/>
        <w:spacing w:before="0" w:beforeAutospacing="0" w:after="0" w:afterAutospacing="0"/>
        <w:rPr>
          <w:rFonts w:ascii="Calibri" w:hAnsi="Calibri"/>
          <w:color w:val="000000"/>
          <w:sz w:val="22"/>
          <w:lang w:val="en-GB"/>
        </w:rPr>
      </w:pPr>
      <w:r w:rsidRPr="00037C61">
        <w:rPr>
          <w:rFonts w:ascii="Calibri" w:hAnsi="Calibri"/>
          <w:noProof/>
          <w:sz w:val="22"/>
          <w:bdr w:val="none" w:sz="0" w:space="0" w:color="auto" w:frame="1"/>
          <w:lang w:val="ro-RO" w:eastAsia="ro-RO"/>
        </w:rPr>
        <w:drawing>
          <wp:anchor distT="0" distB="0" distL="114300" distR="114300" simplePos="0" relativeHeight="251628032" behindDoc="0" locked="0" layoutInCell="1" allowOverlap="1" wp14:anchorId="40907E71" wp14:editId="041AF8FC">
            <wp:simplePos x="0" y="0"/>
            <wp:positionH relativeFrom="column">
              <wp:posOffset>99060</wp:posOffset>
            </wp:positionH>
            <wp:positionV relativeFrom="paragraph">
              <wp:posOffset>10160</wp:posOffset>
            </wp:positionV>
            <wp:extent cx="3063240" cy="3017520"/>
            <wp:effectExtent l="0" t="0" r="381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3063240" cy="3017520"/>
                    </a:xfrm>
                    <a:prstGeom prst="rect">
                      <a:avLst/>
                    </a:prstGeom>
                    <a:noFill/>
                    <a:ln>
                      <a:noFill/>
                    </a:ln>
                  </pic:spPr>
                </pic:pic>
              </a:graphicData>
            </a:graphic>
          </wp:anchor>
        </w:drawing>
      </w:r>
      <w:r w:rsidR="00612AD6" w:rsidRPr="00037C61">
        <w:rPr>
          <w:rFonts w:ascii="Calibri" w:hAnsi="Calibri"/>
          <w:color w:val="000000"/>
          <w:sz w:val="22"/>
          <w:szCs w:val="22"/>
          <w:lang w:val="en-GB"/>
        </w:rPr>
        <w:t xml:space="preserve">The first </w:t>
      </w:r>
      <w:r w:rsidR="52230E0C" w:rsidRPr="00037C61">
        <w:rPr>
          <w:rFonts w:ascii="Calibri" w:hAnsi="Calibri"/>
          <w:color w:val="000000" w:themeColor="text1"/>
          <w:sz w:val="22"/>
          <w:szCs w:val="22"/>
          <w:lang w:val="en-GB"/>
        </w:rPr>
        <w:t>Polycentric Area</w:t>
      </w:r>
      <w:r w:rsidR="00612AD6" w:rsidRPr="00037C61">
        <w:rPr>
          <w:rFonts w:ascii="Calibri" w:hAnsi="Calibri"/>
          <w:color w:val="000000"/>
          <w:sz w:val="22"/>
          <w:szCs w:val="22"/>
          <w:lang w:val="en-GB"/>
        </w:rPr>
        <w:t xml:space="preserve"> across the Hungary - Romania border </w:t>
      </w:r>
      <w:r w:rsidR="52230E0C" w:rsidRPr="00037C61">
        <w:rPr>
          <w:rFonts w:ascii="Calibri" w:hAnsi="Calibri"/>
          <w:color w:val="000000" w:themeColor="text1"/>
          <w:sz w:val="22"/>
          <w:szCs w:val="22"/>
          <w:lang w:val="en-GB"/>
        </w:rPr>
        <w:t xml:space="preserve">whose functionality is supported by the thematic analysis </w:t>
      </w:r>
      <w:r w:rsidR="00612AD6" w:rsidRPr="00037C61">
        <w:rPr>
          <w:rFonts w:ascii="Calibri" w:hAnsi="Calibri"/>
          <w:color w:val="000000"/>
          <w:sz w:val="22"/>
          <w:szCs w:val="22"/>
          <w:lang w:val="en-GB"/>
        </w:rPr>
        <w:t>is Debrecen - Oradea - Nyíregyháza - Satu Mare</w:t>
      </w:r>
      <w:r w:rsidR="52230E0C" w:rsidRPr="00037C61">
        <w:rPr>
          <w:rFonts w:ascii="Calibri" w:hAnsi="Calibri"/>
          <w:color w:val="000000" w:themeColor="text1"/>
          <w:sz w:val="22"/>
          <w:szCs w:val="22"/>
          <w:lang w:val="en-GB"/>
        </w:rPr>
        <w:t>. Its conceptual existence is supported also by the presence</w:t>
      </w:r>
      <w:r w:rsidR="00612AD6" w:rsidRPr="00037C61">
        <w:rPr>
          <w:rFonts w:ascii="Calibri" w:hAnsi="Calibri"/>
          <w:color w:val="000000"/>
          <w:sz w:val="22"/>
          <w:szCs w:val="22"/>
          <w:lang w:val="en-GB"/>
        </w:rPr>
        <w:t xml:space="preserve"> of Hajdú-Bihar - Bihor Euroregion and the </w:t>
      </w:r>
      <w:r w:rsidR="52230E0C" w:rsidRPr="00037C61">
        <w:rPr>
          <w:rFonts w:ascii="Calibri" w:hAnsi="Calibri"/>
          <w:color w:val="000000" w:themeColor="text1"/>
          <w:sz w:val="22"/>
          <w:szCs w:val="22"/>
          <w:lang w:val="en-GB"/>
        </w:rPr>
        <w:t>Carpathian Euroregion.</w:t>
      </w:r>
      <w:r w:rsidR="00612AD6" w:rsidRPr="00037C61">
        <w:rPr>
          <w:rFonts w:ascii="Calibri" w:hAnsi="Calibri"/>
          <w:color w:val="000000"/>
          <w:sz w:val="22"/>
          <w:szCs w:val="22"/>
          <w:lang w:val="en-GB"/>
        </w:rPr>
        <w:t xml:space="preserve"> Debrecen </w:t>
      </w:r>
      <w:r w:rsidR="52230E0C" w:rsidRPr="00037C61">
        <w:rPr>
          <w:rFonts w:ascii="Calibri" w:hAnsi="Calibri"/>
          <w:color w:val="000000" w:themeColor="text1"/>
          <w:sz w:val="22"/>
          <w:szCs w:val="22"/>
          <w:lang w:val="en-GB"/>
        </w:rPr>
        <w:t>and</w:t>
      </w:r>
      <w:r w:rsidR="00612AD6" w:rsidRPr="00037C61">
        <w:rPr>
          <w:rFonts w:ascii="Calibri" w:hAnsi="Calibri"/>
          <w:color w:val="000000"/>
          <w:sz w:val="22"/>
          <w:szCs w:val="22"/>
          <w:lang w:val="en-GB"/>
        </w:rPr>
        <w:t xml:space="preserve"> Oradea are comparable in size with both approximately 200.000 inhabitants. </w:t>
      </w:r>
      <w:r w:rsidR="00612AD6" w:rsidRPr="00037C61">
        <w:rPr>
          <w:rFonts w:ascii="Calibri" w:hAnsi="Calibri"/>
          <w:color w:val="202122"/>
          <w:sz w:val="22"/>
          <w:szCs w:val="22"/>
          <w:shd w:val="clear" w:color="auto" w:fill="FFFFFF"/>
          <w:lang w:val="en-GB"/>
        </w:rPr>
        <w:t>At the same time, the Functional Area includes Nyíregyháza - Satu Mare</w:t>
      </w:r>
      <w:r w:rsidR="004D6EB1" w:rsidRPr="00037C61">
        <w:rPr>
          <w:rFonts w:ascii="Calibri" w:hAnsi="Calibri"/>
          <w:color w:val="202122"/>
          <w:sz w:val="22"/>
          <w:szCs w:val="22"/>
          <w:shd w:val="clear" w:color="auto" w:fill="FFFFFF"/>
          <w:lang w:val="en-GB"/>
        </w:rPr>
        <w:t>, having</w:t>
      </w:r>
      <w:r w:rsidR="00703CA5" w:rsidRPr="00037C61">
        <w:rPr>
          <w:rFonts w:ascii="Calibri" w:hAnsi="Calibri"/>
          <w:color w:val="202122"/>
          <w:sz w:val="22"/>
          <w:szCs w:val="22"/>
          <w:shd w:val="clear" w:color="auto" w:fill="FFFFFF"/>
          <w:lang w:val="en-GB"/>
        </w:rPr>
        <w:t xml:space="preserve"> </w:t>
      </w:r>
      <w:r w:rsidR="52230E0C" w:rsidRPr="00037C61">
        <w:rPr>
          <w:rFonts w:ascii="Calibri" w:hAnsi="Calibri" w:cs="Calibri"/>
          <w:color w:val="202122"/>
          <w:sz w:val="22"/>
          <w:szCs w:val="22"/>
          <w:lang w:val="en-GB"/>
        </w:rPr>
        <w:t>a lower degree of cooperation and more of a competition</w:t>
      </w:r>
      <w:r w:rsidR="00612AD6" w:rsidRPr="00037C61">
        <w:rPr>
          <w:rFonts w:ascii="Calibri" w:hAnsi="Calibri"/>
          <w:color w:val="202122"/>
          <w:sz w:val="22"/>
          <w:szCs w:val="22"/>
          <w:shd w:val="clear" w:color="auto" w:fill="FFFFFF"/>
          <w:lang w:val="en-GB"/>
        </w:rPr>
        <w:t xml:space="preserve">: there is no administrative cooperation, other that the much wider </w:t>
      </w:r>
      <w:r w:rsidR="52230E0C" w:rsidRPr="00037C61">
        <w:rPr>
          <w:rFonts w:ascii="Calibri" w:hAnsi="Calibri"/>
          <w:color w:val="202122"/>
          <w:sz w:val="22"/>
          <w:szCs w:val="22"/>
          <w:lang w:val="en-GB"/>
        </w:rPr>
        <w:t>Carpathian Euroregion and a town twinning initiative</w:t>
      </w:r>
      <w:r w:rsidR="00612AD6" w:rsidRPr="00037C61">
        <w:rPr>
          <w:rFonts w:ascii="Calibri" w:hAnsi="Calibri"/>
          <w:color w:val="202122"/>
          <w:sz w:val="22"/>
          <w:szCs w:val="22"/>
          <w:shd w:val="clear" w:color="auto" w:fill="FFFFFF"/>
          <w:lang w:val="en-GB"/>
        </w:rPr>
        <w:t xml:space="preserve">, and little cooperation amongst stakeholders.  </w:t>
      </w:r>
      <w:r w:rsidR="52230E0C" w:rsidRPr="00037C61">
        <w:rPr>
          <w:rFonts w:ascii="Calibri" w:hAnsi="Calibri"/>
          <w:color w:val="202122"/>
          <w:sz w:val="22"/>
          <w:szCs w:val="22"/>
          <w:lang w:val="en-GB"/>
        </w:rPr>
        <w:t>However, proximity, complementary economic profiles and common natural resource opportunities underlined in the SWOT analyses reveal</w:t>
      </w:r>
      <w:r w:rsidR="00612AD6" w:rsidRPr="00037C61">
        <w:rPr>
          <w:rFonts w:ascii="Calibri" w:hAnsi="Calibri"/>
          <w:color w:val="202122"/>
          <w:sz w:val="22"/>
          <w:szCs w:val="22"/>
          <w:shd w:val="clear" w:color="auto" w:fill="FFFFFF"/>
          <w:lang w:val="en-GB"/>
        </w:rPr>
        <w:t xml:space="preserve"> that there is a potential which could be further fostered. </w:t>
      </w:r>
      <w:r w:rsidR="00612AD6" w:rsidRPr="00037C61">
        <w:rPr>
          <w:rFonts w:ascii="Calibri" w:hAnsi="Calibri"/>
          <w:color w:val="000000"/>
          <w:sz w:val="22"/>
          <w:szCs w:val="22"/>
          <w:lang w:val="en-GB"/>
        </w:rPr>
        <w:t xml:space="preserve">The Functional Urban Area also includes smaller cities on the Hungarian side </w:t>
      </w:r>
      <w:r w:rsidR="52230E0C" w:rsidRPr="00037C61">
        <w:rPr>
          <w:rFonts w:ascii="Calibri" w:hAnsi="Calibri"/>
          <w:color w:val="000000" w:themeColor="text1"/>
          <w:sz w:val="22"/>
          <w:szCs w:val="22"/>
          <w:lang w:val="en-GB"/>
        </w:rPr>
        <w:t xml:space="preserve">such as </w:t>
      </w:r>
      <w:r w:rsidR="00612AD6" w:rsidRPr="00037C61">
        <w:rPr>
          <w:rFonts w:ascii="Calibri" w:hAnsi="Calibri"/>
          <w:color w:val="000000"/>
          <w:sz w:val="22"/>
          <w:szCs w:val="22"/>
          <w:lang w:val="en-GB"/>
        </w:rPr>
        <w:t>Hajdúböszörmény</w:t>
      </w:r>
      <w:r w:rsidR="52230E0C" w:rsidRPr="00037C61">
        <w:rPr>
          <w:rFonts w:ascii="Calibri" w:hAnsi="Calibri"/>
          <w:color w:val="000000" w:themeColor="text1"/>
          <w:sz w:val="22"/>
          <w:szCs w:val="22"/>
          <w:lang w:val="en-GB"/>
        </w:rPr>
        <w:t xml:space="preserve"> (30,854</w:t>
      </w:r>
      <w:r w:rsidR="00612AD6" w:rsidRPr="00037C61">
        <w:rPr>
          <w:rFonts w:ascii="Calibri" w:hAnsi="Calibri"/>
          <w:color w:val="000000"/>
          <w:sz w:val="22"/>
          <w:szCs w:val="22"/>
          <w:lang w:val="en-GB"/>
        </w:rPr>
        <w:t xml:space="preserve"> residents in </w:t>
      </w:r>
      <w:r w:rsidR="52230E0C" w:rsidRPr="00037C61">
        <w:rPr>
          <w:rFonts w:ascii="Calibri" w:hAnsi="Calibri"/>
          <w:color w:val="000000" w:themeColor="text1"/>
          <w:sz w:val="22"/>
          <w:szCs w:val="22"/>
          <w:lang w:val="en-GB"/>
        </w:rPr>
        <w:t>2019</w:t>
      </w:r>
      <w:r w:rsidR="00612AD6" w:rsidRPr="00037C61">
        <w:rPr>
          <w:rFonts w:ascii="Calibri" w:hAnsi="Calibri"/>
          <w:color w:val="000000"/>
          <w:sz w:val="22"/>
          <w:szCs w:val="22"/>
          <w:lang w:val="en-GB"/>
        </w:rPr>
        <w:t xml:space="preserve">) and Hajdúszoboszló </w:t>
      </w:r>
      <w:r w:rsidR="52230E0C" w:rsidRPr="00037C61">
        <w:rPr>
          <w:rFonts w:ascii="Calibri" w:hAnsi="Calibri"/>
          <w:color w:val="000000" w:themeColor="text1"/>
          <w:sz w:val="22"/>
          <w:szCs w:val="22"/>
          <w:lang w:val="en-GB"/>
        </w:rPr>
        <w:t>(24,185</w:t>
      </w:r>
      <w:r w:rsidR="00612AD6" w:rsidRPr="00037C61">
        <w:rPr>
          <w:rFonts w:ascii="Calibri" w:hAnsi="Calibri"/>
          <w:color w:val="000000"/>
          <w:sz w:val="22"/>
          <w:szCs w:val="22"/>
          <w:lang w:val="en-GB"/>
        </w:rPr>
        <w:t xml:space="preserve"> residents </w:t>
      </w:r>
      <w:r w:rsidR="52230E0C" w:rsidRPr="00037C61">
        <w:rPr>
          <w:rFonts w:ascii="Calibri" w:hAnsi="Calibri"/>
          <w:color w:val="000000" w:themeColor="text1"/>
          <w:sz w:val="22"/>
          <w:szCs w:val="22"/>
          <w:lang w:val="en-GB"/>
        </w:rPr>
        <w:t xml:space="preserve">in 2019), as well as Salonta (18,963 residents in 2019) </w:t>
      </w:r>
      <w:r w:rsidR="00612AD6" w:rsidRPr="00037C61">
        <w:rPr>
          <w:rFonts w:ascii="Calibri" w:hAnsi="Calibri"/>
          <w:color w:val="000000"/>
          <w:sz w:val="22"/>
          <w:szCs w:val="22"/>
          <w:lang w:val="en-GB"/>
        </w:rPr>
        <w:t>on the Romanian side. </w:t>
      </w:r>
    </w:p>
    <w:p w14:paraId="4189E217" w14:textId="4890B62D" w:rsidR="00694DB0" w:rsidRPr="00037C61" w:rsidRDefault="00694DB0" w:rsidP="27B0E377">
      <w:pPr>
        <w:pStyle w:val="NormalWeb"/>
        <w:spacing w:before="0" w:beforeAutospacing="0" w:after="0" w:afterAutospacing="0"/>
        <w:rPr>
          <w:rFonts w:ascii="Calibri" w:hAnsi="Calibri"/>
          <w:sz w:val="22"/>
          <w:szCs w:val="22"/>
          <w:lang w:val="en-GB"/>
        </w:rPr>
      </w:pPr>
      <w:r w:rsidRPr="00037C61">
        <w:rPr>
          <w:rFonts w:ascii="Calibri" w:hAnsi="Calibri"/>
          <w:color w:val="000000" w:themeColor="text1"/>
          <w:sz w:val="22"/>
          <w:szCs w:val="22"/>
          <w:lang w:val="en-GB"/>
        </w:rPr>
        <w:t xml:space="preserve">What can be observed from this </w:t>
      </w:r>
      <w:r w:rsidR="00773BB5" w:rsidRPr="00037C61">
        <w:rPr>
          <w:rFonts w:ascii="Calibri" w:hAnsi="Calibri"/>
          <w:color w:val="000000" w:themeColor="text1"/>
          <w:sz w:val="22"/>
          <w:szCs w:val="22"/>
          <w:lang w:val="en-GB"/>
        </w:rPr>
        <w:t xml:space="preserve">Polycentric </w:t>
      </w:r>
      <w:r w:rsidRPr="00037C61">
        <w:rPr>
          <w:rFonts w:ascii="Calibri" w:hAnsi="Calibri"/>
          <w:color w:val="000000" w:themeColor="text1"/>
          <w:sz w:val="22"/>
          <w:szCs w:val="22"/>
          <w:lang w:val="en-GB"/>
        </w:rPr>
        <w:t xml:space="preserve">Functional </w:t>
      </w:r>
      <w:r w:rsidR="00773BB5" w:rsidRPr="00037C61">
        <w:rPr>
          <w:rFonts w:ascii="Calibri" w:hAnsi="Calibri"/>
          <w:color w:val="000000" w:themeColor="text1"/>
          <w:sz w:val="22"/>
          <w:szCs w:val="22"/>
          <w:lang w:val="en-GB"/>
        </w:rPr>
        <w:t>Cross-border area</w:t>
      </w:r>
      <w:r w:rsidRPr="00037C61">
        <w:rPr>
          <w:rFonts w:ascii="Calibri" w:hAnsi="Calibri"/>
          <w:color w:val="000000" w:themeColor="text1"/>
          <w:sz w:val="22"/>
          <w:szCs w:val="22"/>
          <w:lang w:val="en-GB"/>
        </w:rPr>
        <w:t xml:space="preserve"> is that there are different gradients of cooperation </w:t>
      </w:r>
      <w:r w:rsidR="00773BB5" w:rsidRPr="00037C61">
        <w:rPr>
          <w:rFonts w:ascii="Calibri" w:hAnsi="Calibri"/>
          <w:color w:val="000000" w:themeColor="text1"/>
          <w:sz w:val="22"/>
          <w:szCs w:val="22"/>
          <w:lang w:val="en-GB"/>
        </w:rPr>
        <w:t>potential</w:t>
      </w:r>
      <w:r w:rsidRPr="00037C61">
        <w:rPr>
          <w:rFonts w:ascii="Calibri" w:hAnsi="Calibri"/>
          <w:color w:val="000000" w:themeColor="text1"/>
          <w:sz w:val="22"/>
          <w:szCs w:val="22"/>
          <w:lang w:val="en-GB"/>
        </w:rPr>
        <w:t xml:space="preserve"> within the same </w:t>
      </w:r>
      <w:r w:rsidR="00773BB5" w:rsidRPr="00037C61">
        <w:rPr>
          <w:rFonts w:ascii="Calibri" w:hAnsi="Calibri"/>
          <w:color w:val="000000" w:themeColor="text1"/>
          <w:sz w:val="22"/>
          <w:szCs w:val="22"/>
          <w:lang w:val="en-GB"/>
        </w:rPr>
        <w:t>cluster</w:t>
      </w:r>
      <w:r w:rsidRPr="00037C61">
        <w:rPr>
          <w:rFonts w:ascii="Calibri" w:hAnsi="Calibri"/>
          <w:color w:val="000000" w:themeColor="text1"/>
          <w:sz w:val="22"/>
          <w:szCs w:val="22"/>
          <w:lang w:val="en-GB"/>
        </w:rPr>
        <w:t xml:space="preserve">, with Debrecen and Oradea being stronger </w:t>
      </w:r>
      <w:r w:rsidR="00773BB5" w:rsidRPr="00037C61">
        <w:rPr>
          <w:rFonts w:ascii="Calibri" w:hAnsi="Calibri"/>
          <w:color w:val="000000" w:themeColor="text1"/>
          <w:sz w:val="22"/>
          <w:szCs w:val="22"/>
          <w:lang w:val="en-GB"/>
        </w:rPr>
        <w:t>due to a significantly better physical connection and labour pool integration</w:t>
      </w:r>
      <w:r w:rsidR="004D6EB1" w:rsidRPr="00037C61">
        <w:rPr>
          <w:rFonts w:ascii="Calibri" w:hAnsi="Calibri"/>
          <w:color w:val="000000" w:themeColor="text1"/>
          <w:sz w:val="22"/>
          <w:szCs w:val="22"/>
          <w:lang w:val="en-GB"/>
        </w:rPr>
        <w:t>.</w:t>
      </w:r>
      <w:r w:rsidR="00773BB5" w:rsidRPr="00037C61">
        <w:rPr>
          <w:rFonts w:ascii="Calibri" w:hAnsi="Calibri"/>
          <w:color w:val="000000" w:themeColor="text1"/>
          <w:sz w:val="22"/>
          <w:szCs w:val="22"/>
          <w:lang w:val="en-GB"/>
        </w:rPr>
        <w:t xml:space="preserve"> </w:t>
      </w:r>
    </w:p>
    <w:p w14:paraId="018C082B" w14:textId="77777777" w:rsidR="00612AD6" w:rsidRPr="00037C61" w:rsidRDefault="00612AD6" w:rsidP="00612AD6">
      <w:pPr>
        <w:rPr>
          <w:lang w:val="en-GB"/>
        </w:rPr>
      </w:pPr>
    </w:p>
    <w:p w14:paraId="0CF3F067" w14:textId="2DC3EB19" w:rsidR="00612AD6" w:rsidRPr="00037C61" w:rsidRDefault="00612AD6" w:rsidP="005E0849">
      <w:pPr>
        <w:jc w:val="left"/>
        <w:rPr>
          <w:lang w:val="en-GB"/>
        </w:rPr>
      </w:pPr>
    </w:p>
    <w:p w14:paraId="41079976" w14:textId="7B1030C4" w:rsidR="00C51584" w:rsidRPr="00037C61" w:rsidRDefault="00645E3D" w:rsidP="005E0849">
      <w:pPr>
        <w:pStyle w:val="Heading4"/>
        <w:rPr>
          <w:lang w:val="en-GB"/>
        </w:rPr>
      </w:pPr>
      <w:bookmarkStart w:id="899" w:name="_Toc53137233"/>
      <w:r w:rsidRPr="00037C61">
        <w:rPr>
          <w:lang w:val="en-GB"/>
        </w:rPr>
        <w:lastRenderedPageBreak/>
        <w:t xml:space="preserve">Functional Cross-border Area </w:t>
      </w:r>
      <w:bookmarkStart w:id="900" w:name="_Toc50723360"/>
      <w:r w:rsidR="6446A0E8" w:rsidRPr="00037C61">
        <w:rPr>
          <w:lang w:val="en-GB"/>
        </w:rPr>
        <w:t>Szeged - Békéscsaba - Timi</w:t>
      </w:r>
      <w:r w:rsidR="6446A0E8" w:rsidRPr="00037C61">
        <w:rPr>
          <w:rFonts w:ascii="Cambria" w:hAnsi="Cambria" w:cs="Cambria"/>
          <w:lang w:val="en-GB"/>
        </w:rPr>
        <w:t>ș</w:t>
      </w:r>
      <w:r w:rsidR="6446A0E8" w:rsidRPr="00037C61">
        <w:rPr>
          <w:lang w:val="en-GB"/>
        </w:rPr>
        <w:t>oara - Arad</w:t>
      </w:r>
      <w:bookmarkEnd w:id="899"/>
      <w:bookmarkEnd w:id="900"/>
      <w:r w:rsidR="6446A0E8" w:rsidRPr="00037C61">
        <w:rPr>
          <w:lang w:val="en-GB"/>
        </w:rPr>
        <w:t xml:space="preserve"> </w:t>
      </w:r>
    </w:p>
    <w:p w14:paraId="1D5EA1B2" w14:textId="7BB2045B" w:rsidR="00612AD6" w:rsidRPr="00037C61" w:rsidRDefault="00C51584" w:rsidP="007C15C0">
      <w:pPr>
        <w:rPr>
          <w:lang w:val="en-GB"/>
        </w:rPr>
      </w:pPr>
      <w:r w:rsidRPr="00037C61">
        <w:rPr>
          <w:noProof/>
          <w:lang w:val="ro-RO" w:eastAsia="ro-RO"/>
        </w:rPr>
        <w:drawing>
          <wp:anchor distT="114300" distB="114300" distL="114300" distR="114300" simplePos="0" relativeHeight="251617792" behindDoc="0" locked="0" layoutInCell="1" hidden="0" allowOverlap="1" wp14:anchorId="0D1FB9BE" wp14:editId="19CEA01C">
            <wp:simplePos x="0" y="0"/>
            <wp:positionH relativeFrom="column">
              <wp:posOffset>41910</wp:posOffset>
            </wp:positionH>
            <wp:positionV relativeFrom="paragraph">
              <wp:posOffset>120015</wp:posOffset>
            </wp:positionV>
            <wp:extent cx="2786063" cy="2817722"/>
            <wp:effectExtent l="0" t="0" r="0" b="0"/>
            <wp:wrapSquare wrapText="bothSides" distT="114300" distB="114300" distL="114300" distR="114300"/>
            <wp:docPr id="1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8"/>
                    <a:srcRect/>
                    <a:stretch>
                      <a:fillRect/>
                    </a:stretch>
                  </pic:blipFill>
                  <pic:spPr>
                    <a:xfrm>
                      <a:off x="0" y="0"/>
                      <a:ext cx="2786063" cy="2817722"/>
                    </a:xfrm>
                    <a:prstGeom prst="rect">
                      <a:avLst/>
                    </a:prstGeom>
                    <a:ln/>
                  </pic:spPr>
                </pic:pic>
              </a:graphicData>
            </a:graphic>
          </wp:anchor>
        </w:drawing>
      </w:r>
      <w:r w:rsidR="00612AD6" w:rsidRPr="00037C61">
        <w:rPr>
          <w:color w:val="000000"/>
          <w:lang w:val="en-GB"/>
        </w:rPr>
        <w:t>The</w:t>
      </w:r>
      <w:r w:rsidR="52230E0C" w:rsidRPr="00037C61">
        <w:rPr>
          <w:color w:val="000000" w:themeColor="text1"/>
          <w:lang w:val="en-GB"/>
        </w:rPr>
        <w:t xml:space="preserve"> polycentric</w:t>
      </w:r>
      <w:r w:rsidR="00612AD6" w:rsidRPr="00037C61">
        <w:rPr>
          <w:color w:val="000000"/>
          <w:lang w:val="en-GB"/>
        </w:rPr>
        <w:t xml:space="preserve"> Functional Area comprises the municipalities Szeged and </w:t>
      </w:r>
      <w:r w:rsidR="52230E0C" w:rsidRPr="00037C61">
        <w:rPr>
          <w:color w:val="000000" w:themeColor="text1"/>
          <w:lang w:val="en-GB"/>
        </w:rPr>
        <w:t>Békéscsaba</w:t>
      </w:r>
      <w:r w:rsidR="00612AD6" w:rsidRPr="00037C61">
        <w:rPr>
          <w:color w:val="000000"/>
          <w:lang w:val="en-GB"/>
        </w:rPr>
        <w:t xml:space="preserve"> in Hungary, Timișoara and Arad in Romania. Functionally, the urban region also includes Novi Sad in Serbia, which will not be analysed for the purposes of this territorial analysis because of the targeted area, but is an </w:t>
      </w:r>
      <w:r w:rsidR="6446A0E8" w:rsidRPr="00037C61">
        <w:rPr>
          <w:rFonts w:eastAsia="Times New Roman" w:cs="Calibri"/>
          <w:color w:val="000000" w:themeColor="text1"/>
          <w:lang w:val="en-GB" w:eastAsia="it-IT"/>
        </w:rPr>
        <w:t xml:space="preserve">important </w:t>
      </w:r>
      <w:r w:rsidR="00612AD6" w:rsidRPr="00037C61">
        <w:rPr>
          <w:color w:val="000000"/>
          <w:lang w:val="en-GB"/>
        </w:rPr>
        <w:t>urban pole to be taken into account. </w:t>
      </w:r>
    </w:p>
    <w:p w14:paraId="526DF5CA" w14:textId="2F8BB382" w:rsidR="00612AD6" w:rsidRPr="00037C61" w:rsidRDefault="00612AD6" w:rsidP="74CEAA85">
      <w:pPr>
        <w:spacing w:after="0" w:line="240" w:lineRule="auto"/>
        <w:rPr>
          <w:color w:val="000000"/>
          <w:lang w:val="en-GB"/>
        </w:rPr>
      </w:pPr>
      <w:r w:rsidRPr="00037C61">
        <w:rPr>
          <w:color w:val="000000" w:themeColor="text1"/>
          <w:lang w:val="en-GB"/>
        </w:rPr>
        <w:t>This Functional</w:t>
      </w:r>
      <w:r w:rsidR="00645E3D" w:rsidRPr="00037C61">
        <w:rPr>
          <w:color w:val="000000" w:themeColor="text1"/>
          <w:lang w:val="en-GB"/>
        </w:rPr>
        <w:t xml:space="preserve"> </w:t>
      </w:r>
      <w:r w:rsidR="00C36342" w:rsidRPr="00037C61">
        <w:rPr>
          <w:rFonts w:eastAsia="Times New Roman" w:cs="Calibri"/>
          <w:color w:val="000000" w:themeColor="text1"/>
          <w:lang w:val="en-GB" w:eastAsia="it-IT"/>
        </w:rPr>
        <w:t>area</w:t>
      </w:r>
      <w:r w:rsidR="00C36342" w:rsidRPr="00037C61">
        <w:rPr>
          <w:color w:val="000000" w:themeColor="text1"/>
          <w:lang w:val="en-GB"/>
        </w:rPr>
        <w:t xml:space="preserve"> </w:t>
      </w:r>
      <w:r w:rsidRPr="00037C61">
        <w:rPr>
          <w:color w:val="000000" w:themeColor="text1"/>
          <w:lang w:val="en-GB"/>
        </w:rPr>
        <w:t xml:space="preserve">presents a medium level of cooperation, with </w:t>
      </w:r>
      <w:r w:rsidR="00D97510">
        <w:rPr>
          <w:color w:val="000000" w:themeColor="text1"/>
          <w:lang w:val="en-GB"/>
        </w:rPr>
        <w:t xml:space="preserve">some </w:t>
      </w:r>
      <w:r w:rsidRPr="00037C61">
        <w:rPr>
          <w:color w:val="000000" w:themeColor="text1"/>
          <w:lang w:val="en-GB"/>
        </w:rPr>
        <w:t>formalised agreement between municipalities</w:t>
      </w:r>
      <w:r w:rsidR="00D97510">
        <w:rPr>
          <w:color w:val="000000" w:themeColor="text1"/>
          <w:lang w:val="en-GB"/>
        </w:rPr>
        <w:t xml:space="preserve"> (eg. Twinning between Szeged and Timișoara)</w:t>
      </w:r>
      <w:r w:rsidRPr="00037C61">
        <w:rPr>
          <w:color w:val="000000" w:themeColor="text1"/>
          <w:lang w:val="en-GB"/>
        </w:rPr>
        <w:t xml:space="preserve">, </w:t>
      </w:r>
      <w:r w:rsidR="00D97510">
        <w:rPr>
          <w:color w:val="000000" w:themeColor="text1"/>
          <w:lang w:val="en-GB"/>
        </w:rPr>
        <w:t>and the presence of the DKMT Euroregion.</w:t>
      </w:r>
    </w:p>
    <w:p w14:paraId="71563458" w14:textId="2916E45A" w:rsidR="00C36342" w:rsidRPr="00037C61" w:rsidRDefault="00C36342" w:rsidP="74CEAA85">
      <w:pPr>
        <w:spacing w:after="0" w:line="240" w:lineRule="auto"/>
        <w:jc w:val="left"/>
        <w:rPr>
          <w:lang w:val="en-GB"/>
        </w:rPr>
      </w:pPr>
    </w:p>
    <w:p w14:paraId="2CA615C0" w14:textId="64D9C068" w:rsidR="00C36342" w:rsidRPr="00037C61" w:rsidRDefault="00C36342" w:rsidP="00EA5E72">
      <w:pPr>
        <w:pStyle w:val="InterregROHUBullet1"/>
        <w:numPr>
          <w:ilvl w:val="0"/>
          <w:numId w:val="0"/>
        </w:numPr>
        <w:spacing w:after="0"/>
      </w:pPr>
      <w:r w:rsidRPr="00037C61">
        <w:t xml:space="preserve">Spatial planning is a national policy issue in both countries, and currently the main urban centres in the programme area are at the core of a peri-urbanisation process and increased functional integration („rurban” linkage development), which in time will accentuate sprawl and urban development inefficiencies. In itself, this is a challenge, although one that can be addressed mainly at national level; the question of „cross-border urban governance” is an even more complex one, which raises the issue of whether a sustainable and effective CBFA governance model can be developed in the near future.  </w:t>
      </w:r>
    </w:p>
    <w:p w14:paraId="1148F4C7" w14:textId="77777777" w:rsidR="00C36342" w:rsidRPr="00037C61" w:rsidRDefault="00C36342" w:rsidP="00612AD6">
      <w:pPr>
        <w:spacing w:after="0" w:line="240" w:lineRule="auto"/>
        <w:jc w:val="left"/>
        <w:rPr>
          <w:lang w:val="en-GB"/>
        </w:rPr>
      </w:pPr>
    </w:p>
    <w:p w14:paraId="2A529F9A" w14:textId="0E6620FE" w:rsidR="00C92943" w:rsidRPr="00037C61" w:rsidRDefault="6446A0E8" w:rsidP="00A34C1A">
      <w:pPr>
        <w:pStyle w:val="Heading1"/>
      </w:pPr>
      <w:bookmarkStart w:id="901" w:name="_sgvs7za58wqb" w:colFirst="0" w:colLast="0"/>
      <w:bookmarkStart w:id="902" w:name="_406ezjrq1blt" w:colFirst="0" w:colLast="0"/>
      <w:bookmarkStart w:id="903" w:name="_79xzoyx484z" w:colFirst="0" w:colLast="0"/>
      <w:bookmarkStart w:id="904" w:name="_Toc53137235"/>
      <w:bookmarkStart w:id="905" w:name="_Toc50723363"/>
      <w:bookmarkStart w:id="906" w:name="_Toc64619574"/>
      <w:bookmarkStart w:id="907" w:name="_Toc50656128"/>
      <w:bookmarkEnd w:id="901"/>
      <w:bookmarkEnd w:id="902"/>
      <w:bookmarkEnd w:id="903"/>
      <w:r w:rsidRPr="00037C61">
        <w:lastRenderedPageBreak/>
        <w:t>Provisional conclusions. Orientations for the next cooperation programme</w:t>
      </w:r>
      <w:bookmarkEnd w:id="904"/>
      <w:bookmarkEnd w:id="905"/>
      <w:bookmarkEnd w:id="906"/>
      <w:r w:rsidRPr="00037C61">
        <w:t xml:space="preserve"> </w:t>
      </w:r>
      <w:bookmarkEnd w:id="907"/>
    </w:p>
    <w:p w14:paraId="0D2EDFCE" w14:textId="785E8163" w:rsidR="000C5A56" w:rsidRPr="00037C61" w:rsidRDefault="00715111" w:rsidP="005E0849">
      <w:pPr>
        <w:pStyle w:val="Heading2"/>
        <w:rPr>
          <w:u w:color="034FA3"/>
        </w:rPr>
      </w:pPr>
      <w:bookmarkStart w:id="908" w:name="_Toc64619575"/>
      <w:r w:rsidRPr="00037C61">
        <w:rPr>
          <w:u w:color="034FA3"/>
        </w:rPr>
        <w:t>Main conclusions from consultations and lessons learnt: building the methodology for scenario development</w:t>
      </w:r>
      <w:bookmarkEnd w:id="908"/>
      <w:r w:rsidRPr="00037C61">
        <w:rPr>
          <w:u w:color="034FA3"/>
        </w:rPr>
        <w:t xml:space="preserve"> </w:t>
      </w:r>
      <w:r w:rsidR="000C5A56" w:rsidRPr="00037C61">
        <w:rPr>
          <w:u w:color="034FA3"/>
        </w:rPr>
        <w:t xml:space="preserve"> </w:t>
      </w:r>
    </w:p>
    <w:p w14:paraId="5A4C9F20" w14:textId="77777777" w:rsidR="000C5A56" w:rsidRPr="00037C61" w:rsidRDefault="000C5A56" w:rsidP="000C5A56">
      <w:pPr>
        <w:pStyle w:val="Body"/>
        <w:rPr>
          <w:rFonts w:ascii="Calibri" w:hAnsi="Calibri" w:cs="Calibri"/>
          <w:lang w:val="en-GB"/>
        </w:rPr>
      </w:pPr>
    </w:p>
    <w:p w14:paraId="22009CA1" w14:textId="77777777" w:rsidR="00CC2299" w:rsidRPr="00037C61" w:rsidRDefault="00CC2299" w:rsidP="00CC2299">
      <w:pPr>
        <w:rPr>
          <w:rFonts w:cstheme="minorHAnsi"/>
          <w:lang w:val="en-GB"/>
        </w:rPr>
      </w:pPr>
      <w:r w:rsidRPr="00037C61">
        <w:rPr>
          <w:rFonts w:cstheme="minorHAnsi"/>
          <w:lang w:val="en-GB"/>
        </w:rPr>
        <w:t xml:space="preserve">The Territorial Analysis is setting out the key characteristics of the cross-border cooperation programme area between Romania and Hungary, based on a comprehensive set of sources, statistical data from administrative databases and spatial data, which have been </w:t>
      </w:r>
      <w:r w:rsidRPr="003C452F">
        <w:rPr>
          <w:rFonts w:cstheme="minorHAnsi"/>
          <w:lang w:val="en-GB"/>
        </w:rPr>
        <w:t>enriched by extensive exchanges and consultations with the key institutional stakeholders in the region. The analysis will serve as a basis for discussion between programme authorities and these relevant stakeholders</w:t>
      </w:r>
      <w:r w:rsidRPr="00037C61">
        <w:rPr>
          <w:rFonts w:cstheme="minorHAnsi"/>
          <w:lang w:val="en-GB"/>
        </w:rPr>
        <w:t xml:space="preserve">, providing </w:t>
      </w:r>
      <w:r w:rsidRPr="007F5E2A">
        <w:rPr>
          <w:rFonts w:cstheme="minorHAnsi"/>
          <w:lang w:val="en-GB"/>
        </w:rPr>
        <w:t xml:space="preserve">a </w:t>
      </w:r>
      <w:r w:rsidRPr="00DB74BF">
        <w:rPr>
          <w:rFonts w:cstheme="minorHAnsi"/>
          <w:lang w:val="en-GB"/>
        </w:rPr>
        <w:t>data-driven state of play</w:t>
      </w:r>
      <w:r w:rsidRPr="007F5E2A">
        <w:rPr>
          <w:rFonts w:cstheme="minorHAnsi"/>
          <w:lang w:val="en-GB"/>
        </w:rPr>
        <w:t xml:space="preserve"> assessment that is </w:t>
      </w:r>
      <w:r w:rsidRPr="00DB74BF">
        <w:rPr>
          <w:rFonts w:cstheme="minorHAnsi"/>
          <w:lang w:val="en-GB"/>
        </w:rPr>
        <w:t>both thematic as well as functionality-driven</w:t>
      </w:r>
      <w:r w:rsidRPr="007F5E2A">
        <w:rPr>
          <w:rFonts w:cstheme="minorHAnsi"/>
          <w:lang w:val="en-GB"/>
        </w:rPr>
        <w:t>.</w:t>
      </w:r>
      <w:r w:rsidRPr="00037C61">
        <w:rPr>
          <w:rFonts w:cstheme="minorHAnsi"/>
          <w:lang w:val="en-GB"/>
        </w:rPr>
        <w:t xml:space="preserve"> </w:t>
      </w:r>
    </w:p>
    <w:p w14:paraId="0C857DF2" w14:textId="69DC5EFA" w:rsidR="00CC2299" w:rsidRPr="00037C61" w:rsidRDefault="00CC2299" w:rsidP="003F4FCD">
      <w:pPr>
        <w:rPr>
          <w:lang w:val="en-GB"/>
        </w:rPr>
      </w:pPr>
      <w:r w:rsidRPr="00037C61">
        <w:rPr>
          <w:lang w:val="en-GB"/>
        </w:rPr>
        <w:t>More specifically, this Territorial Analysis is not only revealing the core socio-demographic, human capital, economic, infrastructural, environmental and governance disparities</w:t>
      </w:r>
      <w:r w:rsidR="00C60C3D" w:rsidRPr="00037C61">
        <w:rPr>
          <w:lang w:val="en-GB"/>
        </w:rPr>
        <w:t>, determining internal cohesion</w:t>
      </w:r>
      <w:r w:rsidRPr="00037C61">
        <w:rPr>
          <w:lang w:val="en-GB"/>
        </w:rPr>
        <w:t xml:space="preserve"> and potentials in the region, but also the strong connections and shared development concerns at cross border level, integrated in patterns of</w:t>
      </w:r>
      <w:r w:rsidR="00C60C3D" w:rsidRPr="00037C61">
        <w:rPr>
          <w:lang w:val="en-GB"/>
        </w:rPr>
        <w:t xml:space="preserve"> potential</w:t>
      </w:r>
      <w:r w:rsidRPr="00037C61">
        <w:rPr>
          <w:lang w:val="en-GB"/>
        </w:rPr>
        <w:t xml:space="preserve"> cross-border </w:t>
      </w:r>
      <w:r w:rsidR="0ED38B14" w:rsidRPr="00037C61">
        <w:rPr>
          <w:lang w:val="en-GB"/>
        </w:rPr>
        <w:t>cooperation</w:t>
      </w:r>
      <w:r w:rsidRPr="00037C61">
        <w:rPr>
          <w:lang w:val="en-GB"/>
        </w:rPr>
        <w:t xml:space="preserve">, that is the regional territorial capital and the open development issues. </w:t>
      </w:r>
    </w:p>
    <w:p w14:paraId="04C2C6FC" w14:textId="46348259" w:rsidR="00CC2299" w:rsidRPr="00037C61" w:rsidRDefault="007458C7" w:rsidP="003F4FCD">
      <w:pPr>
        <w:rPr>
          <w:lang w:val="en-GB"/>
        </w:rPr>
      </w:pPr>
      <w:r w:rsidRPr="00037C61">
        <w:rPr>
          <w:lang w:val="en-GB"/>
        </w:rPr>
        <w:t xml:space="preserve">Statistical data have been completed with multi-level policy analysis, the analysis of lessons learnt </w:t>
      </w:r>
      <w:r w:rsidRPr="000930DD">
        <w:rPr>
          <w:lang w:val="en-GB"/>
        </w:rPr>
        <w:t xml:space="preserve">from the current Interreg Programme and the qualitative information obtained through different </w:t>
      </w:r>
      <w:r w:rsidRPr="00DB74BF">
        <w:rPr>
          <w:lang w:val="en-GB"/>
        </w:rPr>
        <w:t xml:space="preserve">consultations with stakeholders, realised since end 2019 (last workshops implemented in </w:t>
      </w:r>
      <w:r w:rsidR="08128611" w:rsidRPr="00DB74BF">
        <w:rPr>
          <w:lang w:val="en-GB"/>
        </w:rPr>
        <w:t>October</w:t>
      </w:r>
      <w:r w:rsidRPr="00DB74BF">
        <w:rPr>
          <w:lang w:val="en-GB"/>
        </w:rPr>
        <w:t xml:space="preserve"> 2020</w:t>
      </w:r>
      <w:r w:rsidRPr="000930DD">
        <w:rPr>
          <w:lang w:val="en-GB"/>
        </w:rPr>
        <w:t>).</w:t>
      </w:r>
      <w:r w:rsidR="007E34B7" w:rsidRPr="000930DD">
        <w:rPr>
          <w:lang w:val="en-GB"/>
        </w:rPr>
        <w:t xml:space="preserve"> </w:t>
      </w:r>
      <w:r w:rsidR="00B55DC4" w:rsidRPr="000930DD">
        <w:rPr>
          <w:lang w:val="en-GB"/>
        </w:rPr>
        <w:t>The territorial and policy analysis, as well as lessons learnt and consultations have</w:t>
      </w:r>
      <w:r w:rsidR="00B55DC4" w:rsidRPr="00037C61">
        <w:rPr>
          <w:lang w:val="en-GB"/>
        </w:rPr>
        <w:t xml:space="preserve"> provided </w:t>
      </w:r>
      <w:r w:rsidR="00EF6436" w:rsidRPr="00037C61">
        <w:rPr>
          <w:lang w:val="en-GB"/>
        </w:rPr>
        <w:t xml:space="preserve">essential </w:t>
      </w:r>
      <w:r w:rsidR="00B55DC4" w:rsidRPr="00037C61">
        <w:rPr>
          <w:lang w:val="en-GB"/>
        </w:rPr>
        <w:t xml:space="preserve">inputs and methodological orientation to build the scenario for the identification of priority POs, as </w:t>
      </w:r>
      <w:r w:rsidR="00EF6436" w:rsidRPr="00037C61">
        <w:rPr>
          <w:lang w:val="en-GB"/>
        </w:rPr>
        <w:t xml:space="preserve">described in the following pages. </w:t>
      </w:r>
    </w:p>
    <w:p w14:paraId="47755906" w14:textId="5C25D22D" w:rsidR="00BA090F" w:rsidRPr="00037C61" w:rsidRDefault="00BA090F" w:rsidP="00715111">
      <w:pPr>
        <w:pStyle w:val="Heading3"/>
        <w:rPr>
          <w:rFonts w:ascii="Calibri" w:eastAsia="Calibri" w:hAnsi="Calibri" w:cs="Calibri"/>
          <w:sz w:val="22"/>
          <w:szCs w:val="22"/>
        </w:rPr>
      </w:pPr>
      <w:bookmarkStart w:id="909" w:name="_Toc64619576"/>
      <w:r w:rsidRPr="00037C61">
        <w:rPr>
          <w:rFonts w:ascii="Calibri" w:eastAsia="Calibri" w:hAnsi="Calibri" w:cs="Calibri"/>
          <w:sz w:val="22"/>
          <w:szCs w:val="22"/>
        </w:rPr>
        <w:t xml:space="preserve">Consultations </w:t>
      </w:r>
      <w:r w:rsidR="00715111" w:rsidRPr="00037C61">
        <w:rPr>
          <w:rFonts w:ascii="Calibri" w:eastAsia="Calibri" w:hAnsi="Calibri" w:cs="Calibri"/>
          <w:sz w:val="22"/>
          <w:szCs w:val="22"/>
        </w:rPr>
        <w:t>held up to date</w:t>
      </w:r>
      <w:bookmarkEnd w:id="909"/>
      <w:r w:rsidR="00715111" w:rsidRPr="00037C61">
        <w:rPr>
          <w:rFonts w:ascii="Calibri" w:eastAsia="Calibri" w:hAnsi="Calibri" w:cs="Calibri"/>
          <w:sz w:val="22"/>
          <w:szCs w:val="22"/>
        </w:rPr>
        <w:t xml:space="preserve"> </w:t>
      </w:r>
      <w:r w:rsidRPr="00037C61">
        <w:rPr>
          <w:rFonts w:ascii="Calibri" w:eastAsia="Calibri" w:hAnsi="Calibri" w:cs="Calibri"/>
          <w:sz w:val="22"/>
          <w:szCs w:val="22"/>
        </w:rPr>
        <w:t xml:space="preserve"> </w:t>
      </w:r>
    </w:p>
    <w:p w14:paraId="667F6A87" w14:textId="3B174529" w:rsidR="00C45ED0" w:rsidRPr="00037C61" w:rsidRDefault="00C45ED0" w:rsidP="00C45ED0">
      <w:pPr>
        <w:rPr>
          <w:rFonts w:cs="Calibri"/>
          <w:lang w:val="en-GB"/>
        </w:rPr>
      </w:pPr>
      <w:r w:rsidRPr="00037C61">
        <w:rPr>
          <w:rFonts w:cs="Calibri"/>
          <w:lang w:val="en-GB"/>
        </w:rPr>
        <w:t>The following table illustrates the results of the online surveys</w:t>
      </w:r>
      <w:r w:rsidR="00EF6436" w:rsidRPr="00037C61">
        <w:rPr>
          <w:rFonts w:cs="Calibri"/>
          <w:lang w:val="en-GB"/>
        </w:rPr>
        <w:t xml:space="preserve"> realised starting from July 2019,</w:t>
      </w:r>
      <w:r w:rsidRPr="00037C61">
        <w:rPr>
          <w:rFonts w:cs="Calibri"/>
          <w:lang w:val="en-GB"/>
        </w:rPr>
        <w:t xml:space="preserve"> and the total number of respondents </w:t>
      </w:r>
    </w:p>
    <w:p w14:paraId="76C8EC19" w14:textId="128C4409" w:rsidR="00662F53" w:rsidRPr="00037C61" w:rsidRDefault="00662F53" w:rsidP="00662F53">
      <w:pPr>
        <w:pStyle w:val="Caption"/>
        <w:keepNext/>
        <w:jc w:val="both"/>
        <w:rPr>
          <w:lang w:val="en-GB"/>
        </w:rPr>
      </w:pPr>
      <w:bookmarkStart w:id="910" w:name="_Toc58237676"/>
      <w:r w:rsidRPr="00037C61">
        <w:rPr>
          <w:lang w:val="en-GB"/>
        </w:rPr>
        <w:t xml:space="preserve">Table </w:t>
      </w:r>
      <w:r w:rsidR="00AB694E" w:rsidRPr="00037C61">
        <w:rPr>
          <w:lang w:val="en-GB"/>
        </w:rPr>
        <w:fldChar w:fldCharType="begin"/>
      </w:r>
      <w:r w:rsidR="00AB694E" w:rsidRPr="00037C61">
        <w:rPr>
          <w:lang w:val="en-GB"/>
        </w:rPr>
        <w:instrText xml:space="preserve"> SEQ Table \* ARABIC </w:instrText>
      </w:r>
      <w:r w:rsidR="00AB694E" w:rsidRPr="00037C61">
        <w:rPr>
          <w:lang w:val="en-GB"/>
        </w:rPr>
        <w:fldChar w:fldCharType="separate"/>
      </w:r>
      <w:r w:rsidR="005A7BD8">
        <w:rPr>
          <w:noProof/>
          <w:lang w:val="en-GB"/>
        </w:rPr>
        <w:t>54</w:t>
      </w:r>
      <w:r w:rsidR="00AB694E" w:rsidRPr="00037C61">
        <w:rPr>
          <w:noProof/>
          <w:lang w:val="en-GB"/>
        </w:rPr>
        <w:fldChar w:fldCharType="end"/>
      </w:r>
      <w:r w:rsidRPr="00037C61">
        <w:rPr>
          <w:lang w:val="en-GB"/>
        </w:rPr>
        <w:t xml:space="preserve"> - Summary of online stakeholder surveys conducted</w:t>
      </w:r>
      <w:bookmarkEnd w:id="910"/>
    </w:p>
    <w:p w14:paraId="4126B96D" w14:textId="77777777" w:rsidR="00C45ED0" w:rsidRPr="00037C61" w:rsidRDefault="00C45ED0" w:rsidP="00C45ED0">
      <w:pPr>
        <w:rPr>
          <w:rFonts w:ascii="Garamond" w:hAnsi="Garamond"/>
          <w:lang w:val="en-GB"/>
        </w:rPr>
      </w:pPr>
      <w:r w:rsidRPr="00037C61">
        <w:rPr>
          <w:noProof/>
          <w:lang w:val="ro-RO" w:eastAsia="ro-RO"/>
        </w:rPr>
        <w:drawing>
          <wp:inline distT="0" distB="0" distL="0" distR="0" wp14:anchorId="279CDE25" wp14:editId="6F20825E">
            <wp:extent cx="5731510" cy="1278255"/>
            <wp:effectExtent l="0" t="0" r="254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pic:nvPicPr>
                  <pic:blipFill>
                    <a:blip r:embed="rId309">
                      <a:extLst>
                        <a:ext uri="{28A0092B-C50C-407E-A947-70E740481C1C}">
                          <a14:useLocalDpi xmlns:a14="http://schemas.microsoft.com/office/drawing/2010/main" val="0"/>
                        </a:ext>
                      </a:extLst>
                    </a:blip>
                    <a:stretch>
                      <a:fillRect/>
                    </a:stretch>
                  </pic:blipFill>
                  <pic:spPr>
                    <a:xfrm>
                      <a:off x="0" y="0"/>
                      <a:ext cx="5731510" cy="1278255"/>
                    </a:xfrm>
                    <a:prstGeom prst="rect">
                      <a:avLst/>
                    </a:prstGeom>
                  </pic:spPr>
                </pic:pic>
              </a:graphicData>
            </a:graphic>
          </wp:inline>
        </w:drawing>
      </w:r>
    </w:p>
    <w:p w14:paraId="05A45228" w14:textId="77777777" w:rsidR="00C45ED0" w:rsidRPr="00037C61" w:rsidRDefault="00C45ED0" w:rsidP="00C45ED0">
      <w:pPr>
        <w:rPr>
          <w:rFonts w:cs="Calibri"/>
          <w:lang w:val="en-GB"/>
        </w:rPr>
      </w:pPr>
      <w:r w:rsidRPr="00037C61">
        <w:rPr>
          <w:rFonts w:cs="Calibri"/>
          <w:lang w:val="en-GB"/>
        </w:rPr>
        <w:t>For an easier reading, the share of preferences of cumulated results is then presented in the graph below:</w:t>
      </w:r>
    </w:p>
    <w:p w14:paraId="0BF08DEB" w14:textId="77777777" w:rsidR="00C45ED0" w:rsidRPr="00037C61" w:rsidRDefault="00C45ED0" w:rsidP="00C45ED0">
      <w:pPr>
        <w:jc w:val="center"/>
        <w:rPr>
          <w:rFonts w:ascii="Garamond" w:hAnsi="Garamond"/>
          <w:lang w:val="en-GB"/>
        </w:rPr>
      </w:pPr>
      <w:r w:rsidRPr="00037C61">
        <w:rPr>
          <w:noProof/>
          <w:lang w:val="ro-RO" w:eastAsia="ro-RO"/>
        </w:rPr>
        <w:lastRenderedPageBreak/>
        <w:drawing>
          <wp:inline distT="0" distB="0" distL="0" distR="0" wp14:anchorId="32B5801C" wp14:editId="7579EFB9">
            <wp:extent cx="4584701" cy="2444750"/>
            <wp:effectExtent l="0" t="0" r="635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pic:cNvPicPr/>
                  </pic:nvPicPr>
                  <pic:blipFill>
                    <a:blip r:embed="rId310">
                      <a:extLst>
                        <a:ext uri="{28A0092B-C50C-407E-A947-70E740481C1C}">
                          <a14:useLocalDpi xmlns:a14="http://schemas.microsoft.com/office/drawing/2010/main" val="0"/>
                        </a:ext>
                      </a:extLst>
                    </a:blip>
                    <a:stretch>
                      <a:fillRect/>
                    </a:stretch>
                  </pic:blipFill>
                  <pic:spPr>
                    <a:xfrm>
                      <a:off x="0" y="0"/>
                      <a:ext cx="4584701" cy="2444750"/>
                    </a:xfrm>
                    <a:prstGeom prst="rect">
                      <a:avLst/>
                    </a:prstGeom>
                  </pic:spPr>
                </pic:pic>
              </a:graphicData>
            </a:graphic>
          </wp:inline>
        </w:drawing>
      </w:r>
    </w:p>
    <w:p w14:paraId="219EDC8A" w14:textId="3AEF6972" w:rsidR="00C45ED0" w:rsidRPr="00037C61" w:rsidRDefault="00C45ED0" w:rsidP="00CC2299">
      <w:pPr>
        <w:rPr>
          <w:rFonts w:asciiTheme="minorHAnsi" w:hAnsiTheme="minorHAnsi" w:cstheme="minorHAnsi"/>
          <w:lang w:val="en-GB"/>
        </w:rPr>
      </w:pPr>
    </w:p>
    <w:p w14:paraId="20CC25AD" w14:textId="1F74444D" w:rsidR="00C45ED0" w:rsidRPr="00037C61" w:rsidRDefault="00C45ED0" w:rsidP="00C45ED0">
      <w:pPr>
        <w:rPr>
          <w:rFonts w:cs="Calibri"/>
          <w:lang w:val="en-GB"/>
        </w:rPr>
      </w:pPr>
      <w:r w:rsidRPr="00037C61">
        <w:rPr>
          <w:rFonts w:cs="Calibri"/>
          <w:lang w:val="en-GB"/>
        </w:rPr>
        <w:t>The participation to consultations has been high: respondents to surveys were 319 and, together with field workshops, the total number of stakeholders consulted exceeds 500 people, thus revealing a high interest of stakeholders in the future Programme.</w:t>
      </w:r>
    </w:p>
    <w:p w14:paraId="52CE136C" w14:textId="538CF101" w:rsidR="00C45ED0" w:rsidRPr="00037C61" w:rsidRDefault="00C45ED0" w:rsidP="00C45ED0">
      <w:pPr>
        <w:rPr>
          <w:rFonts w:cs="Calibri"/>
          <w:lang w:val="en-GB"/>
        </w:rPr>
      </w:pPr>
      <w:r w:rsidRPr="00037C61">
        <w:rPr>
          <w:rFonts w:cs="Calibri"/>
          <w:lang w:val="en-GB"/>
        </w:rPr>
        <w:t xml:space="preserve">Half of respondents to surveys already has project ideas and has identified potential partners. </w:t>
      </w:r>
    </w:p>
    <w:p w14:paraId="0C9210DB" w14:textId="40E705AA" w:rsidR="003E3FCE" w:rsidRPr="00037C61" w:rsidRDefault="00C45ED0" w:rsidP="00C45ED0">
      <w:pPr>
        <w:rPr>
          <w:rFonts w:cs="Calibri"/>
          <w:lang w:val="en-GB"/>
        </w:rPr>
      </w:pPr>
      <w:r w:rsidRPr="00037C61">
        <w:rPr>
          <w:rFonts w:cs="Calibri"/>
          <w:lang w:val="en-GB"/>
        </w:rPr>
        <w:t xml:space="preserve">The POs of greater interest are: PO2, PO4 and PO5. Several potential beneficiaries have presented project ideas related to PO 2 (especially in the fields of renewable energy, emergency response and environmental protection), PO 5 (especially the development of balneo-climateric facilities), PO 4 (especially in the fields of health services, training and employment) with high </w:t>
      </w:r>
      <w:r w:rsidRPr="007F5E2A">
        <w:rPr>
          <w:rFonts w:cs="Calibri"/>
          <w:lang w:val="en-GB"/>
        </w:rPr>
        <w:t xml:space="preserve">potential impact and interest from both sides of the cross-border area. The majority of project ideas has a </w:t>
      </w:r>
      <w:r w:rsidRPr="00DB74BF">
        <w:rPr>
          <w:rFonts w:cs="Calibri"/>
          <w:lang w:val="en-GB"/>
        </w:rPr>
        <w:t>budget range of over 500,000 euro</w:t>
      </w:r>
      <w:r w:rsidRPr="007F5E2A">
        <w:rPr>
          <w:rFonts w:cs="Calibri"/>
          <w:lang w:val="en-GB"/>
        </w:rPr>
        <w:t>.</w:t>
      </w:r>
    </w:p>
    <w:p w14:paraId="43D9607D" w14:textId="77777777" w:rsidR="003E3FCE" w:rsidRPr="00037C61" w:rsidRDefault="003E3FCE" w:rsidP="003E3FCE">
      <w:pPr>
        <w:rPr>
          <w:rFonts w:cs="Calibri"/>
          <w:lang w:val="en-GB"/>
        </w:rPr>
      </w:pPr>
      <w:r w:rsidRPr="00037C61">
        <w:rPr>
          <w:rFonts w:cs="Calibri"/>
          <w:lang w:val="en-GB"/>
        </w:rPr>
        <w:t xml:space="preserve">Under the realisation of the territorial analysis, a series of </w:t>
      </w:r>
      <w:r w:rsidRPr="007F5E2A">
        <w:rPr>
          <w:rFonts w:cs="Calibri"/>
          <w:lang w:val="en-GB"/>
        </w:rPr>
        <w:t>six workshops has been organised in the period between 19</w:t>
      </w:r>
      <w:r w:rsidRPr="007F5E2A">
        <w:rPr>
          <w:rFonts w:cs="Calibri"/>
          <w:vertAlign w:val="superscript"/>
          <w:lang w:val="en-GB"/>
        </w:rPr>
        <w:t>th</w:t>
      </w:r>
      <w:r w:rsidRPr="007F5E2A">
        <w:rPr>
          <w:rFonts w:cs="Calibri"/>
          <w:lang w:val="en-GB"/>
        </w:rPr>
        <w:t xml:space="preserve"> and 23</w:t>
      </w:r>
      <w:r w:rsidRPr="007F5E2A">
        <w:rPr>
          <w:rFonts w:cs="Calibri"/>
          <w:vertAlign w:val="superscript"/>
          <w:lang w:val="en-GB"/>
        </w:rPr>
        <w:t>rd</w:t>
      </w:r>
      <w:r w:rsidRPr="007F5E2A">
        <w:rPr>
          <w:rFonts w:cs="Calibri"/>
          <w:lang w:val="en-GB"/>
        </w:rPr>
        <w:t xml:space="preserve"> October 2020. In line with our </w:t>
      </w:r>
      <w:r w:rsidRPr="00DB74BF">
        <w:rPr>
          <w:rFonts w:cs="Calibri"/>
          <w:lang w:val="en-GB"/>
        </w:rPr>
        <w:t>multi-level governance</w:t>
      </w:r>
      <w:r w:rsidRPr="00037C61">
        <w:rPr>
          <w:rFonts w:cs="Calibri"/>
          <w:lang w:val="en-GB"/>
        </w:rPr>
        <w:t xml:space="preserve"> approach, four workshops were organised with local stakeholders (county level), whilst two additional workshops were organised for national stakeholders (ministries and national public authorities / agencies). In order to allow facilitate discussions using the national language, the events were organised in pairs of counties from Romania and Hungary separately and separately for the Romanian and Hungarian central governments, as follows:</w:t>
      </w:r>
    </w:p>
    <w:p w14:paraId="05576FC9" w14:textId="77777777" w:rsidR="003E3FCE" w:rsidRPr="00037C61" w:rsidRDefault="003E3FCE" w:rsidP="00014AA0">
      <w:pPr>
        <w:pStyle w:val="ListParagraph"/>
        <w:numPr>
          <w:ilvl w:val="0"/>
          <w:numId w:val="21"/>
        </w:numPr>
        <w:spacing w:after="0"/>
        <w:ind w:left="714" w:hanging="357"/>
        <w:rPr>
          <w:rFonts w:cs="Calibri"/>
          <w:lang w:val="en-GB"/>
        </w:rPr>
      </w:pPr>
      <w:r w:rsidRPr="00037C61">
        <w:rPr>
          <w:rFonts w:cs="Calibri"/>
          <w:lang w:val="en-GB"/>
        </w:rPr>
        <w:t>19.10.2020 Local Workshop: Satu Mare and Arad counties</w:t>
      </w:r>
    </w:p>
    <w:p w14:paraId="0668135E" w14:textId="77777777" w:rsidR="003E3FCE" w:rsidRPr="00037C61" w:rsidRDefault="003E3FCE" w:rsidP="00014AA0">
      <w:pPr>
        <w:pStyle w:val="ListParagraph"/>
        <w:numPr>
          <w:ilvl w:val="0"/>
          <w:numId w:val="21"/>
        </w:numPr>
        <w:spacing w:after="0"/>
        <w:ind w:left="714" w:hanging="357"/>
        <w:rPr>
          <w:rFonts w:cs="Calibri"/>
          <w:lang w:val="en-GB"/>
        </w:rPr>
      </w:pPr>
      <w:r w:rsidRPr="00037C61">
        <w:rPr>
          <w:rFonts w:cs="Calibri"/>
          <w:lang w:val="en-GB"/>
        </w:rPr>
        <w:t>20.10.2020 Local Workshop: Békés and Szabolcs-Szatmár-Bereg counties</w:t>
      </w:r>
    </w:p>
    <w:p w14:paraId="61BBAA1B" w14:textId="77777777" w:rsidR="003E3FCE" w:rsidRPr="00037C61" w:rsidRDefault="003E3FCE" w:rsidP="00014AA0">
      <w:pPr>
        <w:pStyle w:val="ListParagraph"/>
        <w:numPr>
          <w:ilvl w:val="0"/>
          <w:numId w:val="21"/>
        </w:numPr>
        <w:spacing w:after="0"/>
        <w:ind w:left="714" w:hanging="357"/>
        <w:rPr>
          <w:rFonts w:cs="Calibri"/>
          <w:lang w:val="en-GB"/>
        </w:rPr>
      </w:pPr>
      <w:r w:rsidRPr="00037C61">
        <w:rPr>
          <w:rFonts w:cs="Calibri"/>
          <w:lang w:val="en-GB"/>
        </w:rPr>
        <w:t xml:space="preserve">21.10.2020 Local Workshop: Hajdú-Bihar and Csongrád-Csanád counties </w:t>
      </w:r>
    </w:p>
    <w:p w14:paraId="7779A70C" w14:textId="77777777" w:rsidR="003E3FCE" w:rsidRPr="00037C61" w:rsidRDefault="003E3FCE" w:rsidP="00014AA0">
      <w:pPr>
        <w:pStyle w:val="ListParagraph"/>
        <w:numPr>
          <w:ilvl w:val="0"/>
          <w:numId w:val="21"/>
        </w:numPr>
        <w:spacing w:after="0"/>
        <w:ind w:left="714" w:hanging="357"/>
        <w:rPr>
          <w:rFonts w:cs="Calibri"/>
          <w:lang w:val="en-GB"/>
        </w:rPr>
      </w:pPr>
      <w:r w:rsidRPr="00037C61">
        <w:rPr>
          <w:rFonts w:cs="Calibri"/>
          <w:lang w:val="en-GB"/>
        </w:rPr>
        <w:t xml:space="preserve">22.10.2020 National Workshop (RO); </w:t>
      </w:r>
    </w:p>
    <w:p w14:paraId="110A5E04" w14:textId="5E738216" w:rsidR="003E3FCE" w:rsidRPr="00037C61" w:rsidRDefault="003E3FCE" w:rsidP="00014AA0">
      <w:pPr>
        <w:pStyle w:val="ListParagraph"/>
        <w:numPr>
          <w:ilvl w:val="0"/>
          <w:numId w:val="21"/>
        </w:numPr>
        <w:spacing w:after="0"/>
        <w:ind w:left="714" w:hanging="357"/>
        <w:rPr>
          <w:rFonts w:cs="Calibri"/>
          <w:lang w:val="en-GB"/>
        </w:rPr>
      </w:pPr>
      <w:r w:rsidRPr="00037C61">
        <w:rPr>
          <w:rFonts w:cs="Calibri"/>
          <w:lang w:val="en-GB"/>
        </w:rPr>
        <w:t>22.10.2020 National Workshop (HU)</w:t>
      </w:r>
      <w:r w:rsidR="37918065" w:rsidRPr="00037C61">
        <w:rPr>
          <w:rFonts w:cs="Calibri"/>
          <w:lang w:val="en-GB"/>
        </w:rPr>
        <w:t>;</w:t>
      </w:r>
    </w:p>
    <w:p w14:paraId="11FC6FF7" w14:textId="1440493B" w:rsidR="003E3FCE" w:rsidRPr="00037C61" w:rsidRDefault="003E3FCE" w:rsidP="00014AA0">
      <w:pPr>
        <w:pStyle w:val="ListParagraph"/>
        <w:numPr>
          <w:ilvl w:val="0"/>
          <w:numId w:val="21"/>
        </w:numPr>
        <w:spacing w:after="0"/>
        <w:ind w:left="714" w:hanging="357"/>
        <w:rPr>
          <w:rFonts w:cs="Calibri"/>
          <w:lang w:val="en-GB"/>
        </w:rPr>
      </w:pPr>
      <w:r w:rsidRPr="00037C61">
        <w:rPr>
          <w:rFonts w:cs="Calibri"/>
          <w:lang w:val="en-GB"/>
        </w:rPr>
        <w:t>23.10.2020 Local Workshop – Timiș and Bihor counties.</w:t>
      </w:r>
    </w:p>
    <w:p w14:paraId="1C60100E" w14:textId="030D5BB1" w:rsidR="003E3FCE" w:rsidRPr="00037C61" w:rsidRDefault="003E3FCE" w:rsidP="003E3FCE">
      <w:pPr>
        <w:rPr>
          <w:rFonts w:cs="Calibri"/>
          <w:lang w:val="en-GB"/>
        </w:rPr>
      </w:pPr>
      <w:r w:rsidRPr="00037C61">
        <w:rPr>
          <w:rFonts w:cs="Calibri"/>
          <w:lang w:val="en-GB"/>
        </w:rPr>
        <w:t xml:space="preserve">Due to Covid-19 provisions on social distancing and restrictions to travel, the workshops were organised through Zoom. Although during each workshop the TA team presented the preliminary findings of the territorial analysis (under the form of a synthetic SWOT), relevant for each PO, the following table summarises the focus of discussions held under each workshop, depending on stakeholders’ specific interest and priorities identified by them: </w:t>
      </w:r>
    </w:p>
    <w:p w14:paraId="57C5E899" w14:textId="77777777" w:rsidR="00662F53" w:rsidRPr="00037C61" w:rsidRDefault="00662F53" w:rsidP="003E3FCE">
      <w:pPr>
        <w:rPr>
          <w:rFonts w:cs="Calibri"/>
          <w:lang w:val="en-GB"/>
        </w:rPr>
      </w:pPr>
    </w:p>
    <w:p w14:paraId="26479E05" w14:textId="0734D2E8" w:rsidR="00662F53" w:rsidRPr="00037C61" w:rsidRDefault="00662F53" w:rsidP="00662F53">
      <w:pPr>
        <w:pStyle w:val="Caption"/>
        <w:keepNext/>
        <w:jc w:val="left"/>
        <w:rPr>
          <w:lang w:val="en-GB"/>
        </w:rPr>
      </w:pPr>
      <w:bookmarkStart w:id="911" w:name="_Toc58237677"/>
      <w:r w:rsidRPr="00037C61">
        <w:rPr>
          <w:lang w:val="en-GB"/>
        </w:rPr>
        <w:lastRenderedPageBreak/>
        <w:t xml:space="preserve">Table </w:t>
      </w:r>
      <w:r w:rsidR="00AB694E" w:rsidRPr="00037C61">
        <w:rPr>
          <w:lang w:val="en-GB"/>
        </w:rPr>
        <w:fldChar w:fldCharType="begin"/>
      </w:r>
      <w:r w:rsidR="00AB694E" w:rsidRPr="00037C61">
        <w:rPr>
          <w:lang w:val="en-GB"/>
        </w:rPr>
        <w:instrText xml:space="preserve"> SEQ Table \* ARABIC </w:instrText>
      </w:r>
      <w:r w:rsidR="00AB694E" w:rsidRPr="00037C61">
        <w:rPr>
          <w:lang w:val="en-GB"/>
        </w:rPr>
        <w:fldChar w:fldCharType="separate"/>
      </w:r>
      <w:r w:rsidR="005A7BD8">
        <w:rPr>
          <w:noProof/>
          <w:lang w:val="en-GB"/>
        </w:rPr>
        <w:t>55</w:t>
      </w:r>
      <w:r w:rsidR="00AB694E" w:rsidRPr="00037C61">
        <w:rPr>
          <w:noProof/>
          <w:lang w:val="en-GB"/>
        </w:rPr>
        <w:fldChar w:fldCharType="end"/>
      </w:r>
      <w:r w:rsidRPr="00037C61">
        <w:rPr>
          <w:lang w:val="en-GB"/>
        </w:rPr>
        <w:t xml:space="preserve"> - Overview of stakeholder consultation workshops</w:t>
      </w:r>
      <w:bookmarkEnd w:id="911"/>
    </w:p>
    <w:tbl>
      <w:tblPr>
        <w:tblStyle w:val="ListTable3-Accent11"/>
        <w:tblW w:w="0" w:type="auto"/>
        <w:tblLook w:val="04A0" w:firstRow="1" w:lastRow="0" w:firstColumn="1" w:lastColumn="0" w:noHBand="0" w:noVBand="1"/>
      </w:tblPr>
      <w:tblGrid>
        <w:gridCol w:w="3728"/>
        <w:gridCol w:w="735"/>
        <w:gridCol w:w="735"/>
        <w:gridCol w:w="735"/>
        <w:gridCol w:w="735"/>
        <w:gridCol w:w="735"/>
        <w:gridCol w:w="736"/>
        <w:gridCol w:w="736"/>
      </w:tblGrid>
      <w:tr w:rsidR="003E3FCE" w:rsidRPr="00037C61" w14:paraId="0DD4E80F" w14:textId="77777777" w:rsidTr="00662F53">
        <w:trPr>
          <w:cnfStyle w:val="100000000000" w:firstRow="1" w:lastRow="0" w:firstColumn="0" w:lastColumn="0" w:oddVBand="0" w:evenVBand="0" w:oddHBand="0" w:evenHBand="0" w:firstRowFirstColumn="0" w:firstRowLastColumn="0" w:lastRowFirstColumn="0" w:lastRowLastColumn="0"/>
          <w:trHeight w:val="318"/>
        </w:trPr>
        <w:tc>
          <w:tcPr>
            <w:cnfStyle w:val="001000000100" w:firstRow="0" w:lastRow="0" w:firstColumn="1" w:lastColumn="0" w:oddVBand="0" w:evenVBand="0" w:oddHBand="0" w:evenHBand="0" w:firstRowFirstColumn="1" w:firstRowLastColumn="0" w:lastRowFirstColumn="0" w:lastRowLastColumn="0"/>
            <w:tcW w:w="3728" w:type="dxa"/>
            <w:noWrap/>
            <w:hideMark/>
          </w:tcPr>
          <w:p w14:paraId="2C549AD7" w14:textId="77777777" w:rsidR="003E3FCE" w:rsidRPr="00037C61" w:rsidRDefault="003E3FCE" w:rsidP="00715111">
            <w:pPr>
              <w:rPr>
                <w:rFonts w:cs="Calibri"/>
                <w:sz w:val="20"/>
                <w:szCs w:val="20"/>
                <w:lang w:val="en-GB"/>
              </w:rPr>
            </w:pPr>
            <w:r w:rsidRPr="00037C61">
              <w:rPr>
                <w:rFonts w:cs="Calibri"/>
                <w:sz w:val="20"/>
                <w:szCs w:val="20"/>
                <w:lang w:val="en-GB"/>
              </w:rPr>
              <w:t xml:space="preserve">Date and place </w:t>
            </w:r>
          </w:p>
        </w:tc>
        <w:tc>
          <w:tcPr>
            <w:tcW w:w="735" w:type="dxa"/>
            <w:hideMark/>
          </w:tcPr>
          <w:p w14:paraId="52F64673"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PO 1</w:t>
            </w:r>
          </w:p>
        </w:tc>
        <w:tc>
          <w:tcPr>
            <w:tcW w:w="735" w:type="dxa"/>
            <w:hideMark/>
          </w:tcPr>
          <w:p w14:paraId="4CF995C0"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PO 2</w:t>
            </w:r>
          </w:p>
        </w:tc>
        <w:tc>
          <w:tcPr>
            <w:tcW w:w="735" w:type="dxa"/>
            <w:hideMark/>
          </w:tcPr>
          <w:p w14:paraId="1DF2B6C7"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PO 3</w:t>
            </w:r>
          </w:p>
        </w:tc>
        <w:tc>
          <w:tcPr>
            <w:tcW w:w="735" w:type="dxa"/>
            <w:hideMark/>
          </w:tcPr>
          <w:p w14:paraId="035AA379"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PO 4</w:t>
            </w:r>
          </w:p>
        </w:tc>
        <w:tc>
          <w:tcPr>
            <w:tcW w:w="735" w:type="dxa"/>
            <w:hideMark/>
          </w:tcPr>
          <w:p w14:paraId="473E0EC1"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PO 5</w:t>
            </w:r>
          </w:p>
        </w:tc>
        <w:tc>
          <w:tcPr>
            <w:tcW w:w="736" w:type="dxa"/>
            <w:hideMark/>
          </w:tcPr>
          <w:p w14:paraId="32C8EBFD"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ISO 1</w:t>
            </w:r>
          </w:p>
        </w:tc>
        <w:tc>
          <w:tcPr>
            <w:tcW w:w="736" w:type="dxa"/>
            <w:hideMark/>
          </w:tcPr>
          <w:p w14:paraId="611215A3"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ISO 2</w:t>
            </w:r>
          </w:p>
        </w:tc>
      </w:tr>
      <w:tr w:rsidR="003E3FCE" w:rsidRPr="00037C61" w14:paraId="78D05130" w14:textId="77777777" w:rsidTr="00662F53">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3728" w:type="dxa"/>
            <w:hideMark/>
          </w:tcPr>
          <w:p w14:paraId="3BD732C2" w14:textId="77777777" w:rsidR="003E3FCE" w:rsidRPr="00037C61" w:rsidRDefault="003E3FCE" w:rsidP="00715111">
            <w:pPr>
              <w:rPr>
                <w:rFonts w:cs="Calibri"/>
                <w:b w:val="0"/>
                <w:bCs w:val="0"/>
                <w:sz w:val="20"/>
                <w:szCs w:val="20"/>
                <w:lang w:val="en-GB"/>
              </w:rPr>
            </w:pPr>
            <w:r w:rsidRPr="00037C61">
              <w:rPr>
                <w:rFonts w:cs="Calibri"/>
                <w:b w:val="0"/>
                <w:bCs w:val="0"/>
                <w:sz w:val="20"/>
                <w:szCs w:val="20"/>
                <w:lang w:val="en-GB"/>
              </w:rPr>
              <w:t>19.10.2020 Workshop - Satu Mare / Arad</w:t>
            </w:r>
          </w:p>
        </w:tc>
        <w:tc>
          <w:tcPr>
            <w:tcW w:w="735" w:type="dxa"/>
            <w:noWrap/>
            <w:hideMark/>
          </w:tcPr>
          <w:p w14:paraId="5C2AB3DF"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6D436420"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4D6511F7"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396F11C3"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7509484B"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00275904"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6" w:type="dxa"/>
            <w:noWrap/>
            <w:hideMark/>
          </w:tcPr>
          <w:p w14:paraId="008E93FF"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r>
      <w:tr w:rsidR="003E3FCE" w:rsidRPr="004A5488" w14:paraId="56392313" w14:textId="77777777" w:rsidTr="00662F53">
        <w:trPr>
          <w:trHeight w:val="715"/>
        </w:trPr>
        <w:tc>
          <w:tcPr>
            <w:cnfStyle w:val="001000000000" w:firstRow="0" w:lastRow="0" w:firstColumn="1" w:lastColumn="0" w:oddVBand="0" w:evenVBand="0" w:oddHBand="0" w:evenHBand="0" w:firstRowFirstColumn="0" w:firstRowLastColumn="0" w:lastRowFirstColumn="0" w:lastRowLastColumn="0"/>
            <w:tcW w:w="3728" w:type="dxa"/>
            <w:hideMark/>
          </w:tcPr>
          <w:p w14:paraId="6AC78573" w14:textId="77777777" w:rsidR="003E3FCE" w:rsidRPr="00037C61" w:rsidRDefault="003E3FCE" w:rsidP="00715111">
            <w:pPr>
              <w:rPr>
                <w:rFonts w:cs="Calibri"/>
                <w:b w:val="0"/>
                <w:bCs w:val="0"/>
                <w:sz w:val="20"/>
                <w:szCs w:val="20"/>
                <w:lang w:val="en-GB"/>
              </w:rPr>
            </w:pPr>
            <w:r w:rsidRPr="00037C61">
              <w:rPr>
                <w:rFonts w:cs="Calibri"/>
                <w:b w:val="0"/>
                <w:bCs w:val="0"/>
                <w:sz w:val="20"/>
                <w:szCs w:val="20"/>
                <w:lang w:val="en-GB"/>
              </w:rPr>
              <w:t xml:space="preserve">20.10.2020 Workshop - Békés / Szabolcs-Szatmár-Bereg </w:t>
            </w:r>
          </w:p>
        </w:tc>
        <w:tc>
          <w:tcPr>
            <w:tcW w:w="735" w:type="dxa"/>
            <w:noWrap/>
            <w:hideMark/>
          </w:tcPr>
          <w:p w14:paraId="4DAEEEA0"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4B0542FF"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23E8066F"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174B82FB"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46EC8291"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7A59D508"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634E845F"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r>
      <w:tr w:rsidR="003E3FCE" w:rsidRPr="00037C61" w14:paraId="627CB3C7" w14:textId="77777777" w:rsidTr="00662F53">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3728" w:type="dxa"/>
            <w:hideMark/>
          </w:tcPr>
          <w:p w14:paraId="690385B0" w14:textId="77777777" w:rsidR="003E3FCE" w:rsidRPr="00037C61" w:rsidRDefault="003E3FCE" w:rsidP="00715111">
            <w:pPr>
              <w:rPr>
                <w:rFonts w:cs="Calibri"/>
                <w:b w:val="0"/>
                <w:bCs w:val="0"/>
                <w:sz w:val="20"/>
                <w:szCs w:val="20"/>
                <w:lang w:val="en-GB"/>
              </w:rPr>
            </w:pPr>
            <w:r w:rsidRPr="00037C61">
              <w:rPr>
                <w:rFonts w:cs="Calibri"/>
                <w:b w:val="0"/>
                <w:bCs w:val="0"/>
                <w:sz w:val="20"/>
                <w:szCs w:val="20"/>
                <w:lang w:val="en-GB"/>
              </w:rPr>
              <w:t xml:space="preserve">21.10.2020 Workshop - Hajdú-Bihar / Csongrád-Csanád </w:t>
            </w:r>
          </w:p>
        </w:tc>
        <w:tc>
          <w:tcPr>
            <w:tcW w:w="735" w:type="dxa"/>
            <w:noWrap/>
            <w:hideMark/>
          </w:tcPr>
          <w:p w14:paraId="15EE2246"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6BA597F1"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4AC2E173"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314FDE02"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6004B569"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2FB07050"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1ED16782"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r>
      <w:tr w:rsidR="003E3FCE" w:rsidRPr="00037C61" w14:paraId="40512FCD" w14:textId="77777777" w:rsidTr="00662F53">
        <w:trPr>
          <w:trHeight w:val="376"/>
        </w:trPr>
        <w:tc>
          <w:tcPr>
            <w:cnfStyle w:val="001000000000" w:firstRow="0" w:lastRow="0" w:firstColumn="1" w:lastColumn="0" w:oddVBand="0" w:evenVBand="0" w:oddHBand="0" w:evenHBand="0" w:firstRowFirstColumn="0" w:firstRowLastColumn="0" w:lastRowFirstColumn="0" w:lastRowLastColumn="0"/>
            <w:tcW w:w="3728" w:type="dxa"/>
            <w:hideMark/>
          </w:tcPr>
          <w:p w14:paraId="6509B30E" w14:textId="77777777" w:rsidR="003E3FCE" w:rsidRPr="00037C61" w:rsidRDefault="003E3FCE" w:rsidP="00715111">
            <w:pPr>
              <w:rPr>
                <w:rFonts w:cs="Calibri"/>
                <w:b w:val="0"/>
                <w:bCs w:val="0"/>
                <w:sz w:val="20"/>
                <w:szCs w:val="20"/>
                <w:lang w:val="en-GB"/>
              </w:rPr>
            </w:pPr>
            <w:r w:rsidRPr="00037C61">
              <w:rPr>
                <w:rFonts w:cs="Calibri"/>
                <w:b w:val="0"/>
                <w:bCs w:val="0"/>
                <w:sz w:val="20"/>
                <w:szCs w:val="20"/>
                <w:lang w:val="en-GB"/>
              </w:rPr>
              <w:t>22.10.2020 Workshop (RO) - National level</w:t>
            </w:r>
          </w:p>
        </w:tc>
        <w:tc>
          <w:tcPr>
            <w:tcW w:w="735" w:type="dxa"/>
            <w:noWrap/>
            <w:hideMark/>
          </w:tcPr>
          <w:p w14:paraId="35C9E2AE"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1D09FB10"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22F16417"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21998094"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18E6666A"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6" w:type="dxa"/>
            <w:noWrap/>
            <w:hideMark/>
          </w:tcPr>
          <w:p w14:paraId="59F3B045"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6" w:type="dxa"/>
            <w:noWrap/>
            <w:hideMark/>
          </w:tcPr>
          <w:p w14:paraId="74BE3702"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r>
      <w:tr w:rsidR="003E3FCE" w:rsidRPr="00037C61" w14:paraId="0CEB4E42" w14:textId="77777777" w:rsidTr="00662F53">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3728" w:type="dxa"/>
            <w:hideMark/>
          </w:tcPr>
          <w:p w14:paraId="05A3B0DB" w14:textId="77777777" w:rsidR="003E3FCE" w:rsidRPr="00037C61" w:rsidRDefault="003E3FCE" w:rsidP="00715111">
            <w:pPr>
              <w:rPr>
                <w:rFonts w:cs="Calibri"/>
                <w:b w:val="0"/>
                <w:bCs w:val="0"/>
                <w:sz w:val="20"/>
                <w:szCs w:val="20"/>
                <w:lang w:val="en-GB"/>
              </w:rPr>
            </w:pPr>
            <w:r w:rsidRPr="00037C61">
              <w:rPr>
                <w:rFonts w:cs="Calibri"/>
                <w:b w:val="0"/>
                <w:bCs w:val="0"/>
                <w:sz w:val="20"/>
                <w:szCs w:val="20"/>
                <w:lang w:val="en-GB"/>
              </w:rPr>
              <w:t>22.10.2020 Workshop (HU) - National level</w:t>
            </w:r>
          </w:p>
        </w:tc>
        <w:tc>
          <w:tcPr>
            <w:tcW w:w="735" w:type="dxa"/>
            <w:noWrap/>
            <w:hideMark/>
          </w:tcPr>
          <w:p w14:paraId="51691BD9"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485E3577"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6135E3B4"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5" w:type="dxa"/>
            <w:noWrap/>
            <w:hideMark/>
          </w:tcPr>
          <w:p w14:paraId="6B6D698C"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5F77150C"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766F4A7E"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6" w:type="dxa"/>
            <w:noWrap/>
            <w:hideMark/>
          </w:tcPr>
          <w:p w14:paraId="2689BB83"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sz w:val="20"/>
                <w:szCs w:val="20"/>
                <w:lang w:val="en-GB"/>
              </w:rPr>
            </w:pPr>
            <w:r w:rsidRPr="00037C61">
              <w:rPr>
                <w:rFonts w:cs="Calibri"/>
                <w:sz w:val="20"/>
                <w:szCs w:val="20"/>
                <w:lang w:val="en-GB"/>
              </w:rPr>
              <w:t> </w:t>
            </w:r>
          </w:p>
        </w:tc>
      </w:tr>
      <w:tr w:rsidR="003E3FCE" w:rsidRPr="00037C61" w14:paraId="6C5F5061" w14:textId="77777777" w:rsidTr="00662F53">
        <w:trPr>
          <w:trHeight w:val="376"/>
        </w:trPr>
        <w:tc>
          <w:tcPr>
            <w:cnfStyle w:val="001000000000" w:firstRow="0" w:lastRow="0" w:firstColumn="1" w:lastColumn="0" w:oddVBand="0" w:evenVBand="0" w:oddHBand="0" w:evenHBand="0" w:firstRowFirstColumn="0" w:firstRowLastColumn="0" w:lastRowFirstColumn="0" w:lastRowLastColumn="0"/>
            <w:tcW w:w="3728" w:type="dxa"/>
            <w:hideMark/>
          </w:tcPr>
          <w:p w14:paraId="3A260043" w14:textId="77777777" w:rsidR="003E3FCE" w:rsidRPr="00037C61" w:rsidRDefault="003E3FCE" w:rsidP="00715111">
            <w:pPr>
              <w:rPr>
                <w:rFonts w:cs="Calibri"/>
                <w:b w:val="0"/>
                <w:bCs w:val="0"/>
                <w:sz w:val="20"/>
                <w:szCs w:val="20"/>
                <w:lang w:val="en-GB"/>
              </w:rPr>
            </w:pPr>
            <w:r w:rsidRPr="00037C61">
              <w:rPr>
                <w:rFonts w:cs="Calibri"/>
                <w:b w:val="0"/>
                <w:bCs w:val="0"/>
                <w:sz w:val="20"/>
                <w:szCs w:val="20"/>
                <w:lang w:val="en-GB"/>
              </w:rPr>
              <w:t xml:space="preserve">23.10.2020 Workshop - Timis / Bihor </w:t>
            </w:r>
          </w:p>
        </w:tc>
        <w:tc>
          <w:tcPr>
            <w:tcW w:w="735" w:type="dxa"/>
            <w:noWrap/>
            <w:hideMark/>
          </w:tcPr>
          <w:p w14:paraId="0A807383"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7CDC21C2"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24080005"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61F5930F"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5" w:type="dxa"/>
            <w:noWrap/>
            <w:hideMark/>
          </w:tcPr>
          <w:p w14:paraId="25179F16"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c>
          <w:tcPr>
            <w:tcW w:w="736" w:type="dxa"/>
            <w:noWrap/>
            <w:hideMark/>
          </w:tcPr>
          <w:p w14:paraId="163ED368"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1</w:t>
            </w:r>
          </w:p>
        </w:tc>
        <w:tc>
          <w:tcPr>
            <w:tcW w:w="736" w:type="dxa"/>
            <w:noWrap/>
            <w:hideMark/>
          </w:tcPr>
          <w:p w14:paraId="0340EA0B" w14:textId="77777777" w:rsidR="003E3FCE" w:rsidRPr="00037C61" w:rsidRDefault="003E3FCE" w:rsidP="00715111">
            <w:pPr>
              <w:cnfStyle w:val="000000000000" w:firstRow="0" w:lastRow="0" w:firstColumn="0" w:lastColumn="0" w:oddVBand="0" w:evenVBand="0" w:oddHBand="0" w:evenHBand="0" w:firstRowFirstColumn="0" w:firstRowLastColumn="0" w:lastRowFirstColumn="0" w:lastRowLastColumn="0"/>
              <w:rPr>
                <w:rFonts w:cs="Calibri"/>
                <w:sz w:val="20"/>
                <w:szCs w:val="20"/>
                <w:lang w:val="en-GB"/>
              </w:rPr>
            </w:pPr>
            <w:r w:rsidRPr="00037C61">
              <w:rPr>
                <w:rFonts w:cs="Calibri"/>
                <w:sz w:val="20"/>
                <w:szCs w:val="20"/>
                <w:lang w:val="en-GB"/>
              </w:rPr>
              <w:t> </w:t>
            </w:r>
          </w:p>
        </w:tc>
      </w:tr>
      <w:tr w:rsidR="003E3FCE" w:rsidRPr="00037C61" w14:paraId="48838F3C" w14:textId="77777777" w:rsidTr="00662F53">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3728" w:type="dxa"/>
            <w:hideMark/>
          </w:tcPr>
          <w:p w14:paraId="1F9B95C6" w14:textId="23A2512A" w:rsidR="003E3FCE" w:rsidRPr="00037C61" w:rsidRDefault="00662F53" w:rsidP="00715111">
            <w:pPr>
              <w:rPr>
                <w:rFonts w:cs="Calibri"/>
                <w:sz w:val="20"/>
                <w:szCs w:val="20"/>
                <w:lang w:val="en-GB"/>
              </w:rPr>
            </w:pPr>
            <w:r w:rsidRPr="00037C61">
              <w:rPr>
                <w:rFonts w:cs="Calibri"/>
                <w:sz w:val="20"/>
                <w:szCs w:val="20"/>
                <w:lang w:val="en-GB"/>
              </w:rPr>
              <w:t>TOTAL</w:t>
            </w:r>
          </w:p>
        </w:tc>
        <w:tc>
          <w:tcPr>
            <w:tcW w:w="735" w:type="dxa"/>
            <w:noWrap/>
            <w:hideMark/>
          </w:tcPr>
          <w:p w14:paraId="1F928720"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2</w:t>
            </w:r>
          </w:p>
        </w:tc>
        <w:tc>
          <w:tcPr>
            <w:tcW w:w="735" w:type="dxa"/>
            <w:noWrap/>
            <w:hideMark/>
          </w:tcPr>
          <w:p w14:paraId="53568F32"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3</w:t>
            </w:r>
          </w:p>
        </w:tc>
        <w:tc>
          <w:tcPr>
            <w:tcW w:w="735" w:type="dxa"/>
            <w:noWrap/>
            <w:hideMark/>
          </w:tcPr>
          <w:p w14:paraId="3AC05053"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2</w:t>
            </w:r>
          </w:p>
        </w:tc>
        <w:tc>
          <w:tcPr>
            <w:tcW w:w="735" w:type="dxa"/>
            <w:noWrap/>
            <w:hideMark/>
          </w:tcPr>
          <w:p w14:paraId="7ED64DD9"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4</w:t>
            </w:r>
          </w:p>
        </w:tc>
        <w:tc>
          <w:tcPr>
            <w:tcW w:w="735" w:type="dxa"/>
            <w:noWrap/>
            <w:hideMark/>
          </w:tcPr>
          <w:p w14:paraId="7E758BE5"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1</w:t>
            </w:r>
          </w:p>
        </w:tc>
        <w:tc>
          <w:tcPr>
            <w:tcW w:w="736" w:type="dxa"/>
            <w:noWrap/>
            <w:hideMark/>
          </w:tcPr>
          <w:p w14:paraId="7E84B903"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4</w:t>
            </w:r>
          </w:p>
        </w:tc>
        <w:tc>
          <w:tcPr>
            <w:tcW w:w="736" w:type="dxa"/>
            <w:noWrap/>
            <w:hideMark/>
          </w:tcPr>
          <w:p w14:paraId="44BAACCA" w14:textId="77777777" w:rsidR="003E3FCE" w:rsidRPr="00037C61" w:rsidRDefault="003E3FCE" w:rsidP="00715111">
            <w:pPr>
              <w:cnfStyle w:val="000000100000" w:firstRow="0" w:lastRow="0" w:firstColumn="0" w:lastColumn="0" w:oddVBand="0" w:evenVBand="0" w:oddHBand="1" w:evenHBand="0" w:firstRowFirstColumn="0" w:firstRowLastColumn="0" w:lastRowFirstColumn="0" w:lastRowLastColumn="0"/>
              <w:rPr>
                <w:rFonts w:cs="Calibri"/>
                <w:b/>
                <w:bCs/>
                <w:sz w:val="20"/>
                <w:szCs w:val="20"/>
                <w:lang w:val="en-GB"/>
              </w:rPr>
            </w:pPr>
            <w:r w:rsidRPr="00037C61">
              <w:rPr>
                <w:rFonts w:cs="Calibri"/>
                <w:b/>
                <w:bCs/>
                <w:sz w:val="20"/>
                <w:szCs w:val="20"/>
                <w:lang w:val="en-GB"/>
              </w:rPr>
              <w:t>2</w:t>
            </w:r>
          </w:p>
        </w:tc>
      </w:tr>
    </w:tbl>
    <w:p w14:paraId="7A1AC011" w14:textId="77777777" w:rsidR="003E3FCE" w:rsidRPr="00037C61" w:rsidRDefault="003E3FCE" w:rsidP="003E3FCE">
      <w:pPr>
        <w:rPr>
          <w:rFonts w:cs="Calibri"/>
          <w:lang w:val="en-GB"/>
        </w:rPr>
      </w:pPr>
    </w:p>
    <w:p w14:paraId="6F47531E" w14:textId="77777777" w:rsidR="003E3FCE" w:rsidRPr="00037C61" w:rsidRDefault="003E3FCE" w:rsidP="003E3FCE">
      <w:pPr>
        <w:rPr>
          <w:rFonts w:cs="Calibri"/>
          <w:lang w:val="en-GB"/>
        </w:rPr>
      </w:pPr>
      <w:r w:rsidRPr="00DB74BF">
        <w:rPr>
          <w:rFonts w:cs="Calibri"/>
          <w:lang w:val="en-GB"/>
        </w:rPr>
        <w:t>The table reveals that the great majority of the participants preferred to focus discussions on PO 4 (especially health care services and health status of population) and ISO 1 (cross-border governance, legal barriers, joint strategies), whilst PO 2 (especially joint management of natural hazards) also gained the attention of participants during 3 out of 6 workshops.</w:t>
      </w:r>
    </w:p>
    <w:p w14:paraId="474393F5" w14:textId="474D27C6" w:rsidR="003E3FCE" w:rsidRPr="00037C61" w:rsidRDefault="003E3FCE" w:rsidP="003E3FCE">
      <w:pPr>
        <w:rPr>
          <w:rFonts w:cs="Calibri"/>
          <w:lang w:val="en-GB"/>
        </w:rPr>
      </w:pPr>
      <w:r w:rsidRPr="00037C61">
        <w:rPr>
          <w:rFonts w:cs="Calibri"/>
          <w:lang w:val="en-GB"/>
        </w:rPr>
        <w:t>It is also worth mentioning that the majority of participants stressed the importance of cross-border internal cohesion analysis and proper treatment of marginalised areas, in order to promote more relevant interventions from the perspective of reducing internal disparities and promoting a higher impact of future interventions on the whole cross-border territory. Also, the majority of participants highlighted to a certain extent the importance of correlation and cross-fertilisation across the policy objectives. Other cross-cutting priorities often identified by stakeholders at different governance levels include:</w:t>
      </w:r>
      <w:r w:rsidR="6F168387" w:rsidRPr="00037C61">
        <w:rPr>
          <w:rFonts w:cs="Calibri"/>
          <w:lang w:val="en-GB"/>
        </w:rPr>
        <w:t xml:space="preserve"> </w:t>
      </w:r>
      <w:r w:rsidR="108FBF22" w:rsidRPr="00037C61">
        <w:rPr>
          <w:rFonts w:cs="Calibri"/>
          <w:lang w:val="en-GB"/>
        </w:rPr>
        <w:t>t</w:t>
      </w:r>
      <w:r w:rsidRPr="00037C61">
        <w:rPr>
          <w:rFonts w:cs="Calibri"/>
          <w:lang w:val="en-GB"/>
        </w:rPr>
        <w:t>he development of interventions aiming at stopping depopulation and retaining young people in the cross-border area and, in particular, in marginalised communities and territories;</w:t>
      </w:r>
      <w:r w:rsidR="4CE72498" w:rsidRPr="00037C61">
        <w:rPr>
          <w:rFonts w:cs="Calibri"/>
          <w:lang w:val="en-GB"/>
        </w:rPr>
        <w:t xml:space="preserve"> </w:t>
      </w:r>
      <w:r w:rsidR="0B6BD417" w:rsidRPr="00037C61">
        <w:rPr>
          <w:rFonts w:cs="Calibri"/>
          <w:lang w:val="en-GB"/>
        </w:rPr>
        <w:t>t</w:t>
      </w:r>
      <w:r w:rsidRPr="00037C61">
        <w:rPr>
          <w:rFonts w:cs="Calibri"/>
          <w:lang w:val="en-GB"/>
        </w:rPr>
        <w:t>he development of mechanisms to ensure a strong complementarity with other programmes and policies;</w:t>
      </w:r>
      <w:r w:rsidR="4D867EAA" w:rsidRPr="00037C61">
        <w:rPr>
          <w:rFonts w:cs="Calibri"/>
          <w:lang w:val="en-GB"/>
        </w:rPr>
        <w:t xml:space="preserve"> and </w:t>
      </w:r>
      <w:r w:rsidR="097AE3EB" w:rsidRPr="00037C61">
        <w:rPr>
          <w:rFonts w:cs="Calibri"/>
          <w:lang w:val="en-GB"/>
        </w:rPr>
        <w:t>t</w:t>
      </w:r>
      <w:r w:rsidRPr="00037C61">
        <w:rPr>
          <w:rFonts w:cs="Calibri"/>
          <w:lang w:val="en-GB"/>
        </w:rPr>
        <w:t xml:space="preserve">he need to better analyse and tackle administrative and legal barriers to cooperation. </w:t>
      </w:r>
    </w:p>
    <w:p w14:paraId="068FF5E6" w14:textId="430B8BD2" w:rsidR="003E3FCE" w:rsidRPr="00037C61" w:rsidRDefault="003E3FCE" w:rsidP="003E3FCE">
      <w:pPr>
        <w:rPr>
          <w:rFonts w:cs="Calibri"/>
          <w:lang w:val="en-GB"/>
        </w:rPr>
      </w:pPr>
      <w:r w:rsidRPr="00037C61">
        <w:rPr>
          <w:rFonts w:cs="Calibri"/>
          <w:lang w:val="en-GB"/>
        </w:rPr>
        <w:t>La</w:t>
      </w:r>
      <w:r w:rsidR="70C8B198" w:rsidRPr="00037C61">
        <w:rPr>
          <w:rFonts w:cs="Calibri"/>
          <w:lang w:val="en-GB"/>
        </w:rPr>
        <w:t>s</w:t>
      </w:r>
      <w:r w:rsidRPr="00037C61">
        <w:rPr>
          <w:rFonts w:cs="Calibri"/>
          <w:lang w:val="en-GB"/>
        </w:rPr>
        <w:t xml:space="preserve">t but not least, digitalisation was often mentioned as a transversal priority needed to improve public services in the whole area and for several fields, but especially for health-care and emergency services (however, the digitalisation of cultural heritage, data exchange for border management and data exchange for climate change and environmental quality have </w:t>
      </w:r>
      <w:r w:rsidR="006D51AB" w:rsidRPr="00037C61">
        <w:rPr>
          <w:rFonts w:cs="Calibri"/>
          <w:lang w:val="en-GB"/>
        </w:rPr>
        <w:t xml:space="preserve">also </w:t>
      </w:r>
      <w:r w:rsidRPr="00037C61">
        <w:rPr>
          <w:rFonts w:cs="Calibri"/>
          <w:lang w:val="en-GB"/>
        </w:rPr>
        <w:t xml:space="preserve">been mentioned). </w:t>
      </w:r>
    </w:p>
    <w:p w14:paraId="57AAA0AE" w14:textId="6D2CD014" w:rsidR="00662F53" w:rsidRPr="00037C61" w:rsidRDefault="00662F53" w:rsidP="00662F53">
      <w:pPr>
        <w:pStyle w:val="Caption"/>
        <w:keepNext/>
        <w:jc w:val="left"/>
        <w:rPr>
          <w:lang w:val="en-GB"/>
        </w:rPr>
      </w:pPr>
      <w:bookmarkStart w:id="912" w:name="_Toc58237678"/>
      <w:r w:rsidRPr="00037C61">
        <w:rPr>
          <w:lang w:val="en-GB"/>
        </w:rPr>
        <w:t xml:space="preserve">Table </w:t>
      </w:r>
      <w:r w:rsidR="00AB694E" w:rsidRPr="00037C61">
        <w:rPr>
          <w:lang w:val="en-GB"/>
        </w:rPr>
        <w:fldChar w:fldCharType="begin"/>
      </w:r>
      <w:r w:rsidR="00AB694E" w:rsidRPr="00037C61">
        <w:rPr>
          <w:lang w:val="en-GB"/>
        </w:rPr>
        <w:instrText xml:space="preserve"> SEQ Table \* ARABIC </w:instrText>
      </w:r>
      <w:r w:rsidR="00AB694E" w:rsidRPr="00037C61">
        <w:rPr>
          <w:lang w:val="en-GB"/>
        </w:rPr>
        <w:fldChar w:fldCharType="separate"/>
      </w:r>
      <w:r w:rsidR="005A7BD8">
        <w:rPr>
          <w:noProof/>
          <w:lang w:val="en-GB"/>
        </w:rPr>
        <w:t>56</w:t>
      </w:r>
      <w:r w:rsidR="00AB694E" w:rsidRPr="00037C61">
        <w:rPr>
          <w:noProof/>
          <w:lang w:val="en-GB"/>
        </w:rPr>
        <w:fldChar w:fldCharType="end"/>
      </w:r>
      <w:r w:rsidRPr="00037C61">
        <w:rPr>
          <w:lang w:val="en-GB"/>
        </w:rPr>
        <w:t xml:space="preserve"> - Cross-cutting priority identification within the stakeholder consultation workshops</w:t>
      </w:r>
      <w:bookmarkEnd w:id="912"/>
    </w:p>
    <w:tbl>
      <w:tblPr>
        <w:tblStyle w:val="ListTable3-Accent11"/>
        <w:tblW w:w="9530" w:type="dxa"/>
        <w:tblLook w:val="04A0" w:firstRow="1" w:lastRow="0" w:firstColumn="1" w:lastColumn="0" w:noHBand="0" w:noVBand="1"/>
      </w:tblPr>
      <w:tblGrid>
        <w:gridCol w:w="1750"/>
        <w:gridCol w:w="1185"/>
        <w:gridCol w:w="1239"/>
        <w:gridCol w:w="984"/>
        <w:gridCol w:w="1683"/>
        <w:gridCol w:w="1518"/>
        <w:gridCol w:w="1171"/>
      </w:tblGrid>
      <w:tr w:rsidR="003E3FCE" w:rsidRPr="00037C61" w14:paraId="01E5AD8D" w14:textId="77777777" w:rsidTr="00662F53">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1750" w:type="dxa"/>
            <w:vMerge w:val="restart"/>
            <w:noWrap/>
            <w:hideMark/>
          </w:tcPr>
          <w:p w14:paraId="5BD92E80" w14:textId="77777777" w:rsidR="003E3FCE" w:rsidRPr="00037C61" w:rsidRDefault="003E3FCE" w:rsidP="00715111">
            <w:pPr>
              <w:rPr>
                <w:rFonts w:cs="Calibri"/>
                <w:sz w:val="18"/>
                <w:szCs w:val="18"/>
                <w:lang w:val="en-GB"/>
              </w:rPr>
            </w:pPr>
            <w:r w:rsidRPr="00037C61">
              <w:rPr>
                <w:rFonts w:cs="Calibri"/>
                <w:sz w:val="18"/>
                <w:szCs w:val="18"/>
                <w:lang w:val="en-GB"/>
              </w:rPr>
              <w:t> </w:t>
            </w:r>
          </w:p>
        </w:tc>
        <w:tc>
          <w:tcPr>
            <w:tcW w:w="7780" w:type="dxa"/>
            <w:gridSpan w:val="6"/>
            <w:hideMark/>
          </w:tcPr>
          <w:p w14:paraId="35D9DC50" w14:textId="77777777" w:rsidR="003E3FCE" w:rsidRPr="00037C61" w:rsidRDefault="003E3FCE" w:rsidP="00715111">
            <w:pPr>
              <w:cnfStyle w:val="100000000000" w:firstRow="1" w:lastRow="0" w:firstColumn="0" w:lastColumn="0" w:oddVBand="0" w:evenVBand="0" w:oddHBand="0" w:evenHBand="0" w:firstRowFirstColumn="0" w:firstRowLastColumn="0" w:lastRowFirstColumn="0" w:lastRowLastColumn="0"/>
              <w:rPr>
                <w:rFonts w:cs="Calibri"/>
                <w:sz w:val="18"/>
                <w:szCs w:val="18"/>
                <w:lang w:val="en-GB"/>
              </w:rPr>
            </w:pPr>
            <w:r w:rsidRPr="00037C61">
              <w:rPr>
                <w:rFonts w:cs="Calibri"/>
                <w:sz w:val="18"/>
                <w:szCs w:val="18"/>
                <w:lang w:val="en-GB"/>
              </w:rPr>
              <w:t xml:space="preserve">Other cross-cutting priorities </w:t>
            </w:r>
          </w:p>
        </w:tc>
      </w:tr>
      <w:tr w:rsidR="003E3FCE" w:rsidRPr="00037C61" w14:paraId="6A82A798" w14:textId="77777777" w:rsidTr="00662F53">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1750" w:type="dxa"/>
            <w:vMerge/>
            <w:hideMark/>
          </w:tcPr>
          <w:p w14:paraId="633FAE72" w14:textId="77777777" w:rsidR="003E3FCE" w:rsidRPr="00037C61" w:rsidRDefault="003E3FCE" w:rsidP="00715111">
            <w:pPr>
              <w:rPr>
                <w:rFonts w:cs="Calibri"/>
                <w:sz w:val="18"/>
                <w:szCs w:val="18"/>
                <w:lang w:val="en-GB"/>
              </w:rPr>
            </w:pPr>
          </w:p>
        </w:tc>
        <w:tc>
          <w:tcPr>
            <w:tcW w:w="1185" w:type="dxa"/>
            <w:hideMark/>
          </w:tcPr>
          <w:p w14:paraId="1D143C69"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Internal cohesion / marginalised areas</w:t>
            </w:r>
          </w:p>
        </w:tc>
        <w:tc>
          <w:tcPr>
            <w:tcW w:w="1239" w:type="dxa"/>
            <w:hideMark/>
          </w:tcPr>
          <w:p w14:paraId="2C5E4F54" w14:textId="426735D3"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Stopping depopulation and retain youth</w:t>
            </w:r>
          </w:p>
        </w:tc>
        <w:tc>
          <w:tcPr>
            <w:tcW w:w="984" w:type="dxa"/>
            <w:hideMark/>
          </w:tcPr>
          <w:p w14:paraId="3916126C"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Synergies within POs</w:t>
            </w:r>
          </w:p>
        </w:tc>
        <w:tc>
          <w:tcPr>
            <w:tcW w:w="1683" w:type="dxa"/>
            <w:hideMark/>
          </w:tcPr>
          <w:p w14:paraId="1ECD88F6" w14:textId="0C88AD22"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Complementarities with other programmes</w:t>
            </w:r>
          </w:p>
        </w:tc>
        <w:tc>
          <w:tcPr>
            <w:tcW w:w="1518" w:type="dxa"/>
            <w:hideMark/>
          </w:tcPr>
          <w:p w14:paraId="4E0C0308" w14:textId="72669DC8"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Better assessing legal and administrative barriers</w:t>
            </w:r>
          </w:p>
        </w:tc>
        <w:tc>
          <w:tcPr>
            <w:tcW w:w="1171" w:type="dxa"/>
            <w:hideMark/>
          </w:tcPr>
          <w:p w14:paraId="3DDD368D"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sz w:val="18"/>
                <w:szCs w:val="18"/>
                <w:lang w:val="en-GB"/>
              </w:rPr>
            </w:pPr>
            <w:r w:rsidRPr="00037C61">
              <w:rPr>
                <w:rFonts w:cs="Calibri"/>
                <w:sz w:val="18"/>
                <w:szCs w:val="18"/>
                <w:lang w:val="en-GB"/>
              </w:rPr>
              <w:t>Digitalisation</w:t>
            </w:r>
          </w:p>
        </w:tc>
      </w:tr>
      <w:tr w:rsidR="003E3FCE" w:rsidRPr="00037C61" w14:paraId="458A5B01" w14:textId="77777777" w:rsidTr="00662F53">
        <w:trPr>
          <w:trHeight w:val="300"/>
        </w:trPr>
        <w:tc>
          <w:tcPr>
            <w:cnfStyle w:val="001000000000" w:firstRow="0" w:lastRow="0" w:firstColumn="1" w:lastColumn="0" w:oddVBand="0" w:evenVBand="0" w:oddHBand="0" w:evenHBand="0" w:firstRowFirstColumn="0" w:firstRowLastColumn="0" w:lastRowFirstColumn="0" w:lastRowLastColumn="0"/>
            <w:tcW w:w="1750" w:type="dxa"/>
            <w:hideMark/>
          </w:tcPr>
          <w:p w14:paraId="31647365" w14:textId="77777777" w:rsidR="003E3FCE" w:rsidRPr="00037C61" w:rsidRDefault="003E3FCE" w:rsidP="00715111">
            <w:pPr>
              <w:rPr>
                <w:rFonts w:cs="Calibri"/>
                <w:b w:val="0"/>
                <w:bCs w:val="0"/>
                <w:sz w:val="18"/>
                <w:szCs w:val="18"/>
                <w:lang w:val="en-GB"/>
              </w:rPr>
            </w:pPr>
            <w:r w:rsidRPr="00037C61">
              <w:rPr>
                <w:rFonts w:cs="Calibri"/>
                <w:b w:val="0"/>
                <w:bCs w:val="0"/>
                <w:sz w:val="18"/>
                <w:szCs w:val="18"/>
                <w:lang w:val="en-GB"/>
              </w:rPr>
              <w:t>19.10.2020 Workshop - Satu Mare / Arad</w:t>
            </w:r>
          </w:p>
        </w:tc>
        <w:tc>
          <w:tcPr>
            <w:tcW w:w="1185" w:type="dxa"/>
            <w:noWrap/>
            <w:hideMark/>
          </w:tcPr>
          <w:p w14:paraId="75ABC939"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239" w:type="dxa"/>
            <w:noWrap/>
            <w:hideMark/>
          </w:tcPr>
          <w:p w14:paraId="5A538040" w14:textId="04562C2E"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c>
          <w:tcPr>
            <w:tcW w:w="984" w:type="dxa"/>
            <w:noWrap/>
            <w:hideMark/>
          </w:tcPr>
          <w:p w14:paraId="506BEA7F" w14:textId="78E99349"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c>
          <w:tcPr>
            <w:tcW w:w="1683" w:type="dxa"/>
            <w:noWrap/>
            <w:hideMark/>
          </w:tcPr>
          <w:p w14:paraId="570FDC68" w14:textId="7AA04F80" w:rsidR="003E3FCE" w:rsidRPr="00037C61" w:rsidRDefault="0093376D"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518" w:type="dxa"/>
            <w:noWrap/>
            <w:hideMark/>
          </w:tcPr>
          <w:p w14:paraId="16876C8F"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171" w:type="dxa"/>
            <w:noWrap/>
            <w:hideMark/>
          </w:tcPr>
          <w:p w14:paraId="645C5734"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r>
      <w:tr w:rsidR="003E3FCE" w:rsidRPr="00037C61" w14:paraId="191D7B6C" w14:textId="77777777" w:rsidTr="00662F5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50" w:type="dxa"/>
            <w:hideMark/>
          </w:tcPr>
          <w:p w14:paraId="67D20B87" w14:textId="77777777" w:rsidR="003E3FCE" w:rsidRPr="00037C61" w:rsidRDefault="003E3FCE" w:rsidP="00715111">
            <w:pPr>
              <w:rPr>
                <w:rFonts w:cs="Calibri"/>
                <w:b w:val="0"/>
                <w:bCs w:val="0"/>
                <w:sz w:val="18"/>
                <w:szCs w:val="18"/>
                <w:lang w:val="en-GB"/>
              </w:rPr>
            </w:pPr>
            <w:r w:rsidRPr="00037C61">
              <w:rPr>
                <w:rFonts w:cs="Calibri"/>
                <w:b w:val="0"/>
                <w:bCs w:val="0"/>
                <w:sz w:val="18"/>
                <w:szCs w:val="18"/>
                <w:lang w:val="en-GB"/>
              </w:rPr>
              <w:t xml:space="preserve">20.10.2020 Workshop - Békés / Szabolcs-Szatmár-Bereg </w:t>
            </w:r>
          </w:p>
        </w:tc>
        <w:tc>
          <w:tcPr>
            <w:tcW w:w="1185" w:type="dxa"/>
            <w:noWrap/>
            <w:hideMark/>
          </w:tcPr>
          <w:p w14:paraId="001135E7"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1239" w:type="dxa"/>
            <w:noWrap/>
            <w:hideMark/>
          </w:tcPr>
          <w:p w14:paraId="2F4D9C10" w14:textId="33C448AA"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984" w:type="dxa"/>
            <w:noWrap/>
            <w:hideMark/>
          </w:tcPr>
          <w:p w14:paraId="4F68CDAE" w14:textId="0C24600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1683" w:type="dxa"/>
            <w:noWrap/>
            <w:hideMark/>
          </w:tcPr>
          <w:p w14:paraId="02A778B6" w14:textId="6A849DD8"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1518" w:type="dxa"/>
            <w:noWrap/>
            <w:hideMark/>
          </w:tcPr>
          <w:p w14:paraId="6DCE9231" w14:textId="7CA8553C"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1171" w:type="dxa"/>
            <w:noWrap/>
            <w:hideMark/>
          </w:tcPr>
          <w:p w14:paraId="28CB44DC" w14:textId="60DAE2F8"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r>
      <w:tr w:rsidR="003E3FCE" w:rsidRPr="00037C61" w14:paraId="2DBC7813" w14:textId="77777777" w:rsidTr="00662F53">
        <w:trPr>
          <w:trHeight w:val="300"/>
        </w:trPr>
        <w:tc>
          <w:tcPr>
            <w:cnfStyle w:val="001000000000" w:firstRow="0" w:lastRow="0" w:firstColumn="1" w:lastColumn="0" w:oddVBand="0" w:evenVBand="0" w:oddHBand="0" w:evenHBand="0" w:firstRowFirstColumn="0" w:firstRowLastColumn="0" w:lastRowFirstColumn="0" w:lastRowLastColumn="0"/>
            <w:tcW w:w="1750" w:type="dxa"/>
            <w:hideMark/>
          </w:tcPr>
          <w:p w14:paraId="1B14AD5C" w14:textId="77777777" w:rsidR="003E3FCE" w:rsidRPr="00037C61" w:rsidRDefault="003E3FCE" w:rsidP="00715111">
            <w:pPr>
              <w:rPr>
                <w:rFonts w:cs="Calibri"/>
                <w:b w:val="0"/>
                <w:bCs w:val="0"/>
                <w:sz w:val="18"/>
                <w:szCs w:val="18"/>
                <w:lang w:val="en-GB"/>
              </w:rPr>
            </w:pPr>
            <w:r w:rsidRPr="00037C61">
              <w:rPr>
                <w:rFonts w:cs="Calibri"/>
                <w:b w:val="0"/>
                <w:bCs w:val="0"/>
                <w:sz w:val="18"/>
                <w:szCs w:val="18"/>
                <w:lang w:val="en-GB"/>
              </w:rPr>
              <w:t>21.10.2020 Workshop - Hajdú-</w:t>
            </w:r>
            <w:r w:rsidRPr="00037C61">
              <w:rPr>
                <w:rFonts w:cs="Calibri"/>
                <w:b w:val="0"/>
                <w:bCs w:val="0"/>
                <w:sz w:val="18"/>
                <w:szCs w:val="18"/>
                <w:lang w:val="en-GB"/>
              </w:rPr>
              <w:lastRenderedPageBreak/>
              <w:t xml:space="preserve">Bihar / Csongrád-Csanád </w:t>
            </w:r>
          </w:p>
        </w:tc>
        <w:tc>
          <w:tcPr>
            <w:tcW w:w="1185" w:type="dxa"/>
            <w:noWrap/>
            <w:hideMark/>
          </w:tcPr>
          <w:p w14:paraId="034B7512" w14:textId="48422DD1"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c>
          <w:tcPr>
            <w:tcW w:w="1239" w:type="dxa"/>
            <w:noWrap/>
            <w:hideMark/>
          </w:tcPr>
          <w:p w14:paraId="00D6F46E"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984" w:type="dxa"/>
            <w:noWrap/>
            <w:hideMark/>
          </w:tcPr>
          <w:p w14:paraId="516BDEFA"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683" w:type="dxa"/>
            <w:noWrap/>
            <w:hideMark/>
          </w:tcPr>
          <w:p w14:paraId="32560471" w14:textId="4D59B0A5" w:rsidR="003E3FCE" w:rsidRPr="00037C61" w:rsidRDefault="0093376D"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518" w:type="dxa"/>
            <w:noWrap/>
            <w:hideMark/>
          </w:tcPr>
          <w:p w14:paraId="28F531CD" w14:textId="2DE49015"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c>
          <w:tcPr>
            <w:tcW w:w="1171" w:type="dxa"/>
            <w:noWrap/>
            <w:hideMark/>
          </w:tcPr>
          <w:p w14:paraId="61845BA3" w14:textId="34783159"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r>
      <w:tr w:rsidR="003E3FCE" w:rsidRPr="00037C61" w14:paraId="6BB91B50" w14:textId="77777777" w:rsidTr="00662F5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0" w:type="dxa"/>
            <w:hideMark/>
          </w:tcPr>
          <w:p w14:paraId="32572E0C" w14:textId="77777777" w:rsidR="003E3FCE" w:rsidRPr="00037C61" w:rsidRDefault="003E3FCE" w:rsidP="00715111">
            <w:pPr>
              <w:rPr>
                <w:rFonts w:cs="Calibri"/>
                <w:b w:val="0"/>
                <w:bCs w:val="0"/>
                <w:sz w:val="18"/>
                <w:szCs w:val="18"/>
                <w:lang w:val="en-GB"/>
              </w:rPr>
            </w:pPr>
            <w:r w:rsidRPr="00037C61">
              <w:rPr>
                <w:rFonts w:cs="Calibri"/>
                <w:b w:val="0"/>
                <w:bCs w:val="0"/>
                <w:sz w:val="18"/>
                <w:szCs w:val="18"/>
                <w:lang w:val="en-GB"/>
              </w:rPr>
              <w:t>22.10.2020 Workshop (RO) - National level</w:t>
            </w:r>
          </w:p>
        </w:tc>
        <w:tc>
          <w:tcPr>
            <w:tcW w:w="1185" w:type="dxa"/>
            <w:noWrap/>
            <w:hideMark/>
          </w:tcPr>
          <w:p w14:paraId="558E3E3A" w14:textId="0209F442"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1239" w:type="dxa"/>
            <w:noWrap/>
            <w:hideMark/>
          </w:tcPr>
          <w:p w14:paraId="4CF615EE"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984" w:type="dxa"/>
            <w:noWrap/>
            <w:hideMark/>
          </w:tcPr>
          <w:p w14:paraId="17B423A8"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1683" w:type="dxa"/>
            <w:noWrap/>
            <w:hideMark/>
          </w:tcPr>
          <w:p w14:paraId="74C88F7D"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1518" w:type="dxa"/>
            <w:noWrap/>
            <w:hideMark/>
          </w:tcPr>
          <w:p w14:paraId="4D3595BC"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1171" w:type="dxa"/>
            <w:noWrap/>
            <w:hideMark/>
          </w:tcPr>
          <w:p w14:paraId="1BBE39B8"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r>
      <w:tr w:rsidR="003E3FCE" w:rsidRPr="00037C61" w14:paraId="30445F07" w14:textId="77777777" w:rsidTr="00662F53">
        <w:trPr>
          <w:trHeight w:val="300"/>
        </w:trPr>
        <w:tc>
          <w:tcPr>
            <w:cnfStyle w:val="001000000000" w:firstRow="0" w:lastRow="0" w:firstColumn="1" w:lastColumn="0" w:oddVBand="0" w:evenVBand="0" w:oddHBand="0" w:evenHBand="0" w:firstRowFirstColumn="0" w:firstRowLastColumn="0" w:lastRowFirstColumn="0" w:lastRowLastColumn="0"/>
            <w:tcW w:w="1750" w:type="dxa"/>
            <w:hideMark/>
          </w:tcPr>
          <w:p w14:paraId="3759B33D" w14:textId="77777777" w:rsidR="003E3FCE" w:rsidRPr="00037C61" w:rsidRDefault="003E3FCE" w:rsidP="00715111">
            <w:pPr>
              <w:rPr>
                <w:rFonts w:cs="Calibri"/>
                <w:b w:val="0"/>
                <w:bCs w:val="0"/>
                <w:sz w:val="18"/>
                <w:szCs w:val="18"/>
                <w:lang w:val="en-GB"/>
              </w:rPr>
            </w:pPr>
            <w:r w:rsidRPr="00037C61">
              <w:rPr>
                <w:rFonts w:cs="Calibri"/>
                <w:b w:val="0"/>
                <w:bCs w:val="0"/>
                <w:sz w:val="18"/>
                <w:szCs w:val="18"/>
                <w:lang w:val="en-GB"/>
              </w:rPr>
              <w:t>22.10.2020 Workshop (HU) - National level</w:t>
            </w:r>
          </w:p>
        </w:tc>
        <w:tc>
          <w:tcPr>
            <w:tcW w:w="1185" w:type="dxa"/>
            <w:noWrap/>
            <w:hideMark/>
          </w:tcPr>
          <w:p w14:paraId="073E09A6"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239" w:type="dxa"/>
            <w:noWrap/>
            <w:hideMark/>
          </w:tcPr>
          <w:p w14:paraId="7204DAA7" w14:textId="52EC420C"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c>
          <w:tcPr>
            <w:tcW w:w="984" w:type="dxa"/>
            <w:noWrap/>
            <w:hideMark/>
          </w:tcPr>
          <w:p w14:paraId="3F451F18"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683" w:type="dxa"/>
            <w:noWrap/>
            <w:hideMark/>
          </w:tcPr>
          <w:p w14:paraId="59C6C13F" w14:textId="4CAE976F"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c>
          <w:tcPr>
            <w:tcW w:w="1518" w:type="dxa"/>
            <w:noWrap/>
            <w:hideMark/>
          </w:tcPr>
          <w:p w14:paraId="38F06C72" w14:textId="77777777"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r w:rsidRPr="00037C61">
              <w:rPr>
                <w:rFonts w:cs="Calibri"/>
                <w:b/>
                <w:bCs/>
                <w:lang w:val="en-GB"/>
              </w:rPr>
              <w:t>x</w:t>
            </w:r>
          </w:p>
        </w:tc>
        <w:tc>
          <w:tcPr>
            <w:tcW w:w="1171" w:type="dxa"/>
            <w:noWrap/>
            <w:hideMark/>
          </w:tcPr>
          <w:p w14:paraId="7A7D3417" w14:textId="60F45C55" w:rsidR="003E3FCE" w:rsidRPr="00037C61" w:rsidRDefault="003E3FCE" w:rsidP="00662F53">
            <w:pPr>
              <w:jc w:val="center"/>
              <w:cnfStyle w:val="000000000000" w:firstRow="0" w:lastRow="0" w:firstColumn="0" w:lastColumn="0" w:oddVBand="0" w:evenVBand="0" w:oddHBand="0" w:evenHBand="0" w:firstRowFirstColumn="0" w:firstRowLastColumn="0" w:lastRowFirstColumn="0" w:lastRowLastColumn="0"/>
              <w:rPr>
                <w:rFonts w:cs="Calibri"/>
                <w:b/>
                <w:bCs/>
                <w:lang w:val="en-GB"/>
              </w:rPr>
            </w:pPr>
          </w:p>
        </w:tc>
      </w:tr>
      <w:tr w:rsidR="003E3FCE" w:rsidRPr="00037C61" w14:paraId="0A0CB568" w14:textId="77777777" w:rsidTr="00662F5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50" w:type="dxa"/>
            <w:hideMark/>
          </w:tcPr>
          <w:p w14:paraId="49FE4F02" w14:textId="77777777" w:rsidR="003E3FCE" w:rsidRPr="00037C61" w:rsidRDefault="003E3FCE" w:rsidP="00715111">
            <w:pPr>
              <w:rPr>
                <w:rFonts w:cs="Calibri"/>
                <w:b w:val="0"/>
                <w:bCs w:val="0"/>
                <w:sz w:val="18"/>
                <w:szCs w:val="18"/>
                <w:lang w:val="en-GB"/>
              </w:rPr>
            </w:pPr>
            <w:r w:rsidRPr="00037C61">
              <w:rPr>
                <w:rFonts w:cs="Calibri"/>
                <w:b w:val="0"/>
                <w:bCs w:val="0"/>
                <w:sz w:val="18"/>
                <w:szCs w:val="18"/>
                <w:lang w:val="en-GB"/>
              </w:rPr>
              <w:t xml:space="preserve">23.10.2020 Workshop - Timis / Bihor </w:t>
            </w:r>
          </w:p>
        </w:tc>
        <w:tc>
          <w:tcPr>
            <w:tcW w:w="1185" w:type="dxa"/>
            <w:noWrap/>
            <w:hideMark/>
          </w:tcPr>
          <w:p w14:paraId="3C29D3CC"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1239" w:type="dxa"/>
            <w:noWrap/>
            <w:hideMark/>
          </w:tcPr>
          <w:p w14:paraId="2BAF0B4F"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984" w:type="dxa"/>
            <w:noWrap/>
            <w:hideMark/>
          </w:tcPr>
          <w:p w14:paraId="75519323"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c>
          <w:tcPr>
            <w:tcW w:w="1683" w:type="dxa"/>
            <w:noWrap/>
            <w:hideMark/>
          </w:tcPr>
          <w:p w14:paraId="5586A3D1" w14:textId="19870F02"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1518" w:type="dxa"/>
            <w:noWrap/>
            <w:hideMark/>
          </w:tcPr>
          <w:p w14:paraId="29477DBE" w14:textId="6D57894E"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p>
        </w:tc>
        <w:tc>
          <w:tcPr>
            <w:tcW w:w="1171" w:type="dxa"/>
            <w:noWrap/>
            <w:hideMark/>
          </w:tcPr>
          <w:p w14:paraId="36AF9C52" w14:textId="77777777" w:rsidR="003E3FCE" w:rsidRPr="00037C61" w:rsidRDefault="003E3FCE" w:rsidP="00662F53">
            <w:pPr>
              <w:jc w:val="center"/>
              <w:cnfStyle w:val="000000100000" w:firstRow="0" w:lastRow="0" w:firstColumn="0" w:lastColumn="0" w:oddVBand="0" w:evenVBand="0" w:oddHBand="1" w:evenHBand="0" w:firstRowFirstColumn="0" w:firstRowLastColumn="0" w:lastRowFirstColumn="0" w:lastRowLastColumn="0"/>
              <w:rPr>
                <w:rFonts w:cs="Calibri"/>
                <w:b/>
                <w:bCs/>
                <w:lang w:val="en-GB"/>
              </w:rPr>
            </w:pPr>
            <w:r w:rsidRPr="00037C61">
              <w:rPr>
                <w:rFonts w:cs="Calibri"/>
                <w:b/>
                <w:bCs/>
                <w:lang w:val="en-GB"/>
              </w:rPr>
              <w:t>x</w:t>
            </w:r>
          </w:p>
        </w:tc>
      </w:tr>
    </w:tbl>
    <w:p w14:paraId="37C60C79" w14:textId="338CF478" w:rsidR="003E3FCE" w:rsidRPr="00037C61" w:rsidRDefault="003E3FCE" w:rsidP="00C45ED0">
      <w:pPr>
        <w:rPr>
          <w:rFonts w:asciiTheme="minorHAnsi" w:hAnsiTheme="minorHAnsi" w:cstheme="minorHAnsi"/>
          <w:lang w:val="en-GB"/>
        </w:rPr>
      </w:pPr>
    </w:p>
    <w:p w14:paraId="418B7DC7" w14:textId="18255CEF" w:rsidR="00BA090F" w:rsidRPr="00037C61" w:rsidRDefault="00BA090F" w:rsidP="00715111">
      <w:pPr>
        <w:pStyle w:val="Heading3"/>
        <w:rPr>
          <w:rFonts w:ascii="Calibri" w:eastAsia="Calibri" w:hAnsi="Calibri" w:cs="Calibri"/>
          <w:sz w:val="22"/>
          <w:szCs w:val="22"/>
        </w:rPr>
      </w:pPr>
      <w:bookmarkStart w:id="913" w:name="_Toc64619577"/>
      <w:r w:rsidRPr="00037C61">
        <w:rPr>
          <w:rFonts w:ascii="Calibri" w:eastAsia="Calibri" w:hAnsi="Calibri" w:cs="Calibri"/>
          <w:sz w:val="22"/>
          <w:szCs w:val="22"/>
        </w:rPr>
        <w:t>Lessons learnt and the strategic project concept</w:t>
      </w:r>
      <w:bookmarkEnd w:id="913"/>
      <w:r w:rsidRPr="00037C61">
        <w:rPr>
          <w:rFonts w:ascii="Calibri" w:eastAsia="Calibri" w:hAnsi="Calibri" w:cs="Calibri"/>
          <w:sz w:val="22"/>
          <w:szCs w:val="22"/>
        </w:rPr>
        <w:t xml:space="preserve"> </w:t>
      </w:r>
    </w:p>
    <w:p w14:paraId="03E01D46" w14:textId="1145C568" w:rsidR="00AC5A6F" w:rsidRPr="00037C61" w:rsidRDefault="00AC5A6F" w:rsidP="00AC5A6F">
      <w:pPr>
        <w:rPr>
          <w:rFonts w:cs="Calibri"/>
          <w:lang w:val="en-GB"/>
        </w:rPr>
      </w:pPr>
      <w:r w:rsidRPr="00037C61">
        <w:rPr>
          <w:rFonts w:cs="Calibri"/>
          <w:lang w:val="en-GB"/>
        </w:rPr>
        <w:t>Based on the findings</w:t>
      </w:r>
      <w:r w:rsidR="00255897" w:rsidRPr="00037C61">
        <w:rPr>
          <w:rFonts w:cs="Calibri"/>
          <w:lang w:val="en-GB"/>
        </w:rPr>
        <w:t xml:space="preserve"> from the analysis of current Flagship projects (see Chapter 1) and taking into account the recommendations from the evaluations of both Interreg Programmes between Romania and Hungary 2007-2013 and 2014-2020, </w:t>
      </w:r>
      <w:r w:rsidRPr="00037C61">
        <w:rPr>
          <w:rFonts w:cs="Calibri"/>
          <w:lang w:val="en-GB"/>
        </w:rPr>
        <w:t xml:space="preserve">we consider that in the future potential beneficiaries </w:t>
      </w:r>
      <w:r w:rsidR="258B7693" w:rsidRPr="00037C61">
        <w:rPr>
          <w:rFonts w:cs="Calibri"/>
          <w:lang w:val="en-GB"/>
        </w:rPr>
        <w:t xml:space="preserve">could </w:t>
      </w:r>
      <w:r w:rsidRPr="00037C61">
        <w:rPr>
          <w:rFonts w:cs="Calibri"/>
          <w:lang w:val="en-GB"/>
        </w:rPr>
        <w:t>be supported:</w:t>
      </w:r>
    </w:p>
    <w:p w14:paraId="47CFB7F5" w14:textId="24471B20" w:rsidR="00AC5A6F" w:rsidRPr="00037C61" w:rsidRDefault="00AC5A6F" w:rsidP="00014AA0">
      <w:pPr>
        <w:pStyle w:val="ListParagraph"/>
        <w:numPr>
          <w:ilvl w:val="0"/>
          <w:numId w:val="28"/>
        </w:numPr>
        <w:rPr>
          <w:rFonts w:cs="Calibri"/>
          <w:lang w:val="en-GB"/>
        </w:rPr>
      </w:pPr>
      <w:r w:rsidRPr="00037C61">
        <w:rPr>
          <w:rFonts w:cs="Calibri"/>
          <w:lang w:val="en-GB"/>
        </w:rPr>
        <w:t>To substantiate their project proposals with targeted assistance in relation to the assessment of joint challenges and the identification and selection of target groups, including guidance on how to realise the ex ante impact assessment of envisaged investments</w:t>
      </w:r>
      <w:r w:rsidR="00CB11D4" w:rsidRPr="00037C61">
        <w:rPr>
          <w:rFonts w:cs="Calibri"/>
          <w:lang w:val="en-GB"/>
        </w:rPr>
        <w:t xml:space="preserve"> (i.e. </w:t>
      </w:r>
      <w:r w:rsidR="007F2128" w:rsidRPr="00037C61">
        <w:rPr>
          <w:rFonts w:cs="Calibri"/>
          <w:lang w:val="en-GB"/>
        </w:rPr>
        <w:t>under feasibility studies, with reference to envisaged target groups and recipients)</w:t>
      </w:r>
      <w:r w:rsidRPr="00037C61">
        <w:rPr>
          <w:rFonts w:cs="Calibri"/>
          <w:lang w:val="en-GB"/>
        </w:rPr>
        <w:t xml:space="preserve"> and how to ensure the wider cross-border character of the interventions, in line with established Programme objectives and strategic vision;</w:t>
      </w:r>
    </w:p>
    <w:p w14:paraId="06D10E52" w14:textId="45AF8F13" w:rsidR="00AC5A6F" w:rsidRPr="00037C61" w:rsidRDefault="00AC5A6F" w:rsidP="00014AA0">
      <w:pPr>
        <w:pStyle w:val="ListParagraph"/>
        <w:numPr>
          <w:ilvl w:val="0"/>
          <w:numId w:val="28"/>
        </w:numPr>
        <w:rPr>
          <w:rFonts w:cs="Calibri"/>
          <w:lang w:val="en-GB"/>
        </w:rPr>
      </w:pPr>
      <w:r w:rsidRPr="00037C61">
        <w:rPr>
          <w:rFonts w:cs="Calibri"/>
          <w:lang w:val="en-GB"/>
        </w:rPr>
        <w:t xml:space="preserve">To reinforce cross-border partnerships, through management and coordination mechanisms for better cross-border </w:t>
      </w:r>
      <w:r w:rsidR="007F2128" w:rsidRPr="00037C61">
        <w:rPr>
          <w:rFonts w:cs="Calibri"/>
          <w:lang w:val="en-GB"/>
        </w:rPr>
        <w:t xml:space="preserve">cooperation </w:t>
      </w:r>
      <w:r w:rsidRPr="00037C61">
        <w:rPr>
          <w:rFonts w:cs="Calibri"/>
          <w:lang w:val="en-GB"/>
        </w:rPr>
        <w:t>governance and sustainability of investments, thus working on the “soft side” of cooperation</w:t>
      </w:r>
      <w:r w:rsidR="007F2128" w:rsidRPr="00037C61">
        <w:rPr>
          <w:rFonts w:cs="Calibri"/>
          <w:lang w:val="en-GB"/>
        </w:rPr>
        <w:t xml:space="preserve"> (i.e. increased number of institutional cooperation agreements prior to project submission, with a wider perspective as compared to project specific partnership agreement</w:t>
      </w:r>
      <w:r w:rsidR="00CB23B4" w:rsidRPr="00037C61">
        <w:rPr>
          <w:rFonts w:cs="Calibri"/>
          <w:lang w:val="en-GB"/>
        </w:rPr>
        <w:t>, early buy in of main stakeholders, identification and definition of solutions to tackle potential barriers to cooperation in the project field</w:t>
      </w:r>
      <w:r w:rsidR="007F2128" w:rsidRPr="00037C61">
        <w:rPr>
          <w:rFonts w:cs="Calibri"/>
          <w:lang w:val="en-GB"/>
        </w:rPr>
        <w:t>)</w:t>
      </w:r>
      <w:r w:rsidRPr="00037C61">
        <w:rPr>
          <w:rFonts w:cs="Calibri"/>
          <w:lang w:val="en-GB"/>
        </w:rPr>
        <w:t>;</w:t>
      </w:r>
    </w:p>
    <w:p w14:paraId="5AF6C312" w14:textId="118342A5" w:rsidR="00AC5A6F" w:rsidRPr="00037C61" w:rsidRDefault="00AC5A6F" w:rsidP="3C1461C6">
      <w:pPr>
        <w:pStyle w:val="ListParagraph"/>
        <w:numPr>
          <w:ilvl w:val="0"/>
          <w:numId w:val="28"/>
        </w:numPr>
        <w:rPr>
          <w:rFonts w:cs="Calibri"/>
          <w:lang w:val="en-GB"/>
        </w:rPr>
      </w:pPr>
      <w:r w:rsidRPr="00037C61">
        <w:rPr>
          <w:rFonts w:cs="Calibri"/>
          <w:lang w:val="en-GB"/>
        </w:rPr>
        <w:t xml:space="preserve">To help clarifying cross-border specific barriers in the fields of investment, in order to promote higher commitment from relevant policy-making levels, which could help tackling existing barriers to increased levels of cooperation, again working on the “soft side” of cooperation.  </w:t>
      </w:r>
    </w:p>
    <w:p w14:paraId="0BBD605B" w14:textId="6A6216EF" w:rsidR="000F2CA4" w:rsidRPr="00037C61" w:rsidRDefault="00C45ED0" w:rsidP="74CEAA85">
      <w:pPr>
        <w:rPr>
          <w:rFonts w:cs="Calibri"/>
          <w:lang w:val="en-GB"/>
        </w:rPr>
      </w:pPr>
      <w:r w:rsidRPr="00037C61">
        <w:rPr>
          <w:rFonts w:eastAsia="Calibri" w:cs="Calibri"/>
          <w:lang w:val="en-GB"/>
        </w:rPr>
        <w:t xml:space="preserve">Based on lessons learnt from </w:t>
      </w:r>
      <w:r w:rsidRPr="00E80D74">
        <w:rPr>
          <w:rFonts w:eastAsia="Calibri" w:cs="Calibri"/>
          <w:lang w:val="en-GB"/>
        </w:rPr>
        <w:t xml:space="preserve">previous experiences, corroborated with </w:t>
      </w:r>
      <w:r w:rsidR="003E3FCE" w:rsidRPr="00E80D74">
        <w:rPr>
          <w:rFonts w:eastAsia="Calibri" w:cs="Calibri"/>
          <w:lang w:val="en-GB"/>
        </w:rPr>
        <w:t>the conclusions from the technical meetings</w:t>
      </w:r>
      <w:r w:rsidRPr="00E80D74">
        <w:rPr>
          <w:rFonts w:eastAsia="Calibri" w:cs="Calibri"/>
          <w:lang w:val="en-GB"/>
        </w:rPr>
        <w:t xml:space="preserve">, the </w:t>
      </w:r>
      <w:r w:rsidRPr="00E80D74">
        <w:rPr>
          <w:rFonts w:eastAsia="Calibri" w:cs="Calibri"/>
          <w:b/>
          <w:bCs/>
          <w:lang w:val="en-GB"/>
        </w:rPr>
        <w:t>“strategic project”</w:t>
      </w:r>
      <w:r w:rsidRPr="00E80D74">
        <w:rPr>
          <w:rFonts w:eastAsia="Calibri" w:cs="Calibri"/>
          <w:lang w:val="en-GB"/>
        </w:rPr>
        <w:t xml:space="preserve"> concept shall </w:t>
      </w:r>
      <w:r w:rsidR="003E3FCE" w:rsidRPr="00E80D74">
        <w:rPr>
          <w:rFonts w:eastAsia="Calibri" w:cs="Calibri"/>
          <w:lang w:val="en-GB"/>
        </w:rPr>
        <w:t>allow to provide the maximum possible impact on the cross-border area</w:t>
      </w:r>
      <w:r w:rsidR="006F3625" w:rsidRPr="00E80D74">
        <w:rPr>
          <w:rFonts w:eastAsia="Calibri" w:cs="Calibri"/>
          <w:lang w:val="en-GB"/>
        </w:rPr>
        <w:t>, avoiding “mirror projects”</w:t>
      </w:r>
      <w:r w:rsidRPr="00E80D74">
        <w:rPr>
          <w:rFonts w:eastAsia="Calibri" w:cs="Calibri"/>
          <w:lang w:val="en-GB"/>
        </w:rPr>
        <w:t>.</w:t>
      </w:r>
      <w:r w:rsidR="00216A95" w:rsidRPr="00E80D74">
        <w:rPr>
          <w:rFonts w:eastAsia="Calibri" w:cs="Calibri"/>
          <w:lang w:val="en-GB"/>
        </w:rPr>
        <w:t xml:space="preserve"> </w:t>
      </w:r>
      <w:r w:rsidR="000F2CA4" w:rsidRPr="00E80D74">
        <w:rPr>
          <w:rFonts w:eastAsia="Calibri" w:cs="Calibri"/>
          <w:lang w:val="en-GB"/>
        </w:rPr>
        <w:t>A project with higher possible territorial impact on both sides of the cross-border</w:t>
      </w:r>
      <w:r w:rsidR="000F2CA4" w:rsidRPr="00037C61">
        <w:rPr>
          <w:rFonts w:eastAsia="Calibri" w:cs="Calibri"/>
          <w:lang w:val="en-GB"/>
        </w:rPr>
        <w:t xml:space="preserve"> area shall, notably, contribut</w:t>
      </w:r>
      <w:r w:rsidR="009312CF" w:rsidRPr="00037C61">
        <w:rPr>
          <w:rFonts w:eastAsia="Calibri" w:cs="Calibri"/>
          <w:lang w:val="en-GB"/>
        </w:rPr>
        <w:t>e</w:t>
      </w:r>
      <w:r w:rsidR="000F2CA4" w:rsidRPr="00037C61">
        <w:rPr>
          <w:rFonts w:eastAsia="Calibri" w:cs="Calibri"/>
          <w:lang w:val="en-GB"/>
        </w:rPr>
        <w:t xml:space="preserve"> to:</w:t>
      </w:r>
    </w:p>
    <w:p w14:paraId="0774E748" w14:textId="0BE43249" w:rsidR="000F2CA4" w:rsidRPr="00037C61" w:rsidRDefault="32A2DE59" w:rsidP="32A2DE59">
      <w:pPr>
        <w:pStyle w:val="ListParagraph"/>
        <w:numPr>
          <w:ilvl w:val="0"/>
          <w:numId w:val="25"/>
        </w:numPr>
        <w:rPr>
          <w:rFonts w:asciiTheme="minorHAnsi" w:eastAsiaTheme="minorEastAsia" w:hAnsiTheme="minorHAnsi" w:cstheme="minorBidi"/>
          <w:lang w:val="en-GB"/>
        </w:rPr>
      </w:pPr>
      <w:r w:rsidRPr="00037C61">
        <w:rPr>
          <w:rFonts w:cs="Calibri"/>
          <w:lang w:val="en-GB"/>
        </w:rPr>
        <w:t>decrease of territorial inequalities and the factors of peripheral situation in border areas – which shall be assessed through a proof-based justification of needs and identification of target groups (i.e. a more detailed and rigorous definition of target groups and territorial needs, in terms of baseline data, eventually assessed through dedicated surveys and internal administrative data from project partners, and a clear correlation of the project outputs and results with these needs);</w:t>
      </w:r>
    </w:p>
    <w:p w14:paraId="5F4EF7F6" w14:textId="2D4003F2" w:rsidR="000F2CA4" w:rsidRPr="00037C61" w:rsidRDefault="32A2DE59" w:rsidP="009A5621">
      <w:pPr>
        <w:pStyle w:val="ListParagraph"/>
        <w:numPr>
          <w:ilvl w:val="0"/>
          <w:numId w:val="25"/>
        </w:numPr>
        <w:rPr>
          <w:rFonts w:asciiTheme="minorHAnsi" w:eastAsiaTheme="minorEastAsia" w:hAnsiTheme="minorHAnsi" w:cstheme="minorBidi"/>
          <w:lang w:val="en-GB"/>
        </w:rPr>
      </w:pPr>
      <w:r w:rsidRPr="00037C61">
        <w:rPr>
          <w:rFonts w:cs="Calibri"/>
          <w:lang w:val="en-GB"/>
        </w:rPr>
        <w:lastRenderedPageBreak/>
        <w:t xml:space="preserve">enhanced cross-border integration – which shall be demonstrated through ex ante assessment of barriers and / or preliminary realisation of dedicated analysis (for example, by including in the application form a section dedicated to the analysis of potential barriers to cooperation, as part of the risk assessment and strategy and / or, in case it is needed to further involve relevant authorities, a dedicated activity within the project for the further analysis and strategy to tackle such barriers); </w:t>
      </w:r>
    </w:p>
    <w:p w14:paraId="738B8BE7" w14:textId="4ADE5812" w:rsidR="000F2CA4" w:rsidRPr="00E80D74" w:rsidRDefault="32A2DE59" w:rsidP="32A2DE59">
      <w:pPr>
        <w:pStyle w:val="ListParagraph"/>
        <w:numPr>
          <w:ilvl w:val="0"/>
          <w:numId w:val="25"/>
        </w:numPr>
        <w:rPr>
          <w:rFonts w:asciiTheme="minorHAnsi" w:eastAsiaTheme="minorEastAsia" w:hAnsiTheme="minorHAnsi" w:cstheme="minorBidi"/>
          <w:lang w:val="en-GB"/>
        </w:rPr>
      </w:pPr>
      <w:r w:rsidRPr="00037C61">
        <w:rPr>
          <w:rFonts w:cs="Calibri"/>
          <w:lang w:val="en-GB"/>
        </w:rPr>
        <w:t xml:space="preserve">improved level of cross-border cooperation – which shall be achieved through increased institutionalisation and, thus, sustainability, of cross-border cooperation between organisations and policy-makers at different levels (i.e. through the signature of institutional protocols supporting the initiative beyond project implementation, under a wider joint cooperation strategy for </w:t>
      </w:r>
      <w:r w:rsidRPr="00E80D74">
        <w:rPr>
          <w:rFonts w:cs="Calibri"/>
          <w:lang w:val="en-GB"/>
        </w:rPr>
        <w:t>the specific sector).</w:t>
      </w:r>
    </w:p>
    <w:p w14:paraId="4B832091" w14:textId="23A4EF92" w:rsidR="000F2CA4" w:rsidRPr="00E80D74" w:rsidRDefault="32A2DE59" w:rsidP="000F2CA4">
      <w:pPr>
        <w:rPr>
          <w:rFonts w:cs="Calibri"/>
          <w:lang w:val="en-GB"/>
        </w:rPr>
      </w:pPr>
      <w:r w:rsidRPr="00E80D74">
        <w:rPr>
          <w:rFonts w:cs="Calibri"/>
          <w:lang w:val="en-GB"/>
        </w:rPr>
        <w:t>This definition allows us to identify two main types of interventions, which may be embedded in the “strategic project” concept for the future programme, being part of the same project package of activities:</w:t>
      </w:r>
    </w:p>
    <w:p w14:paraId="00853A10" w14:textId="53C714E3" w:rsidR="000F2CA4" w:rsidRPr="00E80D74" w:rsidRDefault="000F2CA4" w:rsidP="00014AA0">
      <w:pPr>
        <w:pStyle w:val="ListParagraph"/>
        <w:numPr>
          <w:ilvl w:val="0"/>
          <w:numId w:val="26"/>
        </w:numPr>
        <w:rPr>
          <w:rFonts w:cs="Calibri"/>
          <w:lang w:val="en-GB"/>
        </w:rPr>
      </w:pPr>
      <w:r w:rsidRPr="00E80D74">
        <w:rPr>
          <w:rFonts w:cs="Calibri"/>
          <w:lang w:val="en-GB"/>
        </w:rPr>
        <w:t xml:space="preserve">So called </w:t>
      </w:r>
      <w:r w:rsidRPr="00E80D74">
        <w:rPr>
          <w:rFonts w:cs="Calibri"/>
          <w:b/>
          <w:bCs/>
          <w:lang w:val="en-GB"/>
        </w:rPr>
        <w:t xml:space="preserve">“soft” </w:t>
      </w:r>
      <w:r w:rsidR="00CB23B4" w:rsidRPr="00E80D74">
        <w:rPr>
          <w:rFonts w:cs="Calibri"/>
          <w:b/>
          <w:bCs/>
          <w:lang w:val="en-GB"/>
        </w:rPr>
        <w:t>interventions</w:t>
      </w:r>
      <w:r w:rsidRPr="00E80D74">
        <w:rPr>
          <w:rFonts w:cs="Calibri"/>
          <w:lang w:val="en-GB"/>
        </w:rPr>
        <w:t xml:space="preserve">: these are </w:t>
      </w:r>
      <w:r w:rsidR="00CB23B4" w:rsidRPr="00E80D74">
        <w:rPr>
          <w:rFonts w:cs="Calibri"/>
          <w:lang w:val="en-GB"/>
        </w:rPr>
        <w:t>interventions</w:t>
      </w:r>
      <w:r w:rsidRPr="00E80D74">
        <w:rPr>
          <w:rFonts w:cs="Calibri"/>
          <w:lang w:val="en-GB"/>
        </w:rPr>
        <w:t xml:space="preserve"> aiming at building </w:t>
      </w:r>
      <w:r w:rsidR="0030248E" w:rsidRPr="00E80D74">
        <w:rPr>
          <w:rFonts w:cs="Calibri"/>
          <w:lang w:val="en-GB"/>
        </w:rPr>
        <w:t>trust,</w:t>
      </w:r>
      <w:r w:rsidRPr="00E80D74">
        <w:rPr>
          <w:rFonts w:cs="Calibri"/>
          <w:lang w:val="en-GB"/>
        </w:rPr>
        <w:t xml:space="preserve"> cooperating partners’ capacities, institutional buildin</w:t>
      </w:r>
      <w:r w:rsidR="00974ECF" w:rsidRPr="00E80D74">
        <w:rPr>
          <w:rFonts w:cs="Calibri"/>
          <w:lang w:val="en-GB"/>
        </w:rPr>
        <w:t>g</w:t>
      </w:r>
      <w:r w:rsidRPr="00E80D74">
        <w:rPr>
          <w:rFonts w:cs="Calibri"/>
          <w:lang w:val="en-GB"/>
        </w:rPr>
        <w:t>,</w:t>
      </w:r>
      <w:r w:rsidR="00974ECF" w:rsidRPr="00E80D74">
        <w:rPr>
          <w:rFonts w:cs="Calibri"/>
          <w:lang w:val="en-GB"/>
        </w:rPr>
        <w:t xml:space="preserve"> </w:t>
      </w:r>
      <w:r w:rsidR="0030248E" w:rsidRPr="00E80D74">
        <w:rPr>
          <w:rFonts w:cs="Calibri"/>
          <w:lang w:val="en-GB"/>
        </w:rPr>
        <w:t>mutual learning,</w:t>
      </w:r>
      <w:r w:rsidR="00974ECF" w:rsidRPr="00E80D74">
        <w:rPr>
          <w:rFonts w:cs="Calibri"/>
          <w:lang w:val="en-GB"/>
        </w:rPr>
        <w:t xml:space="preserve"> exchange of experience, developing common working procedures</w:t>
      </w:r>
      <w:r w:rsidR="004917D4" w:rsidRPr="00E80D74">
        <w:rPr>
          <w:rFonts w:cs="Calibri"/>
          <w:lang w:val="en-GB"/>
        </w:rPr>
        <w:t xml:space="preserve"> and institutional agreements</w:t>
      </w:r>
      <w:r w:rsidR="00974ECF" w:rsidRPr="00E80D74">
        <w:rPr>
          <w:rFonts w:cs="Calibri"/>
          <w:lang w:val="en-GB"/>
        </w:rPr>
        <w:t>,</w:t>
      </w:r>
      <w:r w:rsidRPr="00E80D74">
        <w:rPr>
          <w:rFonts w:cs="Calibri"/>
          <w:lang w:val="en-GB"/>
        </w:rPr>
        <w:t xml:space="preserve"> studies on cross-border barriers, legislative review, protocols’ drafting at higher policy level. Although soft </w:t>
      </w:r>
      <w:r w:rsidR="003D2B87" w:rsidRPr="00E80D74">
        <w:rPr>
          <w:rFonts w:cs="Calibri"/>
          <w:lang w:val="en-GB"/>
        </w:rPr>
        <w:t xml:space="preserve">interventions </w:t>
      </w:r>
      <w:r w:rsidRPr="00E80D74">
        <w:rPr>
          <w:rFonts w:cs="Calibri"/>
          <w:lang w:val="en-GB"/>
        </w:rPr>
        <w:t xml:space="preserve">do not usually have a direct </w:t>
      </w:r>
      <w:r w:rsidR="0030248E" w:rsidRPr="00E80D74">
        <w:rPr>
          <w:rFonts w:cs="Calibri"/>
          <w:lang w:val="en-GB"/>
        </w:rPr>
        <w:t xml:space="preserve">/ tangible </w:t>
      </w:r>
      <w:r w:rsidRPr="00E80D74">
        <w:rPr>
          <w:rFonts w:cs="Calibri"/>
          <w:lang w:val="en-GB"/>
        </w:rPr>
        <w:t>impact on context data and target groups</w:t>
      </w:r>
      <w:r w:rsidR="0030248E" w:rsidRPr="00E80D74">
        <w:rPr>
          <w:rFonts w:cs="Calibri"/>
          <w:lang w:val="en-GB"/>
        </w:rPr>
        <w:t xml:space="preserve"> (in terms of ERDF indicators)</w:t>
      </w:r>
      <w:r w:rsidRPr="00E80D74">
        <w:rPr>
          <w:rFonts w:cs="Calibri"/>
          <w:lang w:val="en-GB"/>
        </w:rPr>
        <w:t xml:space="preserve">, still soft projects of this kind </w:t>
      </w:r>
      <w:r w:rsidR="00A9615B" w:rsidRPr="00E80D74">
        <w:rPr>
          <w:rFonts w:cs="Calibri"/>
          <w:lang w:val="en-GB"/>
        </w:rPr>
        <w:t xml:space="preserve">hold an intrinsic cross-border added value and </w:t>
      </w:r>
      <w:r w:rsidRPr="00E80D74">
        <w:rPr>
          <w:rFonts w:cs="Calibri"/>
          <w:lang w:val="en-GB"/>
        </w:rPr>
        <w:t>have a strategic importance to create the enabling environment which allows to further progress in the 3x3 matrix towards interventions with stronger cross-border character</w:t>
      </w:r>
      <w:r w:rsidR="004917D4" w:rsidRPr="00E80D74">
        <w:rPr>
          <w:rFonts w:cs="Calibri"/>
          <w:lang w:val="en-GB"/>
        </w:rPr>
        <w:t xml:space="preserve"> in all policy</w:t>
      </w:r>
      <w:r w:rsidR="00F34976" w:rsidRPr="00E80D74">
        <w:rPr>
          <w:rFonts w:cs="Calibri"/>
          <w:lang w:val="en-GB"/>
        </w:rPr>
        <w:t xml:space="preserve"> sectors</w:t>
      </w:r>
      <w:r w:rsidRPr="00E80D74">
        <w:rPr>
          <w:rFonts w:cs="Calibri"/>
          <w:lang w:val="en-GB"/>
        </w:rPr>
        <w:t>.</w:t>
      </w:r>
      <w:r w:rsidR="00F66C3C" w:rsidRPr="00E80D74">
        <w:rPr>
          <w:rFonts w:cs="Calibri"/>
          <w:lang w:val="en-GB"/>
        </w:rPr>
        <w:t xml:space="preserve"> These are directly connected with specific </w:t>
      </w:r>
      <w:r w:rsidR="262FD0FC" w:rsidRPr="00E80D74">
        <w:rPr>
          <w:rFonts w:cs="Calibri"/>
          <w:lang w:val="en-GB"/>
        </w:rPr>
        <w:t>Interreg</w:t>
      </w:r>
      <w:r w:rsidR="00F66C3C" w:rsidRPr="00E80D74">
        <w:rPr>
          <w:rFonts w:cs="Calibri"/>
          <w:lang w:val="en-GB"/>
        </w:rPr>
        <w:t xml:space="preserve"> indicators</w:t>
      </w:r>
      <w:r w:rsidR="0030248E" w:rsidRPr="00E80D74">
        <w:rPr>
          <w:rFonts w:cs="Calibri"/>
          <w:lang w:val="en-GB"/>
        </w:rPr>
        <w:t>, which shall be mainstreamed under all selected priorities</w:t>
      </w:r>
      <w:r w:rsidR="00F66C3C" w:rsidRPr="00E80D74">
        <w:rPr>
          <w:rFonts w:cs="Calibri"/>
          <w:lang w:val="en-GB"/>
        </w:rPr>
        <w:t xml:space="preserve">. </w:t>
      </w:r>
    </w:p>
    <w:p w14:paraId="1211340F" w14:textId="0C39E272" w:rsidR="000F2CA4" w:rsidRPr="00E80D74" w:rsidRDefault="32A2DE59" w:rsidP="00014AA0">
      <w:pPr>
        <w:pStyle w:val="ListParagraph"/>
        <w:numPr>
          <w:ilvl w:val="0"/>
          <w:numId w:val="26"/>
        </w:numPr>
        <w:rPr>
          <w:rFonts w:cs="Calibri"/>
          <w:lang w:val="en-GB"/>
        </w:rPr>
      </w:pPr>
      <w:r w:rsidRPr="00E80D74">
        <w:rPr>
          <w:rFonts w:cs="Calibri"/>
          <w:lang w:val="en-GB"/>
        </w:rPr>
        <w:t>So called</w:t>
      </w:r>
      <w:r w:rsidRPr="00E80D74">
        <w:rPr>
          <w:rFonts w:cs="Calibri"/>
          <w:b/>
          <w:bCs/>
          <w:lang w:val="en-GB"/>
        </w:rPr>
        <w:t xml:space="preserve"> “hard” interventions </w:t>
      </w:r>
      <w:r w:rsidRPr="00E80D74">
        <w:rPr>
          <w:rFonts w:cs="Calibri"/>
          <w:lang w:val="en-GB"/>
        </w:rPr>
        <w:t xml:space="preserve">or investments: these are interventions with a direct impact on target groups, responding to specific territorial needs for improved infrastructures and services, aiming at decreasing territorial disparities and improving community accessibility to public services, with some kind of impact on both sides of the border. These are directly connected with common ERDF indicators. </w:t>
      </w:r>
    </w:p>
    <w:p w14:paraId="56A99CAF" w14:textId="0F72DEAC" w:rsidR="000F2CA4" w:rsidRPr="00E80D74" w:rsidRDefault="00F34976" w:rsidP="000F2CA4">
      <w:pPr>
        <w:rPr>
          <w:rFonts w:cs="Calibri"/>
          <w:lang w:val="en-GB"/>
        </w:rPr>
      </w:pPr>
      <w:r w:rsidRPr="00E80D74">
        <w:rPr>
          <w:rFonts w:cs="Calibri"/>
          <w:lang w:val="en-GB"/>
        </w:rPr>
        <w:t>The above definitions</w:t>
      </w:r>
      <w:r w:rsidR="000F2CA4" w:rsidRPr="00E80D74">
        <w:rPr>
          <w:rFonts w:cs="Calibri"/>
          <w:lang w:val="en-GB"/>
        </w:rPr>
        <w:t xml:space="preserve"> allow to tackle, since the planning phase</w:t>
      </w:r>
      <w:r w:rsidR="004917D4" w:rsidRPr="00E80D74">
        <w:rPr>
          <w:rFonts w:cs="Calibri"/>
          <w:lang w:val="en-GB"/>
        </w:rPr>
        <w:t xml:space="preserve"> (</w:t>
      </w:r>
      <w:r w:rsidR="000F2CA4" w:rsidRPr="00E80D74">
        <w:rPr>
          <w:rFonts w:cs="Calibri"/>
          <w:lang w:val="en-GB"/>
        </w:rPr>
        <w:t xml:space="preserve">embedding </w:t>
      </w:r>
      <w:r w:rsidR="004917D4" w:rsidRPr="00E80D74">
        <w:rPr>
          <w:rFonts w:cs="Calibri"/>
          <w:lang w:val="en-GB"/>
        </w:rPr>
        <w:t>lessons learnt</w:t>
      </w:r>
      <w:r w:rsidR="000F2CA4" w:rsidRPr="00E80D74">
        <w:rPr>
          <w:rFonts w:cs="Calibri"/>
          <w:lang w:val="en-GB"/>
        </w:rPr>
        <w:t xml:space="preserve"> in the programming process</w:t>
      </w:r>
      <w:r w:rsidR="004917D4" w:rsidRPr="00E80D74">
        <w:rPr>
          <w:rFonts w:cs="Calibri"/>
          <w:lang w:val="en-GB"/>
        </w:rPr>
        <w:t>)</w:t>
      </w:r>
      <w:r w:rsidR="000F2CA4" w:rsidRPr="00E80D74">
        <w:rPr>
          <w:rFonts w:cs="Calibri"/>
          <w:lang w:val="en-GB"/>
        </w:rPr>
        <w:t>, the most important weaknesses observed under current Flagship projects, by:</w:t>
      </w:r>
    </w:p>
    <w:p w14:paraId="43ECC7E1" w14:textId="77777777" w:rsidR="000F2CA4" w:rsidRPr="00E80D74" w:rsidRDefault="000F2CA4" w:rsidP="00014AA0">
      <w:pPr>
        <w:pStyle w:val="ListParagraph"/>
        <w:numPr>
          <w:ilvl w:val="0"/>
          <w:numId w:val="27"/>
        </w:numPr>
        <w:rPr>
          <w:rFonts w:cs="Calibri"/>
          <w:lang w:val="en-GB"/>
        </w:rPr>
      </w:pPr>
      <w:r w:rsidRPr="00E80D74">
        <w:rPr>
          <w:rFonts w:cs="Calibri"/>
          <w:lang w:val="en-GB"/>
        </w:rPr>
        <w:t>Promoting a result-oriented approach and a proof-based decision-making in relation to projects’ selection, generating the need for a stronger effort towards ex ante impact assessment of proposed projects;</w:t>
      </w:r>
    </w:p>
    <w:p w14:paraId="1593B794" w14:textId="77777777" w:rsidR="00A81AA6" w:rsidRPr="00E80D74" w:rsidRDefault="000F2CA4" w:rsidP="00014AA0">
      <w:pPr>
        <w:pStyle w:val="ListParagraph"/>
        <w:numPr>
          <w:ilvl w:val="0"/>
          <w:numId w:val="27"/>
        </w:numPr>
        <w:rPr>
          <w:rFonts w:cs="Calibri"/>
          <w:lang w:val="en-GB"/>
        </w:rPr>
      </w:pPr>
      <w:r w:rsidRPr="00E80D74">
        <w:rPr>
          <w:rFonts w:cs="Calibri"/>
          <w:lang w:val="en-GB"/>
        </w:rPr>
        <w:t>Providing time and tools for the consolidation / creation of the needed “institutional / administrative / legal / policy enabling environment</w:t>
      </w:r>
    </w:p>
    <w:p w14:paraId="6DBCE890" w14:textId="5544084C" w:rsidR="000F2CA4" w:rsidRPr="007B3CDB" w:rsidRDefault="000F2CA4" w:rsidP="00DB74BF">
      <w:pPr>
        <w:rPr>
          <w:rFonts w:cs="Calibri"/>
          <w:lang w:val="en-GB"/>
        </w:rPr>
      </w:pPr>
    </w:p>
    <w:p w14:paraId="25FC54E5" w14:textId="77777777" w:rsidR="00AB5518" w:rsidRPr="00037C61" w:rsidRDefault="000F2CA4" w:rsidP="74CEAA85">
      <w:pPr>
        <w:rPr>
          <w:rFonts w:cs="Calibri"/>
          <w:lang w:val="en-GB"/>
        </w:rPr>
      </w:pPr>
      <w:r w:rsidRPr="00037C61">
        <w:rPr>
          <w:rFonts w:cs="Calibri"/>
          <w:lang w:val="en-GB"/>
        </w:rPr>
        <w:t xml:space="preserve">Besides, </w:t>
      </w:r>
      <w:r w:rsidRPr="00037C61">
        <w:rPr>
          <w:rFonts w:cs="Calibri"/>
          <w:b/>
          <w:bCs/>
          <w:lang w:val="en-GB"/>
        </w:rPr>
        <w:t>the cross-border character of projects can be promoted as cross-cutting objective of the Programme</w:t>
      </w:r>
      <w:r w:rsidRPr="00037C61">
        <w:rPr>
          <w:rFonts w:cs="Calibri"/>
          <w:lang w:val="en-GB"/>
        </w:rPr>
        <w:t>,</w:t>
      </w:r>
      <w:r w:rsidR="280E1E00" w:rsidRPr="00037C61">
        <w:rPr>
          <w:rFonts w:cs="Calibri"/>
          <w:lang w:val="en-GB"/>
        </w:rPr>
        <w:t xml:space="preserve"> </w:t>
      </w:r>
      <w:r w:rsidRPr="00037C61">
        <w:rPr>
          <w:rFonts w:cs="Calibri"/>
          <w:lang w:val="en-GB"/>
        </w:rPr>
        <w:t xml:space="preserve">which could be reflected in the </w:t>
      </w:r>
      <w:r w:rsidRPr="00037C61">
        <w:rPr>
          <w:rFonts w:cs="Calibri"/>
          <w:b/>
          <w:bCs/>
          <w:lang w:val="en-GB"/>
        </w:rPr>
        <w:t>future Programme Intervention Logics,</w:t>
      </w:r>
      <w:r w:rsidRPr="00037C61">
        <w:rPr>
          <w:rFonts w:cs="Calibri"/>
          <w:lang w:val="en-GB"/>
        </w:rPr>
        <w:t xml:space="preserve"> by </w:t>
      </w:r>
      <w:r w:rsidR="00CB23B4" w:rsidRPr="00037C61">
        <w:rPr>
          <w:rFonts w:cs="Calibri"/>
          <w:lang w:val="en-GB"/>
        </w:rPr>
        <w:t xml:space="preserve">integrating </w:t>
      </w:r>
      <w:r w:rsidRPr="00037C61">
        <w:rPr>
          <w:rFonts w:cs="Calibri"/>
          <w:lang w:val="en-GB"/>
        </w:rPr>
        <w:lastRenderedPageBreak/>
        <w:t xml:space="preserve">the soft interventions </w:t>
      </w:r>
      <w:r w:rsidR="00CB23B4" w:rsidRPr="00037C61">
        <w:rPr>
          <w:rFonts w:cs="Calibri"/>
          <w:lang w:val="en-GB"/>
        </w:rPr>
        <w:t xml:space="preserve">in the </w:t>
      </w:r>
      <w:r w:rsidR="00F34976" w:rsidRPr="00037C61">
        <w:rPr>
          <w:rFonts w:cs="Calibri"/>
          <w:lang w:val="en-GB"/>
        </w:rPr>
        <w:t>“</w:t>
      </w:r>
      <w:r w:rsidR="00CB23B4" w:rsidRPr="00037C61">
        <w:rPr>
          <w:rFonts w:cs="Calibri"/>
          <w:lang w:val="en-GB"/>
        </w:rPr>
        <w:t>strategic project package</w:t>
      </w:r>
      <w:r w:rsidR="00F34976" w:rsidRPr="00037C61">
        <w:rPr>
          <w:rFonts w:cs="Calibri"/>
          <w:lang w:val="en-GB"/>
        </w:rPr>
        <w:t>”</w:t>
      </w:r>
      <w:r w:rsidR="00CB23B4" w:rsidRPr="00037C61">
        <w:rPr>
          <w:rFonts w:cs="Calibri"/>
          <w:lang w:val="en-GB"/>
        </w:rPr>
        <w:t xml:space="preserve">, </w:t>
      </w:r>
      <w:r w:rsidRPr="00037C61">
        <w:rPr>
          <w:rFonts w:cs="Calibri"/>
          <w:lang w:val="en-GB"/>
        </w:rPr>
        <w:t xml:space="preserve">as preconditions for the implementation of investment projects. </w:t>
      </w:r>
    </w:p>
    <w:p w14:paraId="0C3B6C22" w14:textId="270CA6AB" w:rsidR="003E3FCE" w:rsidRPr="00037C61" w:rsidRDefault="00BE27B0" w:rsidP="74CEAA85">
      <w:pPr>
        <w:rPr>
          <w:rFonts w:asciiTheme="minorHAnsi" w:hAnsiTheme="minorHAnsi"/>
          <w:lang w:val="en-GB"/>
        </w:rPr>
      </w:pPr>
      <w:r w:rsidRPr="00037C61">
        <w:rPr>
          <w:rFonts w:cs="Calibri"/>
          <w:lang w:val="en-GB"/>
        </w:rPr>
        <w:t xml:space="preserve">Additionally, soft measures, including </w:t>
      </w:r>
      <w:r w:rsidR="007B3CDB">
        <w:rPr>
          <w:rFonts w:cs="Calibri"/>
          <w:lang w:val="en-GB"/>
        </w:rPr>
        <w:t xml:space="preserve">people-to-people actions, </w:t>
      </w:r>
      <w:r w:rsidRPr="00037C61">
        <w:rPr>
          <w:rFonts w:cs="Calibri"/>
          <w:lang w:val="en-GB"/>
        </w:rPr>
        <w:t>small-scale interventions to build trust, increase cooperation, promote mutual learning and exchange of experience can be financed under ISO 1</w:t>
      </w:r>
      <w:r w:rsidR="00AA05FE" w:rsidRPr="00037C61">
        <w:rPr>
          <w:rFonts w:cs="Calibri"/>
          <w:lang w:val="en-GB"/>
        </w:rPr>
        <w:t xml:space="preserve"> </w:t>
      </w:r>
      <w:r w:rsidR="00FB0700" w:rsidRPr="00037C61">
        <w:rPr>
          <w:rFonts w:cs="Calibri"/>
          <w:lang w:val="en-GB"/>
        </w:rPr>
        <w:t xml:space="preserve">for any </w:t>
      </w:r>
      <w:r w:rsidR="00E71D28" w:rsidRPr="00037C61">
        <w:rPr>
          <w:rFonts w:cs="Calibri"/>
          <w:lang w:val="en-GB"/>
        </w:rPr>
        <w:t>area</w:t>
      </w:r>
      <w:r w:rsidR="00FB0700" w:rsidRPr="00037C61">
        <w:rPr>
          <w:rFonts w:cs="Calibri"/>
          <w:lang w:val="en-GB"/>
        </w:rPr>
        <w:t xml:space="preserve"> of cooperation, as well as </w:t>
      </w:r>
      <w:r w:rsidR="00AA05FE" w:rsidRPr="00037C61">
        <w:rPr>
          <w:rFonts w:cs="Calibri"/>
          <w:lang w:val="en-GB"/>
        </w:rPr>
        <w:t xml:space="preserve">under </w:t>
      </w:r>
      <w:r w:rsidR="00AB5518" w:rsidRPr="00037C61">
        <w:rPr>
          <w:rFonts w:cs="Calibri"/>
          <w:lang w:val="en-GB"/>
        </w:rPr>
        <w:t>selected POs, through normal projects</w:t>
      </w:r>
      <w:r w:rsidRPr="00037C61">
        <w:rPr>
          <w:rFonts w:cs="Calibri"/>
          <w:lang w:val="en-GB"/>
        </w:rPr>
        <w:t xml:space="preserve">. </w:t>
      </w:r>
    </w:p>
    <w:p w14:paraId="5484C383" w14:textId="75C5E63A" w:rsidR="00DE6C7C" w:rsidRPr="00037C61" w:rsidRDefault="00DE6C7C" w:rsidP="00662F53">
      <w:pPr>
        <w:pStyle w:val="Heading3"/>
      </w:pPr>
      <w:bookmarkStart w:id="914" w:name="_Toc64619578"/>
      <w:r w:rsidRPr="00037C61">
        <w:t>Scenario development methodology</w:t>
      </w:r>
      <w:bookmarkEnd w:id="914"/>
      <w:r w:rsidRPr="00037C61">
        <w:t xml:space="preserve"> </w:t>
      </w:r>
    </w:p>
    <w:p w14:paraId="3035746C" w14:textId="710EF373" w:rsidR="006D51AB" w:rsidRPr="00037C61" w:rsidRDefault="006D51AB" w:rsidP="74CEAA85">
      <w:pPr>
        <w:rPr>
          <w:rFonts w:cs="Calibri"/>
          <w:lang w:val="en-GB"/>
        </w:rPr>
      </w:pPr>
      <w:r w:rsidRPr="00037C61">
        <w:rPr>
          <w:rFonts w:eastAsiaTheme="minorEastAsia"/>
          <w:lang w:val="en-GB"/>
        </w:rPr>
        <w:t xml:space="preserve">The quantitative and qualitative analysis of the context </w:t>
      </w:r>
      <w:r w:rsidR="00DE6C7C" w:rsidRPr="00037C61">
        <w:rPr>
          <w:rFonts w:eastAsiaTheme="minorEastAsia"/>
          <w:lang w:val="en-GB"/>
        </w:rPr>
        <w:t xml:space="preserve">and lessons learnt </w:t>
      </w:r>
      <w:r w:rsidRPr="00037C61">
        <w:rPr>
          <w:rFonts w:eastAsiaTheme="minorEastAsia"/>
          <w:lang w:val="en-GB"/>
        </w:rPr>
        <w:t>ha</w:t>
      </w:r>
      <w:r w:rsidR="00DE6C7C" w:rsidRPr="00037C61">
        <w:rPr>
          <w:rFonts w:eastAsiaTheme="minorEastAsia"/>
          <w:lang w:val="en-GB"/>
        </w:rPr>
        <w:t>ve</w:t>
      </w:r>
      <w:r w:rsidRPr="00037C61">
        <w:rPr>
          <w:rFonts w:eastAsiaTheme="minorEastAsia"/>
          <w:lang w:val="en-GB"/>
        </w:rPr>
        <w:t xml:space="preserve"> </w:t>
      </w:r>
      <w:r w:rsidR="007E34B7" w:rsidRPr="00037C61">
        <w:rPr>
          <w:rFonts w:eastAsiaTheme="minorEastAsia"/>
          <w:lang w:val="en-GB"/>
        </w:rPr>
        <w:t xml:space="preserve">been further systematised and used to develop a </w:t>
      </w:r>
      <w:r w:rsidR="007E34B7" w:rsidRPr="00037C61">
        <w:rPr>
          <w:rFonts w:eastAsiaTheme="minorEastAsia"/>
          <w:b/>
          <w:bCs/>
          <w:lang w:val="en-GB"/>
        </w:rPr>
        <w:t xml:space="preserve">scenario analysis </w:t>
      </w:r>
      <w:r w:rsidR="007E34B7" w:rsidRPr="00037C61">
        <w:rPr>
          <w:rFonts w:eastAsiaTheme="minorEastAsia"/>
          <w:lang w:val="en-GB"/>
        </w:rPr>
        <w:t xml:space="preserve">for the selection of priority policy objectives. </w:t>
      </w:r>
    </w:p>
    <w:p w14:paraId="09EC52A8" w14:textId="77777777" w:rsidR="007E34B7" w:rsidRPr="00037C61" w:rsidRDefault="007E34B7" w:rsidP="007E34B7">
      <w:pPr>
        <w:rPr>
          <w:rFonts w:cs="Calibri"/>
          <w:lang w:val="en-GB"/>
        </w:rPr>
      </w:pPr>
      <w:r w:rsidRPr="00037C61">
        <w:rPr>
          <w:rFonts w:cs="Calibri"/>
          <w:lang w:val="en-GB"/>
        </w:rPr>
        <w:t>The construction of scenarios will inform the Policy Objectives’ selection process by:</w:t>
      </w:r>
    </w:p>
    <w:p w14:paraId="4A2BA20A" w14:textId="77777777" w:rsidR="007E34B7" w:rsidRPr="00037C61" w:rsidRDefault="007E34B7" w:rsidP="00014AA0">
      <w:pPr>
        <w:pStyle w:val="ListParagraph"/>
        <w:numPr>
          <w:ilvl w:val="0"/>
          <w:numId w:val="23"/>
        </w:numPr>
        <w:spacing w:after="0" w:line="240" w:lineRule="auto"/>
        <w:contextualSpacing/>
        <w:rPr>
          <w:rFonts w:cs="Calibri"/>
          <w:lang w:val="en-GB"/>
        </w:rPr>
      </w:pPr>
      <w:r w:rsidRPr="00037C61">
        <w:rPr>
          <w:rFonts w:cs="Calibri"/>
          <w:lang w:val="en-GB"/>
        </w:rPr>
        <w:t xml:space="preserve">Providing a qualitative assessment of the </w:t>
      </w:r>
      <w:r w:rsidRPr="00037C61">
        <w:rPr>
          <w:rFonts w:cs="Calibri"/>
          <w:b/>
          <w:bCs/>
          <w:lang w:val="en-GB"/>
        </w:rPr>
        <w:t>potential impacts of future interventions</w:t>
      </w:r>
      <w:r w:rsidRPr="00037C61">
        <w:rPr>
          <w:rFonts w:cs="Calibri"/>
          <w:lang w:val="en-GB"/>
        </w:rPr>
        <w:t xml:space="preserve"> on internal cohesion and disparities observed in the cross-border area, in order to identify those sets of interventions that may better respond to common needs, whilst valorising cooperating opportunities and strengths of the area;</w:t>
      </w:r>
    </w:p>
    <w:p w14:paraId="06F43D84" w14:textId="77777777" w:rsidR="007E34B7" w:rsidRPr="00037C61" w:rsidRDefault="007E34B7" w:rsidP="00014AA0">
      <w:pPr>
        <w:pStyle w:val="ListParagraph"/>
        <w:numPr>
          <w:ilvl w:val="0"/>
          <w:numId w:val="23"/>
        </w:numPr>
        <w:spacing w:after="0" w:line="240" w:lineRule="auto"/>
        <w:contextualSpacing/>
        <w:rPr>
          <w:rFonts w:cs="Calibri"/>
          <w:lang w:val="en-GB"/>
        </w:rPr>
      </w:pPr>
      <w:r w:rsidRPr="00037C61">
        <w:rPr>
          <w:rFonts w:cs="Calibri"/>
          <w:lang w:val="en-GB"/>
        </w:rPr>
        <w:t xml:space="preserve">Providing a qualitative assessment of </w:t>
      </w:r>
      <w:r w:rsidRPr="00037C61">
        <w:rPr>
          <w:rFonts w:cs="Calibri"/>
          <w:b/>
          <w:bCs/>
          <w:lang w:val="en-GB"/>
        </w:rPr>
        <w:t>risks associated with the realisation of a set of interventions</w:t>
      </w:r>
      <w:r w:rsidRPr="00037C61">
        <w:rPr>
          <w:rFonts w:cs="Calibri"/>
          <w:lang w:val="en-GB"/>
        </w:rPr>
        <w:t>, where risks are mainly generated by external factors and by the intrinsic nature of envisaged interventions;</w:t>
      </w:r>
    </w:p>
    <w:p w14:paraId="62E8A94C" w14:textId="79D132D4" w:rsidR="007E34B7" w:rsidRPr="00037C61" w:rsidRDefault="007E34B7" w:rsidP="00014AA0">
      <w:pPr>
        <w:pStyle w:val="ListParagraph"/>
        <w:numPr>
          <w:ilvl w:val="0"/>
          <w:numId w:val="23"/>
        </w:numPr>
        <w:spacing w:after="0" w:line="240" w:lineRule="auto"/>
        <w:contextualSpacing/>
        <w:rPr>
          <w:rFonts w:cs="Calibri"/>
          <w:lang w:val="en-GB"/>
        </w:rPr>
      </w:pPr>
      <w:r w:rsidRPr="00037C61">
        <w:rPr>
          <w:rFonts w:cs="Calibri"/>
          <w:lang w:val="en-GB"/>
        </w:rPr>
        <w:t xml:space="preserve">Providing a qualitative review of </w:t>
      </w:r>
      <w:r w:rsidRPr="00037C61">
        <w:rPr>
          <w:rFonts w:cs="Calibri"/>
          <w:b/>
          <w:bCs/>
          <w:lang w:val="en-GB"/>
        </w:rPr>
        <w:t>complementarities with other programmes and funds</w:t>
      </w:r>
      <w:r w:rsidRPr="00037C61">
        <w:rPr>
          <w:rFonts w:cs="Calibri"/>
          <w:lang w:val="en-GB"/>
        </w:rPr>
        <w:t xml:space="preserve">, which will allow to identify alternative ways to fund a given set of interventions that may respond to a local need, but for different reasons (notably low cross-border character / impact or high risks in the Interreg context) it could be better funded under other sources. </w:t>
      </w:r>
    </w:p>
    <w:p w14:paraId="6997FAAE" w14:textId="77777777" w:rsidR="0053426D" w:rsidRPr="00037C61" w:rsidRDefault="0053426D" w:rsidP="0053426D">
      <w:pPr>
        <w:pStyle w:val="ListParagraph"/>
        <w:spacing w:after="0" w:line="240" w:lineRule="auto"/>
        <w:contextualSpacing/>
        <w:rPr>
          <w:rFonts w:cs="Calibri"/>
          <w:lang w:val="en-GB"/>
        </w:rPr>
      </w:pPr>
    </w:p>
    <w:p w14:paraId="12B3B93B" w14:textId="77777777" w:rsidR="007E34B7" w:rsidRPr="00037C61" w:rsidRDefault="007E34B7" w:rsidP="007E34B7">
      <w:pPr>
        <w:rPr>
          <w:rFonts w:cs="Calibri"/>
          <w:lang w:val="en-GB"/>
        </w:rPr>
      </w:pPr>
      <w:r w:rsidRPr="00037C61">
        <w:rPr>
          <w:rFonts w:cs="Calibri"/>
          <w:lang w:val="en-GB"/>
        </w:rPr>
        <w:t>The scenario matrix is presented below:</w:t>
      </w:r>
    </w:p>
    <w:tbl>
      <w:tblPr>
        <w:tblStyle w:val="TableGrid"/>
        <w:tblW w:w="0" w:type="auto"/>
        <w:jc w:val="center"/>
        <w:tblLook w:val="04A0" w:firstRow="1" w:lastRow="0" w:firstColumn="1" w:lastColumn="0" w:noHBand="0" w:noVBand="1"/>
      </w:tblPr>
      <w:tblGrid>
        <w:gridCol w:w="2328"/>
        <w:gridCol w:w="2488"/>
        <w:gridCol w:w="2408"/>
      </w:tblGrid>
      <w:tr w:rsidR="007E34B7" w:rsidRPr="00037C61" w14:paraId="2F8F4107" w14:textId="77777777" w:rsidTr="00715111">
        <w:trPr>
          <w:jc w:val="center"/>
        </w:trPr>
        <w:tc>
          <w:tcPr>
            <w:tcW w:w="2328" w:type="dxa"/>
          </w:tcPr>
          <w:p w14:paraId="13D5C023" w14:textId="77777777" w:rsidR="007E34B7" w:rsidRPr="00037C61" w:rsidRDefault="007E34B7" w:rsidP="00715111">
            <w:pPr>
              <w:rPr>
                <w:rFonts w:cs="Calibri"/>
                <w:b/>
                <w:bCs/>
                <w:lang w:val="en-GB"/>
              </w:rPr>
            </w:pPr>
            <w:r w:rsidRPr="00037C61">
              <w:rPr>
                <w:rFonts w:cs="Calibri"/>
                <w:b/>
                <w:bCs/>
                <w:lang w:val="en-GB"/>
              </w:rPr>
              <w:t xml:space="preserve">Cross border Impact </w:t>
            </w:r>
          </w:p>
          <w:p w14:paraId="0A38BEEF" w14:textId="77777777" w:rsidR="007E34B7" w:rsidRPr="00037C61" w:rsidRDefault="007E34B7" w:rsidP="00715111">
            <w:pPr>
              <w:rPr>
                <w:rFonts w:cs="Calibri"/>
                <w:b/>
                <w:bCs/>
                <w:lang w:val="en-GB"/>
              </w:rPr>
            </w:pPr>
            <w:r w:rsidRPr="00037C61">
              <w:rPr>
                <w:rFonts w:cs="Calibri"/>
                <w:b/>
                <w:bCs/>
                <w:lang w:val="en-GB"/>
              </w:rPr>
              <w:t>(H / M / L )</w:t>
            </w:r>
          </w:p>
        </w:tc>
        <w:tc>
          <w:tcPr>
            <w:tcW w:w="2488" w:type="dxa"/>
          </w:tcPr>
          <w:p w14:paraId="3E017D7D" w14:textId="77777777" w:rsidR="007E34B7" w:rsidRPr="00037C61" w:rsidRDefault="007E34B7" w:rsidP="00715111">
            <w:pPr>
              <w:rPr>
                <w:rFonts w:cs="Calibri"/>
                <w:b/>
                <w:bCs/>
                <w:lang w:val="en-GB"/>
              </w:rPr>
            </w:pPr>
            <w:r w:rsidRPr="00037C61">
              <w:rPr>
                <w:rFonts w:cs="Calibri"/>
                <w:b/>
                <w:bCs/>
                <w:lang w:val="en-GB"/>
              </w:rPr>
              <w:t xml:space="preserve">Risks </w:t>
            </w:r>
          </w:p>
        </w:tc>
        <w:tc>
          <w:tcPr>
            <w:tcW w:w="2408" w:type="dxa"/>
          </w:tcPr>
          <w:p w14:paraId="5A37F3C2" w14:textId="77777777" w:rsidR="007E34B7" w:rsidRPr="00037C61" w:rsidRDefault="007E34B7" w:rsidP="00715111">
            <w:pPr>
              <w:rPr>
                <w:rFonts w:cs="Calibri"/>
                <w:b/>
                <w:bCs/>
                <w:lang w:val="en-GB"/>
              </w:rPr>
            </w:pPr>
            <w:r w:rsidRPr="00037C61">
              <w:rPr>
                <w:rFonts w:cs="Calibri"/>
                <w:b/>
                <w:bCs/>
                <w:lang w:val="en-GB"/>
              </w:rPr>
              <w:t xml:space="preserve">Complementarities </w:t>
            </w:r>
          </w:p>
        </w:tc>
      </w:tr>
      <w:tr w:rsidR="007E34B7" w:rsidRPr="00037C61" w14:paraId="797CBF5A" w14:textId="77777777" w:rsidTr="00715111">
        <w:trPr>
          <w:jc w:val="center"/>
        </w:trPr>
        <w:tc>
          <w:tcPr>
            <w:tcW w:w="2328" w:type="dxa"/>
            <w:shd w:val="clear" w:color="auto" w:fill="00A651" w:themeFill="accent6"/>
          </w:tcPr>
          <w:p w14:paraId="25BE846F" w14:textId="77777777" w:rsidR="007E34B7" w:rsidRPr="00037C61" w:rsidRDefault="007E34B7" w:rsidP="00715111">
            <w:pPr>
              <w:rPr>
                <w:rFonts w:cs="Calibri"/>
                <w:color w:val="FFFFFF" w:themeColor="background1"/>
                <w:lang w:val="en-GB"/>
              </w:rPr>
            </w:pPr>
            <w:r w:rsidRPr="00037C61">
              <w:rPr>
                <w:rFonts w:cs="Calibri"/>
                <w:color w:val="FFFFFF" w:themeColor="background1"/>
                <w:lang w:val="en-GB"/>
              </w:rPr>
              <w:t xml:space="preserve">High </w:t>
            </w:r>
          </w:p>
        </w:tc>
        <w:tc>
          <w:tcPr>
            <w:tcW w:w="2488" w:type="dxa"/>
            <w:shd w:val="clear" w:color="auto" w:fill="FF0000"/>
          </w:tcPr>
          <w:p w14:paraId="18EB5677" w14:textId="77777777" w:rsidR="007E34B7" w:rsidRPr="00037C61" w:rsidRDefault="007E34B7" w:rsidP="00715111">
            <w:pPr>
              <w:rPr>
                <w:rFonts w:cs="Calibri"/>
                <w:lang w:val="en-GB"/>
              </w:rPr>
            </w:pPr>
            <w:r w:rsidRPr="00037C61">
              <w:rPr>
                <w:rFonts w:cs="Calibri"/>
                <w:color w:val="FFFFFF" w:themeColor="background1"/>
                <w:lang w:val="en-GB"/>
              </w:rPr>
              <w:t xml:space="preserve">High </w:t>
            </w:r>
          </w:p>
        </w:tc>
        <w:tc>
          <w:tcPr>
            <w:tcW w:w="2408" w:type="dxa"/>
            <w:shd w:val="clear" w:color="auto" w:fill="FF0000"/>
          </w:tcPr>
          <w:p w14:paraId="1760D94B" w14:textId="77777777" w:rsidR="007E34B7" w:rsidRPr="00037C61" w:rsidRDefault="007E34B7" w:rsidP="00715111">
            <w:pPr>
              <w:rPr>
                <w:rFonts w:cs="Calibri"/>
                <w:lang w:val="en-GB"/>
              </w:rPr>
            </w:pPr>
            <w:r w:rsidRPr="00037C61">
              <w:rPr>
                <w:rFonts w:cs="Calibri"/>
                <w:color w:val="FFFFFF" w:themeColor="background1"/>
                <w:lang w:val="en-GB"/>
              </w:rPr>
              <w:t xml:space="preserve">High </w:t>
            </w:r>
          </w:p>
        </w:tc>
      </w:tr>
      <w:tr w:rsidR="007E34B7" w:rsidRPr="00037C61" w14:paraId="293E1143" w14:textId="77777777" w:rsidTr="00715111">
        <w:trPr>
          <w:jc w:val="center"/>
        </w:trPr>
        <w:tc>
          <w:tcPr>
            <w:tcW w:w="2328" w:type="dxa"/>
            <w:shd w:val="clear" w:color="auto" w:fill="FFC000"/>
          </w:tcPr>
          <w:p w14:paraId="41C5C6DF" w14:textId="77777777" w:rsidR="007E34B7" w:rsidRPr="00037C61" w:rsidRDefault="007E34B7" w:rsidP="00715111">
            <w:pPr>
              <w:rPr>
                <w:rFonts w:cs="Calibri"/>
                <w:lang w:val="en-GB"/>
              </w:rPr>
            </w:pPr>
            <w:r w:rsidRPr="00037C61">
              <w:rPr>
                <w:rFonts w:cs="Calibri"/>
                <w:lang w:val="en-GB"/>
              </w:rPr>
              <w:t>Medium</w:t>
            </w:r>
          </w:p>
        </w:tc>
        <w:tc>
          <w:tcPr>
            <w:tcW w:w="2488" w:type="dxa"/>
            <w:shd w:val="clear" w:color="auto" w:fill="FFC000"/>
          </w:tcPr>
          <w:p w14:paraId="5B6B377F" w14:textId="77777777" w:rsidR="007E34B7" w:rsidRPr="00037C61" w:rsidRDefault="007E34B7" w:rsidP="00715111">
            <w:pPr>
              <w:rPr>
                <w:rFonts w:cs="Calibri"/>
                <w:lang w:val="en-GB"/>
              </w:rPr>
            </w:pPr>
            <w:r w:rsidRPr="00037C61">
              <w:rPr>
                <w:rFonts w:cs="Calibri"/>
                <w:lang w:val="en-GB"/>
              </w:rPr>
              <w:t>Medium</w:t>
            </w:r>
          </w:p>
        </w:tc>
        <w:tc>
          <w:tcPr>
            <w:tcW w:w="2408" w:type="dxa"/>
            <w:shd w:val="clear" w:color="auto" w:fill="FFC000"/>
          </w:tcPr>
          <w:p w14:paraId="3B3CDED9" w14:textId="77777777" w:rsidR="007E34B7" w:rsidRPr="00037C61" w:rsidRDefault="007E34B7" w:rsidP="00715111">
            <w:pPr>
              <w:rPr>
                <w:rFonts w:cs="Calibri"/>
                <w:lang w:val="en-GB"/>
              </w:rPr>
            </w:pPr>
            <w:r w:rsidRPr="00037C61">
              <w:rPr>
                <w:rFonts w:cs="Calibri"/>
                <w:lang w:val="en-GB"/>
              </w:rPr>
              <w:t>Medium</w:t>
            </w:r>
          </w:p>
        </w:tc>
      </w:tr>
      <w:tr w:rsidR="007E34B7" w:rsidRPr="00037C61" w14:paraId="24E4A91D" w14:textId="77777777" w:rsidTr="00715111">
        <w:trPr>
          <w:jc w:val="center"/>
        </w:trPr>
        <w:tc>
          <w:tcPr>
            <w:tcW w:w="2328" w:type="dxa"/>
            <w:shd w:val="clear" w:color="auto" w:fill="FFFF00"/>
          </w:tcPr>
          <w:p w14:paraId="4D28F66E" w14:textId="77777777" w:rsidR="007E34B7" w:rsidRPr="00037C61" w:rsidRDefault="007E34B7" w:rsidP="00715111">
            <w:pPr>
              <w:rPr>
                <w:rFonts w:cs="Calibri"/>
                <w:lang w:val="en-GB"/>
              </w:rPr>
            </w:pPr>
            <w:r w:rsidRPr="00037C61">
              <w:rPr>
                <w:rFonts w:cs="Calibri"/>
                <w:lang w:val="en-GB"/>
              </w:rPr>
              <w:t>Low</w:t>
            </w:r>
          </w:p>
        </w:tc>
        <w:tc>
          <w:tcPr>
            <w:tcW w:w="2488" w:type="dxa"/>
            <w:shd w:val="clear" w:color="auto" w:fill="00A651" w:themeFill="accent6"/>
          </w:tcPr>
          <w:p w14:paraId="3782B18E" w14:textId="77777777" w:rsidR="007E34B7" w:rsidRPr="00037C61" w:rsidRDefault="007E34B7" w:rsidP="00715111">
            <w:pPr>
              <w:rPr>
                <w:rFonts w:cs="Calibri"/>
                <w:color w:val="FFFFFF" w:themeColor="background1"/>
                <w:lang w:val="en-GB"/>
              </w:rPr>
            </w:pPr>
            <w:r w:rsidRPr="00037C61">
              <w:rPr>
                <w:rFonts w:cs="Calibri"/>
                <w:color w:val="FFFFFF" w:themeColor="background1"/>
                <w:lang w:val="en-GB"/>
              </w:rPr>
              <w:t>Low</w:t>
            </w:r>
          </w:p>
        </w:tc>
        <w:tc>
          <w:tcPr>
            <w:tcW w:w="2408" w:type="dxa"/>
            <w:shd w:val="clear" w:color="auto" w:fill="00A651" w:themeFill="accent6"/>
          </w:tcPr>
          <w:p w14:paraId="2BE25507" w14:textId="77777777" w:rsidR="007E34B7" w:rsidRPr="00037C61" w:rsidRDefault="007E34B7" w:rsidP="00715111">
            <w:pPr>
              <w:rPr>
                <w:rFonts w:cs="Calibri"/>
                <w:color w:val="FFFFFF" w:themeColor="background1"/>
                <w:lang w:val="en-GB"/>
              </w:rPr>
            </w:pPr>
            <w:r w:rsidRPr="00037C61">
              <w:rPr>
                <w:rFonts w:cs="Calibri"/>
                <w:color w:val="FFFFFF" w:themeColor="background1"/>
                <w:lang w:val="en-GB"/>
              </w:rPr>
              <w:t xml:space="preserve">Low </w:t>
            </w:r>
          </w:p>
        </w:tc>
      </w:tr>
    </w:tbl>
    <w:p w14:paraId="73388085" w14:textId="77777777" w:rsidR="007E34B7" w:rsidRPr="00037C61" w:rsidRDefault="007E34B7" w:rsidP="007E34B7">
      <w:pPr>
        <w:rPr>
          <w:rFonts w:cs="Calibri"/>
          <w:lang w:val="en-GB"/>
        </w:rPr>
      </w:pPr>
    </w:p>
    <w:p w14:paraId="59A756FD" w14:textId="7907620E" w:rsidR="007E34B7" w:rsidRPr="00037C61" w:rsidRDefault="00DF5072" w:rsidP="007E34B7">
      <w:pPr>
        <w:rPr>
          <w:rFonts w:cs="Calibri"/>
          <w:b/>
          <w:bCs/>
          <w:lang w:val="en-GB"/>
        </w:rPr>
      </w:pPr>
      <w:r>
        <w:rPr>
          <w:rFonts w:cs="Calibri"/>
          <w:b/>
          <w:bCs/>
          <w:lang w:val="en-GB"/>
        </w:rPr>
        <w:t>Based on this methodology, s</w:t>
      </w:r>
      <w:r w:rsidR="007E34B7" w:rsidRPr="00037C61">
        <w:rPr>
          <w:rFonts w:cs="Calibri"/>
          <w:b/>
          <w:bCs/>
          <w:lang w:val="en-GB"/>
        </w:rPr>
        <w:t>pecific objectives (underlining a set of possible interventions)</w:t>
      </w:r>
      <w:r w:rsidR="003B46D8" w:rsidRPr="00037C61">
        <w:rPr>
          <w:rFonts w:cs="Calibri"/>
          <w:b/>
          <w:bCs/>
          <w:lang w:val="en-GB"/>
        </w:rPr>
        <w:t xml:space="preserve"> and related POs</w:t>
      </w:r>
      <w:r w:rsidR="007E34B7" w:rsidRPr="00037C61">
        <w:rPr>
          <w:rFonts w:cs="Calibri"/>
          <w:b/>
          <w:bCs/>
          <w:lang w:val="en-GB"/>
        </w:rPr>
        <w:t xml:space="preserve"> with high cross border impact, low risks and low complementarities </w:t>
      </w:r>
      <w:r w:rsidR="00117D58">
        <w:rPr>
          <w:rFonts w:cs="Calibri"/>
          <w:b/>
          <w:bCs/>
          <w:lang w:val="en-GB"/>
        </w:rPr>
        <w:t>could</w:t>
      </w:r>
      <w:r w:rsidR="007E34B7" w:rsidRPr="00037C61">
        <w:rPr>
          <w:rFonts w:cs="Calibri"/>
          <w:b/>
          <w:bCs/>
          <w:lang w:val="en-GB"/>
        </w:rPr>
        <w:t xml:space="preserve"> be prioritised </w:t>
      </w:r>
      <w:r w:rsidR="003B46D8" w:rsidRPr="00037C61">
        <w:rPr>
          <w:rFonts w:cs="Calibri"/>
          <w:b/>
          <w:bCs/>
          <w:lang w:val="en-GB"/>
        </w:rPr>
        <w:t>for being funded under the future Interreg Programme between Romania and Hungary 2021-2027.</w:t>
      </w:r>
      <w:r>
        <w:rPr>
          <w:rFonts w:cs="Calibri"/>
          <w:b/>
          <w:bCs/>
          <w:lang w:val="en-GB"/>
        </w:rPr>
        <w:t xml:space="preserve"> In this respect, in the next pages we provide the Consultant’s suggestions to be considered for the selection of priority POs for the future Interreg Programme.</w:t>
      </w:r>
    </w:p>
    <w:p w14:paraId="03C11EAD" w14:textId="77777777" w:rsidR="007E34B7" w:rsidRPr="00037C61" w:rsidRDefault="007E34B7" w:rsidP="007E34B7">
      <w:pPr>
        <w:rPr>
          <w:rFonts w:cs="Calibri"/>
          <w:lang w:val="en-GB"/>
        </w:rPr>
      </w:pPr>
      <w:r w:rsidRPr="00037C61">
        <w:rPr>
          <w:rFonts w:cs="Calibri"/>
          <w:lang w:val="en-GB"/>
        </w:rPr>
        <w:t>Scenarios’ construction can thus be described in the following steps:</w:t>
      </w:r>
    </w:p>
    <w:p w14:paraId="22C28281" w14:textId="5D576F78" w:rsidR="007E34B7" w:rsidRPr="00037C61" w:rsidRDefault="007E34B7" w:rsidP="00014AA0">
      <w:pPr>
        <w:pStyle w:val="ListParagraph"/>
        <w:numPr>
          <w:ilvl w:val="0"/>
          <w:numId w:val="24"/>
        </w:numPr>
        <w:spacing w:after="0" w:line="240" w:lineRule="auto"/>
        <w:contextualSpacing/>
        <w:rPr>
          <w:rFonts w:cs="Calibri"/>
          <w:lang w:val="en-GB"/>
        </w:rPr>
      </w:pPr>
      <w:r w:rsidRPr="00037C61">
        <w:rPr>
          <w:rFonts w:cs="Calibri"/>
          <w:lang w:val="en-GB"/>
        </w:rPr>
        <w:t xml:space="preserve">Common needs and challenges </w:t>
      </w:r>
      <w:r w:rsidR="006F0353" w:rsidRPr="00037C61">
        <w:rPr>
          <w:rFonts w:cs="Calibri"/>
          <w:lang w:val="en-GB"/>
        </w:rPr>
        <w:t>have been</w:t>
      </w:r>
      <w:r w:rsidRPr="00037C61">
        <w:rPr>
          <w:rFonts w:cs="Calibri"/>
          <w:lang w:val="en-GB"/>
        </w:rPr>
        <w:t xml:space="preserve"> translated into possible specific objectives of the future Interreg Programme, in line with the specific objectives identified under proposed ERDF and ETC Regulation 2021-2027;</w:t>
      </w:r>
    </w:p>
    <w:p w14:paraId="1B15566C" w14:textId="723AEB90" w:rsidR="007E34B7" w:rsidRPr="00037C61" w:rsidRDefault="007E34B7" w:rsidP="00014AA0">
      <w:pPr>
        <w:pStyle w:val="ListParagraph"/>
        <w:numPr>
          <w:ilvl w:val="0"/>
          <w:numId w:val="24"/>
        </w:numPr>
        <w:spacing w:after="0" w:line="240" w:lineRule="auto"/>
        <w:contextualSpacing/>
        <w:rPr>
          <w:rFonts w:cs="Calibri"/>
          <w:lang w:val="en-GB"/>
        </w:rPr>
      </w:pPr>
      <w:r w:rsidRPr="00037C61">
        <w:rPr>
          <w:rFonts w:cs="Calibri"/>
          <w:lang w:val="en-GB"/>
        </w:rPr>
        <w:t xml:space="preserve">The specific objectives </w:t>
      </w:r>
      <w:r w:rsidR="006F0353" w:rsidRPr="00037C61">
        <w:rPr>
          <w:rFonts w:cs="Calibri"/>
          <w:lang w:val="en-GB"/>
        </w:rPr>
        <w:t>have been</w:t>
      </w:r>
      <w:r w:rsidRPr="00037C61">
        <w:rPr>
          <w:rFonts w:cs="Calibri"/>
          <w:lang w:val="en-GB"/>
        </w:rPr>
        <w:t xml:space="preserve"> correlated with possible output and results indicators, as defined under proposed ERDF Regulation, in order to have a clear overview of what is expected in terms of achievements from future interventions;</w:t>
      </w:r>
    </w:p>
    <w:p w14:paraId="1CA1329F" w14:textId="3EF9C5B3" w:rsidR="007E34B7" w:rsidRPr="00037C61" w:rsidRDefault="007E34B7" w:rsidP="00014AA0">
      <w:pPr>
        <w:pStyle w:val="ListParagraph"/>
        <w:numPr>
          <w:ilvl w:val="0"/>
          <w:numId w:val="24"/>
        </w:numPr>
        <w:spacing w:after="0" w:line="240" w:lineRule="auto"/>
        <w:contextualSpacing/>
        <w:rPr>
          <w:rFonts w:cs="Calibri"/>
          <w:lang w:val="en-GB"/>
        </w:rPr>
      </w:pPr>
      <w:r w:rsidRPr="00037C61">
        <w:rPr>
          <w:rFonts w:cs="Calibri"/>
          <w:lang w:val="en-GB"/>
        </w:rPr>
        <w:t xml:space="preserve">Considering the needs observed and the (possible) programme expected outputs and results, the potential impact of specific objectives </w:t>
      </w:r>
      <w:r w:rsidR="006F0353" w:rsidRPr="00037C61">
        <w:rPr>
          <w:rFonts w:cs="Calibri"/>
          <w:lang w:val="en-GB"/>
        </w:rPr>
        <w:t xml:space="preserve">have been </w:t>
      </w:r>
      <w:r w:rsidRPr="00037C61">
        <w:rPr>
          <w:rFonts w:cs="Calibri"/>
          <w:lang w:val="en-GB"/>
        </w:rPr>
        <w:t>assessed: for example, if expected outputs and results cannot be correlated with a cross-border impact, then the impact of the specific objective will be considered low.</w:t>
      </w:r>
    </w:p>
    <w:p w14:paraId="6F1FB8E1" w14:textId="18150883" w:rsidR="007E34B7" w:rsidRPr="00037C61" w:rsidRDefault="007E34B7" w:rsidP="00014AA0">
      <w:pPr>
        <w:pStyle w:val="ListParagraph"/>
        <w:numPr>
          <w:ilvl w:val="0"/>
          <w:numId w:val="24"/>
        </w:numPr>
        <w:spacing w:after="0" w:line="240" w:lineRule="auto"/>
        <w:contextualSpacing/>
        <w:rPr>
          <w:rFonts w:cs="Calibri"/>
          <w:lang w:val="en-GB"/>
        </w:rPr>
      </w:pPr>
      <w:r w:rsidRPr="00037C61">
        <w:rPr>
          <w:rFonts w:cs="Calibri"/>
          <w:lang w:val="en-GB"/>
        </w:rPr>
        <w:lastRenderedPageBreak/>
        <w:t xml:space="preserve">The risks, which may hinder the obtainment of required cross-border impacts </w:t>
      </w:r>
      <w:r w:rsidR="006F0353" w:rsidRPr="00037C61">
        <w:rPr>
          <w:rFonts w:cs="Calibri"/>
          <w:lang w:val="en-GB"/>
        </w:rPr>
        <w:t>have</w:t>
      </w:r>
      <w:r w:rsidRPr="00037C61">
        <w:rPr>
          <w:rFonts w:cs="Calibri"/>
          <w:lang w:val="en-GB"/>
        </w:rPr>
        <w:t xml:space="preserve"> then be</w:t>
      </w:r>
      <w:r w:rsidR="006F0353" w:rsidRPr="00037C61">
        <w:rPr>
          <w:rFonts w:cs="Calibri"/>
          <w:lang w:val="en-GB"/>
        </w:rPr>
        <w:t>en</w:t>
      </w:r>
      <w:r w:rsidRPr="00037C61">
        <w:rPr>
          <w:rFonts w:cs="Calibri"/>
          <w:lang w:val="en-GB"/>
        </w:rPr>
        <w:t xml:space="preserve"> assessed;</w:t>
      </w:r>
    </w:p>
    <w:p w14:paraId="5921EF9D" w14:textId="632BF923" w:rsidR="007E34B7" w:rsidRPr="00037C61" w:rsidRDefault="007E34B7" w:rsidP="00014AA0">
      <w:pPr>
        <w:pStyle w:val="ListParagraph"/>
        <w:numPr>
          <w:ilvl w:val="0"/>
          <w:numId w:val="24"/>
        </w:numPr>
        <w:spacing w:after="0" w:line="240" w:lineRule="auto"/>
        <w:contextualSpacing/>
        <w:rPr>
          <w:rFonts w:cs="Calibri"/>
          <w:lang w:val="en-GB"/>
        </w:rPr>
      </w:pPr>
      <w:r w:rsidRPr="00037C61">
        <w:rPr>
          <w:rFonts w:cs="Calibri"/>
          <w:lang w:val="en-GB"/>
        </w:rPr>
        <w:t xml:space="preserve">Finally, the results of impact / risk assessment </w:t>
      </w:r>
      <w:r w:rsidR="006F0353" w:rsidRPr="00037C61">
        <w:rPr>
          <w:rFonts w:cs="Calibri"/>
          <w:lang w:val="en-GB"/>
        </w:rPr>
        <w:t>have been</w:t>
      </w:r>
      <w:r w:rsidRPr="00037C61">
        <w:rPr>
          <w:rFonts w:cs="Calibri"/>
          <w:lang w:val="en-GB"/>
        </w:rPr>
        <w:t xml:space="preserve"> correlated with potential complementarities with other funds, under the assumption that a set of interventions that may be “risky” for the Interreg programme or may have a low cross-border impact may still be relevant for observed needs and could thus be funded from other sources</w:t>
      </w:r>
      <w:r w:rsidR="003C256B" w:rsidRPr="00037C61">
        <w:rPr>
          <w:rFonts w:cs="Calibri"/>
          <w:lang w:val="en-GB"/>
        </w:rPr>
        <w:t xml:space="preserve"> (whilst Interreg may not be the best source of funding)</w:t>
      </w:r>
      <w:r w:rsidRPr="00037C61">
        <w:rPr>
          <w:rFonts w:cs="Calibri"/>
          <w:lang w:val="en-GB"/>
        </w:rPr>
        <w:t>;</w:t>
      </w:r>
    </w:p>
    <w:p w14:paraId="05F24E7A" w14:textId="6083F5E5" w:rsidR="007E34B7" w:rsidRPr="00037C61" w:rsidRDefault="007E34B7" w:rsidP="00014AA0">
      <w:pPr>
        <w:pStyle w:val="ListParagraph"/>
        <w:numPr>
          <w:ilvl w:val="0"/>
          <w:numId w:val="24"/>
        </w:numPr>
        <w:spacing w:after="0" w:line="240" w:lineRule="auto"/>
        <w:contextualSpacing/>
        <w:rPr>
          <w:rFonts w:cs="Calibri"/>
          <w:lang w:val="en-GB"/>
        </w:rPr>
      </w:pPr>
      <w:r w:rsidRPr="00037C61">
        <w:rPr>
          <w:rFonts w:cs="Calibri"/>
          <w:lang w:val="en-GB"/>
        </w:rPr>
        <w:t xml:space="preserve">The above steps </w:t>
      </w:r>
      <w:r w:rsidR="006F0353" w:rsidRPr="00037C61">
        <w:rPr>
          <w:rFonts w:cs="Calibri"/>
          <w:lang w:val="en-GB"/>
        </w:rPr>
        <w:t xml:space="preserve">have been </w:t>
      </w:r>
      <w:r w:rsidRPr="00037C61">
        <w:rPr>
          <w:rFonts w:cs="Calibri"/>
          <w:lang w:val="en-GB"/>
        </w:rPr>
        <w:t xml:space="preserve">realised for each need and potential impact, which </w:t>
      </w:r>
      <w:r w:rsidR="006F0353" w:rsidRPr="00037C61">
        <w:rPr>
          <w:rFonts w:cs="Calibri"/>
          <w:lang w:val="en-GB"/>
        </w:rPr>
        <w:t xml:space="preserve">has </w:t>
      </w:r>
      <w:r w:rsidRPr="00037C61">
        <w:rPr>
          <w:rFonts w:cs="Calibri"/>
          <w:lang w:val="en-GB"/>
        </w:rPr>
        <w:t>allow</w:t>
      </w:r>
      <w:r w:rsidR="006F0353" w:rsidRPr="00037C61">
        <w:rPr>
          <w:rFonts w:cs="Calibri"/>
          <w:lang w:val="en-GB"/>
        </w:rPr>
        <w:t>ed</w:t>
      </w:r>
      <w:r w:rsidRPr="00037C61">
        <w:rPr>
          <w:rFonts w:cs="Calibri"/>
          <w:lang w:val="en-GB"/>
        </w:rPr>
        <w:t xml:space="preserve"> to </w:t>
      </w:r>
      <w:r w:rsidR="006F0353" w:rsidRPr="00037C61">
        <w:rPr>
          <w:rFonts w:cs="Calibri"/>
          <w:lang w:val="en-GB"/>
        </w:rPr>
        <w:t xml:space="preserve">define </w:t>
      </w:r>
      <w:r w:rsidRPr="00037C61">
        <w:rPr>
          <w:rFonts w:cs="Calibri"/>
          <w:lang w:val="en-GB"/>
        </w:rPr>
        <w:t xml:space="preserve">possible </w:t>
      </w:r>
      <w:r w:rsidR="006F0353" w:rsidRPr="00037C61">
        <w:rPr>
          <w:rFonts w:cs="Calibri"/>
          <w:lang w:val="en-GB"/>
        </w:rPr>
        <w:t xml:space="preserve">priority </w:t>
      </w:r>
      <w:r w:rsidR="00C822F7" w:rsidRPr="00037C61">
        <w:rPr>
          <w:rFonts w:cs="Calibri"/>
          <w:lang w:val="en-GB"/>
        </w:rPr>
        <w:t>POs</w:t>
      </w:r>
      <w:r w:rsidRPr="00037C61">
        <w:rPr>
          <w:rFonts w:cs="Calibri"/>
          <w:lang w:val="en-GB"/>
        </w:rPr>
        <w:t xml:space="preserve"> to be included in the future Interreg Programme. </w:t>
      </w:r>
    </w:p>
    <w:p w14:paraId="19526B55" w14:textId="7BD527EF" w:rsidR="007E34B7" w:rsidRPr="00037C61" w:rsidRDefault="007E34B7" w:rsidP="00C45ED0">
      <w:pPr>
        <w:rPr>
          <w:rFonts w:cs="Calibri"/>
          <w:lang w:val="en-GB"/>
        </w:rPr>
      </w:pPr>
    </w:p>
    <w:p w14:paraId="3B69F49C" w14:textId="209892E1" w:rsidR="00C822F7" w:rsidRPr="00037C61" w:rsidRDefault="00C822F7" w:rsidP="00C45ED0">
      <w:pPr>
        <w:rPr>
          <w:rFonts w:cs="Calibri"/>
          <w:lang w:val="en-GB"/>
        </w:rPr>
      </w:pPr>
      <w:r w:rsidRPr="00037C61">
        <w:rPr>
          <w:rFonts w:cs="Calibri"/>
          <w:lang w:val="en-GB"/>
        </w:rPr>
        <w:t xml:space="preserve">For each need and PO a set of investment interventions </w:t>
      </w:r>
      <w:r w:rsidR="00D03F92" w:rsidRPr="00037C61">
        <w:rPr>
          <w:rFonts w:cs="Calibri"/>
          <w:lang w:val="en-GB"/>
        </w:rPr>
        <w:t xml:space="preserve">/ </w:t>
      </w:r>
      <w:r w:rsidRPr="00037C61">
        <w:rPr>
          <w:rFonts w:cs="Calibri"/>
          <w:lang w:val="en-GB"/>
        </w:rPr>
        <w:t xml:space="preserve">hard measures correlated with common ERDF indicators and </w:t>
      </w:r>
      <w:r w:rsidR="00D03F92" w:rsidRPr="00037C61">
        <w:rPr>
          <w:rFonts w:cs="Calibri"/>
          <w:lang w:val="en-GB"/>
        </w:rPr>
        <w:t xml:space="preserve">soft interventions correlated with Interreg specific indicators has been taken into account to assess potential impacts / risks / complementarities. </w:t>
      </w:r>
    </w:p>
    <w:p w14:paraId="6499011D" w14:textId="7185278B" w:rsidR="0053426D" w:rsidRPr="00037C61" w:rsidRDefault="0053426D" w:rsidP="00C45ED0">
      <w:pPr>
        <w:rPr>
          <w:rFonts w:cs="Calibri"/>
          <w:lang w:val="en-GB"/>
        </w:rPr>
      </w:pPr>
      <w:r w:rsidRPr="00037C61">
        <w:rPr>
          <w:rFonts w:cs="Calibri"/>
          <w:lang w:val="en-GB"/>
        </w:rPr>
        <w:t xml:space="preserve">The overall conclusions </w:t>
      </w:r>
      <w:r w:rsidR="00716FD3" w:rsidRPr="00037C61">
        <w:rPr>
          <w:rFonts w:cs="Calibri"/>
          <w:lang w:val="en-GB"/>
        </w:rPr>
        <w:t xml:space="preserve">from the </w:t>
      </w:r>
      <w:r w:rsidR="00C95FF4" w:rsidRPr="00037C61">
        <w:rPr>
          <w:rFonts w:cs="Calibri"/>
          <w:lang w:val="en-GB"/>
        </w:rPr>
        <w:t xml:space="preserve">policy analysis, the </w:t>
      </w:r>
      <w:r w:rsidR="00716FD3" w:rsidRPr="00037C61">
        <w:rPr>
          <w:rFonts w:cs="Calibri"/>
          <w:lang w:val="en-GB"/>
        </w:rPr>
        <w:t>scenario</w:t>
      </w:r>
      <w:r w:rsidR="00C95FF4" w:rsidRPr="00037C61">
        <w:rPr>
          <w:rFonts w:cs="Calibri"/>
          <w:lang w:val="en-GB"/>
        </w:rPr>
        <w:t xml:space="preserve"> matrix</w:t>
      </w:r>
      <w:r w:rsidR="00716FD3" w:rsidRPr="00037C61">
        <w:rPr>
          <w:rFonts w:cs="Calibri"/>
          <w:lang w:val="en-GB"/>
        </w:rPr>
        <w:t xml:space="preserve"> and </w:t>
      </w:r>
      <w:r w:rsidR="00C95FF4" w:rsidRPr="00037C61">
        <w:rPr>
          <w:rFonts w:cs="Calibri"/>
          <w:lang w:val="en-GB"/>
        </w:rPr>
        <w:t xml:space="preserve">the </w:t>
      </w:r>
      <w:r w:rsidR="00716FD3" w:rsidRPr="00037C61">
        <w:rPr>
          <w:rFonts w:cs="Calibri"/>
          <w:lang w:val="en-GB"/>
        </w:rPr>
        <w:t>territorial analysis</w:t>
      </w:r>
      <w:r w:rsidR="00C95FF4" w:rsidRPr="00037C61">
        <w:rPr>
          <w:rFonts w:cs="Calibri"/>
          <w:lang w:val="en-GB"/>
        </w:rPr>
        <w:t>, corroborated with the outcoms of consultations</w:t>
      </w:r>
      <w:r w:rsidR="00716FD3" w:rsidRPr="00037C61">
        <w:rPr>
          <w:rFonts w:cs="Calibri"/>
          <w:lang w:val="en-GB"/>
        </w:rPr>
        <w:t xml:space="preserve"> are presented below for each PO.</w:t>
      </w:r>
    </w:p>
    <w:p w14:paraId="22B31B7B" w14:textId="64B5481D" w:rsidR="003E3FCE" w:rsidRPr="00037C61" w:rsidRDefault="003E3FCE" w:rsidP="00C45ED0">
      <w:pPr>
        <w:rPr>
          <w:rFonts w:cs="Calibri"/>
          <w:lang w:val="en-GB"/>
        </w:rPr>
      </w:pPr>
    </w:p>
    <w:p w14:paraId="20604E3C" w14:textId="5845A31A" w:rsidR="00715111" w:rsidRPr="00037C61" w:rsidRDefault="00715111" w:rsidP="00662F53">
      <w:pPr>
        <w:pStyle w:val="Heading2"/>
        <w:rPr>
          <w:u w:color="034FA3"/>
        </w:rPr>
      </w:pPr>
      <w:bookmarkStart w:id="915" w:name="_Toc64619579"/>
      <w:r w:rsidRPr="00037C61">
        <w:t>Orientations</w:t>
      </w:r>
      <w:r w:rsidRPr="00037C61">
        <w:rPr>
          <w:u w:color="034FA3"/>
        </w:rPr>
        <w:t xml:space="preserve"> for the next cooperation programme </w:t>
      </w:r>
      <w:r w:rsidR="00B75BF7">
        <w:rPr>
          <w:u w:color="034FA3"/>
        </w:rPr>
        <w:t>suggested for consideration</w:t>
      </w:r>
      <w:bookmarkEnd w:id="915"/>
      <w:r w:rsidR="00B75BF7">
        <w:rPr>
          <w:u w:color="034FA3"/>
        </w:rPr>
        <w:t xml:space="preserve"> </w:t>
      </w:r>
    </w:p>
    <w:p w14:paraId="199C6877" w14:textId="77777777" w:rsidR="00715111" w:rsidRPr="00037C61" w:rsidRDefault="00715111" w:rsidP="00C45ED0">
      <w:pPr>
        <w:rPr>
          <w:rFonts w:asciiTheme="minorHAnsi" w:hAnsiTheme="minorHAnsi" w:cstheme="minorHAnsi"/>
          <w:lang w:val="en-GB"/>
        </w:rPr>
      </w:pPr>
    </w:p>
    <w:p w14:paraId="3CE08C16" w14:textId="69D816B8" w:rsidR="00CC2299" w:rsidRPr="00037C61" w:rsidRDefault="00662F53" w:rsidP="00662F53">
      <w:pPr>
        <w:pStyle w:val="Heading3"/>
      </w:pPr>
      <w:r w:rsidRPr="00037C61">
        <w:t xml:space="preserve"> </w:t>
      </w:r>
      <w:bookmarkStart w:id="916" w:name="_Toc64619580"/>
      <w:r w:rsidR="00CC2299" w:rsidRPr="00037C61">
        <w:t>A SMARTER CROSS-BORDER AREA</w:t>
      </w:r>
      <w:bookmarkEnd w:id="916"/>
    </w:p>
    <w:p w14:paraId="0D6AF552" w14:textId="037A3A14" w:rsidR="00CC2299" w:rsidRPr="00E80D74" w:rsidRDefault="00CC2299" w:rsidP="43A5E8BA">
      <w:pPr>
        <w:spacing w:before="100" w:beforeAutospacing="1" w:after="100" w:afterAutospacing="1" w:line="240" w:lineRule="auto"/>
        <w:rPr>
          <w:rFonts w:eastAsia="Calibri" w:cs="Calibri"/>
          <w:lang w:val="en-GB" w:eastAsia="it-IT"/>
        </w:rPr>
      </w:pPr>
      <w:r w:rsidRPr="00037C61">
        <w:rPr>
          <w:rFonts w:eastAsia="Calibri" w:cs="Calibri"/>
          <w:lang w:val="en-GB" w:eastAsia="it-IT"/>
        </w:rPr>
        <w:t xml:space="preserve">This analysis shows that both sides of the border face structural problems of the economic environment due </w:t>
      </w:r>
      <w:r w:rsidRPr="00E80D74">
        <w:rPr>
          <w:rFonts w:eastAsia="Calibri" w:cs="Calibri"/>
          <w:lang w:val="en-GB" w:eastAsia="it-IT"/>
        </w:rPr>
        <w:t>to</w:t>
      </w:r>
      <w:r w:rsidR="00662F53" w:rsidRPr="00E80D74">
        <w:rPr>
          <w:rFonts w:eastAsia="Calibri" w:cs="Calibri"/>
          <w:lang w:val="en-GB" w:eastAsia="it-IT"/>
        </w:rPr>
        <w:t>:</w:t>
      </w:r>
      <w:r w:rsidRPr="00E80D74">
        <w:rPr>
          <w:rFonts w:eastAsia="Calibri" w:cs="Calibri"/>
          <w:lang w:val="en-GB" w:eastAsia="it-IT"/>
        </w:rPr>
        <w:t xml:space="preserve"> </w:t>
      </w:r>
    </w:p>
    <w:p w14:paraId="5B520FA6" w14:textId="77777777" w:rsidR="00CC2299" w:rsidRPr="00E80D74" w:rsidRDefault="00CC2299" w:rsidP="00662F53">
      <w:pPr>
        <w:pStyle w:val="InterregROHUBullet1"/>
        <w:ind w:left="851"/>
        <w:rPr>
          <w:lang w:eastAsia="it-IT"/>
        </w:rPr>
      </w:pPr>
      <w:r w:rsidRPr="00E80D74">
        <w:rPr>
          <w:lang w:eastAsia="it-IT"/>
        </w:rPr>
        <w:t xml:space="preserve">the low capacity to innovate, </w:t>
      </w:r>
    </w:p>
    <w:p w14:paraId="762F2A5E" w14:textId="77777777" w:rsidR="00CC2299" w:rsidRPr="00E80D74" w:rsidRDefault="00CC2299" w:rsidP="00662F53">
      <w:pPr>
        <w:pStyle w:val="InterregROHUBullet1"/>
        <w:ind w:left="851"/>
        <w:rPr>
          <w:lang w:eastAsia="it-IT"/>
        </w:rPr>
      </w:pPr>
      <w:r w:rsidRPr="00E80D74">
        <w:rPr>
          <w:lang w:eastAsia="it-IT"/>
        </w:rPr>
        <w:t xml:space="preserve">the low productivity and </w:t>
      </w:r>
    </w:p>
    <w:p w14:paraId="0A795AE7" w14:textId="4ED2B862" w:rsidR="00CC2299" w:rsidRPr="00E80D74" w:rsidRDefault="00CC2299" w:rsidP="00662F53">
      <w:pPr>
        <w:pStyle w:val="InterregROHUBullet1"/>
        <w:ind w:left="851"/>
        <w:rPr>
          <w:lang w:eastAsia="it-IT"/>
        </w:rPr>
      </w:pPr>
      <w:r w:rsidRPr="00E80D74">
        <w:rPr>
          <w:lang w:eastAsia="it-IT"/>
        </w:rPr>
        <w:t xml:space="preserve">the uneven distribution </w:t>
      </w:r>
      <w:r w:rsidR="003B77AE" w:rsidRPr="00E80D74">
        <w:rPr>
          <w:lang w:eastAsia="it-IT"/>
        </w:rPr>
        <w:t xml:space="preserve">and low effectiveness </w:t>
      </w:r>
      <w:r w:rsidRPr="00E80D74">
        <w:rPr>
          <w:lang w:eastAsia="it-IT"/>
        </w:rPr>
        <w:t>of business support services.</w:t>
      </w:r>
    </w:p>
    <w:p w14:paraId="342F7F2C" w14:textId="4C24072E" w:rsidR="00B403A6" w:rsidRPr="00E80D74" w:rsidRDefault="00CC2299" w:rsidP="74CEAA85">
      <w:pPr>
        <w:spacing w:before="100" w:beforeAutospacing="1" w:after="100" w:afterAutospacing="1" w:line="240" w:lineRule="auto"/>
        <w:rPr>
          <w:rFonts w:eastAsia="Calibri" w:cs="Calibri"/>
          <w:lang w:val="en-GB" w:eastAsia="it-IT"/>
        </w:rPr>
      </w:pPr>
      <w:r w:rsidRPr="00E80D74">
        <w:rPr>
          <w:rFonts w:eastAsia="Calibri" w:cs="Calibri"/>
          <w:lang w:val="en-GB" w:eastAsia="it-IT"/>
        </w:rPr>
        <w:t>Although, there are signs that emerging sectors in more knowledge intensive sectors (i.e. ITC and bioeconomy) could further grow in the next period, this growth can only be supported at the adequate policy level and with the adequate level of "critical mass"</w:t>
      </w:r>
      <w:r w:rsidR="00B403A6" w:rsidRPr="00E80D74">
        <w:rPr>
          <w:rFonts w:eastAsia="Calibri" w:cs="Calibri"/>
          <w:lang w:val="en-GB" w:eastAsia="it-IT"/>
        </w:rPr>
        <w:t xml:space="preserve">, which means to adopt integrated policy measures (i.e. fiscal incentives, </w:t>
      </w:r>
      <w:r w:rsidR="00D35811" w:rsidRPr="00E80D74">
        <w:rPr>
          <w:rFonts w:eastAsia="Calibri" w:cs="Calibri"/>
          <w:lang w:val="en-GB" w:eastAsia="it-IT"/>
        </w:rPr>
        <w:t>direct support to enterprises and other national measures in support of a better business environment</w:t>
      </w:r>
      <w:r w:rsidR="00BC2587" w:rsidRPr="00E80D74">
        <w:rPr>
          <w:rFonts w:eastAsia="Calibri" w:cs="Calibri"/>
          <w:lang w:val="en-GB" w:eastAsia="it-IT"/>
        </w:rPr>
        <w:t>)</w:t>
      </w:r>
      <w:r w:rsidR="00D35811" w:rsidRPr="00E80D74">
        <w:rPr>
          <w:rFonts w:eastAsia="Calibri" w:cs="Calibri"/>
          <w:lang w:val="en-GB" w:eastAsia="it-IT"/>
        </w:rPr>
        <w:t xml:space="preserve"> which are funded under other national and EU programmes</w:t>
      </w:r>
      <w:r w:rsidR="00BC2587" w:rsidRPr="00E80D74">
        <w:rPr>
          <w:rFonts w:eastAsia="Calibri" w:cs="Calibri"/>
          <w:lang w:val="en-GB" w:eastAsia="it-IT"/>
        </w:rPr>
        <w:t xml:space="preserve">, </w:t>
      </w:r>
      <w:r w:rsidR="00B403A6" w:rsidRPr="00E80D74">
        <w:rPr>
          <w:rFonts w:eastAsia="Calibri" w:cs="Calibri"/>
          <w:lang w:val="en-GB" w:eastAsia="it-IT"/>
        </w:rPr>
        <w:t>in support of</w:t>
      </w:r>
      <w:r w:rsidR="00D35811" w:rsidRPr="00E80D74">
        <w:rPr>
          <w:rFonts w:eastAsia="Calibri" w:cs="Calibri"/>
          <w:lang w:val="en-GB" w:eastAsia="it-IT"/>
        </w:rPr>
        <w:t xml:space="preserve"> SMEs competitiveness and innovation</w:t>
      </w:r>
      <w:r w:rsidR="010F63AD" w:rsidRPr="00E80D74">
        <w:rPr>
          <w:rFonts w:eastAsia="Calibri" w:cs="Calibri"/>
          <w:lang w:val="en-GB" w:eastAsia="it-IT"/>
        </w:rPr>
        <w:t>.</w:t>
      </w:r>
    </w:p>
    <w:p w14:paraId="230C0DFA" w14:textId="53F756C2" w:rsidR="005448E6" w:rsidRPr="00037C61" w:rsidRDefault="00B403A6" w:rsidP="74CEAA85">
      <w:pPr>
        <w:spacing w:before="100" w:beforeAutospacing="1" w:after="100" w:afterAutospacing="1" w:line="240" w:lineRule="auto"/>
        <w:rPr>
          <w:rFonts w:eastAsia="Calibri" w:cs="Calibri"/>
          <w:lang w:val="en-GB" w:eastAsia="it-IT"/>
        </w:rPr>
      </w:pPr>
      <w:r w:rsidRPr="00E80D74">
        <w:rPr>
          <w:rFonts w:eastAsia="Calibri" w:cs="Calibri"/>
          <w:lang w:val="en-GB" w:eastAsia="it-IT"/>
        </w:rPr>
        <w:t xml:space="preserve"> </w:t>
      </w:r>
      <w:r w:rsidR="00CC2299" w:rsidRPr="00E80D74">
        <w:rPr>
          <w:rFonts w:eastAsia="Calibri" w:cs="Calibri"/>
          <w:lang w:val="en-GB" w:eastAsia="it-IT"/>
        </w:rPr>
        <w:t xml:space="preserve">Before </w:t>
      </w:r>
      <w:r w:rsidR="001B774F" w:rsidRPr="00E80D74">
        <w:rPr>
          <w:rFonts w:eastAsia="Calibri" w:cs="Calibri"/>
          <w:lang w:val="en-GB" w:eastAsia="it-IT"/>
        </w:rPr>
        <w:t xml:space="preserve">promoting </w:t>
      </w:r>
      <w:r w:rsidR="00CC2299" w:rsidRPr="00E80D74">
        <w:rPr>
          <w:rFonts w:eastAsia="Calibri" w:cs="Calibri"/>
          <w:lang w:val="en-GB" w:eastAsia="it-IT"/>
        </w:rPr>
        <w:t>"cross-border value chains"</w:t>
      </w:r>
      <w:r w:rsidR="00560C65" w:rsidRPr="00E80D74">
        <w:rPr>
          <w:rFonts w:eastAsia="Calibri" w:cs="Calibri"/>
          <w:lang w:val="en-GB" w:eastAsia="it-IT"/>
        </w:rPr>
        <w:t>, underlying</w:t>
      </w:r>
      <w:r w:rsidR="00560C65" w:rsidRPr="00037C61">
        <w:rPr>
          <w:rFonts w:eastAsia="Calibri" w:cs="Calibri"/>
          <w:lang w:val="en-GB" w:eastAsia="it-IT"/>
        </w:rPr>
        <w:t xml:space="preserve"> </w:t>
      </w:r>
      <w:r w:rsidR="002F20D9" w:rsidRPr="00037C61">
        <w:rPr>
          <w:rFonts w:eastAsia="Calibri" w:cs="Calibri"/>
          <w:lang w:val="en-GB" w:eastAsia="it-IT"/>
        </w:rPr>
        <w:t xml:space="preserve">potential </w:t>
      </w:r>
      <w:r w:rsidR="00560C65" w:rsidRPr="00037C61">
        <w:rPr>
          <w:rFonts w:eastAsia="Calibri" w:cs="Calibri"/>
          <w:lang w:val="en-GB" w:eastAsia="it-IT"/>
        </w:rPr>
        <w:t>cross-border functional areas,</w:t>
      </w:r>
      <w:r w:rsidR="00CC2299" w:rsidRPr="00037C61">
        <w:rPr>
          <w:rFonts w:eastAsia="Calibri" w:cs="Calibri"/>
          <w:lang w:val="en-GB" w:eastAsia="it-IT"/>
        </w:rPr>
        <w:t xml:space="preserve"> it is thus needed to adopt national policies able to drive economic recovery and increase national competitiveness on both sides</w:t>
      </w:r>
      <w:r w:rsidR="00BC2587" w:rsidRPr="00037C61">
        <w:rPr>
          <w:rFonts w:eastAsia="Calibri" w:cs="Calibri"/>
          <w:lang w:val="en-GB" w:eastAsia="it-IT"/>
        </w:rPr>
        <w:t>, in line with national agendas and Regional Innovation Strategies (when available)</w:t>
      </w:r>
      <w:r w:rsidR="00CC2299" w:rsidRPr="00037C61">
        <w:rPr>
          <w:rFonts w:eastAsia="Calibri" w:cs="Calibri"/>
          <w:lang w:val="en-GB" w:eastAsia="it-IT"/>
        </w:rPr>
        <w:t xml:space="preserve">. </w:t>
      </w:r>
      <w:r w:rsidR="007461EA" w:rsidRPr="00037C61">
        <w:rPr>
          <w:rFonts w:eastAsia="Calibri" w:cs="Calibri"/>
          <w:lang w:val="en-GB" w:eastAsia="it-IT"/>
        </w:rPr>
        <w:t xml:space="preserve">Besides, individual support to SMEs can hardly </w:t>
      </w:r>
      <w:r w:rsidR="00105D0A" w:rsidRPr="00037C61">
        <w:rPr>
          <w:rFonts w:eastAsia="Calibri" w:cs="Calibri"/>
          <w:lang w:val="en-GB" w:eastAsia="it-IT"/>
        </w:rPr>
        <w:t>have a cross-border impact, due to the limited support and to the same nature of the support (notably a</w:t>
      </w:r>
      <w:r w:rsidR="0047507C" w:rsidRPr="00037C61">
        <w:rPr>
          <w:rFonts w:eastAsia="Calibri" w:cs="Calibri"/>
          <w:lang w:val="en-GB" w:eastAsia="it-IT"/>
        </w:rPr>
        <w:t>n</w:t>
      </w:r>
      <w:r w:rsidR="00105D0A" w:rsidRPr="00037C61">
        <w:rPr>
          <w:rFonts w:eastAsia="Calibri" w:cs="Calibri"/>
          <w:lang w:val="en-GB" w:eastAsia="it-IT"/>
        </w:rPr>
        <w:t xml:space="preserve"> investment to increase individual competitiveness and / or innovation of the </w:t>
      </w:r>
      <w:r w:rsidR="0047507C" w:rsidRPr="00037C61">
        <w:rPr>
          <w:rFonts w:eastAsia="Calibri" w:cs="Calibri"/>
          <w:lang w:val="en-GB" w:eastAsia="it-IT"/>
        </w:rPr>
        <w:t xml:space="preserve">single </w:t>
      </w:r>
      <w:r w:rsidR="00105D0A" w:rsidRPr="00037C61">
        <w:rPr>
          <w:rFonts w:eastAsia="Calibri" w:cs="Calibri"/>
          <w:lang w:val="en-GB" w:eastAsia="it-IT"/>
        </w:rPr>
        <w:t>enterprise</w:t>
      </w:r>
      <w:r w:rsidR="0047507C" w:rsidRPr="00037C61">
        <w:rPr>
          <w:rFonts w:eastAsia="Calibri" w:cs="Calibri"/>
          <w:lang w:val="en-GB" w:eastAsia="it-IT"/>
        </w:rPr>
        <w:t>, without cross-border partners)</w:t>
      </w:r>
      <w:r w:rsidR="001B774F" w:rsidRPr="00037C61">
        <w:rPr>
          <w:rFonts w:eastAsia="Calibri" w:cs="Calibri"/>
          <w:lang w:val="en-GB" w:eastAsia="it-IT"/>
        </w:rPr>
        <w:t>.</w:t>
      </w:r>
    </w:p>
    <w:p w14:paraId="3C1E1E9F" w14:textId="1D7258EC" w:rsidR="00CC2299" w:rsidRPr="00037C61" w:rsidRDefault="00CC2299" w:rsidP="00662F53">
      <w:pPr>
        <w:spacing w:before="100" w:beforeAutospacing="1" w:after="100" w:afterAutospacing="1" w:line="240" w:lineRule="auto"/>
        <w:rPr>
          <w:rFonts w:eastAsia="Calibri" w:cs="Calibri"/>
          <w:lang w:val="en-GB" w:eastAsia="it-IT"/>
        </w:rPr>
      </w:pPr>
      <w:r w:rsidRPr="00037C61">
        <w:rPr>
          <w:rFonts w:eastAsia="Calibri" w:cs="Calibri"/>
          <w:lang w:val="en-GB" w:eastAsia="it-IT"/>
        </w:rPr>
        <w:lastRenderedPageBreak/>
        <w:t xml:space="preserve">In the meanwhile, the extent to which a cross-border region "smart specialisation strategy" </w:t>
      </w:r>
      <w:r w:rsidR="00DD2748" w:rsidRPr="00037C61">
        <w:rPr>
          <w:rFonts w:eastAsia="Calibri" w:cs="Calibri"/>
          <w:lang w:val="en-GB" w:eastAsia="it-IT"/>
        </w:rPr>
        <w:t xml:space="preserve">(which could also underline a sector functional area of cooperation) </w:t>
      </w:r>
      <w:r w:rsidRPr="00037C61">
        <w:rPr>
          <w:rFonts w:eastAsia="Calibri" w:cs="Calibri"/>
          <w:lang w:val="en-GB" w:eastAsia="it-IT"/>
        </w:rPr>
        <w:t xml:space="preserve">could be developed, with the involvement of main local </w:t>
      </w:r>
      <w:r w:rsidRPr="00112320">
        <w:rPr>
          <w:rFonts w:eastAsia="Calibri" w:cs="Calibri"/>
          <w:lang w:val="en-GB" w:eastAsia="it-IT"/>
        </w:rPr>
        <w:t>actors (</w:t>
      </w:r>
      <w:r w:rsidRPr="00DB74BF">
        <w:rPr>
          <w:rFonts w:eastAsia="Calibri" w:cs="Calibri"/>
          <w:lang w:val="en-GB" w:eastAsia="it-IT"/>
        </w:rPr>
        <w:t>including business associations</w:t>
      </w:r>
      <w:r w:rsidR="00DF5072" w:rsidRPr="00DB74BF">
        <w:rPr>
          <w:rFonts w:eastAsia="Calibri" w:cs="Calibri"/>
          <w:lang w:val="en-GB" w:eastAsia="it-IT"/>
        </w:rPr>
        <w:t>,</w:t>
      </w:r>
      <w:r w:rsidR="003C452F">
        <w:rPr>
          <w:rFonts w:eastAsia="Calibri" w:cs="Calibri"/>
          <w:lang w:val="en-GB" w:eastAsia="it-IT"/>
        </w:rPr>
        <w:t xml:space="preserve"> </w:t>
      </w:r>
      <w:r w:rsidRPr="00DB74BF">
        <w:rPr>
          <w:rFonts w:eastAsia="Calibri" w:cs="Calibri"/>
          <w:lang w:val="en-GB" w:eastAsia="it-IT"/>
        </w:rPr>
        <w:t xml:space="preserve">higher </w:t>
      </w:r>
      <w:r w:rsidRPr="003C452F">
        <w:rPr>
          <w:rFonts w:eastAsia="Calibri" w:cs="Calibri"/>
          <w:lang w:val="en-GB" w:eastAsia="it-IT"/>
        </w:rPr>
        <w:t>education institutions</w:t>
      </w:r>
      <w:r w:rsidR="00DF5072" w:rsidRPr="003C452F">
        <w:rPr>
          <w:rFonts w:eastAsia="Calibri" w:cs="Calibri"/>
          <w:lang w:val="en-GB" w:eastAsia="it-IT"/>
        </w:rPr>
        <w:t>, research institutes, NGOs and individual large enterprises and SMEs</w:t>
      </w:r>
      <w:r w:rsidRPr="003C452F">
        <w:rPr>
          <w:rFonts w:eastAsia="Calibri" w:cs="Calibri"/>
          <w:lang w:val="en-GB" w:eastAsia="it-IT"/>
        </w:rPr>
        <w:t>) shall be assessed, in order to better define the areas of common interest and greater competitive advantage. A quadruple helix based model of collaboration could favour the smart co-evolution of regional innovation and institutional arrangements and thus generate properly working regional innovation systems.</w:t>
      </w:r>
      <w:r w:rsidR="00B403A6" w:rsidRPr="003C452F">
        <w:rPr>
          <w:rFonts w:eastAsia="Calibri" w:cs="Calibri"/>
          <w:lang w:val="en-GB" w:eastAsia="it-IT"/>
        </w:rPr>
        <w:t xml:space="preserve"> Whilst this issue can be considered subject of an “economic governance cooperation” intervention, and could thus be funded under ISO 1, </w:t>
      </w:r>
      <w:r w:rsidR="007461EA" w:rsidRPr="003C452F">
        <w:rPr>
          <w:rFonts w:eastAsia="Calibri" w:cs="Calibri"/>
          <w:lang w:val="en-GB" w:eastAsia="it-IT"/>
        </w:rPr>
        <w:t xml:space="preserve">PO 1 is not </w:t>
      </w:r>
      <w:r w:rsidR="00B75BF7" w:rsidRPr="003C452F">
        <w:rPr>
          <w:rFonts w:eastAsia="Calibri" w:cs="Calibri"/>
          <w:lang w:val="en-GB" w:eastAsia="it-IT"/>
        </w:rPr>
        <w:t xml:space="preserve">suggested for consideration </w:t>
      </w:r>
      <w:r w:rsidR="007461EA" w:rsidRPr="003C452F">
        <w:rPr>
          <w:rFonts w:eastAsia="Calibri" w:cs="Calibri"/>
          <w:lang w:val="en-GB" w:eastAsia="it-IT"/>
        </w:rPr>
        <w:t xml:space="preserve"> </w:t>
      </w:r>
      <w:r w:rsidR="00B75BF7" w:rsidRPr="003C452F">
        <w:rPr>
          <w:rFonts w:eastAsia="Calibri" w:cs="Calibri"/>
          <w:lang w:val="en-GB" w:eastAsia="it-IT"/>
        </w:rPr>
        <w:t xml:space="preserve"> as a priority PO </w:t>
      </w:r>
      <w:r w:rsidR="007461EA" w:rsidRPr="003C452F">
        <w:rPr>
          <w:rFonts w:eastAsia="Calibri" w:cs="Calibri"/>
          <w:lang w:val="en-GB" w:eastAsia="it-IT"/>
        </w:rPr>
        <w:t>under the future Interreg Programme between Romania and Hungary, because the scope of the interventions could not have a high cross-border impact in the given business structural context</w:t>
      </w:r>
      <w:r w:rsidR="001B774F" w:rsidRPr="003C452F">
        <w:rPr>
          <w:rFonts w:eastAsia="Calibri" w:cs="Calibri"/>
          <w:lang w:val="en-GB" w:eastAsia="it-IT"/>
        </w:rPr>
        <w:t xml:space="preserve">, </w:t>
      </w:r>
      <w:r w:rsidR="001B774F" w:rsidRPr="003C452F">
        <w:rPr>
          <w:rFonts w:eastAsia="Calibri" w:cs="Calibri"/>
          <w:b/>
          <w:bCs/>
          <w:lang w:val="en-GB" w:eastAsia="it-IT"/>
        </w:rPr>
        <w:t>lacking consolidated</w:t>
      </w:r>
      <w:r w:rsidR="00027E11" w:rsidRPr="003C452F">
        <w:rPr>
          <w:rFonts w:eastAsia="Calibri" w:cs="Calibri"/>
          <w:b/>
          <w:bCs/>
          <w:lang w:val="en-GB" w:eastAsia="it-IT"/>
        </w:rPr>
        <w:t xml:space="preserve"> functional areas</w:t>
      </w:r>
      <w:r w:rsidR="00027E11" w:rsidRPr="003C452F">
        <w:rPr>
          <w:rFonts w:eastAsia="Calibri" w:cs="Calibri"/>
          <w:lang w:val="en-GB" w:eastAsia="it-IT"/>
        </w:rPr>
        <w:t>, such as</w:t>
      </w:r>
      <w:r w:rsidR="001B774F" w:rsidRPr="003C452F">
        <w:rPr>
          <w:rFonts w:eastAsia="Calibri" w:cs="Calibri"/>
          <w:lang w:val="en-GB" w:eastAsia="it-IT"/>
        </w:rPr>
        <w:t xml:space="preserve"> clusters and </w:t>
      </w:r>
      <w:r w:rsidR="00027E11" w:rsidRPr="003C452F">
        <w:rPr>
          <w:rFonts w:eastAsia="Calibri" w:cs="Calibri"/>
          <w:lang w:val="en-GB" w:eastAsia="it-IT"/>
        </w:rPr>
        <w:t xml:space="preserve">well-defined cross-border </w:t>
      </w:r>
      <w:r w:rsidR="001B774F" w:rsidRPr="003C452F">
        <w:rPr>
          <w:rFonts w:eastAsia="Calibri" w:cs="Calibri"/>
          <w:lang w:val="en-GB" w:eastAsia="it-IT"/>
        </w:rPr>
        <w:t xml:space="preserve">value chains (due to very differentiated structure of the economy </w:t>
      </w:r>
      <w:r w:rsidR="007458C7" w:rsidRPr="003C452F">
        <w:rPr>
          <w:rFonts w:eastAsia="Calibri" w:cs="Calibri"/>
          <w:lang w:val="en-GB" w:eastAsia="it-IT"/>
        </w:rPr>
        <w:t>across the region)</w:t>
      </w:r>
      <w:r w:rsidR="007461EA" w:rsidRPr="003C452F">
        <w:rPr>
          <w:rFonts w:eastAsia="Calibri" w:cs="Calibri"/>
          <w:lang w:val="en-GB" w:eastAsia="it-IT"/>
        </w:rPr>
        <w:t>.</w:t>
      </w:r>
      <w:r w:rsidR="007461EA" w:rsidRPr="00037C61">
        <w:rPr>
          <w:rFonts w:eastAsia="Calibri" w:cs="Calibri"/>
          <w:lang w:val="en-GB" w:eastAsia="it-IT"/>
        </w:rPr>
        <w:t xml:space="preserve"> </w:t>
      </w:r>
    </w:p>
    <w:p w14:paraId="1E34D1C8" w14:textId="77777777" w:rsidR="00000EF1" w:rsidRPr="00037C61" w:rsidRDefault="00000EF1" w:rsidP="00662F53">
      <w:pPr>
        <w:spacing w:before="100" w:beforeAutospacing="1" w:after="100" w:afterAutospacing="1" w:line="240" w:lineRule="auto"/>
        <w:rPr>
          <w:rFonts w:eastAsia="Calibri" w:cs="Calibri"/>
          <w:lang w:val="en-GB" w:eastAsia="it-IT"/>
        </w:rPr>
      </w:pPr>
    </w:p>
    <w:p w14:paraId="6A8984C3" w14:textId="7D601379" w:rsidR="00CC2299" w:rsidRPr="00037C61" w:rsidRDefault="00662F53" w:rsidP="00662F53">
      <w:pPr>
        <w:pStyle w:val="Heading3"/>
      </w:pPr>
      <w:r w:rsidRPr="00037C61">
        <w:t xml:space="preserve"> </w:t>
      </w:r>
      <w:bookmarkStart w:id="917" w:name="_Toc64619581"/>
      <w:r w:rsidR="00CC2299" w:rsidRPr="00037C61">
        <w:t>A GREENER REGION (PO2)</w:t>
      </w:r>
      <w:bookmarkEnd w:id="917"/>
    </w:p>
    <w:p w14:paraId="060248F5" w14:textId="3FF2B7ED" w:rsidR="000F404C" w:rsidRPr="003C452F" w:rsidRDefault="004456E6" w:rsidP="000F40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eastAsia="Calibri" w:cs="Calibri"/>
          <w:lang w:val="en-GB"/>
        </w:rPr>
      </w:pPr>
      <w:r w:rsidRPr="00037C61">
        <w:rPr>
          <w:rFonts w:eastAsia="Calibri" w:cs="Calibri"/>
          <w:lang w:val="en-GB"/>
        </w:rPr>
        <w:t xml:space="preserve">The </w:t>
      </w:r>
      <w:r w:rsidRPr="003C452F">
        <w:rPr>
          <w:rFonts w:eastAsia="Calibri" w:cs="Calibri"/>
          <w:lang w:val="en-GB"/>
        </w:rPr>
        <w:t>analysis shows that the</w:t>
      </w:r>
      <w:r w:rsidR="5C942498" w:rsidRPr="003C452F">
        <w:rPr>
          <w:rFonts w:eastAsia="Calibri" w:cs="Calibri"/>
          <w:lang w:val="en-GB"/>
        </w:rPr>
        <w:t>re</w:t>
      </w:r>
      <w:r w:rsidRPr="003C452F">
        <w:rPr>
          <w:rFonts w:eastAsia="Calibri" w:cs="Calibri"/>
          <w:lang w:val="en-GB"/>
        </w:rPr>
        <w:t xml:space="preserve"> are common challenges related to climate change adaptation strategies and the management of natural and anthropic hazards, especially linked to the incidence of floods (especially in the norther and southern areas of the PA), landslides and fires deriving from draughts and land abandonment. </w:t>
      </w:r>
      <w:r w:rsidR="00B340AD" w:rsidRPr="003C452F">
        <w:rPr>
          <w:rFonts w:eastAsia="Calibri" w:cs="Calibri"/>
          <w:lang w:val="en-GB"/>
        </w:rPr>
        <w:t xml:space="preserve">In this respect, the joint management of river basins and, in general, cross-border </w:t>
      </w:r>
      <w:r w:rsidR="008347DA" w:rsidRPr="003C452F">
        <w:rPr>
          <w:rFonts w:eastAsia="Calibri" w:cs="Calibri"/>
          <w:lang w:val="en-GB"/>
        </w:rPr>
        <w:t>land management for a more efficient risk prevention and management emerge as priorities of utmost importan</w:t>
      </w:r>
      <w:r w:rsidR="00882DEC" w:rsidRPr="003C452F">
        <w:rPr>
          <w:rFonts w:eastAsia="Calibri" w:cs="Calibri"/>
          <w:lang w:val="en-GB"/>
        </w:rPr>
        <w:t>ce, underl</w:t>
      </w:r>
      <w:r w:rsidR="002F20D9" w:rsidRPr="003C452F">
        <w:rPr>
          <w:rFonts w:eastAsia="Calibri" w:cs="Calibri"/>
          <w:lang w:val="en-GB"/>
        </w:rPr>
        <w:t>y</w:t>
      </w:r>
      <w:r w:rsidR="00882DEC" w:rsidRPr="003C452F">
        <w:rPr>
          <w:rFonts w:eastAsia="Calibri" w:cs="Calibri"/>
          <w:lang w:val="en-GB"/>
        </w:rPr>
        <w:t xml:space="preserve">ing </w:t>
      </w:r>
      <w:r w:rsidR="003B7229" w:rsidRPr="003C452F">
        <w:rPr>
          <w:rFonts w:eastAsia="Calibri" w:cs="Calibri"/>
          <w:b/>
          <w:bCs/>
          <w:lang w:val="en-GB"/>
        </w:rPr>
        <w:t xml:space="preserve">cross-border </w:t>
      </w:r>
      <w:r w:rsidR="008347DA" w:rsidRPr="003C452F">
        <w:rPr>
          <w:rFonts w:eastAsia="Calibri" w:cs="Calibri"/>
          <w:b/>
          <w:bCs/>
          <w:lang w:val="en-GB"/>
        </w:rPr>
        <w:t>functional areas</w:t>
      </w:r>
      <w:r w:rsidR="008347DA" w:rsidRPr="003C452F">
        <w:rPr>
          <w:rFonts w:eastAsia="Calibri" w:cs="Calibri"/>
          <w:lang w:val="en-GB"/>
        </w:rPr>
        <w:t xml:space="preserve">, </w:t>
      </w:r>
      <w:r w:rsidR="00037DE8" w:rsidRPr="003C452F">
        <w:rPr>
          <w:rFonts w:eastAsia="Calibri" w:cs="Calibri"/>
          <w:lang w:val="en-GB"/>
        </w:rPr>
        <w:t xml:space="preserve">which are </w:t>
      </w:r>
      <w:r w:rsidR="008347DA" w:rsidRPr="003C452F">
        <w:rPr>
          <w:rFonts w:eastAsia="Calibri" w:cs="Calibri"/>
          <w:b/>
          <w:bCs/>
          <w:lang w:val="en-GB"/>
        </w:rPr>
        <w:t>clearly defined by the geomorphological characteristics of the cross-border area</w:t>
      </w:r>
      <w:r w:rsidR="008347DA" w:rsidRPr="003C452F">
        <w:rPr>
          <w:rFonts w:eastAsia="Calibri" w:cs="Calibri"/>
          <w:lang w:val="en-GB"/>
        </w:rPr>
        <w:t xml:space="preserve">. </w:t>
      </w:r>
    </w:p>
    <w:p w14:paraId="2887E11E" w14:textId="4CA166DC" w:rsidR="000F404C" w:rsidRPr="00E95D82" w:rsidRDefault="004456E6" w:rsidP="000F40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eastAsia="Calibri" w:cs="Calibri"/>
          <w:lang w:val="en-GB"/>
        </w:rPr>
      </w:pPr>
      <w:r w:rsidRPr="003C452F">
        <w:rPr>
          <w:rFonts w:eastAsia="Calibri" w:cs="Calibri"/>
          <w:lang w:val="en-GB"/>
        </w:rPr>
        <w:t>The analysis also shows that, although the renewable</w:t>
      </w:r>
      <w:r w:rsidRPr="00037C61">
        <w:rPr>
          <w:rFonts w:eastAsia="Calibri" w:cs="Calibri"/>
          <w:lang w:val="en-GB"/>
        </w:rPr>
        <w:t xml:space="preserve"> energy potential is substantial, this potential is not fully exploited, nor fully mapped at micro-zone level. </w:t>
      </w:r>
      <w:r w:rsidR="003E2D14" w:rsidRPr="00037C61">
        <w:rPr>
          <w:rFonts w:eastAsia="Calibri" w:cs="Calibri"/>
          <w:lang w:val="en-GB"/>
        </w:rPr>
        <w:t>However, recent case studies conducted by the EEA</w:t>
      </w:r>
      <w:r w:rsidR="003E2D14" w:rsidRPr="00037C61">
        <w:rPr>
          <w:rStyle w:val="FootnoteReference"/>
          <w:rFonts w:eastAsia="Calibri" w:cs="Calibri"/>
          <w:lang w:val="en-GB"/>
        </w:rPr>
        <w:footnoteReference w:id="42"/>
      </w:r>
      <w:r w:rsidR="003E2D14" w:rsidRPr="00037C61">
        <w:rPr>
          <w:rFonts w:eastAsia="Calibri" w:cs="Calibri"/>
          <w:lang w:val="en-GB"/>
        </w:rPr>
        <w:t xml:space="preserve"> suggest that</w:t>
      </w:r>
      <w:r w:rsidR="003E2D14" w:rsidRPr="00037C61">
        <w:rPr>
          <w:rFonts w:cs="Calibri"/>
          <w:color w:val="000000"/>
          <w:shd w:val="clear" w:color="auto" w:fill="FFFFFF"/>
          <w:lang w:val="en-GB"/>
        </w:rPr>
        <w:t xml:space="preserve"> "cross-border cooperation on renewable energy delivers multiple benefits for the participating countries”. </w:t>
      </w:r>
      <w:r w:rsidR="00037DE8" w:rsidRPr="005154D2">
        <w:rPr>
          <w:rFonts w:cs="Calibri"/>
          <w:shd w:val="clear" w:color="auto" w:fill="FFFFFF"/>
          <w:lang w:val="en-GB"/>
        </w:rPr>
        <w:t>In particular</w:t>
      </w:r>
      <w:r w:rsidR="003E2D14" w:rsidRPr="005154D2">
        <w:rPr>
          <w:rFonts w:cs="Calibri"/>
          <w:shd w:val="clear" w:color="auto" w:fill="FFFFFF"/>
          <w:lang w:val="en-GB"/>
        </w:rPr>
        <w:t>, there is great untapped potential and examples</w:t>
      </w:r>
      <w:r w:rsidR="00842428" w:rsidRPr="005154D2">
        <w:rPr>
          <w:rStyle w:val="FootnoteReference"/>
          <w:rFonts w:cs="Calibri"/>
          <w:shd w:val="clear" w:color="auto" w:fill="FFFFFF"/>
          <w:lang w:val="en-GB"/>
        </w:rPr>
        <w:footnoteReference w:id="43"/>
      </w:r>
      <w:r w:rsidR="003E2D14" w:rsidRPr="007F5E2A">
        <w:rPr>
          <w:rFonts w:cs="Calibri"/>
          <w:shd w:val="clear" w:color="auto" w:fill="FFFFFF"/>
          <w:lang w:val="en-GB"/>
        </w:rPr>
        <w:t xml:space="preserve"> across EU of cross-border projects in this field: </w:t>
      </w:r>
      <w:r w:rsidR="00CE3730" w:rsidRPr="007F5E2A">
        <w:rPr>
          <w:rFonts w:cs="Calibri"/>
          <w:shd w:val="clear" w:color="auto" w:fill="FFFFFF"/>
          <w:lang w:val="en-GB"/>
        </w:rPr>
        <w:t>according to an In</w:t>
      </w:r>
      <w:r w:rsidR="003E2D14" w:rsidRPr="007F5E2A">
        <w:rPr>
          <w:rFonts w:cs="Calibri"/>
          <w:shd w:val="clear" w:color="auto" w:fill="FFFFFF"/>
          <w:lang w:val="en-GB"/>
        </w:rPr>
        <w:t>teract study on ETC Energy Projects</w:t>
      </w:r>
      <w:r w:rsidR="00CE3730" w:rsidRPr="005154D2">
        <w:rPr>
          <w:rStyle w:val="FootnoteReference"/>
          <w:rFonts w:cs="Calibri"/>
          <w:shd w:val="clear" w:color="auto" w:fill="FFFFFF"/>
          <w:lang w:val="en-GB"/>
        </w:rPr>
        <w:footnoteReference w:id="44"/>
      </w:r>
      <w:r w:rsidR="00842428" w:rsidRPr="005154D2">
        <w:rPr>
          <w:rFonts w:cs="Calibri"/>
          <w:shd w:val="clear" w:color="auto" w:fill="FFFFFF"/>
          <w:lang w:val="en-GB"/>
        </w:rPr>
        <w:t>, t</w:t>
      </w:r>
      <w:r w:rsidR="003E2D14" w:rsidRPr="005154D2">
        <w:rPr>
          <w:rFonts w:cs="Calibri"/>
          <w:shd w:val="clear" w:color="auto" w:fill="FFFFFF"/>
          <w:lang w:val="en-GB"/>
        </w:rPr>
        <w:t xml:space="preserve">here are 23 projects dealing with geothermal energy across Europe. Out of these, some have also small-scale pilot investments. </w:t>
      </w:r>
      <w:r w:rsidR="00B86CD1">
        <w:rPr>
          <w:rFonts w:cs="Calibri"/>
          <w:shd w:val="clear" w:color="auto" w:fill="FFFFFF"/>
          <w:lang w:val="en-GB"/>
        </w:rPr>
        <w:t>Additionally,</w:t>
      </w:r>
      <w:r w:rsidR="004A6D36">
        <w:rPr>
          <w:rFonts w:cs="Calibri"/>
          <w:shd w:val="clear" w:color="auto" w:fill="FFFFFF"/>
          <w:lang w:val="en-GB"/>
        </w:rPr>
        <w:t xml:space="preserve"> EUSDR </w:t>
      </w:r>
      <w:r w:rsidR="005154D2">
        <w:rPr>
          <w:rFonts w:cs="Calibri"/>
          <w:shd w:val="clear" w:color="auto" w:fill="FFFFFF"/>
          <w:lang w:val="en-GB"/>
        </w:rPr>
        <w:t>has set the following specific objective to be attained in the microregion area “</w:t>
      </w:r>
      <w:r w:rsidR="005154D2" w:rsidRPr="005154D2">
        <w:rPr>
          <w:rFonts w:cs="Calibri"/>
          <w:shd w:val="clear" w:color="auto" w:fill="FFFFFF"/>
          <w:lang w:val="en-GB"/>
        </w:rPr>
        <w:t>Strengthened cooperation and harmonized actions among the EUSDR countries in order to increase the share of RES in their energy mix and successfully achieve their NECP targets contributing to the implementation of the Paris Agreement and investing in energy transition, and the fight against the climate change</w:t>
      </w:r>
      <w:r w:rsidR="005154D2">
        <w:rPr>
          <w:rFonts w:cs="Calibri"/>
          <w:shd w:val="clear" w:color="auto" w:fill="FFFFFF"/>
          <w:lang w:val="en-GB"/>
        </w:rPr>
        <w:t>”.</w:t>
      </w:r>
      <w:r w:rsidR="005154D2" w:rsidRPr="005154D2">
        <w:rPr>
          <w:rFonts w:cs="Calibri"/>
          <w:shd w:val="clear" w:color="auto" w:fill="FFFFFF"/>
          <w:lang w:val="en-GB"/>
        </w:rPr>
        <w:t xml:space="preserve"> </w:t>
      </w:r>
      <w:r w:rsidR="003E2D14" w:rsidRPr="007F5E2A">
        <w:rPr>
          <w:rFonts w:cs="Calibri"/>
          <w:shd w:val="clear" w:color="auto" w:fill="FFFFFF"/>
          <w:lang w:val="en-GB"/>
        </w:rPr>
        <w:t xml:space="preserve">Geothermal sources are </w:t>
      </w:r>
      <w:r w:rsidR="005154D2">
        <w:rPr>
          <w:rFonts w:cs="Calibri"/>
          <w:shd w:val="clear" w:color="auto" w:fill="FFFFFF"/>
          <w:lang w:val="en-GB"/>
        </w:rPr>
        <w:t xml:space="preserve">thus </w:t>
      </w:r>
      <w:r w:rsidR="003E2D14" w:rsidRPr="005154D2">
        <w:rPr>
          <w:rFonts w:cs="Calibri"/>
          <w:shd w:val="clear" w:color="auto" w:fill="FFFFFF"/>
          <w:lang w:val="en-GB"/>
        </w:rPr>
        <w:t>considered a strong cross-border asset</w:t>
      </w:r>
      <w:r w:rsidR="00882DEC" w:rsidRPr="005154D2">
        <w:rPr>
          <w:rFonts w:cs="Calibri"/>
          <w:shd w:val="clear" w:color="auto" w:fill="FFFFFF"/>
          <w:lang w:val="en-GB"/>
        </w:rPr>
        <w:t xml:space="preserve"> and </w:t>
      </w:r>
      <w:r w:rsidR="00882DEC" w:rsidRPr="005154D2">
        <w:rPr>
          <w:rFonts w:cs="Calibri"/>
          <w:b/>
          <w:bCs/>
          <w:shd w:val="clear" w:color="auto" w:fill="FFFFFF"/>
          <w:lang w:val="en-GB"/>
        </w:rPr>
        <w:t>potential functional area</w:t>
      </w:r>
      <w:r w:rsidR="00882DEC" w:rsidRPr="005154D2">
        <w:rPr>
          <w:rFonts w:cs="Calibri"/>
          <w:shd w:val="clear" w:color="auto" w:fill="FFFFFF"/>
          <w:lang w:val="en-GB"/>
        </w:rPr>
        <w:t xml:space="preserve"> of cooperation,</w:t>
      </w:r>
      <w:r w:rsidR="003E2D14" w:rsidRPr="005154D2">
        <w:rPr>
          <w:rFonts w:cs="Calibri"/>
          <w:shd w:val="clear" w:color="auto" w:fill="FFFFFF"/>
          <w:lang w:val="en-GB"/>
        </w:rPr>
        <w:t xml:space="preserve"> still not fully exploited. Considering that there is an interest and potential on both northern and southern sides of the cross-border area, as well as at macro-region level, the promotion of renewable energy from geothermal resources look</w:t>
      </w:r>
      <w:r w:rsidR="00B86CD1">
        <w:rPr>
          <w:rFonts w:cs="Calibri"/>
          <w:shd w:val="clear" w:color="auto" w:fill="FFFFFF"/>
          <w:lang w:val="en-GB"/>
        </w:rPr>
        <w:t>s</w:t>
      </w:r>
      <w:r w:rsidR="003E2D14" w:rsidRPr="007F5E2A">
        <w:rPr>
          <w:rFonts w:cs="Calibri"/>
          <w:shd w:val="clear" w:color="auto" w:fill="FFFFFF"/>
          <w:lang w:val="en-GB"/>
        </w:rPr>
        <w:t xml:space="preserve"> like a regional asset and a joint opportunity</w:t>
      </w:r>
      <w:r w:rsidR="003E2D14" w:rsidRPr="00DB74BF">
        <w:rPr>
          <w:rFonts w:cs="Calibri"/>
          <w:shd w:val="clear" w:color="auto" w:fill="FFFFFF"/>
          <w:lang w:val="en-GB"/>
        </w:rPr>
        <w:t xml:space="preserve">. </w:t>
      </w:r>
    </w:p>
    <w:p w14:paraId="3612F4BA" w14:textId="22E176D6" w:rsidR="000F404C" w:rsidRPr="00037C61" w:rsidRDefault="000F404C" w:rsidP="003B77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b/>
          <w:bCs/>
          <w:lang w:val="en-GB"/>
        </w:rPr>
      </w:pPr>
      <w:r w:rsidRPr="00037C61">
        <w:rPr>
          <w:rFonts w:eastAsia="Calibri" w:cs="Calibri"/>
          <w:lang w:val="en-GB"/>
        </w:rPr>
        <w:lastRenderedPageBreak/>
        <w:t xml:space="preserve">Similarly, the PA is characterized by a green border and high potential for the valorisation of natural resources. However, the </w:t>
      </w:r>
      <w:r w:rsidRPr="00DB74BF">
        <w:rPr>
          <w:rFonts w:eastAsia="Calibri" w:cs="Calibri"/>
          <w:lang w:val="en-GB"/>
        </w:rPr>
        <w:t>current management of protected sites is hardly coordinated and does not reflect the real cross-border nature of the natural landscape</w:t>
      </w:r>
      <w:r w:rsidR="00C95FF4" w:rsidRPr="00DB74BF">
        <w:rPr>
          <w:rFonts w:eastAsia="Calibri" w:cs="Calibri"/>
          <w:lang w:val="en-GB"/>
        </w:rPr>
        <w:t>, wh</w:t>
      </w:r>
      <w:r w:rsidR="002C427C" w:rsidRPr="00DB74BF">
        <w:rPr>
          <w:rFonts w:eastAsia="Calibri" w:cs="Calibri"/>
          <w:lang w:val="en-GB"/>
        </w:rPr>
        <w:t>ich</w:t>
      </w:r>
      <w:r w:rsidR="00C95FF4" w:rsidRPr="00DB74BF">
        <w:rPr>
          <w:rFonts w:eastAsia="Calibri" w:cs="Calibri"/>
          <w:lang w:val="en-GB"/>
        </w:rPr>
        <w:t xml:space="preserve"> can be defined as a </w:t>
      </w:r>
      <w:r w:rsidR="002C427C" w:rsidRPr="00DB74BF">
        <w:rPr>
          <w:rFonts w:eastAsia="Calibri" w:cs="Calibri"/>
          <w:lang w:val="en-GB"/>
        </w:rPr>
        <w:t xml:space="preserve">field for </w:t>
      </w:r>
      <w:r w:rsidR="002C427C" w:rsidRPr="00DB74BF">
        <w:rPr>
          <w:rFonts w:eastAsia="Calibri" w:cs="Calibri"/>
          <w:b/>
          <w:bCs/>
          <w:lang w:val="en-GB"/>
        </w:rPr>
        <w:t>potenti</w:t>
      </w:r>
      <w:r w:rsidR="002F20D9" w:rsidRPr="00DB74BF">
        <w:rPr>
          <w:rFonts w:eastAsia="Calibri" w:cs="Calibri"/>
          <w:b/>
          <w:bCs/>
          <w:lang w:val="en-GB"/>
        </w:rPr>
        <w:t xml:space="preserve">al </w:t>
      </w:r>
      <w:r w:rsidR="00C95FF4" w:rsidRPr="00DB74BF">
        <w:rPr>
          <w:rFonts w:eastAsia="Calibri" w:cs="Calibri"/>
          <w:b/>
          <w:bCs/>
          <w:lang w:val="en-GB"/>
        </w:rPr>
        <w:t>functional area</w:t>
      </w:r>
      <w:r w:rsidR="00C95FF4" w:rsidRPr="00DB74BF">
        <w:rPr>
          <w:rFonts w:eastAsia="Calibri" w:cs="Calibri"/>
          <w:lang w:val="en-GB"/>
        </w:rPr>
        <w:t xml:space="preserve"> </w:t>
      </w:r>
      <w:r w:rsidR="003B7229" w:rsidRPr="00DB74BF">
        <w:rPr>
          <w:rFonts w:eastAsia="Calibri" w:cs="Calibri"/>
          <w:lang w:val="en-GB"/>
        </w:rPr>
        <w:t xml:space="preserve">for </w:t>
      </w:r>
      <w:r w:rsidR="00C95FF4" w:rsidRPr="00DB74BF">
        <w:rPr>
          <w:rFonts w:eastAsia="Calibri" w:cs="Calibri"/>
          <w:lang w:val="en-GB"/>
        </w:rPr>
        <w:t>cooperation</w:t>
      </w:r>
      <w:r w:rsidRPr="002540E3">
        <w:rPr>
          <w:rFonts w:eastAsia="Calibri" w:cs="Calibri"/>
          <w:lang w:val="en-GB"/>
        </w:rPr>
        <w:t xml:space="preserve">. </w:t>
      </w:r>
      <w:r w:rsidRPr="00DB74BF">
        <w:rPr>
          <w:rFonts w:eastAsia="Calibri" w:cs="Calibri"/>
          <w:lang w:val="en-GB"/>
        </w:rPr>
        <w:t>Additionally, both the sides of the border are affected by deforestation trends, which may further deteriorate the exposure of the territory to natural hazards and the impact of climate change</w:t>
      </w:r>
      <w:r w:rsidRPr="002540E3">
        <w:rPr>
          <w:rFonts w:eastAsia="Calibri" w:cs="Calibri"/>
          <w:lang w:val="en-GB"/>
        </w:rPr>
        <w:t>.</w:t>
      </w:r>
    </w:p>
    <w:p w14:paraId="6FD3BE4C" w14:textId="7AE9D23F" w:rsidR="00D76864" w:rsidRPr="003C452F" w:rsidRDefault="00CC2299" w:rsidP="000F404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 xml:space="preserve">Interventions under the green economy objective shall be oriented towards ensuring the contribution of the Interreg Programme to both countries’ national targets related to Energy and Climate Change Plans drafted from </w:t>
      </w:r>
      <w:r w:rsidRPr="003C452F">
        <w:rPr>
          <w:rFonts w:eastAsia="Calibri" w:cs="Calibri"/>
          <w:lang w:val="en-GB"/>
        </w:rPr>
        <w:t>the perspective of Agenda 2030. In particular, integrated energy measures aiming at reducing traditional energy consumption, increased renewable energy share</w:t>
      </w:r>
      <w:r w:rsidR="00E95D82" w:rsidRPr="003C452F">
        <w:rPr>
          <w:rFonts w:eastAsia="Calibri" w:cs="Calibri"/>
          <w:lang w:val="en-GB"/>
        </w:rPr>
        <w:t>,</w:t>
      </w:r>
      <w:r w:rsidRPr="003C452F">
        <w:rPr>
          <w:rFonts w:eastAsia="Calibri" w:cs="Calibri"/>
          <w:lang w:val="en-GB"/>
        </w:rPr>
        <w:t xml:space="preserve"> increased coverage of population protected from natural hazards</w:t>
      </w:r>
      <w:r w:rsidR="00E95D82" w:rsidRPr="003C452F">
        <w:rPr>
          <w:rFonts w:eastAsia="Calibri" w:cs="Calibri"/>
          <w:lang w:val="en-GB"/>
        </w:rPr>
        <w:t>, green infrastructure (including nature-based solutions) and ecosystem</w:t>
      </w:r>
      <w:r w:rsidR="00492031" w:rsidRPr="003C452F">
        <w:rPr>
          <w:rFonts w:eastAsia="Calibri" w:cs="Calibri"/>
          <w:lang w:val="en-GB"/>
        </w:rPr>
        <w:t xml:space="preserve"> protection and</w:t>
      </w:r>
      <w:r w:rsidR="00E95D82" w:rsidRPr="003C452F">
        <w:rPr>
          <w:rFonts w:eastAsia="Calibri" w:cs="Calibri"/>
          <w:lang w:val="en-GB"/>
        </w:rPr>
        <w:t xml:space="preserve"> servicess</w:t>
      </w:r>
      <w:r w:rsidRPr="003C452F">
        <w:rPr>
          <w:rFonts w:eastAsia="Calibri" w:cs="Calibri"/>
          <w:lang w:val="en-GB"/>
        </w:rPr>
        <w:t xml:space="preserve">hall be a high priority for the cross-border region, in the context of the Green New Deal. A dedicated strategy for energy and climate change in the cross-border area, with a common vision on dealing with common challenges and opportunities up to 2030 horizon, in close correlation with national </w:t>
      </w:r>
      <w:r w:rsidR="00CF3846" w:rsidRPr="003C452F">
        <w:rPr>
          <w:rFonts w:eastAsia="Calibri" w:cs="Calibri"/>
          <w:lang w:val="en-GB"/>
        </w:rPr>
        <w:t xml:space="preserve">and local </w:t>
      </w:r>
      <w:r w:rsidRPr="003C452F">
        <w:rPr>
          <w:rFonts w:eastAsia="Calibri" w:cs="Calibri"/>
          <w:lang w:val="en-GB"/>
        </w:rPr>
        <w:t xml:space="preserve">strategies, shall be promoted in this respect. A particular attention must be paid to ecological infrastructures, green and blue (some already defined as </w:t>
      </w:r>
      <w:r w:rsidR="00E95D82" w:rsidRPr="003C452F">
        <w:rPr>
          <w:rFonts w:eastAsia="Calibri" w:cs="Calibri"/>
          <w:lang w:val="en-GB"/>
        </w:rPr>
        <w:t>Natura</w:t>
      </w:r>
      <w:r w:rsidRPr="003C452F">
        <w:rPr>
          <w:rFonts w:eastAsia="Calibri" w:cs="Calibri"/>
          <w:lang w:val="en-GB"/>
        </w:rPr>
        <w:t xml:space="preserve"> 2000</w:t>
      </w:r>
      <w:r w:rsidR="00E95D82" w:rsidRPr="003C452F">
        <w:rPr>
          <w:rFonts w:eastAsia="Calibri" w:cs="Calibri"/>
          <w:lang w:val="en-GB"/>
        </w:rPr>
        <w:t xml:space="preserve"> sites</w:t>
      </w:r>
      <w:r w:rsidRPr="003C452F">
        <w:rPr>
          <w:rFonts w:eastAsia="Calibri" w:cs="Calibri"/>
          <w:lang w:val="en-GB"/>
        </w:rPr>
        <w:t>), which insist on this cross-border region. Given the agricultural vocation, and the still significant importance of this economic sector in the area, of some areas of the cross-border region, great attention must be paid to managing the relations between urban and rural areas</w:t>
      </w:r>
      <w:r w:rsidR="00CF3846" w:rsidRPr="003C452F">
        <w:rPr>
          <w:rFonts w:eastAsia="Calibri" w:cs="Calibri"/>
          <w:lang w:val="en-GB"/>
        </w:rPr>
        <w:t xml:space="preserve"> and</w:t>
      </w:r>
      <w:r w:rsidRPr="003C452F">
        <w:rPr>
          <w:rFonts w:eastAsia="Calibri" w:cs="Calibri"/>
          <w:lang w:val="en-GB"/>
        </w:rPr>
        <w:t xml:space="preserve"> containing urban sprawl phenomena</w:t>
      </w:r>
      <w:r w:rsidR="00CF3846" w:rsidRPr="003C452F">
        <w:rPr>
          <w:rFonts w:eastAsia="Calibri" w:cs="Calibri"/>
          <w:lang w:val="en-GB"/>
        </w:rPr>
        <w:t>.</w:t>
      </w:r>
      <w:r w:rsidRPr="003C452F">
        <w:rPr>
          <w:rFonts w:eastAsia="Calibri" w:cs="Calibri"/>
          <w:lang w:val="en-GB"/>
        </w:rPr>
        <w:t xml:space="preserve"> </w:t>
      </w:r>
    </w:p>
    <w:p w14:paraId="25F6B87F" w14:textId="7733C534" w:rsidR="00CC2299" w:rsidRPr="00037C61" w:rsidRDefault="00CF3846" w:rsidP="00CC22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3C452F">
        <w:rPr>
          <w:rFonts w:eastAsia="Calibri" w:cs="Calibri"/>
          <w:lang w:val="en-GB"/>
        </w:rPr>
        <w:t>For these reasons (considering existing common challenges and opportunities, as well as common national and local policy prioritie</w:t>
      </w:r>
      <w:r w:rsidRPr="00037C61">
        <w:rPr>
          <w:rFonts w:eastAsia="Calibri" w:cs="Calibri"/>
          <w:lang w:val="en-GB"/>
        </w:rPr>
        <w:t xml:space="preserve">s), PO2 </w:t>
      </w:r>
      <w:r w:rsidR="00492031">
        <w:rPr>
          <w:rFonts w:eastAsia="Calibri" w:cs="Calibri"/>
          <w:lang w:val="en-GB"/>
        </w:rPr>
        <w:t xml:space="preserve">is suggested for consideration of the PC members as </w:t>
      </w:r>
      <w:r w:rsidRPr="00037C61">
        <w:rPr>
          <w:rFonts w:eastAsia="Calibri" w:cs="Calibri"/>
          <w:lang w:val="en-GB"/>
        </w:rPr>
        <w:t>a priority PO for the future Interreg Programme between Romania and Hungary 2021-2027.</w:t>
      </w:r>
      <w:r w:rsidR="006E2F3A">
        <w:rPr>
          <w:rFonts w:eastAsia="Calibri" w:cs="Calibri"/>
          <w:lang w:val="en-GB"/>
        </w:rPr>
        <w:t xml:space="preserve"> It shall be also reminded that</w:t>
      </w:r>
      <w:r w:rsidR="00E621DD">
        <w:rPr>
          <w:rFonts w:eastAsia="Calibri" w:cs="Calibri"/>
          <w:lang w:val="en-GB"/>
        </w:rPr>
        <w:t xml:space="preserve"> the draft</w:t>
      </w:r>
      <w:r w:rsidR="006E2F3A">
        <w:rPr>
          <w:rFonts w:eastAsia="Calibri" w:cs="Calibri"/>
          <w:lang w:val="en-GB"/>
        </w:rPr>
        <w:t xml:space="preserve"> </w:t>
      </w:r>
      <w:r w:rsidR="00E621DD">
        <w:rPr>
          <w:rFonts w:eastAsia="Calibri" w:cs="Calibri"/>
          <w:lang w:val="en-GB"/>
        </w:rPr>
        <w:t>Interreg Regulation</w:t>
      </w:r>
      <w:r w:rsidR="006E2F3A">
        <w:rPr>
          <w:rFonts w:eastAsia="Calibri" w:cs="Calibri"/>
          <w:lang w:val="en-GB"/>
        </w:rPr>
        <w:t xml:space="preserve"> defines PO2 as compulsory policy objective for ETC Strand A programmes</w:t>
      </w:r>
      <w:r w:rsidR="00E621DD">
        <w:rPr>
          <w:rFonts w:eastAsia="Calibri" w:cs="Calibri"/>
          <w:lang w:val="en-GB"/>
        </w:rPr>
        <w:t>, for thematic concentration (Art. 15)</w:t>
      </w:r>
      <w:r w:rsidR="006E2F3A">
        <w:rPr>
          <w:rFonts w:eastAsia="Calibri" w:cs="Calibri"/>
          <w:lang w:val="en-GB"/>
        </w:rPr>
        <w:t xml:space="preserve">. </w:t>
      </w:r>
    </w:p>
    <w:p w14:paraId="4DB31921" w14:textId="77777777" w:rsidR="00662F53" w:rsidRPr="00037C61" w:rsidRDefault="00662F53" w:rsidP="00CC22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p>
    <w:p w14:paraId="0510B6E8" w14:textId="77777777" w:rsidR="00CC2299" w:rsidRPr="00037C61" w:rsidRDefault="00CC2299" w:rsidP="00662F53">
      <w:pPr>
        <w:pStyle w:val="Heading3"/>
      </w:pPr>
      <w:bookmarkStart w:id="918" w:name="_Toc64619582"/>
      <w:r w:rsidRPr="00037C61">
        <w:t>A MORE CONNECTED REGION</w:t>
      </w:r>
      <w:bookmarkEnd w:id="918"/>
    </w:p>
    <w:p w14:paraId="6D45A2CB" w14:textId="6E06B934" w:rsidR="00CC2299" w:rsidRPr="00037C61" w:rsidRDefault="00CC2299" w:rsidP="00F7048D">
      <w:pPr>
        <w:spacing w:before="100" w:beforeAutospacing="1" w:after="100" w:afterAutospacing="1" w:line="240" w:lineRule="auto"/>
        <w:rPr>
          <w:rFonts w:eastAsia="Calibri" w:cs="Calibri"/>
          <w:lang w:val="en-GB" w:eastAsia="it-IT"/>
        </w:rPr>
      </w:pPr>
      <w:r w:rsidRPr="00037C61">
        <w:rPr>
          <w:rFonts w:eastAsia="Calibri" w:cs="Calibri"/>
          <w:lang w:val="en-GB" w:eastAsia="it-IT"/>
        </w:rPr>
        <w:t>The analysis shows that there are growing transport volumes but also common challenges, especially related to low railway density and a general peripherality of the area, due to incomplete TEN-T nodes development / upgrading and to the exclusion of some PA areas (notably northern territory) from these European networks, whilst the real features, characteristics and scope of transport flows between the two sides of the border and the expected trends of these flows, is not actually known (which makes it difficult to plan adequate public services in the area, personalised based on targets).</w:t>
      </w:r>
      <w:r w:rsidR="00D250DC" w:rsidRPr="00037C61">
        <w:rPr>
          <w:rFonts w:eastAsia="Calibri" w:cs="Calibri"/>
          <w:lang w:val="en-GB" w:eastAsia="it-IT"/>
        </w:rPr>
        <w:t xml:space="preserve"> </w:t>
      </w:r>
      <w:r w:rsidR="00DD2748" w:rsidRPr="00037C61">
        <w:rPr>
          <w:rFonts w:eastAsia="Calibri" w:cs="Calibri"/>
          <w:lang w:val="en-GB" w:eastAsia="it-IT"/>
        </w:rPr>
        <w:t>For this reason, the analysis could not identify real, evidence-based,</w:t>
      </w:r>
      <w:r w:rsidR="003B7229" w:rsidRPr="00037C61">
        <w:rPr>
          <w:rFonts w:eastAsia="Calibri" w:cs="Calibri"/>
          <w:lang w:val="en-GB" w:eastAsia="it-IT"/>
        </w:rPr>
        <w:t xml:space="preserve"> de facto</w:t>
      </w:r>
      <w:r w:rsidR="00DD2748" w:rsidRPr="00037C61">
        <w:rPr>
          <w:rFonts w:eastAsia="Calibri" w:cs="Calibri"/>
          <w:lang w:val="en-GB" w:eastAsia="it-IT"/>
        </w:rPr>
        <w:t xml:space="preserve"> </w:t>
      </w:r>
      <w:r w:rsidR="003B7229" w:rsidRPr="00037C61">
        <w:rPr>
          <w:rFonts w:eastAsia="Calibri" w:cs="Calibri"/>
          <w:b/>
          <w:bCs/>
          <w:lang w:val="en-GB" w:eastAsia="it-IT"/>
        </w:rPr>
        <w:t xml:space="preserve">cross-border </w:t>
      </w:r>
      <w:r w:rsidR="00DD2748" w:rsidRPr="00037C61">
        <w:rPr>
          <w:rFonts w:eastAsia="Calibri" w:cs="Calibri"/>
          <w:b/>
          <w:bCs/>
          <w:lang w:val="en-GB" w:eastAsia="it-IT"/>
        </w:rPr>
        <w:t xml:space="preserve">functional areas </w:t>
      </w:r>
      <w:r w:rsidR="00DD2748" w:rsidRPr="00037C61">
        <w:rPr>
          <w:rFonts w:eastAsia="Calibri" w:cs="Calibri"/>
          <w:lang w:val="en-GB" w:eastAsia="it-IT"/>
        </w:rPr>
        <w:t>in this sector.</w:t>
      </w:r>
    </w:p>
    <w:p w14:paraId="3D85457F" w14:textId="653729A5" w:rsidR="00F7048D" w:rsidRPr="00037C61" w:rsidRDefault="00DD2748" w:rsidP="00F7048D">
      <w:pPr>
        <w:rPr>
          <w:rFonts w:cs="Calibri"/>
          <w:lang w:val="en-GB"/>
        </w:rPr>
      </w:pPr>
      <w:r w:rsidRPr="00037C61">
        <w:rPr>
          <w:rFonts w:eastAsia="Calibri" w:cs="Calibri"/>
          <w:lang w:val="en-GB" w:eastAsia="it-IT"/>
        </w:rPr>
        <w:t>Additionally</w:t>
      </w:r>
      <w:r w:rsidR="00F7048D" w:rsidRPr="00037C61">
        <w:rPr>
          <w:rFonts w:eastAsia="Calibri" w:cs="Calibri"/>
          <w:lang w:val="en-GB" w:eastAsia="it-IT"/>
        </w:rPr>
        <w:t>, high</w:t>
      </w:r>
      <w:r w:rsidR="00F7048D" w:rsidRPr="00037C61">
        <w:rPr>
          <w:rFonts w:cs="Calibri"/>
          <w:lang w:val="en-GB"/>
        </w:rPr>
        <w:t xml:space="preserve"> costs for the realisation of works and possible administrative or technical barriers (i.e. related to different electrification systems and other railway standards) shall be considered important risks under the condition of limited funds and time available.</w:t>
      </w:r>
      <w:r w:rsidR="0044785A" w:rsidRPr="00037C61">
        <w:rPr>
          <w:rFonts w:cs="Calibri"/>
          <w:lang w:val="en-GB"/>
        </w:rPr>
        <w:t xml:space="preserve"> Additionally, strategic transport infrastructure is funded under national Master Plans and operational programmes under the Cohesion Fund, whilst local public administrations may finance transport infrastructure with local and regional importance from Regional or National Operational Programmes funded under ERDF. </w:t>
      </w:r>
    </w:p>
    <w:p w14:paraId="13EA5219" w14:textId="52A774E7" w:rsidR="003B3AD6" w:rsidRPr="00037C61" w:rsidRDefault="003B3AD6" w:rsidP="00F7048D">
      <w:pPr>
        <w:rPr>
          <w:rFonts w:cs="Calibri"/>
          <w:lang w:val="en-GB"/>
        </w:rPr>
      </w:pPr>
      <w:r w:rsidRPr="00037C61">
        <w:rPr>
          <w:rFonts w:cs="Calibri"/>
          <w:lang w:val="en-GB"/>
        </w:rPr>
        <w:t xml:space="preserve">Finally, it shall be mentioned that the impact of any intervention on transport infrastructure on the overall mobility within the cross-border area may be limited until Romania will not be under the </w:t>
      </w:r>
      <w:r w:rsidRPr="00037C61">
        <w:rPr>
          <w:rFonts w:cs="Calibri"/>
          <w:lang w:val="en-GB"/>
        </w:rPr>
        <w:lastRenderedPageBreak/>
        <w:t xml:space="preserve">Schengen agreement, as there will always be barriers to cross-border mobility that do not necessarily depend on the status and capacity of the infrastructure. </w:t>
      </w:r>
    </w:p>
    <w:p w14:paraId="7D3CA8A4" w14:textId="4EE303FD" w:rsidR="003B3AD6" w:rsidRPr="00037C61" w:rsidRDefault="003B3AD6" w:rsidP="00F7048D">
      <w:pPr>
        <w:rPr>
          <w:rFonts w:cs="Calibri"/>
          <w:lang w:val="en-GB"/>
        </w:rPr>
      </w:pPr>
      <w:r w:rsidRPr="00037C61">
        <w:rPr>
          <w:rFonts w:cs="Calibri"/>
          <w:lang w:val="en-GB"/>
        </w:rPr>
        <w:t xml:space="preserve">For all these reasons, PO 3 is not </w:t>
      </w:r>
      <w:r w:rsidR="006F38B2">
        <w:rPr>
          <w:rFonts w:eastAsia="Calibri" w:cs="Calibri"/>
          <w:lang w:val="en-GB"/>
        </w:rPr>
        <w:t xml:space="preserve">suggested for consideration </w:t>
      </w:r>
      <w:r w:rsidR="00891D32" w:rsidRPr="00037C61">
        <w:rPr>
          <w:rFonts w:cs="Calibri"/>
          <w:lang w:val="en-GB"/>
        </w:rPr>
        <w:t xml:space="preserve">as a priority policy objective for the future Interreg Programme between Romania and Hungary. </w:t>
      </w:r>
      <w:r w:rsidR="00F51C69" w:rsidRPr="00037C61">
        <w:rPr>
          <w:rFonts w:cs="Calibri"/>
          <w:lang w:val="en-GB"/>
        </w:rPr>
        <w:t xml:space="preserve">However, joint studies, a common vision and related joint strategies / action plans for the provision of cross-border transport services </w:t>
      </w:r>
      <w:r w:rsidR="006F38B2">
        <w:rPr>
          <w:rFonts w:cs="Calibri"/>
          <w:lang w:val="en-GB"/>
        </w:rPr>
        <w:t xml:space="preserve">(including study the feasibility of </w:t>
      </w:r>
      <w:r w:rsidR="006F38B2" w:rsidRPr="006F38B2">
        <w:rPr>
          <w:rFonts w:cs="Calibri"/>
          <w:lang w:val="en-GB"/>
        </w:rPr>
        <w:t>cross-border tickets</w:t>
      </w:r>
      <w:r w:rsidR="006F38B2">
        <w:rPr>
          <w:rFonts w:cs="Calibri"/>
          <w:lang w:val="en-GB"/>
        </w:rPr>
        <w:t>,</w:t>
      </w:r>
      <w:r w:rsidR="006F38B2" w:rsidRPr="006F38B2">
        <w:rPr>
          <w:rFonts w:cs="Calibri"/>
          <w:lang w:val="en-GB"/>
        </w:rPr>
        <w:t xml:space="preserve"> enabl</w:t>
      </w:r>
      <w:r w:rsidR="006F38B2">
        <w:rPr>
          <w:rFonts w:cs="Calibri"/>
          <w:lang w:val="en-GB"/>
        </w:rPr>
        <w:t>ing</w:t>
      </w:r>
      <w:r w:rsidR="006F38B2" w:rsidRPr="006F38B2">
        <w:rPr>
          <w:rFonts w:cs="Calibri"/>
          <w:lang w:val="en-GB"/>
        </w:rPr>
        <w:t xml:space="preserve"> innovative and flexible tickets that combine various transport modes and give passengers true options for door-to-door travel</w:t>
      </w:r>
      <w:r w:rsidR="006F38B2">
        <w:rPr>
          <w:rStyle w:val="FootnoteReference"/>
          <w:rFonts w:cs="Calibri"/>
          <w:lang w:val="en-GB"/>
        </w:rPr>
        <w:footnoteReference w:id="45"/>
      </w:r>
      <w:r w:rsidR="006F38B2">
        <w:rPr>
          <w:rFonts w:cs="Calibri"/>
          <w:lang w:val="en-GB"/>
        </w:rPr>
        <w:t xml:space="preserve">) </w:t>
      </w:r>
      <w:r w:rsidR="00F51C69" w:rsidRPr="00037C61">
        <w:rPr>
          <w:rFonts w:cs="Calibri"/>
          <w:lang w:val="en-GB"/>
        </w:rPr>
        <w:t>and infrastructure needs</w:t>
      </w:r>
      <w:r w:rsidR="00F372F1" w:rsidRPr="00037C61">
        <w:rPr>
          <w:rFonts w:cs="Calibri"/>
          <w:lang w:val="en-GB"/>
        </w:rPr>
        <w:t xml:space="preserve">, based on in-depth analysis of flows from a sector </w:t>
      </w:r>
      <w:r w:rsidR="00F372F1" w:rsidRPr="00037C61">
        <w:rPr>
          <w:rFonts w:cs="Calibri"/>
          <w:b/>
          <w:bCs/>
          <w:lang w:val="en-GB"/>
        </w:rPr>
        <w:t xml:space="preserve">functional area </w:t>
      </w:r>
      <w:r w:rsidR="00F372F1" w:rsidRPr="00037C61">
        <w:rPr>
          <w:rFonts w:cs="Calibri"/>
          <w:lang w:val="en-GB"/>
        </w:rPr>
        <w:t>perspective,</w:t>
      </w:r>
      <w:r w:rsidR="00F51C69" w:rsidRPr="00037C61">
        <w:rPr>
          <w:rFonts w:cs="Calibri"/>
          <w:lang w:val="en-GB"/>
        </w:rPr>
        <w:t xml:space="preserve"> could be financed under ISO 1. </w:t>
      </w:r>
    </w:p>
    <w:p w14:paraId="074A4CDF" w14:textId="2EE5A5A2" w:rsidR="00CC2299" w:rsidRPr="00037C61" w:rsidRDefault="00CC2299"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p>
    <w:p w14:paraId="4873AA27" w14:textId="77777777" w:rsidR="00CC2299" w:rsidRPr="00037C61" w:rsidRDefault="00CC2299" w:rsidP="00662F53">
      <w:pPr>
        <w:pStyle w:val="Heading3"/>
      </w:pPr>
      <w:bookmarkStart w:id="919" w:name="_Toc64619583"/>
      <w:r w:rsidRPr="00037C61">
        <w:t>A MORE SOCIAL REGION</w:t>
      </w:r>
      <w:bookmarkEnd w:id="919"/>
    </w:p>
    <w:p w14:paraId="60680611" w14:textId="1045981B" w:rsidR="002C4C69" w:rsidRPr="000648BD" w:rsidRDefault="002C4C69"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The analysis shows that t</w:t>
      </w:r>
      <w:r w:rsidR="00CC2299" w:rsidRPr="00037C61">
        <w:rPr>
          <w:rFonts w:eastAsia="Calibri" w:cs="Calibri"/>
          <w:lang w:val="en-GB"/>
        </w:rPr>
        <w:t xml:space="preserve">he uneven distribution of public services is a significant barrier impeding balanced development and </w:t>
      </w:r>
      <w:r w:rsidR="00CC2299" w:rsidRPr="00037C61">
        <w:rPr>
          <w:rFonts w:eastAsia="Calibri" w:cs="Calibri"/>
          <w:b/>
          <w:bCs/>
          <w:lang w:val="en-GB"/>
        </w:rPr>
        <w:t>internal cohesion</w:t>
      </w:r>
      <w:r w:rsidR="00CC2299" w:rsidRPr="00037C61">
        <w:rPr>
          <w:rFonts w:eastAsia="Calibri" w:cs="Calibri"/>
          <w:lang w:val="en-GB"/>
        </w:rPr>
        <w:t xml:space="preserve">, with Romanian regions having a lower degree of public functions distribution (especially health, education, touristic infrastructure), except major urban centres. In relation to health infrastructure, which is a major priority of all EU countries, following SARS-CoV-2 pandemics, the basic endowment in the PA looks still inadequate compared to needs, as suggested by the average number of beds per 100 000 (which is below the Hungarian and Romanian national average), as well as to the disparities related to the territorial concentration of ambulatories (with the Romanian side of the border lagging behind) and the number of medics / 1000 inhabitants (generally lower in the </w:t>
      </w:r>
      <w:r w:rsidR="00CC2299" w:rsidRPr="000648BD">
        <w:rPr>
          <w:rFonts w:eastAsia="Calibri" w:cs="Calibri"/>
          <w:lang w:val="en-GB"/>
        </w:rPr>
        <w:t>norther counties of the PA).</w:t>
      </w:r>
    </w:p>
    <w:p w14:paraId="62634693" w14:textId="34BAAC7D" w:rsidR="00CA7E7E" w:rsidRPr="000648BD" w:rsidRDefault="00CA7E7E" w:rsidP="00CA7E7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648BD">
        <w:rPr>
          <w:rFonts w:eastAsia="Calibri" w:cs="Calibri"/>
          <w:lang w:val="en-GB"/>
        </w:rPr>
        <w:t xml:space="preserve">Considering the internal disparities observed within the cross-border area in the field of health services and infrastructure, which </w:t>
      </w:r>
      <w:r>
        <w:rPr>
          <w:rFonts w:eastAsia="Calibri" w:cs="Calibri"/>
          <w:lang w:val="en-GB"/>
        </w:rPr>
        <w:t>is</w:t>
      </w:r>
      <w:r w:rsidRPr="000648BD">
        <w:rPr>
          <w:rFonts w:eastAsia="Calibri" w:cs="Calibri"/>
          <w:lang w:val="en-GB"/>
        </w:rPr>
        <w:t xml:space="preserve"> considered </w:t>
      </w:r>
      <w:r>
        <w:rPr>
          <w:rFonts w:eastAsia="Calibri" w:cs="Calibri"/>
          <w:lang w:val="en-GB"/>
        </w:rPr>
        <w:t xml:space="preserve">a high </w:t>
      </w:r>
      <w:r w:rsidRPr="000648BD">
        <w:rPr>
          <w:rFonts w:eastAsia="Calibri" w:cs="Calibri"/>
          <w:lang w:val="en-GB"/>
        </w:rPr>
        <w:t>priorit</w:t>
      </w:r>
      <w:r>
        <w:rPr>
          <w:rFonts w:eastAsia="Calibri" w:cs="Calibri"/>
          <w:lang w:val="en-GB"/>
        </w:rPr>
        <w:t>y</w:t>
      </w:r>
      <w:r w:rsidRPr="000648BD">
        <w:rPr>
          <w:rFonts w:eastAsia="Calibri" w:cs="Calibri"/>
          <w:lang w:val="en-GB"/>
        </w:rPr>
        <w:t xml:space="preserve"> in the EU, national and local agendas in response Covid-19 crisis, the promotion of joint initiatives, including mutual learning, joint systems for data exchange, reduction of administrative barriers and, in general, mutually reinforcing systems to increase the resilience of </w:t>
      </w:r>
      <w:r>
        <w:rPr>
          <w:rFonts w:eastAsia="Calibri" w:cs="Calibri"/>
          <w:lang w:val="en-GB"/>
        </w:rPr>
        <w:t xml:space="preserve">the </w:t>
      </w:r>
      <w:r w:rsidRPr="000648BD">
        <w:rPr>
          <w:rFonts w:eastAsia="Calibri" w:cs="Calibri"/>
          <w:lang w:val="en-GB"/>
        </w:rPr>
        <w:t>health</w:t>
      </w:r>
      <w:r>
        <w:rPr>
          <w:rFonts w:eastAsia="Calibri" w:cs="Calibri"/>
          <w:lang w:val="en-GB"/>
        </w:rPr>
        <w:t xml:space="preserve"> sector</w:t>
      </w:r>
      <w:r w:rsidRPr="000648BD">
        <w:rPr>
          <w:rFonts w:eastAsia="Calibri" w:cs="Calibri"/>
          <w:lang w:val="en-GB"/>
        </w:rPr>
        <w:t xml:space="preserve">, is considered a </w:t>
      </w:r>
      <w:r w:rsidRPr="000648BD">
        <w:rPr>
          <w:rFonts w:eastAsia="Calibri" w:cs="Calibri"/>
          <w:b/>
          <w:bCs/>
          <w:lang w:val="en-GB"/>
        </w:rPr>
        <w:t>potential functional area</w:t>
      </w:r>
      <w:r w:rsidRPr="000648BD">
        <w:rPr>
          <w:rFonts w:eastAsia="Calibri" w:cs="Calibri"/>
          <w:lang w:val="en-GB"/>
        </w:rPr>
        <w:t xml:space="preserve"> </w:t>
      </w:r>
      <w:r w:rsidRPr="000648BD">
        <w:rPr>
          <w:rFonts w:eastAsia="Calibri" w:cs="Calibri"/>
          <w:b/>
          <w:bCs/>
          <w:lang w:val="en-GB"/>
        </w:rPr>
        <w:t>of cooperation</w:t>
      </w:r>
      <w:r w:rsidRPr="000648BD">
        <w:rPr>
          <w:rFonts w:eastAsia="Calibri" w:cs="Calibri"/>
          <w:lang w:val="en-GB"/>
        </w:rPr>
        <w:t xml:space="preserve"> to be prioritised in the next programming period. </w:t>
      </w:r>
    </w:p>
    <w:p w14:paraId="7838C779" w14:textId="6C670353" w:rsidR="00CF72FF" w:rsidRPr="00037C61" w:rsidRDefault="00CC2299"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648BD">
        <w:rPr>
          <w:rFonts w:eastAsia="Calibri" w:cs="Calibri"/>
          <w:lang w:val="en-GB"/>
        </w:rPr>
        <w:t>On the other hand, the PA is endowed with rich natural and cultural heritage, providing the basis for cross-border valorisation in touristic routes. However, the area is still not able to attract and retain high flows of tourists (which is suggested by the decreasing overnight average stay, in terms of number of days), whilst many local and county strategies put great accent on touristic resources and potentials in their territories, in close connection with traditional economic sectors such as local agriculture and food production</w:t>
      </w:r>
      <w:r w:rsidR="00713860" w:rsidRPr="000648BD">
        <w:rPr>
          <w:rFonts w:eastAsia="Calibri" w:cs="Calibri"/>
          <w:lang w:val="en-GB"/>
        </w:rPr>
        <w:t>, as a tool for socio-economic development and diversification of rural economies and peripheral areas</w:t>
      </w:r>
      <w:r w:rsidR="003E6F55" w:rsidRPr="000648BD">
        <w:rPr>
          <w:rFonts w:eastAsia="Calibri" w:cs="Calibri"/>
          <w:lang w:val="en-GB"/>
        </w:rPr>
        <w:t>. For this reason, the valorisation of natural and cultural resources for touristic purpose is consi</w:t>
      </w:r>
      <w:r w:rsidR="00DD2748" w:rsidRPr="000648BD">
        <w:rPr>
          <w:rFonts w:eastAsia="Calibri" w:cs="Calibri"/>
          <w:lang w:val="en-GB"/>
        </w:rPr>
        <w:t xml:space="preserve">dered </w:t>
      </w:r>
      <w:r w:rsidR="00DD2748" w:rsidRPr="00CA7E7E">
        <w:rPr>
          <w:rFonts w:eastAsia="Calibri" w:cs="Calibri"/>
          <w:b/>
          <w:bCs/>
          <w:lang w:val="en-GB"/>
        </w:rPr>
        <w:t>a strong</w:t>
      </w:r>
      <w:r w:rsidR="00DD2748" w:rsidRPr="000648BD">
        <w:rPr>
          <w:rFonts w:eastAsia="Calibri" w:cs="Calibri"/>
          <w:lang w:val="en-GB"/>
        </w:rPr>
        <w:t xml:space="preserve"> </w:t>
      </w:r>
      <w:r w:rsidR="00DD2748" w:rsidRPr="000648BD">
        <w:rPr>
          <w:rFonts w:eastAsia="Calibri" w:cs="Calibri"/>
          <w:b/>
          <w:bCs/>
          <w:lang w:val="en-GB"/>
        </w:rPr>
        <w:t>potential functional area</w:t>
      </w:r>
      <w:r w:rsidR="00DD2748" w:rsidRPr="000648BD">
        <w:rPr>
          <w:rFonts w:eastAsia="Calibri" w:cs="Calibri"/>
          <w:lang w:val="en-GB"/>
        </w:rPr>
        <w:t xml:space="preserve"> of cooperation</w:t>
      </w:r>
      <w:r w:rsidR="003E6F55" w:rsidRPr="000648BD">
        <w:rPr>
          <w:rFonts w:eastAsia="Calibri" w:cs="Calibri"/>
          <w:lang w:val="en-GB"/>
        </w:rPr>
        <w:t xml:space="preserve">, generating added value </w:t>
      </w:r>
      <w:r w:rsidR="00B340AD" w:rsidRPr="000648BD">
        <w:rPr>
          <w:rFonts w:eastAsia="Calibri" w:cs="Calibri"/>
          <w:lang w:val="en-GB"/>
        </w:rPr>
        <w:t>for the development of local economies and communities</w:t>
      </w:r>
      <w:r w:rsidRPr="000648BD">
        <w:rPr>
          <w:rFonts w:eastAsia="Calibri" w:cs="Calibri"/>
          <w:lang w:val="en-GB"/>
        </w:rPr>
        <w:t>.</w:t>
      </w:r>
      <w:r w:rsidRPr="00037C61">
        <w:rPr>
          <w:rFonts w:eastAsia="Calibri" w:cs="Calibri"/>
          <w:lang w:val="en-GB"/>
        </w:rPr>
        <w:t xml:space="preserve"> </w:t>
      </w:r>
    </w:p>
    <w:p w14:paraId="784ECE06" w14:textId="46CA0F47" w:rsidR="00CF72FF" w:rsidRPr="00037C61" w:rsidRDefault="00CC2299"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 xml:space="preserve">In conclusion, there are </w:t>
      </w:r>
      <w:r w:rsidRPr="00037C61">
        <w:rPr>
          <w:rFonts w:eastAsia="Calibri" w:cs="Calibri"/>
          <w:b/>
          <w:bCs/>
          <w:lang w:val="en-GB"/>
        </w:rPr>
        <w:t>relevant signs of cooperation amongst stakeholders from the public realm</w:t>
      </w:r>
      <w:r w:rsidRPr="00037C61">
        <w:rPr>
          <w:rFonts w:eastAsia="Calibri" w:cs="Calibri"/>
          <w:lang w:val="en-GB"/>
        </w:rPr>
        <w:t xml:space="preserve">, in terms of health system, education and culture, as well as from the private </w:t>
      </w:r>
      <w:r w:rsidRPr="003C452F">
        <w:rPr>
          <w:rFonts w:eastAsia="Calibri" w:cs="Calibri"/>
          <w:lang w:val="en-GB"/>
        </w:rPr>
        <w:t>sector</w:t>
      </w:r>
      <w:r w:rsidR="00CF72FF" w:rsidRPr="003C452F">
        <w:rPr>
          <w:rFonts w:eastAsia="Calibri" w:cs="Calibri"/>
          <w:lang w:val="en-GB"/>
        </w:rPr>
        <w:t xml:space="preserve"> (i.e.</w:t>
      </w:r>
      <w:r w:rsidRPr="003C452F">
        <w:rPr>
          <w:rFonts w:eastAsia="Calibri" w:cs="Calibri"/>
          <w:lang w:val="en-GB"/>
        </w:rPr>
        <w:t xml:space="preserve"> companies</w:t>
      </w:r>
      <w:r w:rsidR="003B1747" w:rsidRPr="003C452F">
        <w:rPr>
          <w:rFonts w:eastAsia="Calibri" w:cs="Calibri"/>
          <w:lang w:val="en-GB"/>
        </w:rPr>
        <w:t>,</w:t>
      </w:r>
      <w:r w:rsidRPr="003C452F">
        <w:rPr>
          <w:rFonts w:eastAsia="Calibri" w:cs="Calibri"/>
          <w:lang w:val="en-GB"/>
        </w:rPr>
        <w:t xml:space="preserve"> chambers of commerce</w:t>
      </w:r>
      <w:r w:rsidR="003B1747" w:rsidRPr="003C452F">
        <w:rPr>
          <w:rFonts w:eastAsia="Calibri" w:cs="Calibri"/>
          <w:lang w:val="en-GB"/>
        </w:rPr>
        <w:t xml:space="preserve"> and NGOs</w:t>
      </w:r>
      <w:r w:rsidR="00CF72FF" w:rsidRPr="003C452F">
        <w:rPr>
          <w:rFonts w:eastAsia="Calibri" w:cs="Calibri"/>
          <w:lang w:val="en-GB"/>
        </w:rPr>
        <w:t>)</w:t>
      </w:r>
      <w:r w:rsidRPr="003C452F">
        <w:rPr>
          <w:rFonts w:eastAsia="Calibri" w:cs="Calibri"/>
          <w:lang w:val="en-GB"/>
        </w:rPr>
        <w:t xml:space="preserve">. Connecting health, education, culture, leisure activities and a </w:t>
      </w:r>
      <w:r w:rsidRPr="003C452F">
        <w:rPr>
          <w:rFonts w:eastAsia="Calibri" w:cs="Calibri"/>
          <w:lang w:val="en-GB"/>
        </w:rPr>
        <w:lastRenderedPageBreak/>
        <w:t>variety of other public services across the border might improve not only the access to</w:t>
      </w:r>
      <w:r w:rsidRPr="00037C61">
        <w:rPr>
          <w:rFonts w:eastAsia="Calibri" w:cs="Calibri"/>
          <w:lang w:val="en-GB"/>
        </w:rPr>
        <w:t xml:space="preserve"> these services but also their rentability and their capacity to have a leverage effect on local economies and social conditions.</w:t>
      </w:r>
    </w:p>
    <w:p w14:paraId="65E006AA" w14:textId="4BE6EA96" w:rsidR="00CC2299" w:rsidRPr="00037C61" w:rsidRDefault="00CF72FF" w:rsidP="00CC22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For these reasons</w:t>
      </w:r>
      <w:r w:rsidR="00986FBF" w:rsidRPr="00037C61">
        <w:rPr>
          <w:rFonts w:eastAsia="Calibri" w:cs="Calibri"/>
          <w:lang w:val="en-GB"/>
        </w:rPr>
        <w:t xml:space="preserve"> (considering existing common challenges and opportunities, as well as common national and local policy priorities), PO4 </w:t>
      </w:r>
      <w:r w:rsidR="003B1747">
        <w:rPr>
          <w:rFonts w:eastAsia="Calibri" w:cs="Calibri"/>
          <w:lang w:val="en-GB"/>
        </w:rPr>
        <w:t xml:space="preserve">is suggested for consideration as </w:t>
      </w:r>
      <w:r w:rsidR="00986FBF" w:rsidRPr="00037C61">
        <w:rPr>
          <w:rFonts w:eastAsia="Calibri" w:cs="Calibri"/>
          <w:lang w:val="en-GB"/>
        </w:rPr>
        <w:t>a priority PO for the future Interreg Programme between Romania and Hungary 2021-2027.</w:t>
      </w:r>
      <w:r w:rsidR="00BB63D4">
        <w:rPr>
          <w:rFonts w:eastAsia="Calibri" w:cs="Calibri"/>
          <w:lang w:val="en-GB"/>
        </w:rPr>
        <w:t xml:space="preserve"> It shall be also reminded that the draft Interreg Regulation defines PO4 as compulsory policy objective for ETC Strand A programmes, for thematic concentration (Art. 15).</w:t>
      </w:r>
    </w:p>
    <w:p w14:paraId="5E6C9AFF" w14:textId="77777777" w:rsidR="00CC2299" w:rsidRPr="00037C61" w:rsidRDefault="00CC2299" w:rsidP="00662F53">
      <w:pPr>
        <w:pStyle w:val="Heading3"/>
      </w:pPr>
      <w:bookmarkStart w:id="920" w:name="_Toc64619584"/>
      <w:r w:rsidRPr="00037C61">
        <w:rPr>
          <w:rFonts w:asciiTheme="minorHAnsi" w:hAnsiTheme="minorHAnsi" w:cstheme="minorBidi"/>
        </w:rPr>
        <w:t>T</w:t>
      </w:r>
      <w:r w:rsidRPr="00037C61">
        <w:t>HE REGION CLOSER TO ITS CITIZENS</w:t>
      </w:r>
      <w:bookmarkEnd w:id="920"/>
      <w:r w:rsidRPr="00037C61">
        <w:t xml:space="preserve"> </w:t>
      </w:r>
    </w:p>
    <w:p w14:paraId="6BC1C12F" w14:textId="79D25FA5" w:rsidR="00906233" w:rsidRPr="00037C61" w:rsidRDefault="00291B6C" w:rsidP="00291B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b/>
          <w:bCs/>
          <w:lang w:val="en-GB"/>
        </w:rPr>
      </w:pPr>
      <w:r w:rsidRPr="00037C61">
        <w:rPr>
          <w:rFonts w:eastAsia="Calibri" w:cs="Calibri"/>
          <w:lang w:val="en-GB"/>
        </w:rPr>
        <w:t xml:space="preserve">Integrated territorial interventions are based on: multi-stakeholder, multi-sector and multi-level governance of the mechanism. Integrated territorial interventions are complex tools, which imply long community animation </w:t>
      </w:r>
      <w:r w:rsidRPr="003C452F">
        <w:rPr>
          <w:rFonts w:eastAsia="Calibri" w:cs="Calibri"/>
          <w:lang w:val="en-GB"/>
        </w:rPr>
        <w:t>processes, multi-stakeholder consultations</w:t>
      </w:r>
      <w:r w:rsidR="00A408F9" w:rsidRPr="003C452F">
        <w:rPr>
          <w:rFonts w:eastAsia="Calibri" w:cs="Calibri"/>
          <w:lang w:val="en-GB"/>
        </w:rPr>
        <w:t xml:space="preserve"> (both in quantitative and qualitative terms, reflecting the multiple dimensions of socio-economic development and related development actors)</w:t>
      </w:r>
      <w:r w:rsidRPr="003C452F">
        <w:rPr>
          <w:rFonts w:eastAsia="Calibri" w:cs="Calibri"/>
          <w:lang w:val="en-GB"/>
        </w:rPr>
        <w:t xml:space="preserve"> and a detailed analysis of common needs and opportunities of “proximity communities”, in order to allow the preparation of an integrated strategy – preferably encompassing more sources of funding. </w:t>
      </w:r>
      <w:r w:rsidR="00CC2299" w:rsidRPr="003C452F">
        <w:rPr>
          <w:lang w:val="en-GB"/>
        </w:rPr>
        <w:t xml:space="preserve">The interrelations amongst the different priorities to be addressed in the </w:t>
      </w:r>
      <w:r w:rsidR="00A46B59" w:rsidRPr="003C452F">
        <w:rPr>
          <w:lang w:val="en-GB"/>
        </w:rPr>
        <w:t xml:space="preserve">Programme Area </w:t>
      </w:r>
      <w:r w:rsidR="00CC2299" w:rsidRPr="003C452F">
        <w:rPr>
          <w:lang w:val="en-GB"/>
        </w:rPr>
        <w:t>across</w:t>
      </w:r>
      <w:r w:rsidR="00A46B59" w:rsidRPr="003C452F">
        <w:rPr>
          <w:lang w:val="en-GB"/>
        </w:rPr>
        <w:t xml:space="preserve"> potential</w:t>
      </w:r>
      <w:r w:rsidR="00CC2299" w:rsidRPr="003C452F">
        <w:rPr>
          <w:lang w:val="en-GB"/>
        </w:rPr>
        <w:t xml:space="preserve"> territorial functional areas</w:t>
      </w:r>
      <w:r w:rsidR="00CC2299" w:rsidRPr="003C452F">
        <w:rPr>
          <w:rFonts w:eastAsia="Calibri" w:cs="Calibri"/>
          <w:lang w:val="en-GB"/>
        </w:rPr>
        <w:t xml:space="preserve"> (urban / rural / microregions) </w:t>
      </w:r>
      <w:r w:rsidR="00A46B59" w:rsidRPr="003C452F">
        <w:rPr>
          <w:lang w:val="en-GB"/>
        </w:rPr>
        <w:t xml:space="preserve">would </w:t>
      </w:r>
      <w:r w:rsidR="00CC2299" w:rsidRPr="003C452F">
        <w:rPr>
          <w:lang w:val="en-GB"/>
        </w:rPr>
        <w:t>make the use of PO5 a potential policy option.</w:t>
      </w:r>
      <w:r w:rsidR="00FE71CF" w:rsidRPr="003C452F">
        <w:rPr>
          <w:rFonts w:eastAsia="Calibri" w:cs="Calibri"/>
          <w:lang w:val="en-GB"/>
        </w:rPr>
        <w:t xml:space="preserve"> However, the analysis has shown that </w:t>
      </w:r>
      <w:r w:rsidR="000277A0" w:rsidRPr="003C452F">
        <w:rPr>
          <w:rFonts w:eastAsia="Calibri" w:cs="Calibri"/>
          <w:lang w:val="en-GB"/>
        </w:rPr>
        <w:t xml:space="preserve">the </w:t>
      </w:r>
      <w:r w:rsidR="00863ED1" w:rsidRPr="003C452F">
        <w:rPr>
          <w:rFonts w:eastAsia="Calibri" w:cs="Calibri"/>
          <w:lang w:val="en-GB"/>
        </w:rPr>
        <w:t>suitability</w:t>
      </w:r>
      <w:r w:rsidR="000277A0" w:rsidRPr="003C452F">
        <w:rPr>
          <w:rFonts w:eastAsia="Calibri" w:cs="Calibri"/>
          <w:lang w:val="en-GB"/>
        </w:rPr>
        <w:t xml:space="preserve"> of integrated interventions in the cross-border area between Romania and Hungary needs to be further investigated</w:t>
      </w:r>
      <w:r w:rsidR="00863ED1" w:rsidRPr="003C452F">
        <w:rPr>
          <w:rFonts w:eastAsia="Calibri" w:cs="Calibri"/>
          <w:lang w:val="en-GB"/>
        </w:rPr>
        <w:t xml:space="preserve">, as </w:t>
      </w:r>
      <w:r w:rsidR="00863ED1" w:rsidRPr="003C452F">
        <w:rPr>
          <w:rFonts w:eastAsia="Calibri" w:cs="Calibri"/>
          <w:b/>
          <w:bCs/>
          <w:lang w:val="en-GB"/>
        </w:rPr>
        <w:t>consolidated territorial functional areas could not be defined</w:t>
      </w:r>
      <w:r w:rsidR="00863ED1" w:rsidRPr="003C452F">
        <w:rPr>
          <w:rFonts w:eastAsia="Calibri" w:cs="Calibri"/>
          <w:lang w:val="en-GB"/>
        </w:rPr>
        <w:t xml:space="preserve"> so far</w:t>
      </w:r>
      <w:r w:rsidR="000277A0" w:rsidRPr="003C452F">
        <w:rPr>
          <w:rFonts w:eastAsia="Calibri" w:cs="Calibri"/>
          <w:lang w:val="en-GB"/>
        </w:rPr>
        <w:t>.</w:t>
      </w:r>
      <w:r w:rsidR="000277A0" w:rsidRPr="00037C61">
        <w:rPr>
          <w:rFonts w:eastAsia="Calibri" w:cs="Calibri"/>
          <w:lang w:val="en-GB"/>
        </w:rPr>
        <w:t xml:space="preserve"> </w:t>
      </w:r>
    </w:p>
    <w:p w14:paraId="604F7985" w14:textId="6C440A5E" w:rsidR="00906233" w:rsidRPr="00037C61" w:rsidRDefault="00906233" w:rsidP="48589249">
      <w:pPr>
        <w:rPr>
          <w:lang w:val="en-GB"/>
        </w:rPr>
      </w:pPr>
      <w:r w:rsidRPr="00037C61">
        <w:rPr>
          <w:lang w:val="en-GB"/>
        </w:rPr>
        <w:t xml:space="preserve">In this respect, in the PA, strong connectors and shared development patterns are especially relevant in the polycentric cross-border urban areas in the Northern part of the PA (with the most concentration in the Oradea – Debrecen Nyíregyháza region) and to a lesser degree, but with high innovation and human capital growth potential, in the South (Szeged – Arad – Timișoara triangle). However, considering the quantitative and qualitative aspects examined in the analysis, we cannot affirm that there are </w:t>
      </w:r>
      <w:r w:rsidR="1AD1CE68" w:rsidRPr="00037C61">
        <w:rPr>
          <w:lang w:val="en-GB"/>
        </w:rPr>
        <w:t>real</w:t>
      </w:r>
      <w:r w:rsidRPr="00037C61">
        <w:rPr>
          <w:lang w:val="en-GB"/>
        </w:rPr>
        <w:t xml:space="preserve"> urban functional areas in the cross-border territory. </w:t>
      </w:r>
    </w:p>
    <w:p w14:paraId="09585646" w14:textId="77777777" w:rsidR="00F82FED" w:rsidRPr="00037C61" w:rsidRDefault="00906233" w:rsidP="00291B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lang w:val="en-GB"/>
        </w:rPr>
      </w:pPr>
      <w:r w:rsidRPr="00037C61">
        <w:rPr>
          <w:lang w:val="en-GB"/>
        </w:rPr>
        <w:t xml:space="preserve">On the other hand, the PA presents trends and interdependencies where cross-border connections not only unite, but also isolate territories and the areas within their influence: this is the case of the predominantly rural, depopulating and disadvantaged areas especially clustered in the central area of Békés – Arad – Bihor (and, to a degree, Hajdu-Bihar). At the same time, the latter ones represent the best endowed natural heritage areas in the region, creating a complex context for interventions especially under Policy Objectives (PO) 2 and 4. </w:t>
      </w:r>
    </w:p>
    <w:p w14:paraId="44EC9F6C" w14:textId="2E882501" w:rsidR="002D01BA" w:rsidRPr="00037C61" w:rsidRDefault="00906233" w:rsidP="00291B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Additionally</w:t>
      </w:r>
      <w:r w:rsidR="00C53DCB" w:rsidRPr="00037C61">
        <w:rPr>
          <w:rFonts w:eastAsia="Calibri" w:cs="Calibri"/>
          <w:lang w:val="en-GB"/>
        </w:rPr>
        <w:t>,</w:t>
      </w:r>
      <w:r w:rsidR="00E2268D" w:rsidRPr="00037C61">
        <w:rPr>
          <w:rFonts w:eastAsia="Calibri" w:cs="Calibri"/>
          <w:lang w:val="en-GB"/>
        </w:rPr>
        <w:t xml:space="preserve"> besides being a complex tool and the real “functionality” of potential </w:t>
      </w:r>
      <w:r w:rsidR="00151228" w:rsidRPr="00037C61">
        <w:rPr>
          <w:rFonts w:eastAsia="Calibri" w:cs="Calibri"/>
          <w:lang w:val="en-GB"/>
        </w:rPr>
        <w:t>functional areas</w:t>
      </w:r>
      <w:r w:rsidR="00E2268D" w:rsidRPr="00037C61">
        <w:rPr>
          <w:rFonts w:eastAsia="Calibri" w:cs="Calibri"/>
          <w:lang w:val="en-GB"/>
        </w:rPr>
        <w:t xml:space="preserve"> not being fully demonstrated yet, </w:t>
      </w:r>
      <w:r w:rsidR="001F7822" w:rsidRPr="00037C61">
        <w:rPr>
          <w:rFonts w:eastAsia="Calibri" w:cs="Calibri"/>
          <w:lang w:val="en-GB"/>
        </w:rPr>
        <w:t>for the time being,</w:t>
      </w:r>
      <w:r w:rsidR="00E2268D" w:rsidRPr="00037C61">
        <w:rPr>
          <w:rFonts w:eastAsia="Calibri" w:cs="Calibri"/>
          <w:lang w:val="en-GB"/>
        </w:rPr>
        <w:t xml:space="preserve"> higher </w:t>
      </w:r>
      <w:r w:rsidR="001F7822" w:rsidRPr="00037C61">
        <w:rPr>
          <w:rFonts w:eastAsia="Calibri" w:cs="Calibri"/>
          <w:lang w:val="en-GB"/>
        </w:rPr>
        <w:t>and more certain</w:t>
      </w:r>
      <w:r w:rsidR="00E2268D" w:rsidRPr="00037C61">
        <w:rPr>
          <w:rFonts w:eastAsia="Calibri" w:cs="Calibri"/>
          <w:lang w:val="en-GB"/>
        </w:rPr>
        <w:t xml:space="preserve"> potential</w:t>
      </w:r>
      <w:r w:rsidR="009A6E3D" w:rsidRPr="00037C61">
        <w:rPr>
          <w:rFonts w:eastAsia="Calibri" w:cs="Calibri"/>
          <w:lang w:val="en-GB"/>
        </w:rPr>
        <w:t xml:space="preserve"> territorial</w:t>
      </w:r>
      <w:r w:rsidR="00E2268D" w:rsidRPr="00037C61">
        <w:rPr>
          <w:rFonts w:eastAsia="Calibri" w:cs="Calibri"/>
          <w:lang w:val="en-GB"/>
        </w:rPr>
        <w:t xml:space="preserve"> impact</w:t>
      </w:r>
      <w:r w:rsidR="000C0157" w:rsidRPr="00037C61">
        <w:rPr>
          <w:rFonts w:eastAsia="Calibri" w:cs="Calibri"/>
          <w:lang w:val="en-GB"/>
        </w:rPr>
        <w:t xml:space="preserve"> at cross-border level</w:t>
      </w:r>
      <w:r w:rsidR="00E2268D" w:rsidRPr="00037C61">
        <w:rPr>
          <w:rFonts w:eastAsia="Calibri" w:cs="Calibri"/>
          <w:lang w:val="en-GB"/>
        </w:rPr>
        <w:t xml:space="preserve"> could be attained by</w:t>
      </w:r>
      <w:r w:rsidR="002D01BA" w:rsidRPr="00037C61">
        <w:rPr>
          <w:rFonts w:eastAsia="Calibri" w:cs="Calibri"/>
          <w:lang w:val="en-GB"/>
        </w:rPr>
        <w:t>:</w:t>
      </w:r>
    </w:p>
    <w:p w14:paraId="33427C4E" w14:textId="2914E846" w:rsidR="009A6E3D" w:rsidRPr="00037C61" w:rsidRDefault="002D01BA" w:rsidP="00677F67">
      <w:pPr>
        <w:pStyle w:val="ListParagraph"/>
        <w:numPr>
          <w:ilvl w:val="0"/>
          <w:numId w:val="3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cs="Calibri"/>
          <w:lang w:val="en-GB"/>
        </w:rPr>
      </w:pPr>
      <w:r w:rsidRPr="00037C61">
        <w:rPr>
          <w:rFonts w:cs="Calibri"/>
          <w:lang w:val="en-GB"/>
        </w:rPr>
        <w:t xml:space="preserve">Deepening the knowledge and understanding of </w:t>
      </w:r>
      <w:r w:rsidR="00E2268D" w:rsidRPr="00037C61">
        <w:rPr>
          <w:rFonts w:cs="Calibri"/>
          <w:lang w:val="en-GB"/>
        </w:rPr>
        <w:t>the role of urban centres as engines of the economy and innovation potential in the area</w:t>
      </w:r>
      <w:r w:rsidRPr="00037C61">
        <w:rPr>
          <w:rFonts w:cs="Calibri"/>
          <w:lang w:val="en-GB"/>
        </w:rPr>
        <w:t xml:space="preserve">, by identifying cross-border value chains emerging from main city centres towards their catchment areas and beyond, </w:t>
      </w:r>
      <w:r w:rsidR="009A6E3D" w:rsidRPr="00037C61">
        <w:rPr>
          <w:rFonts w:cs="Calibri"/>
          <w:lang w:val="en-GB"/>
        </w:rPr>
        <w:t>and jointly define a cross-border smart specialisation strategy, valorising growth poles (which can be funded under ISO1);</w:t>
      </w:r>
    </w:p>
    <w:p w14:paraId="1396236E" w14:textId="73DF7F05" w:rsidR="00677F67" w:rsidRPr="00037C61" w:rsidRDefault="00E2268D" w:rsidP="00291B6C">
      <w:pPr>
        <w:pStyle w:val="ListParagraph"/>
        <w:numPr>
          <w:ilvl w:val="0"/>
          <w:numId w:val="3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cs="Calibri"/>
          <w:lang w:val="en-GB"/>
        </w:rPr>
      </w:pPr>
      <w:r w:rsidRPr="00037C61">
        <w:rPr>
          <w:rFonts w:cs="Calibri"/>
          <w:lang w:val="en-GB"/>
        </w:rPr>
        <w:t xml:space="preserve"> “</w:t>
      </w:r>
      <w:r w:rsidR="009A6E3D" w:rsidRPr="00037C61">
        <w:rPr>
          <w:rFonts w:cs="Calibri"/>
          <w:lang w:val="en-GB"/>
        </w:rPr>
        <w:t>M</w:t>
      </w:r>
      <w:r w:rsidRPr="00037C61">
        <w:rPr>
          <w:rFonts w:cs="Calibri"/>
          <w:lang w:val="en-GB"/>
        </w:rPr>
        <w:t xml:space="preserve">ainstreaming” </w:t>
      </w:r>
      <w:r w:rsidR="00C53DCB" w:rsidRPr="00037C61">
        <w:rPr>
          <w:rFonts w:cs="Calibri"/>
          <w:lang w:val="en-GB"/>
        </w:rPr>
        <w:t xml:space="preserve">the principle of cross-border internal </w:t>
      </w:r>
      <w:r w:rsidRPr="00037C61">
        <w:rPr>
          <w:rFonts w:cs="Calibri"/>
          <w:lang w:val="en-GB"/>
        </w:rPr>
        <w:t xml:space="preserve">cohesion </w:t>
      </w:r>
      <w:r w:rsidR="00C53DCB" w:rsidRPr="00037C61">
        <w:rPr>
          <w:rFonts w:cs="Calibri"/>
          <w:lang w:val="en-GB"/>
        </w:rPr>
        <w:t>(</w:t>
      </w:r>
      <w:r w:rsidR="009A6E3D" w:rsidRPr="00037C61">
        <w:rPr>
          <w:rFonts w:cs="Calibri"/>
          <w:lang w:val="en-GB"/>
        </w:rPr>
        <w:t xml:space="preserve">in order to </w:t>
      </w:r>
      <w:r w:rsidR="00677F67" w:rsidRPr="00037C61">
        <w:rPr>
          <w:rFonts w:cs="Calibri"/>
          <w:lang w:val="en-GB"/>
        </w:rPr>
        <w:t>generate</w:t>
      </w:r>
      <w:r w:rsidR="009A6E3D" w:rsidRPr="00037C61">
        <w:rPr>
          <w:rFonts w:cs="Calibri"/>
          <w:lang w:val="en-GB"/>
        </w:rPr>
        <w:t xml:space="preserve"> an enhanced</w:t>
      </w:r>
      <w:r w:rsidR="00C53DCB" w:rsidRPr="00037C61">
        <w:rPr>
          <w:rFonts w:cs="Calibri"/>
          <w:lang w:val="en-GB"/>
        </w:rPr>
        <w:t xml:space="preserve"> </w:t>
      </w:r>
      <w:r w:rsidRPr="00037C61">
        <w:rPr>
          <w:rFonts w:cs="Calibri"/>
          <w:lang w:val="en-GB"/>
        </w:rPr>
        <w:t>north-south cohesion</w:t>
      </w:r>
      <w:r w:rsidR="009A6E3D" w:rsidRPr="00037C61">
        <w:rPr>
          <w:rFonts w:cs="Calibri"/>
          <w:lang w:val="en-GB"/>
        </w:rPr>
        <w:t xml:space="preserve"> and</w:t>
      </w:r>
      <w:r w:rsidR="00C07018" w:rsidRPr="00037C61">
        <w:rPr>
          <w:rFonts w:cs="Calibri"/>
          <w:lang w:val="en-GB"/>
        </w:rPr>
        <w:t xml:space="preserve"> rururban cohesion</w:t>
      </w:r>
      <w:r w:rsidR="009A6E3D" w:rsidRPr="00037C61">
        <w:rPr>
          <w:rFonts w:cs="Calibri"/>
          <w:lang w:val="en-GB"/>
        </w:rPr>
        <w:t>, as well as to r</w:t>
      </w:r>
      <w:r w:rsidR="00C07018" w:rsidRPr="00037C61">
        <w:rPr>
          <w:rFonts w:cs="Calibri"/>
          <w:lang w:val="en-GB"/>
        </w:rPr>
        <w:t>educ</w:t>
      </w:r>
      <w:r w:rsidR="009A6E3D" w:rsidRPr="00037C61">
        <w:rPr>
          <w:rFonts w:cs="Calibri"/>
          <w:lang w:val="en-GB"/>
        </w:rPr>
        <w:t>e</w:t>
      </w:r>
      <w:r w:rsidR="00C07018" w:rsidRPr="00037C61">
        <w:rPr>
          <w:rFonts w:cs="Calibri"/>
          <w:lang w:val="en-GB"/>
        </w:rPr>
        <w:t xml:space="preserve"> the </w:t>
      </w:r>
      <w:r w:rsidR="00C07018" w:rsidRPr="00037C61">
        <w:rPr>
          <w:rFonts w:cs="Calibri"/>
          <w:lang w:val="en-GB"/>
        </w:rPr>
        <w:lastRenderedPageBreak/>
        <w:t>marginalisation of peripherial and minor centres</w:t>
      </w:r>
      <w:r w:rsidR="00C53DCB" w:rsidRPr="00037C61">
        <w:rPr>
          <w:rFonts w:cs="Calibri"/>
          <w:lang w:val="en-GB"/>
        </w:rPr>
        <w:t>), through wider territorial coverage of strategic projects</w:t>
      </w:r>
      <w:r w:rsidR="00C07018" w:rsidRPr="00037C61">
        <w:rPr>
          <w:rFonts w:cs="Calibri"/>
          <w:lang w:val="en-GB"/>
        </w:rPr>
        <w:t xml:space="preserve"> and a premiality system for normal projects involving marginalised areas and minor urban centres</w:t>
      </w:r>
      <w:r w:rsidR="00C53DCB" w:rsidRPr="00037C61">
        <w:rPr>
          <w:rFonts w:cs="Calibri"/>
          <w:lang w:val="en-GB"/>
        </w:rPr>
        <w:t>,</w:t>
      </w:r>
      <w:r w:rsidRPr="00037C61">
        <w:rPr>
          <w:rFonts w:cs="Calibri"/>
          <w:lang w:val="en-GB"/>
        </w:rPr>
        <w:t xml:space="preserve"> across the other POs. </w:t>
      </w:r>
    </w:p>
    <w:p w14:paraId="3A7BF564" w14:textId="014A623A" w:rsidR="00581A2F" w:rsidRPr="00037C61" w:rsidRDefault="00677F67" w:rsidP="00CB7C7B">
      <w:pPr>
        <w:pStyle w:val="ListParagraph"/>
        <w:numPr>
          <w:ilvl w:val="0"/>
          <w:numId w:val="3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cs="Calibri"/>
          <w:lang w:val="en-GB"/>
        </w:rPr>
      </w:pPr>
      <w:r w:rsidRPr="00037C61">
        <w:rPr>
          <w:rFonts w:cs="Calibri"/>
          <w:lang w:val="en-GB"/>
        </w:rPr>
        <w:t xml:space="preserve">promoting </w:t>
      </w:r>
      <w:r w:rsidR="00E2268D" w:rsidRPr="00037C61">
        <w:rPr>
          <w:rFonts w:cs="Calibri"/>
          <w:lang w:val="en-GB"/>
        </w:rPr>
        <w:t xml:space="preserve">higher </w:t>
      </w:r>
      <w:r w:rsidR="00CC2299" w:rsidRPr="00037C61">
        <w:rPr>
          <w:rFonts w:cs="Calibri"/>
          <w:lang w:val="en-GB"/>
        </w:rPr>
        <w:t xml:space="preserve">cooperation </w:t>
      </w:r>
      <w:r w:rsidRPr="00037C61">
        <w:rPr>
          <w:rFonts w:cs="Calibri"/>
          <w:lang w:val="en-GB"/>
        </w:rPr>
        <w:t xml:space="preserve">and integrated strategic planning </w:t>
      </w:r>
      <w:r w:rsidR="00CC2299" w:rsidRPr="00037C61">
        <w:rPr>
          <w:rFonts w:cs="Calibri"/>
          <w:lang w:val="en-GB"/>
        </w:rPr>
        <w:t>capacities of main actors, starting from a better understanding of needs jointly addressed,</w:t>
      </w:r>
      <w:r w:rsidR="00581A2F" w:rsidRPr="00037C61">
        <w:rPr>
          <w:rFonts w:cs="Calibri"/>
          <w:lang w:val="en-GB"/>
        </w:rPr>
        <w:t xml:space="preserve"> community identification and animation, and the definition of</w:t>
      </w:r>
      <w:r w:rsidR="00CC2299" w:rsidRPr="00037C61">
        <w:rPr>
          <w:rFonts w:cs="Calibri"/>
          <w:lang w:val="en-GB"/>
        </w:rPr>
        <w:t xml:space="preserve"> shared strategies and </w:t>
      </w:r>
      <w:r w:rsidR="00581A2F" w:rsidRPr="00037C61">
        <w:rPr>
          <w:rFonts w:cs="Calibri"/>
          <w:b/>
          <w:bCs/>
          <w:lang w:val="en-GB"/>
        </w:rPr>
        <w:t xml:space="preserve">tailored-made </w:t>
      </w:r>
      <w:r w:rsidR="00CC2299" w:rsidRPr="00037C61">
        <w:rPr>
          <w:rFonts w:cs="Calibri"/>
          <w:b/>
          <w:bCs/>
          <w:lang w:val="en-GB"/>
        </w:rPr>
        <w:t>mechanisms and tools</w:t>
      </w:r>
      <w:r w:rsidR="00CC2299" w:rsidRPr="00037C61">
        <w:rPr>
          <w:rFonts w:cs="Calibri"/>
          <w:lang w:val="en-GB"/>
        </w:rPr>
        <w:t xml:space="preserve"> to tackle eventual barriers to this integrated cooperation</w:t>
      </w:r>
      <w:r w:rsidR="002B1FA5" w:rsidRPr="00037C61">
        <w:rPr>
          <w:rFonts w:cs="Calibri"/>
          <w:lang w:val="en-GB"/>
        </w:rPr>
        <w:t xml:space="preserve"> (including in relation to multiple funds possible funding)</w:t>
      </w:r>
      <w:r w:rsidR="00CC2299" w:rsidRPr="00037C61">
        <w:rPr>
          <w:rFonts w:cs="Calibri"/>
          <w:lang w:val="en-GB"/>
        </w:rPr>
        <w:t>, with the support of competent policy and governance levels</w:t>
      </w:r>
      <w:r w:rsidR="00CB7C7B" w:rsidRPr="00037C61">
        <w:rPr>
          <w:rFonts w:cs="Calibri"/>
          <w:lang w:val="en-GB"/>
        </w:rPr>
        <w:t xml:space="preserve">. </w:t>
      </w:r>
      <w:r w:rsidR="00D10B17" w:rsidRPr="00037C61">
        <w:rPr>
          <w:rFonts w:cs="Calibri"/>
          <w:lang w:val="en-GB"/>
        </w:rPr>
        <w:t xml:space="preserve">In particular, these </w:t>
      </w:r>
      <w:r w:rsidR="002B1FA5" w:rsidRPr="00037C61">
        <w:rPr>
          <w:rFonts w:cs="Calibri"/>
          <w:lang w:val="en-GB"/>
        </w:rPr>
        <w:t xml:space="preserve">are </w:t>
      </w:r>
      <w:r w:rsidR="002B1FA5" w:rsidRPr="00037C61">
        <w:rPr>
          <w:rFonts w:cs="Calibri"/>
          <w:b/>
          <w:lang w:val="en-GB"/>
        </w:rPr>
        <w:t xml:space="preserve">preconditions for the development of </w:t>
      </w:r>
      <w:r w:rsidR="00D10B17" w:rsidRPr="00037C61">
        <w:rPr>
          <w:rFonts w:cs="Calibri"/>
          <w:b/>
          <w:lang w:val="en-GB"/>
        </w:rPr>
        <w:t xml:space="preserve">successful and tailor-made solutions for </w:t>
      </w:r>
      <w:r w:rsidR="002B1FA5" w:rsidRPr="00037C61">
        <w:rPr>
          <w:rFonts w:cs="Calibri"/>
          <w:b/>
          <w:lang w:val="en-GB"/>
        </w:rPr>
        <w:t>integrated territorial development interventions which could be approached under ISO 1</w:t>
      </w:r>
      <w:r w:rsidR="002B1FA5" w:rsidRPr="00037C61">
        <w:rPr>
          <w:rFonts w:cs="Calibri"/>
          <w:lang w:val="en-GB"/>
        </w:rPr>
        <w:t>.</w:t>
      </w:r>
      <w:r w:rsidR="00291B6C" w:rsidRPr="00037C61">
        <w:rPr>
          <w:rFonts w:cs="Calibri"/>
          <w:lang w:val="en-GB"/>
        </w:rPr>
        <w:t xml:space="preserve"> </w:t>
      </w:r>
    </w:p>
    <w:p w14:paraId="0783106B" w14:textId="1484FD05" w:rsidR="00CC2299" w:rsidRPr="00037C61" w:rsidRDefault="00291B6C" w:rsidP="00291B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b/>
          <w:bCs/>
          <w:lang w:val="en-GB"/>
        </w:rPr>
      </w:pPr>
      <w:r w:rsidRPr="00037C61">
        <w:rPr>
          <w:rFonts w:eastAsia="Calibri" w:cs="Calibri"/>
          <w:lang w:val="en-GB"/>
        </w:rPr>
        <w:t>In conclusion, in the current context,</w:t>
      </w:r>
      <w:r w:rsidR="004A706F" w:rsidRPr="00037C61">
        <w:rPr>
          <w:rFonts w:eastAsia="Calibri" w:cs="Calibri"/>
          <w:lang w:val="en-GB"/>
        </w:rPr>
        <w:t xml:space="preserve"> </w:t>
      </w:r>
      <w:r w:rsidR="004A706F" w:rsidRPr="00DB74BF">
        <w:rPr>
          <w:rFonts w:eastAsia="Calibri" w:cs="Calibri"/>
          <w:lang w:val="en-GB"/>
        </w:rPr>
        <w:t>PO 5 is not</w:t>
      </w:r>
      <w:r w:rsidR="00100C9C" w:rsidRPr="00DB74BF">
        <w:rPr>
          <w:rFonts w:eastAsia="Calibri" w:cs="Calibri"/>
          <w:lang w:val="en-GB"/>
        </w:rPr>
        <w:t xml:space="preserve"> </w:t>
      </w:r>
      <w:r w:rsidR="00100C9C" w:rsidRPr="00100C9C">
        <w:rPr>
          <w:rFonts w:eastAsia="Calibri" w:cs="Calibri"/>
          <w:lang w:val="en-GB"/>
        </w:rPr>
        <w:t xml:space="preserve">suggested for consideration </w:t>
      </w:r>
      <w:r w:rsidR="004A706F" w:rsidRPr="00DB74BF">
        <w:rPr>
          <w:rFonts w:eastAsia="Calibri" w:cs="Calibri"/>
          <w:lang w:val="en-GB"/>
        </w:rPr>
        <w:t>as priority PO</w:t>
      </w:r>
      <w:r w:rsidR="1D9CB427" w:rsidRPr="00DB74BF">
        <w:rPr>
          <w:rFonts w:eastAsia="Calibri" w:cs="Calibri"/>
          <w:lang w:val="en-GB"/>
        </w:rPr>
        <w:t xml:space="preserve"> for the future Programme</w:t>
      </w:r>
      <w:r w:rsidR="004A706F" w:rsidRPr="00100C9C">
        <w:rPr>
          <w:rFonts w:eastAsia="Calibri" w:cs="Calibri"/>
          <w:lang w:val="en-GB"/>
        </w:rPr>
        <w:t>,</w:t>
      </w:r>
      <w:r w:rsidR="004A706F" w:rsidRPr="00037C61">
        <w:rPr>
          <w:rFonts w:eastAsia="Calibri" w:cs="Calibri"/>
          <w:lang w:val="en-GB"/>
        </w:rPr>
        <w:t xml:space="preserve"> as</w:t>
      </w:r>
      <w:r w:rsidRPr="00037C61">
        <w:rPr>
          <w:rFonts w:eastAsia="Calibri" w:cs="Calibri"/>
          <w:lang w:val="en-GB"/>
        </w:rPr>
        <w:t xml:space="preserve"> </w:t>
      </w:r>
      <w:r w:rsidR="00D10B17" w:rsidRPr="00037C61">
        <w:rPr>
          <w:rFonts w:eastAsia="Calibri" w:cs="Calibri"/>
          <w:lang w:val="en-GB"/>
        </w:rPr>
        <w:t xml:space="preserve">territorial functional areas could not be identified at NUTS 3 level of analysis, whilst </w:t>
      </w:r>
      <w:r w:rsidRPr="00037C61">
        <w:rPr>
          <w:rFonts w:eastAsia="Calibri" w:cs="Calibri"/>
          <w:lang w:val="en-GB"/>
        </w:rPr>
        <w:t xml:space="preserve">integrated tools shall </w:t>
      </w:r>
      <w:r w:rsidR="00EF29DE" w:rsidRPr="00037C61">
        <w:rPr>
          <w:rFonts w:eastAsia="Calibri" w:cs="Calibri"/>
          <w:lang w:val="en-GB"/>
        </w:rPr>
        <w:t xml:space="preserve">be built </w:t>
      </w:r>
      <w:r w:rsidRPr="00037C61">
        <w:rPr>
          <w:rFonts w:eastAsia="Calibri" w:cs="Calibri"/>
          <w:lang w:val="en-GB"/>
        </w:rPr>
        <w:t>bottom up, devoting adequate time and resources</w:t>
      </w:r>
      <w:r w:rsidR="000C0157" w:rsidRPr="00037C61">
        <w:rPr>
          <w:rFonts w:eastAsia="Calibri" w:cs="Calibri"/>
          <w:lang w:val="en-GB"/>
        </w:rPr>
        <w:t xml:space="preserve"> to animation, administrative and strategic planning capacities of both actors and systems</w:t>
      </w:r>
      <w:r w:rsidR="004A706F" w:rsidRPr="00037C61">
        <w:rPr>
          <w:rFonts w:eastAsia="Calibri" w:cs="Calibri"/>
          <w:lang w:val="en-GB"/>
        </w:rPr>
        <w:t>, in order to ensure that these tools could be effective</w:t>
      </w:r>
      <w:r w:rsidR="00EF29DE" w:rsidRPr="00037C61">
        <w:rPr>
          <w:rFonts w:eastAsia="Calibri" w:cs="Calibri"/>
          <w:lang w:val="en-GB"/>
        </w:rPr>
        <w:t>,</w:t>
      </w:r>
      <w:r w:rsidR="004A706F" w:rsidRPr="00037C61">
        <w:rPr>
          <w:rFonts w:eastAsia="Calibri" w:cs="Calibri"/>
          <w:lang w:val="en-GB"/>
        </w:rPr>
        <w:t xml:space="preserve"> sustainable</w:t>
      </w:r>
      <w:r w:rsidR="00EF29DE" w:rsidRPr="00037C61">
        <w:rPr>
          <w:rFonts w:eastAsia="Calibri" w:cs="Calibri"/>
          <w:lang w:val="en-GB"/>
        </w:rPr>
        <w:t xml:space="preserve"> and owned by relevant public and private stakeholders</w:t>
      </w:r>
      <w:r w:rsidR="00B6225F" w:rsidRPr="00037C61">
        <w:rPr>
          <w:rFonts w:eastAsia="Calibri" w:cs="Calibri"/>
          <w:lang w:val="en-GB"/>
        </w:rPr>
        <w:t>, as well as by local communities</w:t>
      </w:r>
      <w:r w:rsidRPr="00037C61">
        <w:rPr>
          <w:rFonts w:eastAsia="Calibri" w:cs="Calibri"/>
          <w:lang w:val="en-GB"/>
        </w:rPr>
        <w:t>.</w:t>
      </w:r>
    </w:p>
    <w:p w14:paraId="4C2AE52E" w14:textId="77777777" w:rsidR="00CC2299" w:rsidRPr="00037C61" w:rsidRDefault="00CC2299" w:rsidP="00CC229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heme="minorHAnsi" w:eastAsia="Calibri" w:hAnsiTheme="minorHAnsi" w:cstheme="minorHAnsi"/>
          <w:b/>
          <w:bCs/>
          <w:u w:color="000000"/>
          <w:lang w:val="en-GB"/>
        </w:rPr>
      </w:pPr>
    </w:p>
    <w:p w14:paraId="24A6E596" w14:textId="77777777" w:rsidR="00CC2299" w:rsidRPr="00037C61" w:rsidRDefault="00CC2299" w:rsidP="00662F53">
      <w:pPr>
        <w:pStyle w:val="Heading3"/>
      </w:pPr>
      <w:bookmarkStart w:id="921" w:name="_Toc64619585"/>
      <w:r w:rsidRPr="00037C61">
        <w:t>CROSS-BORDER GOVERNANCE</w:t>
      </w:r>
      <w:bookmarkEnd w:id="921"/>
    </w:p>
    <w:p w14:paraId="466EAF84" w14:textId="292A8E62" w:rsidR="006E3B16" w:rsidRPr="00564CD5" w:rsidRDefault="00CC2299" w:rsidP="006E3B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eastAsia="Calibri" w:cs="Calibri"/>
          <w:lang w:val="en-GB"/>
        </w:rPr>
      </w:pPr>
      <w:r w:rsidRPr="00037C61">
        <w:rPr>
          <w:rFonts w:eastAsia="Calibri" w:cs="Calibri"/>
          <w:lang w:val="en-GB"/>
        </w:rPr>
        <w:t xml:space="preserve">In terms of governance, the cross-border area presents commonalities in the way the multi-level administrative structure of the two states is organised, where NUTS 3 and LAU 2 levels are the most relevant in terms of competencies. Furthermore, there is a similarity in the implementation of vertical governance coordination, with </w:t>
      </w:r>
      <w:r w:rsidRPr="00FD79CB">
        <w:rPr>
          <w:rFonts w:eastAsia="Calibri" w:cs="Calibri"/>
          <w:lang w:val="en-GB"/>
        </w:rPr>
        <w:t>the use of public authority associations and federations,</w:t>
      </w:r>
      <w:r w:rsidRPr="00037C61">
        <w:rPr>
          <w:rFonts w:eastAsia="Calibri" w:cs="Calibri"/>
          <w:lang w:val="en-GB"/>
        </w:rPr>
        <w:t xml:space="preserve"> which are involved to a generally large degree in promoting local development. For this, there is the opportunity to build upon the long history of informal cooperation, using the experience from the partnerships between Interreg V-A Romania-Hungary, and the high degree of twinning agreements in the area. </w:t>
      </w:r>
      <w:r w:rsidR="006E3B16" w:rsidRPr="00037C61">
        <w:rPr>
          <w:rFonts w:eastAsia="Calibri" w:cs="Calibri"/>
          <w:lang w:val="en-GB"/>
        </w:rPr>
        <w:t xml:space="preserve">However, the governance and policy analysis showed that, although there are many examples of cooperation (cultural, economic, and so on) among public administrations and with private and non-governmental actors, the policy decision-making centres and services delivery competences remain anchored on traditional administrative units on both sides </w:t>
      </w:r>
      <w:r w:rsidR="006E3B16" w:rsidRPr="00564CD5">
        <w:rPr>
          <w:rFonts w:eastAsia="Calibri" w:cs="Calibri"/>
          <w:lang w:val="en-GB"/>
        </w:rPr>
        <w:t>of the border.</w:t>
      </w:r>
    </w:p>
    <w:p w14:paraId="31C27719" w14:textId="1454D8B1" w:rsidR="00CC2299" w:rsidRPr="00037C61" w:rsidRDefault="009539DE"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564CD5">
        <w:rPr>
          <w:rFonts w:eastAsia="Calibri" w:cs="Calibri"/>
          <w:lang w:val="en-GB"/>
        </w:rPr>
        <w:t>Additionally, t</w:t>
      </w:r>
      <w:r w:rsidR="00CC2299" w:rsidRPr="00564CD5">
        <w:rPr>
          <w:rFonts w:eastAsia="Calibri" w:cs="Calibri"/>
          <w:lang w:val="en-GB"/>
        </w:rPr>
        <w:t xml:space="preserve">he region presents the need to support </w:t>
      </w:r>
      <w:r w:rsidR="00AA29E2" w:rsidRPr="00564CD5">
        <w:rPr>
          <w:rFonts w:eastAsia="Calibri" w:cs="Calibri"/>
          <w:lang w:val="en-GB"/>
        </w:rPr>
        <w:t>a</w:t>
      </w:r>
      <w:r w:rsidR="00CC2299" w:rsidRPr="00564CD5">
        <w:rPr>
          <w:rFonts w:eastAsia="Calibri" w:cs="Calibri"/>
          <w:lang w:val="en-GB"/>
        </w:rPr>
        <w:t xml:space="preserve"> </w:t>
      </w:r>
      <w:r w:rsidR="00CC2299" w:rsidRPr="00564CD5">
        <w:rPr>
          <w:rFonts w:eastAsia="Calibri" w:cs="Calibri"/>
          <w:b/>
          <w:bCs/>
          <w:lang w:val="en-GB"/>
        </w:rPr>
        <w:t xml:space="preserve">better understanding of </w:t>
      </w:r>
      <w:r w:rsidR="00C20903">
        <w:rPr>
          <w:rFonts w:eastAsia="Calibri" w:cs="Calibri"/>
          <w:b/>
          <w:bCs/>
          <w:lang w:val="en-GB"/>
        </w:rPr>
        <w:t xml:space="preserve">community and business interactions, </w:t>
      </w:r>
      <w:r w:rsidR="00CC2299" w:rsidRPr="00564CD5">
        <w:rPr>
          <w:rFonts w:eastAsia="Calibri" w:cs="Calibri"/>
          <w:b/>
          <w:bCs/>
          <w:lang w:val="en-GB"/>
        </w:rPr>
        <w:t xml:space="preserve">processes and phenomena at cross-border level, </w:t>
      </w:r>
      <w:r w:rsidR="00CC2299" w:rsidRPr="00564CD5">
        <w:rPr>
          <w:rFonts w:eastAsia="Calibri" w:cs="Calibri"/>
          <w:lang w:val="en-GB"/>
        </w:rPr>
        <w:t>in several fields (notably</w:t>
      </w:r>
      <w:r w:rsidR="00CC2299" w:rsidRPr="00037C61">
        <w:rPr>
          <w:rFonts w:eastAsia="Calibri" w:cs="Calibri"/>
          <w:lang w:val="en-GB"/>
        </w:rPr>
        <w:t xml:space="preserve"> </w:t>
      </w:r>
      <w:r w:rsidR="00E81828" w:rsidRPr="00037C61">
        <w:rPr>
          <w:rFonts w:eastAsia="Calibri" w:cs="Calibri"/>
          <w:lang w:val="en-GB"/>
        </w:rPr>
        <w:t xml:space="preserve">business clustering and value chains, </w:t>
      </w:r>
      <w:r w:rsidR="00CC2299" w:rsidRPr="00037C61">
        <w:rPr>
          <w:rFonts w:eastAsia="Calibri" w:cs="Calibri"/>
          <w:lang w:val="en-GB"/>
        </w:rPr>
        <w:t>transports and connectivity, labour market flows,</w:t>
      </w:r>
      <w:r w:rsidR="00E81828" w:rsidRPr="00037C61">
        <w:rPr>
          <w:rFonts w:eastAsia="Calibri" w:cs="Calibri"/>
          <w:lang w:val="en-GB"/>
        </w:rPr>
        <w:t xml:space="preserve"> </w:t>
      </w:r>
      <w:r w:rsidR="00167E02" w:rsidRPr="00037C61">
        <w:rPr>
          <w:rFonts w:eastAsia="Calibri" w:cs="Calibri"/>
          <w:lang w:val="en-GB"/>
        </w:rPr>
        <w:t>proximity communities and urban catchment areas at cross-border level</w:t>
      </w:r>
      <w:r w:rsidR="00167E02" w:rsidRPr="0066030D">
        <w:rPr>
          <w:rFonts w:eastAsia="Calibri" w:cs="Calibri"/>
          <w:lang w:val="en-GB"/>
        </w:rPr>
        <w:t xml:space="preserve">, </w:t>
      </w:r>
      <w:r w:rsidR="00CC2299" w:rsidRPr="00DB74BF">
        <w:rPr>
          <w:rFonts w:eastAsia="Calibri" w:cs="Calibri"/>
          <w:lang w:val="en-GB"/>
        </w:rPr>
        <w:t>and others</w:t>
      </w:r>
      <w:r w:rsidR="00CC2299" w:rsidRPr="0066030D">
        <w:rPr>
          <w:rFonts w:eastAsia="Calibri" w:cs="Calibri"/>
          <w:lang w:val="en-GB"/>
        </w:rPr>
        <w:t xml:space="preserve">), </w:t>
      </w:r>
      <w:r w:rsidR="00CC2299" w:rsidRPr="00037C61">
        <w:rPr>
          <w:rFonts w:eastAsia="Calibri" w:cs="Calibri"/>
          <w:lang w:val="en-GB"/>
        </w:rPr>
        <w:t xml:space="preserve">especially in view to mitigate the border effects and overcoming barriers to cooperation, starting from </w:t>
      </w:r>
      <w:r w:rsidR="007B3CDB">
        <w:rPr>
          <w:rFonts w:eastAsia="Calibri" w:cs="Calibri"/>
          <w:lang w:val="en-GB"/>
        </w:rPr>
        <w:t>people-to-people actions</w:t>
      </w:r>
      <w:r w:rsidR="00C20903">
        <w:rPr>
          <w:rFonts w:eastAsia="Calibri" w:cs="Calibri"/>
          <w:lang w:val="en-GB"/>
        </w:rPr>
        <w:t xml:space="preserve"> (to build trust and exchanges, thus animating local communities), </w:t>
      </w:r>
      <w:r w:rsidR="00CC2299" w:rsidRPr="00037C61">
        <w:rPr>
          <w:rFonts w:eastAsia="Calibri" w:cs="Calibri"/>
          <w:lang w:val="en-GB"/>
        </w:rPr>
        <w:t xml:space="preserve">evidence-based joint strategies and more effective and sustainable partnerships. </w:t>
      </w:r>
    </w:p>
    <w:p w14:paraId="7BFEA2AB" w14:textId="431C08DC" w:rsidR="00AA29E2" w:rsidRPr="00037C61" w:rsidRDefault="00145B09"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 xml:space="preserve">Taking into </w:t>
      </w:r>
      <w:r w:rsidRPr="00564CD5">
        <w:rPr>
          <w:rFonts w:eastAsia="Calibri" w:cs="Calibri"/>
          <w:lang w:val="en-GB"/>
        </w:rPr>
        <w:t>accopunt the lessons learnt from the current and past Interreg Programmes between Romania and Hungary,</w:t>
      </w:r>
      <w:r w:rsidR="00181530" w:rsidRPr="00564CD5">
        <w:rPr>
          <w:rFonts w:eastAsia="Calibri" w:cs="Calibri"/>
          <w:lang w:val="en-GB"/>
        </w:rPr>
        <w:t xml:space="preserve"> </w:t>
      </w:r>
      <w:r w:rsidR="00AA29E2" w:rsidRPr="00564CD5">
        <w:rPr>
          <w:rFonts w:eastAsia="Calibri" w:cs="Calibri"/>
          <w:b/>
          <w:bCs/>
          <w:lang w:val="en-GB"/>
        </w:rPr>
        <w:t>peer-to-peer exchanges, joint trainings, capacity and institutional building activities</w:t>
      </w:r>
      <w:r w:rsidR="00AA29E2" w:rsidRPr="00564CD5">
        <w:rPr>
          <w:rFonts w:eastAsia="Calibri" w:cs="Calibri"/>
          <w:lang w:val="en-GB"/>
        </w:rPr>
        <w:t xml:space="preserve"> </w:t>
      </w:r>
      <w:r w:rsidR="00181530" w:rsidRPr="00564CD5">
        <w:rPr>
          <w:rFonts w:eastAsia="Calibri" w:cs="Calibri"/>
          <w:lang w:val="en-GB"/>
        </w:rPr>
        <w:t>on joint planning</w:t>
      </w:r>
      <w:r w:rsidR="00AA29E2" w:rsidRPr="00564CD5">
        <w:rPr>
          <w:rFonts w:eastAsia="Calibri" w:cs="Calibri"/>
          <w:lang w:val="en-GB"/>
        </w:rPr>
        <w:t>,</w:t>
      </w:r>
      <w:r w:rsidR="00181530" w:rsidRPr="00564CD5">
        <w:rPr>
          <w:rFonts w:eastAsia="Calibri" w:cs="Calibri"/>
          <w:lang w:val="en-GB"/>
        </w:rPr>
        <w:t xml:space="preserve"> problem analysis, identification of common targets, ex ante and ex post assessment of envisaged impacts with a cross</w:t>
      </w:r>
      <w:r w:rsidR="00181530" w:rsidRPr="00037C61">
        <w:rPr>
          <w:rFonts w:eastAsia="Calibri" w:cs="Calibri"/>
          <w:lang w:val="en-GB"/>
        </w:rPr>
        <w:t xml:space="preserve">-border relevance, do also emerge as priority </w:t>
      </w:r>
      <w:r w:rsidRPr="00037C61">
        <w:rPr>
          <w:rFonts w:eastAsia="Calibri" w:cs="Calibri"/>
          <w:lang w:val="en-GB"/>
        </w:rPr>
        <w:t>actions in order to create the conditions for a more effective cross-border governance.</w:t>
      </w:r>
    </w:p>
    <w:p w14:paraId="258CC7ED" w14:textId="40D90164" w:rsidR="005A6E45" w:rsidRPr="00037C61" w:rsidRDefault="005A6E45"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lastRenderedPageBreak/>
        <w:t xml:space="preserve">Analysis, assessment of barriers to cooperation and joint planning specifically addressing specific objectives that have not been proposed to be selected shall be covered under ISO 1, whilst these kinds of interventions for strategic objectives proposed for funding shall be covered under respective POs (PO 2 and PO 4). In particular, </w:t>
      </w:r>
      <w:r w:rsidR="00CC4543" w:rsidRPr="00037C61">
        <w:rPr>
          <w:rFonts w:eastAsia="Calibri" w:cs="Calibri"/>
          <w:lang w:val="en-GB"/>
        </w:rPr>
        <w:t xml:space="preserve">a set of </w:t>
      </w:r>
      <w:r w:rsidRPr="00037C61">
        <w:rPr>
          <w:rFonts w:eastAsia="Calibri" w:cs="Calibri"/>
          <w:lang w:val="en-GB"/>
        </w:rPr>
        <w:t xml:space="preserve">priority interventions under ISO 1 could be proposed to better understand cross-border flows, map resources and needs, and consequently plan joint strategies for: a cross-border smart specialisation strategy </w:t>
      </w:r>
      <w:r w:rsidR="00CC4543" w:rsidRPr="00037C61">
        <w:rPr>
          <w:rFonts w:eastAsia="Calibri" w:cs="Calibri"/>
          <w:lang w:val="en-GB"/>
        </w:rPr>
        <w:t xml:space="preserve">with an in-depth analysis of cross-border value chains; studies related to the delivery of cross-border public services; feasibility studies for future transport investments of common interest; definition of cross-border functional </w:t>
      </w:r>
      <w:r w:rsidR="00CC4543" w:rsidRPr="00FD79CB">
        <w:rPr>
          <w:rFonts w:eastAsia="Calibri" w:cs="Calibri"/>
          <w:lang w:val="en-GB"/>
        </w:rPr>
        <w:t>areas and / or definition of a specific tool for integrated territorial intervention in the cross-border area; others.</w:t>
      </w:r>
    </w:p>
    <w:p w14:paraId="4E614BDF" w14:textId="6F41832C" w:rsidR="007D3D61" w:rsidRPr="00037C61" w:rsidRDefault="007D77E5" w:rsidP="43A5E8B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Calibri" w:cs="Calibri"/>
          <w:lang w:val="en-GB"/>
        </w:rPr>
      </w:pPr>
      <w:r w:rsidRPr="00037C61">
        <w:rPr>
          <w:rFonts w:eastAsia="Calibri" w:cs="Calibri"/>
          <w:lang w:val="en-GB"/>
        </w:rPr>
        <w:t xml:space="preserve">Considering the above </w:t>
      </w:r>
      <w:r w:rsidR="00151228" w:rsidRPr="00037C61">
        <w:rPr>
          <w:rFonts w:eastAsia="Calibri" w:cs="Calibri"/>
          <w:lang w:val="en-GB"/>
        </w:rPr>
        <w:t xml:space="preserve">findings, </w:t>
      </w:r>
      <w:r w:rsidR="00D077B1" w:rsidRPr="00037C61">
        <w:rPr>
          <w:rFonts w:eastAsia="Calibri" w:cs="Calibri"/>
          <w:lang w:val="en-GB"/>
        </w:rPr>
        <w:t xml:space="preserve">ISO 1 is </w:t>
      </w:r>
      <w:r w:rsidR="00011F53" w:rsidRPr="00100C9C">
        <w:rPr>
          <w:rFonts w:eastAsia="Calibri" w:cs="Calibri"/>
          <w:lang w:val="en-GB"/>
        </w:rPr>
        <w:t xml:space="preserve">suggested for consideration </w:t>
      </w:r>
      <w:r w:rsidR="00011F53">
        <w:rPr>
          <w:rFonts w:eastAsia="Calibri" w:cs="Calibri"/>
          <w:lang w:val="en-GB"/>
        </w:rPr>
        <w:t xml:space="preserve">as priority objective </w:t>
      </w:r>
      <w:r w:rsidR="00D077B1" w:rsidRPr="00037C61">
        <w:rPr>
          <w:rFonts w:eastAsia="Calibri" w:cs="Calibri"/>
          <w:lang w:val="en-GB"/>
        </w:rPr>
        <w:t>for funding under future Interreg Programme between Romania and Hungary 2021-2027</w:t>
      </w:r>
      <w:r w:rsidR="002C4C69" w:rsidRPr="00037C61">
        <w:rPr>
          <w:rFonts w:eastAsia="Calibri" w:cs="Calibri"/>
          <w:lang w:val="en-GB"/>
        </w:rPr>
        <w:t>, as it may have a high impact on the whole region and across the sectors, acting as a tool to create the needed enabling environment for more effective and evidence-based cross-border cooperation</w:t>
      </w:r>
      <w:r w:rsidR="00D077B1" w:rsidRPr="00037C61">
        <w:rPr>
          <w:rFonts w:eastAsia="Calibri" w:cs="Calibri"/>
          <w:lang w:val="en-GB"/>
        </w:rPr>
        <w:t xml:space="preserve">.  </w:t>
      </w:r>
    </w:p>
    <w:p w14:paraId="18BF8165" w14:textId="47119ADC" w:rsidR="008205B2" w:rsidRPr="00037C61" w:rsidRDefault="00662F53" w:rsidP="00662F53">
      <w:pPr>
        <w:pStyle w:val="Heading3"/>
      </w:pPr>
      <w:bookmarkStart w:id="922" w:name="_Toc64619586"/>
      <w:r w:rsidRPr="00037C61">
        <w:t>A</w:t>
      </w:r>
      <w:r w:rsidR="008205B2" w:rsidRPr="00037C61">
        <w:t xml:space="preserve"> SAFER CROSS-BORDER REGION</w:t>
      </w:r>
      <w:bookmarkEnd w:id="922"/>
      <w:r w:rsidR="008205B2" w:rsidRPr="00037C61">
        <w:t xml:space="preserve"> </w:t>
      </w:r>
    </w:p>
    <w:p w14:paraId="103CF27A" w14:textId="606C0D3E" w:rsidR="000C5A56" w:rsidRPr="00037C61" w:rsidRDefault="009539DE" w:rsidP="005E0849">
      <w:pPr>
        <w:rPr>
          <w:lang w:val="en-GB"/>
        </w:rPr>
      </w:pPr>
      <w:r w:rsidRPr="00037C61">
        <w:rPr>
          <w:lang w:val="en-GB"/>
        </w:rPr>
        <w:t>The analysis of migration trends shows that there is the risk that higher migration flows may affect the cross-border area in the upcoming years, due to the possible saturation of the Bal</w:t>
      </w:r>
      <w:r w:rsidR="006B0038" w:rsidRPr="00037C61">
        <w:rPr>
          <w:lang w:val="en-GB"/>
        </w:rPr>
        <w:t>k</w:t>
      </w:r>
      <w:r w:rsidRPr="00037C61">
        <w:rPr>
          <w:lang w:val="en-GB"/>
        </w:rPr>
        <w:t xml:space="preserve">an routes. </w:t>
      </w:r>
    </w:p>
    <w:p w14:paraId="39F5A7EA" w14:textId="77777777" w:rsidR="00804E97" w:rsidRPr="00037C61" w:rsidRDefault="009539DE" w:rsidP="005E0849">
      <w:pPr>
        <w:rPr>
          <w:lang w:val="en-GB"/>
        </w:rPr>
      </w:pPr>
      <w:r w:rsidRPr="00037C61">
        <w:rPr>
          <w:lang w:val="en-GB"/>
        </w:rPr>
        <w:t>However</w:t>
      </w:r>
      <w:r w:rsidR="00804E97" w:rsidRPr="00037C61">
        <w:rPr>
          <w:lang w:val="en-GB"/>
        </w:rPr>
        <w:t>:</w:t>
      </w:r>
    </w:p>
    <w:p w14:paraId="510D00CC" w14:textId="3EF49021" w:rsidR="00804E97" w:rsidRPr="00037C61" w:rsidRDefault="009539DE" w:rsidP="00662F53">
      <w:pPr>
        <w:pStyle w:val="InterregROHUBullet1"/>
        <w:ind w:left="709"/>
      </w:pPr>
      <w:r w:rsidRPr="00037C61">
        <w:t xml:space="preserve">the </w:t>
      </w:r>
      <w:r w:rsidR="00804E97" w:rsidRPr="00037C61">
        <w:t xml:space="preserve">migration and </w:t>
      </w:r>
      <w:r w:rsidRPr="00037C61">
        <w:t>border management is anchored at national security policy level</w:t>
      </w:r>
      <w:r w:rsidR="00804E97" w:rsidRPr="00037C61">
        <w:t>;</w:t>
      </w:r>
    </w:p>
    <w:p w14:paraId="474A1562" w14:textId="5BFD7C17" w:rsidR="00821986" w:rsidRPr="00DC0397" w:rsidRDefault="00821986" w:rsidP="00662F53">
      <w:pPr>
        <w:pStyle w:val="InterregROHUBullet1"/>
        <w:ind w:left="709"/>
      </w:pPr>
      <w:r w:rsidRPr="00037C61">
        <w:t>considering the nature of the problem, a more effective approach to tackle the possible fl</w:t>
      </w:r>
      <w:r w:rsidR="007D77E5" w:rsidRPr="00037C61">
        <w:t>o</w:t>
      </w:r>
      <w:r w:rsidRPr="00037C61">
        <w:t xml:space="preserve">ws of migrants towards ROHU border could be better obtained under the future </w:t>
      </w:r>
      <w:r w:rsidRPr="00DC0397">
        <w:t>Romania-Hungary-Serbia Interreg Programme;</w:t>
      </w:r>
    </w:p>
    <w:p w14:paraId="323FD943" w14:textId="0BAC087C" w:rsidR="00EC5722" w:rsidRPr="00037C61" w:rsidRDefault="00EC5722" w:rsidP="00662F53">
      <w:pPr>
        <w:pStyle w:val="InterregROHUBullet1"/>
        <w:ind w:left="709"/>
      </w:pPr>
      <w:r w:rsidRPr="00037C61">
        <w:t>there are other funds at EU level (</w:t>
      </w:r>
      <w:r w:rsidR="00A953B2">
        <w:t>e.g.</w:t>
      </w:r>
      <w:r w:rsidRPr="00037C61">
        <w:t xml:space="preserve"> the </w:t>
      </w:r>
      <w:r w:rsidR="00303AFD" w:rsidRPr="00303AFD">
        <w:t>Border Management and Visa Instrument</w:t>
      </w:r>
      <w:r w:rsidRPr="00037C61">
        <w:t>) with increasing allocations between 36% and 197% in the next programming period</w:t>
      </w:r>
      <w:r w:rsidRPr="00037C61">
        <w:rPr>
          <w:rStyle w:val="FootnoteReference"/>
        </w:rPr>
        <w:footnoteReference w:id="46"/>
      </w:r>
      <w:r w:rsidR="00821986" w:rsidRPr="00037C61">
        <w:t>, which will allow to better coordinate and manage border management policies under a wider EU context.</w:t>
      </w:r>
      <w:r w:rsidRPr="00037C61">
        <w:t xml:space="preserve"> </w:t>
      </w:r>
    </w:p>
    <w:p w14:paraId="11499ED0" w14:textId="04A3E577" w:rsidR="00A34C1A" w:rsidRPr="00037C61" w:rsidRDefault="007D77E5" w:rsidP="00A34C1A">
      <w:pPr>
        <w:rPr>
          <w:lang w:val="en-GB"/>
        </w:rPr>
      </w:pPr>
      <w:r w:rsidRPr="00037C61">
        <w:rPr>
          <w:lang w:val="en-GB"/>
        </w:rPr>
        <w:t xml:space="preserve">Taking into account these considerations, ISO 2 A Safer Europe, is not </w:t>
      </w:r>
      <w:r w:rsidR="00011F53" w:rsidRPr="00100C9C">
        <w:rPr>
          <w:rFonts w:eastAsia="Calibri" w:cs="Calibri"/>
          <w:lang w:val="en-GB"/>
        </w:rPr>
        <w:t xml:space="preserve">suggested for consideration </w:t>
      </w:r>
      <w:r w:rsidRPr="00037C61">
        <w:rPr>
          <w:lang w:val="en-GB"/>
        </w:rPr>
        <w:t>for being selected among priority POs for the next Interreg Programme between Hungary and Romania 2021-2027.</w:t>
      </w:r>
      <w:r w:rsidR="00905A32" w:rsidRPr="00037C61">
        <w:rPr>
          <w:lang w:val="en-GB"/>
        </w:rPr>
        <w:t xml:space="preserve"> However, </w:t>
      </w:r>
      <w:r w:rsidR="00011F53">
        <w:rPr>
          <w:lang w:val="en-GB"/>
        </w:rPr>
        <w:t>emergency service (i.e. integrated in a wider risk management strategy</w:t>
      </w:r>
      <w:r w:rsidR="00534A9A">
        <w:rPr>
          <w:lang w:val="en-GB"/>
        </w:rPr>
        <w:t xml:space="preserve"> correlated with climate adaptation,</w:t>
      </w:r>
      <w:r w:rsidR="00B86CD1">
        <w:rPr>
          <w:lang w:val="en-GB"/>
        </w:rPr>
        <w:t xml:space="preserve"> </w:t>
      </w:r>
      <w:r w:rsidR="00534A9A">
        <w:rPr>
          <w:lang w:val="en-GB"/>
        </w:rPr>
        <w:t>public health and security risks</w:t>
      </w:r>
      <w:r w:rsidR="00011F53">
        <w:rPr>
          <w:lang w:val="en-GB"/>
        </w:rPr>
        <w:t xml:space="preserve">) </w:t>
      </w:r>
      <w:r w:rsidR="00905A32" w:rsidRPr="00037C61">
        <w:rPr>
          <w:lang w:val="en-GB"/>
        </w:rPr>
        <w:t>c</w:t>
      </w:r>
      <w:r w:rsidR="00011F53">
        <w:rPr>
          <w:lang w:val="en-GB"/>
        </w:rPr>
        <w:t>ould</w:t>
      </w:r>
      <w:r w:rsidR="00905A32" w:rsidRPr="00037C61">
        <w:rPr>
          <w:lang w:val="en-GB"/>
        </w:rPr>
        <w:t xml:space="preserve"> be funded under PO </w:t>
      </w:r>
      <w:r w:rsidR="00011F53">
        <w:rPr>
          <w:lang w:val="en-GB"/>
        </w:rPr>
        <w:t>2</w:t>
      </w:r>
      <w:r w:rsidR="00534A9A">
        <w:rPr>
          <w:lang w:val="en-GB"/>
        </w:rPr>
        <w:t xml:space="preserve"> or PO 4</w:t>
      </w:r>
      <w:r w:rsidR="00905A32" w:rsidRPr="00037C61">
        <w:rPr>
          <w:lang w:val="en-GB"/>
        </w:rPr>
        <w:t>.</w:t>
      </w:r>
      <w:r w:rsidRPr="00037C61">
        <w:rPr>
          <w:lang w:val="en-GB"/>
        </w:rPr>
        <w:t xml:space="preserve"> </w:t>
      </w:r>
    </w:p>
    <w:p w14:paraId="7D06D5BB" w14:textId="77777777" w:rsidR="007D77E5" w:rsidRPr="00037C61" w:rsidRDefault="007D77E5" w:rsidP="00A34C1A">
      <w:pPr>
        <w:rPr>
          <w:lang w:val="en-GB"/>
        </w:rPr>
      </w:pPr>
    </w:p>
    <w:p w14:paraId="2BBBD02E" w14:textId="48F72D37" w:rsidR="00A34C1A" w:rsidRPr="00037C61" w:rsidRDefault="00A34C1A" w:rsidP="00252BC2">
      <w:pPr>
        <w:spacing w:after="0" w:line="240" w:lineRule="auto"/>
        <w:jc w:val="left"/>
        <w:rPr>
          <w:rFonts w:ascii="Times New Roman" w:eastAsia="Times New Roman" w:hAnsi="Times New Roman" w:cs="Times New Roman"/>
          <w:sz w:val="24"/>
          <w:szCs w:val="24"/>
          <w:lang w:val="en-GB" w:eastAsia="en-GB"/>
        </w:rPr>
        <w:sectPr w:rsidR="00A34C1A" w:rsidRPr="00037C61" w:rsidSect="008205B2">
          <w:footerReference w:type="first" r:id="rId311"/>
          <w:pgSz w:w="11906" w:h="16838"/>
          <w:pgMar w:top="1440" w:right="1440" w:bottom="1440" w:left="1440" w:header="708" w:footer="828" w:gutter="0"/>
          <w:cols w:space="708"/>
          <w:docGrid w:linePitch="360"/>
        </w:sectPr>
      </w:pPr>
    </w:p>
    <w:p w14:paraId="44B67890" w14:textId="77777777" w:rsidR="00C92943" w:rsidRPr="00037C61" w:rsidRDefault="00C92943" w:rsidP="00BB1B56">
      <w:pPr>
        <w:pStyle w:val="Heading1"/>
        <w:numPr>
          <w:ilvl w:val="0"/>
          <w:numId w:val="0"/>
        </w:numPr>
        <w:ind w:left="360"/>
      </w:pPr>
      <w:bookmarkStart w:id="923" w:name="_Toc53137238"/>
      <w:bookmarkStart w:id="924" w:name="_Toc50723367"/>
      <w:bookmarkStart w:id="925" w:name="_Toc64619587"/>
      <w:r w:rsidRPr="00037C61">
        <w:lastRenderedPageBreak/>
        <w:t>References</w:t>
      </w:r>
      <w:bookmarkEnd w:id="923"/>
      <w:bookmarkEnd w:id="924"/>
      <w:bookmarkEnd w:id="925"/>
      <w:r w:rsidRPr="00037C61">
        <w:t xml:space="preserve"> </w:t>
      </w:r>
    </w:p>
    <w:p w14:paraId="273BF525" w14:textId="77777777" w:rsidR="00C92943" w:rsidRPr="00037C61" w:rsidRDefault="00C92943" w:rsidP="00C92943">
      <w:pPr>
        <w:rPr>
          <w:lang w:val="en-GB"/>
        </w:rPr>
      </w:pPr>
      <w:r w:rsidRPr="00037C61">
        <w:rPr>
          <w:lang w:val="en-GB"/>
        </w:rPr>
        <w:t>Allmendinger, P, Haughton, G, 2009, “Soft spaces, fuzzy boundaries, and metagovernance: The new spatial planning in the Thames Gateway” Environment and Planning A 41 617–633</w:t>
      </w:r>
    </w:p>
    <w:p w14:paraId="42385532" w14:textId="7E7A47B8" w:rsidR="00C92943" w:rsidRPr="00037C61" w:rsidRDefault="00C92943" w:rsidP="00C92943">
      <w:pPr>
        <w:rPr>
          <w:lang w:val="en-GB"/>
        </w:rPr>
      </w:pPr>
      <w:r w:rsidRPr="00037C61">
        <w:rPr>
          <w:lang w:val="en-GB"/>
        </w:rPr>
        <w:t xml:space="preserve">Alpek, L., Tésits, R., Hoványi, G. (2018). Spatial inequalities of disadvantage accumulation and their impact on employability in Hungary. Regional Statistics, Vol. 8. No. 1. 2018: 96–119; DOI: 10.15196/RS080104 </w:t>
      </w:r>
    </w:p>
    <w:p w14:paraId="341E5009" w14:textId="4347BECB" w:rsidR="00D14BB3" w:rsidRPr="00037C61" w:rsidRDefault="00D14BB3" w:rsidP="00457478">
      <w:pPr>
        <w:spacing w:after="0"/>
        <w:rPr>
          <w:lang w:val="en-GB"/>
        </w:rPr>
      </w:pPr>
      <w:r w:rsidRPr="00037C61">
        <w:rPr>
          <w:lang w:val="en-GB"/>
        </w:rPr>
        <w:t xml:space="preserve">Badulescu, A, Badulescu, D, and BORMA, A, </w:t>
      </w:r>
      <w:r w:rsidR="00CC74C4" w:rsidRPr="00037C61">
        <w:rPr>
          <w:lang w:val="en-GB"/>
        </w:rPr>
        <w:t xml:space="preserve">2014, </w:t>
      </w:r>
      <w:r w:rsidRPr="00037C61">
        <w:rPr>
          <w:lang w:val="en-GB"/>
        </w:rPr>
        <w:t>“Enhancing Cross-Border Cooperation through Local Actors’ Involvement. The Case of Tourism Cooperation in Bihor (Romania) – Hajdú-Bihar (Hungary) Euroregion”</w:t>
      </w:r>
      <w:r w:rsidR="00CC74C4" w:rsidRPr="00037C61">
        <w:rPr>
          <w:lang w:val="en-GB"/>
        </w:rPr>
        <w:t xml:space="preserve">, Article  in  Lex Localis </w:t>
      </w:r>
    </w:p>
    <w:p w14:paraId="448BFA6F" w14:textId="1C493941" w:rsidR="00CC74C4" w:rsidRPr="00037C61" w:rsidRDefault="0049362F" w:rsidP="00CC74C4">
      <w:pPr>
        <w:spacing w:after="0"/>
        <w:rPr>
          <w:lang w:val="en-GB"/>
        </w:rPr>
      </w:pPr>
      <w:hyperlink r:id="rId312" w:history="1">
        <w:r w:rsidR="00CC74C4" w:rsidRPr="00037C61">
          <w:rPr>
            <w:rStyle w:val="Hyperlink"/>
            <w:lang w:val="en-GB"/>
          </w:rPr>
          <w:t>https://www.researchgate.net/publication/273773721_Enhancing_Cross-Border_Cooperation_through_Local_Actors'_Involvement_The_Case_of_Tourism_Cooperation_in_Bihor_Romania_-_Hajdu-Bihar_Hungary_Euroregion</w:t>
        </w:r>
      </w:hyperlink>
    </w:p>
    <w:p w14:paraId="6975CBC8" w14:textId="57D23709" w:rsidR="00CC74C4" w:rsidRPr="00037C61" w:rsidRDefault="00CC74C4" w:rsidP="00CC74C4">
      <w:pPr>
        <w:spacing w:after="0"/>
        <w:rPr>
          <w:lang w:val="en-GB"/>
        </w:rPr>
      </w:pPr>
    </w:p>
    <w:p w14:paraId="62441151" w14:textId="77777777" w:rsidR="00CC74C4" w:rsidRPr="00037C61" w:rsidRDefault="00CC74C4" w:rsidP="00CC74C4">
      <w:pPr>
        <w:spacing w:after="0"/>
        <w:rPr>
          <w:lang w:val="en-GB"/>
        </w:rPr>
      </w:pPr>
      <w:r w:rsidRPr="00037C61">
        <w:rPr>
          <w:lang w:val="en-GB"/>
        </w:rPr>
        <w:t>Cișmaș, L, Sabău, C, “The Evolution of the Socio-economical Profile and Cross-border</w:t>
      </w:r>
    </w:p>
    <w:p w14:paraId="369641E4" w14:textId="143AD6C2" w:rsidR="00CC74C4" w:rsidRPr="00037C61" w:rsidRDefault="00CC74C4" w:rsidP="00CC74C4">
      <w:pPr>
        <w:spacing w:after="0"/>
        <w:rPr>
          <w:lang w:val="en-GB"/>
        </w:rPr>
      </w:pPr>
      <w:r w:rsidRPr="00037C61">
        <w:rPr>
          <w:lang w:val="en-GB"/>
        </w:rPr>
        <w:t>Cooperation in Bihor-Hajdu Bihar Euroregion”</w:t>
      </w:r>
    </w:p>
    <w:p w14:paraId="304D8F31" w14:textId="5320D788" w:rsidR="00CC74C4" w:rsidRPr="00037C61" w:rsidRDefault="0049362F" w:rsidP="00CC74C4">
      <w:pPr>
        <w:spacing w:after="0"/>
        <w:rPr>
          <w:lang w:val="en-GB"/>
        </w:rPr>
      </w:pPr>
      <w:hyperlink r:id="rId313" w:history="1">
        <w:r w:rsidR="00CC74C4" w:rsidRPr="00037C61">
          <w:rPr>
            <w:rStyle w:val="Hyperlink"/>
            <w:lang w:val="en-GB"/>
          </w:rPr>
          <w:t>https://www.researchgate.net/publication/265145281_The_Evolution_of_the_Socio-economical_Profile_and_Cross-border_Cooperation_in_Bihor-Hajdu_Bihar_Euroregion</w:t>
        </w:r>
      </w:hyperlink>
    </w:p>
    <w:p w14:paraId="11C981F0" w14:textId="208BC9E7" w:rsidR="00CC74C4" w:rsidRPr="00037C61" w:rsidRDefault="00CC74C4" w:rsidP="00CC74C4">
      <w:pPr>
        <w:spacing w:after="0"/>
        <w:rPr>
          <w:lang w:val="en-GB"/>
        </w:rPr>
      </w:pPr>
    </w:p>
    <w:p w14:paraId="38B34BA6" w14:textId="6DDF4E8F" w:rsidR="00CC74C4" w:rsidRPr="00037C61" w:rsidRDefault="00CC74C4" w:rsidP="00CC74C4">
      <w:pPr>
        <w:spacing w:after="0"/>
        <w:rPr>
          <w:lang w:val="en-GB"/>
        </w:rPr>
      </w:pPr>
      <w:r w:rsidRPr="00037C61">
        <w:rPr>
          <w:lang w:val="en-GB"/>
        </w:rPr>
        <w:t>Cișmaș, L, Sabău, C, 2012,“Cross-Border Cooperation in Europe: The Case of</w:t>
      </w:r>
    </w:p>
    <w:p w14:paraId="2DCD60BC" w14:textId="5169E06B" w:rsidR="00CC74C4" w:rsidRPr="00DB74BF" w:rsidRDefault="00CC74C4" w:rsidP="00457478">
      <w:pPr>
        <w:spacing w:after="0"/>
        <w:rPr>
          <w:lang w:val="fr-FR"/>
        </w:rPr>
      </w:pPr>
      <w:r w:rsidRPr="00DB74BF">
        <w:rPr>
          <w:lang w:val="fr-FR"/>
        </w:rPr>
        <w:t>Bihor-Hajdu Bihar Euroregion”</w:t>
      </w:r>
    </w:p>
    <w:p w14:paraId="20D671FF" w14:textId="3BCAF73A" w:rsidR="00D14BB3" w:rsidRPr="00DB74BF" w:rsidRDefault="00CC74C4" w:rsidP="00D14BB3">
      <w:pPr>
        <w:rPr>
          <w:lang w:val="fr-FR"/>
        </w:rPr>
      </w:pPr>
      <w:r w:rsidRPr="00DB74BF">
        <w:rPr>
          <w:lang w:val="fr-FR"/>
        </w:rPr>
        <w:t>https://www.researchgate.net/publication/261834381_Cross-Border_Cooperation_in_Europe_The_Case_of_Bihor-Hajdu_Bihar_Euroregion</w:t>
      </w:r>
    </w:p>
    <w:p w14:paraId="06294751" w14:textId="0ABCC0F6" w:rsidR="00C92943" w:rsidRPr="00037C61" w:rsidRDefault="00C92943" w:rsidP="00457478">
      <w:pPr>
        <w:spacing w:before="240"/>
        <w:rPr>
          <w:lang w:val="en-GB"/>
        </w:rPr>
      </w:pPr>
      <w:r w:rsidRPr="00037C61">
        <w:rPr>
          <w:lang w:val="en-GB"/>
        </w:rPr>
        <w:t>Cretan, R., 2006, The cultural and economic development of the DRKT euroregion, Review of Historical Geographyand Toponomastics, vol. I, no.1, pp 61-78</w:t>
      </w:r>
      <w:r w:rsidR="006777AA" w:rsidRPr="00037C61">
        <w:rPr>
          <w:lang w:val="en-GB"/>
        </w:rPr>
        <w:t xml:space="preserve"> </w:t>
      </w:r>
    </w:p>
    <w:p w14:paraId="0643606F" w14:textId="47098AE3" w:rsidR="00C36342" w:rsidRPr="00037C61" w:rsidRDefault="00C36342" w:rsidP="00C92943">
      <w:pPr>
        <w:rPr>
          <w:lang w:val="en-GB"/>
        </w:rPr>
      </w:pPr>
      <w:r w:rsidRPr="00037C61">
        <w:rPr>
          <w:lang w:val="en-GB"/>
        </w:rPr>
        <w:t>Christodoulou, A. et al. (2019) Road accessibility in border regions. doi: 10.2776/91499.</w:t>
      </w:r>
    </w:p>
    <w:p w14:paraId="78A1B455" w14:textId="77777777" w:rsidR="00C92943" w:rsidRPr="00037C61" w:rsidRDefault="00C92943" w:rsidP="00C92943">
      <w:pPr>
        <w:spacing w:line="256" w:lineRule="auto"/>
        <w:rPr>
          <w:lang w:val="en-GB"/>
        </w:rPr>
      </w:pPr>
      <w:r w:rsidRPr="00037C61">
        <w:rPr>
          <w:lang w:val="en-GB"/>
        </w:rPr>
        <w:t>Decoville, A., Durand, F., Sohn, C., &amp; Walther, O. (2013). Comparing cross-border metropolitan integration in Europe: Towards a functional typology. Journal of Borderlands Studies, 28(2), 221–237. doi:10.1080/08865655.2013.854654</w:t>
      </w:r>
    </w:p>
    <w:p w14:paraId="6E900CC6" w14:textId="2D83CA08" w:rsidR="00C92943" w:rsidRPr="00037C61" w:rsidRDefault="00C92943" w:rsidP="00C92943">
      <w:pPr>
        <w:spacing w:line="256" w:lineRule="auto"/>
        <w:rPr>
          <w:lang w:val="en-GB"/>
        </w:rPr>
      </w:pPr>
      <w:r w:rsidRPr="00037C61">
        <w:rPr>
          <w:lang w:val="en-GB"/>
        </w:rPr>
        <w:t>Dijkstra, L., Poelman, H., Veneri, P., 2019, The EU.OECD definition of a Functional Urban Area</w:t>
      </w:r>
    </w:p>
    <w:p w14:paraId="2746F75A" w14:textId="77777777" w:rsidR="00C92943" w:rsidRPr="00DB74BF" w:rsidRDefault="00C92943" w:rsidP="00C92943">
      <w:pPr>
        <w:rPr>
          <w:rStyle w:val="Hyperlink"/>
        </w:rPr>
      </w:pPr>
      <w:r w:rsidRPr="00DB74BF">
        <w:t xml:space="preserve">Durà A., Camonita F., Berzi M. and Noferini A. (2018). </w:t>
      </w:r>
      <w:r w:rsidRPr="00037C61">
        <w:rPr>
          <w:lang w:val="en-GB"/>
        </w:rPr>
        <w:t xml:space="preserve">Euroregions, Excellence and Innovation across EU borders. A Catalogue of Good Practices. Barcelona, Department of Geography, UAB, 254 p. </w:t>
      </w:r>
      <w:hyperlink r:id="rId314" w:history="1">
        <w:r w:rsidRPr="00DB74BF">
          <w:rPr>
            <w:rStyle w:val="Hyperlink"/>
          </w:rPr>
          <w:t>https://ec.europa.eu/futurium/en/system/files/ged/recot_crii_catalogue_0.pdf</w:t>
        </w:r>
      </w:hyperlink>
    </w:p>
    <w:p w14:paraId="688BEF11" w14:textId="40262723" w:rsidR="00C92943" w:rsidRPr="00037C61" w:rsidRDefault="00C92943" w:rsidP="00C92943">
      <w:pPr>
        <w:spacing w:line="256" w:lineRule="auto"/>
        <w:rPr>
          <w:lang w:val="en-GB"/>
        </w:rPr>
      </w:pPr>
      <w:r w:rsidRPr="00037C61">
        <w:rPr>
          <w:lang w:val="en-GB"/>
        </w:rPr>
        <w:t>Durand, F. (2015). Theoretical framework of the cross-border space production – The case of the Eurometropolis Lille– Kortrijk–Tournai. Journal of Borderlands Studies, 30(3), 309–328. doi:10. 1080/08865655.2015.1066701</w:t>
      </w:r>
    </w:p>
    <w:p w14:paraId="117A687B" w14:textId="0D975D88" w:rsidR="00B76FA0" w:rsidRPr="00037C61" w:rsidRDefault="00B76FA0" w:rsidP="00C92943">
      <w:pPr>
        <w:spacing w:line="256" w:lineRule="auto"/>
        <w:rPr>
          <w:lang w:val="en-GB"/>
        </w:rPr>
      </w:pPr>
      <w:r w:rsidRPr="00037C61">
        <w:rPr>
          <w:lang w:val="en-GB"/>
        </w:rPr>
        <w:t>Günther, A., Van Den Eeckhaut, M., Malet, J.-P., Reichenbach, P., Hervás, J., 2014. Climate-physiographically differentiated Pan-European landslide susceptibility assessment using spatial multi-criteria evaluation and transnational landslide information. Geomorphology, 224: 69-85</w:t>
      </w:r>
    </w:p>
    <w:p w14:paraId="02EBE71A" w14:textId="626CEE98" w:rsidR="006C717F" w:rsidRPr="00037C61" w:rsidRDefault="006C717F" w:rsidP="00C92943">
      <w:pPr>
        <w:spacing w:line="256" w:lineRule="auto"/>
        <w:rPr>
          <w:lang w:val="en-GB"/>
        </w:rPr>
      </w:pPr>
      <w:r w:rsidRPr="00494E56">
        <w:rPr>
          <w:lang w:val="en-GB"/>
        </w:rPr>
        <w:lastRenderedPageBreak/>
        <w:t>JRC, Mae</w:t>
      </w:r>
      <w:r w:rsidR="009678A8" w:rsidRPr="002858B5">
        <w:rPr>
          <w:lang w:val="en-GB"/>
        </w:rPr>
        <w:t>s</w:t>
      </w:r>
      <w:r w:rsidRPr="002858B5">
        <w:rPr>
          <w:lang w:val="en-GB"/>
        </w:rPr>
        <w:t xml:space="preserve">, J. et al. </w:t>
      </w:r>
      <w:r w:rsidRPr="00037C61">
        <w:rPr>
          <w:lang w:val="en-GB"/>
        </w:rPr>
        <w:t xml:space="preserve">(2020). Mapping and Assessment of Ecosystems and their Services: An EU ecosystem assessment. Scientific and Technical Research Report, EUR 30161 EN, </w:t>
      </w:r>
      <w:hyperlink r:id="rId315" w:history="1">
        <w:r w:rsidRPr="00037C61">
          <w:rPr>
            <w:rStyle w:val="Hyperlink"/>
            <w:lang w:val="en-GB"/>
          </w:rPr>
          <w:t>http://publications.jrc.ec.europa.eu/repository/handle/JRC120383</w:t>
        </w:r>
      </w:hyperlink>
      <w:r w:rsidRPr="00037C61">
        <w:rPr>
          <w:lang w:val="en-GB"/>
        </w:rPr>
        <w:t xml:space="preserve"> </w:t>
      </w:r>
    </w:p>
    <w:p w14:paraId="23326BF3" w14:textId="77777777" w:rsidR="00D14BB3" w:rsidRPr="00037C61" w:rsidRDefault="00D14BB3" w:rsidP="00D14BB3">
      <w:pPr>
        <w:spacing w:line="256" w:lineRule="auto"/>
        <w:rPr>
          <w:lang w:val="en-GB"/>
        </w:rPr>
      </w:pPr>
      <w:r w:rsidRPr="00037C61">
        <w:rPr>
          <w:lang w:val="en-GB"/>
        </w:rPr>
        <w:t>Jakubowski, A, Trykacz, K., Studzieniecki, T, and Skibinski, J, “Identifying cross-border functional areas</w:t>
      </w:r>
    </w:p>
    <w:p w14:paraId="080A28AB" w14:textId="4270DA7A" w:rsidR="00D14BB3" w:rsidRPr="00037C61" w:rsidRDefault="00D14BB3" w:rsidP="00D14BB3">
      <w:pPr>
        <w:spacing w:line="256" w:lineRule="auto"/>
        <w:rPr>
          <w:lang w:val="en-GB"/>
        </w:rPr>
      </w:pPr>
      <w:r w:rsidRPr="00037C61">
        <w:rPr>
          <w:lang w:val="en-GB"/>
        </w:rPr>
        <w:t>Conceptual background, empirical evidence and policy implications”, EWRC (2020)</w:t>
      </w:r>
    </w:p>
    <w:p w14:paraId="5B5F41EE" w14:textId="09CE715A" w:rsidR="00C92943" w:rsidRPr="00037C61" w:rsidRDefault="00C92943" w:rsidP="00C92943">
      <w:pPr>
        <w:spacing w:line="256" w:lineRule="auto"/>
        <w:rPr>
          <w:lang w:val="en-GB"/>
        </w:rPr>
      </w:pPr>
      <w:r w:rsidRPr="00037C61">
        <w:rPr>
          <w:lang w:val="en-GB"/>
        </w:rPr>
        <w:t>LISER 2015, Opportunities of cross-border cooperation between small and medium cities in Europe, Ed. Decoville, A., Durand, F., Feltgen, V</w:t>
      </w:r>
    </w:p>
    <w:p w14:paraId="62419FE5" w14:textId="77777777" w:rsidR="009678A8" w:rsidRPr="00037C61" w:rsidRDefault="00B562D8" w:rsidP="00C92943">
      <w:pPr>
        <w:spacing w:line="256" w:lineRule="auto"/>
        <w:rPr>
          <w:lang w:val="en-GB"/>
        </w:rPr>
      </w:pPr>
      <w:r w:rsidRPr="00037C61">
        <w:rPr>
          <w:lang w:val="en-GB"/>
        </w:rPr>
        <w:t xml:space="preserve">Milio S. 2014. Impact of the Economic Crisis on Social, Economic and Territorial Cohesion of the European Union, Vol. 1. Brussels: Directorate-General for Internal Policies, Policy Department B (Structural and Cohesion Policies). Hyperlink </w:t>
      </w:r>
      <w:hyperlink r:id="rId316" w:history="1">
        <w:r w:rsidRPr="00037C61">
          <w:rPr>
            <w:rStyle w:val="Hyperlink"/>
            <w:lang w:val="en-GB"/>
          </w:rPr>
          <w:t>https://www.europarl.europa.eu/RegData/etudes/etudes/join/2014/529066/IPOL-REGI_ET(2014)529066_EN.pdf</w:t>
        </w:r>
      </w:hyperlink>
      <w:r w:rsidRPr="00037C61">
        <w:rPr>
          <w:lang w:val="en-GB"/>
        </w:rPr>
        <w:t xml:space="preserve"> </w:t>
      </w:r>
    </w:p>
    <w:p w14:paraId="707130BC" w14:textId="39EA07FF" w:rsidR="00C92943" w:rsidRPr="00037C61" w:rsidRDefault="00C92943" w:rsidP="00C92943">
      <w:pPr>
        <w:spacing w:line="256" w:lineRule="auto"/>
        <w:rPr>
          <w:lang w:val="en-GB"/>
        </w:rPr>
      </w:pPr>
      <w:r w:rsidRPr="00037C61">
        <w:rPr>
          <w:lang w:val="en-GB"/>
        </w:rPr>
        <w:t>Möller, C., Alfredsson-Olsson, E., Ericsson, B., &amp; Overvåg, K. (2018). The border as an engine for mobility and spatial integration: A study of commuting in a Swedish–Norwegian context. Norsk Geografisk Tidsskrift - Norwegian Journal of Geography, 72(4), 217–233. doi:10.1080/00291951. 2018.1497698</w:t>
      </w:r>
    </w:p>
    <w:p w14:paraId="41677E01" w14:textId="77777777" w:rsidR="00C92943" w:rsidRPr="00037C61" w:rsidRDefault="00C92943" w:rsidP="00C92943">
      <w:pPr>
        <w:spacing w:line="256" w:lineRule="auto"/>
        <w:rPr>
          <w:lang w:val="en-GB"/>
        </w:rPr>
      </w:pPr>
      <w:r w:rsidRPr="00037C61">
        <w:rPr>
          <w:lang w:val="en-GB"/>
        </w:rPr>
        <w:t>Medeiros, E. (2019). Delimiting cross-border areas for policy implementation: a multi-factor proposal. European Planning Studies, 1–21. doi:10.1080/09654313.2019.1687654 </w:t>
      </w:r>
    </w:p>
    <w:p w14:paraId="3A59C0CF" w14:textId="5C805564" w:rsidR="00C92943" w:rsidRPr="00037C61" w:rsidRDefault="00C92943" w:rsidP="00C92943">
      <w:pPr>
        <w:rPr>
          <w:lang w:val="en-GB"/>
        </w:rPr>
      </w:pPr>
      <w:r w:rsidRPr="00037C61">
        <w:rPr>
          <w:lang w:val="en-GB"/>
        </w:rPr>
        <w:t>Nelles J., Durand F. (2014). Political rescaling and metropolitan governance in cross-border regions: comparing the cross-border metropolitan areas of Lille and Luxemburg. European Urban and Regional Studies, Vol. 21. No 1, 2014, pp 104-122</w:t>
      </w:r>
    </w:p>
    <w:p w14:paraId="4258D6C9" w14:textId="5EB4FDBA" w:rsidR="009678A8" w:rsidRPr="00037C61" w:rsidRDefault="009678A8" w:rsidP="00C92943">
      <w:pPr>
        <w:rPr>
          <w:lang w:val="en-GB"/>
        </w:rPr>
      </w:pPr>
      <w:r w:rsidRPr="00037C61">
        <w:rPr>
          <w:lang w:val="en-GB"/>
        </w:rPr>
        <w:t xml:space="preserve">Pepler, G., Frank Bristow, S., Bacsich, P., Jeans, N., Vuorikari, R. (2015). </w:t>
      </w:r>
      <w:r w:rsidRPr="00037C61">
        <w:rPr>
          <w:rFonts w:ascii="Helvetica Neue" w:hAnsi="Helvetica Neue"/>
          <w:color w:val="333333"/>
          <w:sz w:val="21"/>
          <w:szCs w:val="21"/>
          <w:shd w:val="clear" w:color="auto" w:fill="FFFFFF"/>
          <w:lang w:val="en-GB"/>
        </w:rPr>
        <w:t xml:space="preserve">Cross-border Content: Investigation into Sharing Curricula across Borders and its Opportunities for Open Education Resources. Joint Research Center, </w:t>
      </w:r>
      <w:r w:rsidRPr="00037C61">
        <w:rPr>
          <w:lang w:val="en-GB"/>
        </w:rPr>
        <w:t xml:space="preserve">Report EUR 27245 EN, </w:t>
      </w:r>
      <w:hyperlink r:id="rId317" w:history="1">
        <w:r w:rsidRPr="00037C61">
          <w:rPr>
            <w:rStyle w:val="Hyperlink"/>
            <w:rFonts w:ascii="Helvetica Neue" w:hAnsi="Helvetica Neue"/>
            <w:sz w:val="21"/>
            <w:szCs w:val="21"/>
            <w:shd w:val="clear" w:color="auto" w:fill="FFFFFF"/>
            <w:lang w:val="en-GB"/>
          </w:rPr>
          <w:t>http://publications.jrc.ec.europa.eu/repository/handle/JRC94956</w:t>
        </w:r>
      </w:hyperlink>
    </w:p>
    <w:p w14:paraId="5AE5062B" w14:textId="7536662F" w:rsidR="00C36342" w:rsidRPr="00037C61" w:rsidRDefault="00C36342" w:rsidP="00C92943">
      <w:pPr>
        <w:rPr>
          <w:lang w:val="en-GB"/>
        </w:rPr>
      </w:pPr>
      <w:r w:rsidRPr="00037C61">
        <w:rPr>
          <w:lang w:val="en-GB"/>
        </w:rPr>
        <w:t xml:space="preserve">Poelman, H. and Ackermans, L., 2017, ‘Passenger rail accessibility in Europe’s border areas’, European Commission, Directorate-General for Regional Policy, Working Papers, WP 11/2017, https://ec.europa.eu/regional_policy/sources/docgener/work/201704_rail_passenger_acc essibility.pdf </w:t>
      </w:r>
    </w:p>
    <w:p w14:paraId="204693E0" w14:textId="77777777" w:rsidR="00C92943" w:rsidRPr="00037C61" w:rsidRDefault="00C92943" w:rsidP="00C92943">
      <w:pPr>
        <w:spacing w:line="256" w:lineRule="auto"/>
        <w:rPr>
          <w:lang w:val="en-GB"/>
        </w:rPr>
      </w:pPr>
      <w:r w:rsidRPr="00DB74BF">
        <w:t xml:space="preserve">Popoviciu, A.-C., &amp; Toca, C. V. (2011). </w:t>
      </w:r>
      <w:r w:rsidRPr="00037C61">
        <w:rPr>
          <w:lang w:val="en-GB"/>
        </w:rPr>
        <w:t>Romanian-Hungarian cross-border cooperation through a possible EGTC Oradea-Debrecen. In I. Horga, I. Bărbulescu, A. Ivan, M. Palinchak, &amp; I. Su#li-Zakar (Eds.), Regional and cohesion policy: insights into the role of the partnership principle in the new policy design (pp. 241-261). Oradea https://nbn- resolving.org/urn:nbn:de:0168-ssoar-420536</w:t>
      </w:r>
    </w:p>
    <w:p w14:paraId="4EA3C793" w14:textId="77777777" w:rsidR="00C92943" w:rsidRPr="00037C61" w:rsidRDefault="00C92943" w:rsidP="00C92943">
      <w:pPr>
        <w:spacing w:line="256" w:lineRule="auto"/>
        <w:rPr>
          <w:lang w:val="en-GB"/>
        </w:rPr>
      </w:pPr>
      <w:r w:rsidRPr="00037C61">
        <w:rPr>
          <w:lang w:val="en-GB"/>
        </w:rPr>
        <w:t>Varvaruc, D., Stoican, M., Camarda, A., 2014, The importance of cross-border regions and trends in tourism development in theDanube-Criş-Mureş-Tisa Euroregion, Social Economic Debates.</w:t>
      </w:r>
    </w:p>
    <w:p w14:paraId="02F1D2B5" w14:textId="729688CC" w:rsidR="00061735" w:rsidRPr="00037C61" w:rsidRDefault="00061735" w:rsidP="00061735">
      <w:pPr>
        <w:spacing w:line="256" w:lineRule="auto"/>
        <w:rPr>
          <w:lang w:val="en-GB"/>
        </w:rPr>
      </w:pPr>
      <w:r w:rsidRPr="00037C61">
        <w:rPr>
          <w:lang w:val="en-GB"/>
        </w:rPr>
        <w:t>Wilde, M., Günther, A., Reichenbach, P., Malet, J.-P., Hervás, J., 2018. Pan-European landslide susceptibility mapping: ELSUS Version 2. Journal of Maps, 14(2): 97-104 and supplemental map.</w:t>
      </w:r>
    </w:p>
    <w:p w14:paraId="7E3CDF7D" w14:textId="7C4F4988" w:rsidR="00ED1DD0" w:rsidRPr="00037C61" w:rsidRDefault="00ED1DD0" w:rsidP="00ED1DD0">
      <w:pPr>
        <w:spacing w:line="256" w:lineRule="auto"/>
        <w:rPr>
          <w:lang w:val="en-GB"/>
        </w:rPr>
      </w:pPr>
      <w:r w:rsidRPr="00037C61">
        <w:rPr>
          <w:lang w:val="en-GB"/>
        </w:rPr>
        <w:t>Verkerk, P., Fitzgerald, J., Datta, P. et al. (2019). Spatial distribution of the potential forest biomass availability in Europe. For. Ecosyst. 6, 5, 2019. https://doi.org/10.1186/s40663-019-0163-5</w:t>
      </w:r>
    </w:p>
    <w:p w14:paraId="3866F1AA" w14:textId="77777777" w:rsidR="00B76FA0" w:rsidRPr="00037C61" w:rsidRDefault="00B76FA0" w:rsidP="00B76FA0">
      <w:pPr>
        <w:spacing w:line="256" w:lineRule="auto"/>
        <w:rPr>
          <w:lang w:val="en-GB"/>
        </w:rPr>
      </w:pPr>
      <w:r w:rsidRPr="00037C61">
        <w:rPr>
          <w:lang w:val="en-GB"/>
        </w:rPr>
        <w:lastRenderedPageBreak/>
        <w:t xml:space="preserve">Vulevic, A.; Castanho, R.A.; Naranjo Gomez, J.M.; Loures, L.; Cabezas, J.; Fernandez-Pozo, L.; Martin Gallardo, J. Accessibility Dynamics and Regional Cross-Border Cooperation (CBC) Perspectives in the Portuguese-Spanish Borderland. Sustainability 2020, 12, 1978. </w:t>
      </w:r>
    </w:p>
    <w:p w14:paraId="1EC79711" w14:textId="77777777" w:rsidR="00061735" w:rsidRPr="00037C61" w:rsidRDefault="00061735" w:rsidP="00061735">
      <w:pPr>
        <w:spacing w:line="256" w:lineRule="auto"/>
        <w:rPr>
          <w:lang w:val="en-GB"/>
        </w:rPr>
      </w:pPr>
    </w:p>
    <w:p w14:paraId="19DD0C1A" w14:textId="05DB6272" w:rsidR="00CC74C4" w:rsidRPr="00037C61" w:rsidRDefault="00C92943" w:rsidP="00C92943">
      <w:pPr>
        <w:rPr>
          <w:lang w:val="en-GB"/>
        </w:rPr>
      </w:pPr>
      <w:r w:rsidRPr="00037C61">
        <w:rPr>
          <w:lang w:val="en-GB"/>
        </w:rPr>
        <w:t>CoR. (2018). EGTC monitoring report 2017. Brussels: Committee of the Regions.</w:t>
      </w:r>
    </w:p>
    <w:p w14:paraId="4C5C6596" w14:textId="53615D7B" w:rsidR="00341598" w:rsidRPr="00037C61" w:rsidRDefault="00341598" w:rsidP="00341598">
      <w:pPr>
        <w:jc w:val="left"/>
        <w:rPr>
          <w:lang w:val="en-GB"/>
        </w:rPr>
      </w:pPr>
      <w:r w:rsidRPr="00DB74BF">
        <w:rPr>
          <w:lang w:val="fr-FR"/>
        </w:rPr>
        <w:t>Carpathian Convention</w:t>
      </w:r>
      <w:r w:rsidR="00546FAA" w:rsidRPr="00DB74BF">
        <w:rPr>
          <w:lang w:val="fr-FR"/>
        </w:rPr>
        <w:t xml:space="preserve"> (2020), UN Environment Programme </w:t>
      </w:r>
      <w:r w:rsidRPr="00DB74BF">
        <w:rPr>
          <w:lang w:val="fr-FR"/>
        </w:rPr>
        <w:t xml:space="preserve">. </w:t>
      </w:r>
      <w:r w:rsidRPr="00037C61">
        <w:rPr>
          <w:lang w:val="en-GB"/>
        </w:rPr>
        <w:t xml:space="preserve">Available at: </w:t>
      </w:r>
      <w:hyperlink r:id="rId318" w:history="1">
        <w:r w:rsidRPr="00037C61">
          <w:rPr>
            <w:rStyle w:val="Hyperlink"/>
            <w:lang w:val="en-GB"/>
          </w:rPr>
          <w:t>https://www.unenvironment.org/news-and-stories/speech/carpathian-convention-push-implementation</w:t>
        </w:r>
      </w:hyperlink>
    </w:p>
    <w:p w14:paraId="6E965A95" w14:textId="1ABBCE8D" w:rsidR="00CC74C4" w:rsidRPr="00037C61" w:rsidRDefault="00CC74C4" w:rsidP="00457478">
      <w:pPr>
        <w:spacing w:line="256" w:lineRule="auto"/>
        <w:rPr>
          <w:lang w:val="en-GB"/>
        </w:rPr>
      </w:pPr>
      <w:r w:rsidRPr="00037C61">
        <w:rPr>
          <w:lang w:val="en-GB"/>
        </w:rPr>
        <w:t>European Environment Agency, Nationally Designated Areas (CDDA). Available at: https://www.eea.europa.eu/data-and-maps/data/nationally-designated-areas-national-cdda-15</w:t>
      </w:r>
    </w:p>
    <w:p w14:paraId="1755431A" w14:textId="102ED161" w:rsidR="00C92943" w:rsidRPr="00037C61" w:rsidRDefault="00C92943" w:rsidP="00C92943">
      <w:pPr>
        <w:rPr>
          <w:lang w:val="en-GB"/>
        </w:rPr>
      </w:pPr>
      <w:r w:rsidRPr="00037C61">
        <w:rPr>
          <w:lang w:val="en-GB"/>
        </w:rPr>
        <w:t xml:space="preserve">EC. (2017). Boosting growth and cohesion in EU border regions. Communication from the Commission to the Council and the European parliament. Brussels: European Commission. </w:t>
      </w:r>
      <w:r w:rsidR="009678A8" w:rsidRPr="00037C61">
        <w:rPr>
          <w:lang w:val="en-GB"/>
        </w:rPr>
        <w:t xml:space="preserve">Available at: </w:t>
      </w:r>
      <w:hyperlink r:id="rId319" w:history="1">
        <w:r w:rsidR="009678A8" w:rsidRPr="00037C61">
          <w:rPr>
            <w:rStyle w:val="Hyperlink"/>
            <w:lang w:val="en-GB"/>
          </w:rPr>
          <w:t>http://eur-lex.europa.eu/legal-content/en/TXT/?uri=CELEX:52017DC0376</w:t>
        </w:r>
      </w:hyperlink>
      <w:r w:rsidR="009678A8" w:rsidRPr="00037C61">
        <w:rPr>
          <w:lang w:val="en-GB"/>
        </w:rPr>
        <w:t>.</w:t>
      </w:r>
    </w:p>
    <w:p w14:paraId="3CFBF9E3" w14:textId="2E80DB05" w:rsidR="00C92943" w:rsidRPr="00037C61" w:rsidRDefault="00C92943" w:rsidP="00C92943">
      <w:pPr>
        <w:rPr>
          <w:lang w:val="en-GB"/>
        </w:rPr>
      </w:pPr>
      <w:r w:rsidRPr="00037C61">
        <w:rPr>
          <w:lang w:val="en-GB"/>
        </w:rPr>
        <w:t xml:space="preserve">EC. (2018). Comprehensive analysis of the existing cross-border rail transport connections and missing links on the internal EU borders. Final Report. Brussels: European Commission. </w:t>
      </w:r>
    </w:p>
    <w:p w14:paraId="205F10E8" w14:textId="4ED6F8A4" w:rsidR="00EF01B4" w:rsidRPr="00037C61" w:rsidRDefault="00EF01B4" w:rsidP="00C92943">
      <w:pPr>
        <w:rPr>
          <w:lang w:val="en-GB"/>
        </w:rPr>
      </w:pPr>
      <w:r w:rsidRPr="00037C61">
        <w:rPr>
          <w:lang w:val="en-GB"/>
        </w:rPr>
        <w:t>EC. (2019). eGovernment Benchmark 2018. Securing eGovernment for all. Insight report. DOI: 10.2759/371003</w:t>
      </w:r>
      <w:r w:rsidRPr="00037C61">
        <w:rPr>
          <w:lang w:val="en-GB"/>
        </w:rPr>
        <w:cr/>
      </w:r>
    </w:p>
    <w:p w14:paraId="280D93CE" w14:textId="09BDFD3C" w:rsidR="00C528B2" w:rsidRPr="00037C61" w:rsidRDefault="00C528B2" w:rsidP="00C92943">
      <w:pPr>
        <w:rPr>
          <w:color w:val="012751" w:themeColor="text2"/>
          <w:lang w:val="en-GB"/>
        </w:rPr>
      </w:pPr>
      <w:r w:rsidRPr="00037C61">
        <w:rPr>
          <w:lang w:val="en-GB"/>
        </w:rPr>
        <w:t xml:space="preserve">EC, The EU Environmental Implementation Review 2019, Country Reports for Romania </w:t>
      </w:r>
      <w:hyperlink r:id="rId320" w:history="1">
        <w:r w:rsidRPr="00037C61">
          <w:rPr>
            <w:color w:val="012751" w:themeColor="text2"/>
            <w:lang w:val="en-GB"/>
          </w:rPr>
          <w:t>https://ec.europa.eu/environment/eir/pdf/report_ro_en.pdf</w:t>
        </w:r>
      </w:hyperlink>
      <w:r w:rsidRPr="00037C61">
        <w:rPr>
          <w:lang w:val="en-GB"/>
        </w:rPr>
        <w:t xml:space="preserve"> and  Hungary </w:t>
      </w:r>
      <w:hyperlink r:id="rId321" w:history="1">
        <w:r w:rsidRPr="00037C61">
          <w:rPr>
            <w:color w:val="012751" w:themeColor="text2"/>
            <w:lang w:val="en-GB"/>
          </w:rPr>
          <w:t>https://ec.europa.eu/environment/eir/pdf/report_hu_en.pdf</w:t>
        </w:r>
      </w:hyperlink>
    </w:p>
    <w:p w14:paraId="58A89A92" w14:textId="066C6C71" w:rsidR="009678A8" w:rsidRPr="00037C61" w:rsidRDefault="009678A8" w:rsidP="00C92943">
      <w:pPr>
        <w:rPr>
          <w:lang w:val="en-GB"/>
        </w:rPr>
      </w:pPr>
      <w:r w:rsidRPr="00037C61">
        <w:rPr>
          <w:lang w:val="en-GB"/>
        </w:rPr>
        <w:t>EC – DG CNECT, study by ISH Markit Ltd., OMIDIA and Point Topic (2020). Broadband Coverage in Europe 2019 Mapping progress towards the coverage objectives of the Digital Agenda. Luxembourg: Publications Office of the European Union, 2020, doi: 10.2759/375483</w:t>
      </w:r>
    </w:p>
    <w:p w14:paraId="3C2DDEC2" w14:textId="69281238" w:rsidR="00426094" w:rsidRPr="00037C61" w:rsidRDefault="00426094" w:rsidP="00C92943">
      <w:pPr>
        <w:rPr>
          <w:lang w:val="en-GB"/>
        </w:rPr>
      </w:pPr>
      <w:r w:rsidRPr="00037C61">
        <w:rPr>
          <w:lang w:val="en-GB"/>
        </w:rPr>
        <w:t>EURES (2019), Short overview of the labour market in Hungary https://ec.europa.eu/eures/printLMIText.jsp?lmiLang=en&amp;regionId=HU0&amp;catId=2768</w:t>
      </w:r>
    </w:p>
    <w:p w14:paraId="28C59DF0" w14:textId="6199A854" w:rsidR="00C36342" w:rsidRPr="00037C61" w:rsidRDefault="00C36342" w:rsidP="00EF01B4">
      <w:pPr>
        <w:rPr>
          <w:lang w:val="en-GB"/>
        </w:rPr>
      </w:pPr>
      <w:r w:rsidRPr="00037C61">
        <w:rPr>
          <w:lang w:val="en-GB"/>
        </w:rPr>
        <w:t xml:space="preserve">ESPON (2013). European Perspective on Specific Types of Territories (GEOSPECS). Available at: </w:t>
      </w:r>
      <w:hyperlink r:id="rId322" w:history="1">
        <w:r w:rsidRPr="00037C61">
          <w:rPr>
            <w:rStyle w:val="Hyperlink"/>
            <w:lang w:val="en-GB"/>
          </w:rPr>
          <w:t>https://www.espon.eu/programme/projects/espon-2013/applied-research/geospecs-geographic-specificities-and-development</w:t>
        </w:r>
      </w:hyperlink>
      <w:r w:rsidRPr="00037C61">
        <w:rPr>
          <w:lang w:val="en-GB"/>
        </w:rPr>
        <w:t xml:space="preserve"> </w:t>
      </w:r>
    </w:p>
    <w:p w14:paraId="55883D36" w14:textId="5C803186" w:rsidR="00EF01B4" w:rsidRPr="00037C61" w:rsidRDefault="00EF01B4" w:rsidP="00EF01B4">
      <w:pPr>
        <w:rPr>
          <w:lang w:val="en-GB"/>
        </w:rPr>
      </w:pPr>
      <w:r w:rsidRPr="00037C61">
        <w:rPr>
          <w:lang w:val="en-GB"/>
        </w:rPr>
        <w:t xml:space="preserve">ESPON (2014). ET2050 – Territorial Scenarios and Visions for Europe. Final Report, Volume 4: Transport. ESPON. (2016). Polycentric Territorial Structures and Territorial Cooperation. Policy Brief. </w:t>
      </w:r>
    </w:p>
    <w:p w14:paraId="5617AF5F" w14:textId="642DA422" w:rsidR="00C36342" w:rsidRPr="00037C61" w:rsidRDefault="00C36342" w:rsidP="00C36342">
      <w:pPr>
        <w:rPr>
          <w:lang w:val="en-GB"/>
        </w:rPr>
      </w:pPr>
      <w:r w:rsidRPr="00037C61">
        <w:rPr>
          <w:lang w:val="en-GB"/>
        </w:rPr>
        <w:t xml:space="preserve">ESPON (2015). Transpor Accessibility at Regional/Local Scale and Patterns in Europe (TRACC). Available at: </w:t>
      </w:r>
      <w:hyperlink r:id="rId323" w:history="1">
        <w:r w:rsidRPr="00037C61">
          <w:rPr>
            <w:rStyle w:val="Hyperlink"/>
            <w:lang w:val="en-GB"/>
          </w:rPr>
          <w:t>https://www.espon.eu/tracc</w:t>
        </w:r>
      </w:hyperlink>
      <w:r w:rsidRPr="00037C61">
        <w:rPr>
          <w:lang w:val="en-GB"/>
        </w:rPr>
        <w:t xml:space="preserve"> </w:t>
      </w:r>
    </w:p>
    <w:p w14:paraId="5E365A37" w14:textId="0D65DEED" w:rsidR="00C36342" w:rsidRPr="00037C61" w:rsidRDefault="00C36342" w:rsidP="00C36342">
      <w:pPr>
        <w:rPr>
          <w:lang w:val="en-GB"/>
        </w:rPr>
      </w:pPr>
      <w:r w:rsidRPr="00037C61">
        <w:rPr>
          <w:lang w:val="en-GB"/>
        </w:rPr>
        <w:t>ESPON (2018</w:t>
      </w:r>
      <w:r w:rsidR="00CB5080" w:rsidRPr="00037C61">
        <w:rPr>
          <w:lang w:val="en-GB"/>
        </w:rPr>
        <w:t>a</w:t>
      </w:r>
      <w:r w:rsidRPr="00037C61">
        <w:rPr>
          <w:lang w:val="en-GB"/>
        </w:rPr>
        <w:t xml:space="preserve">). Cross-border public services in Europe (CPS). Available at: </w:t>
      </w:r>
      <w:hyperlink r:id="rId324" w:history="1">
        <w:r w:rsidRPr="00037C61">
          <w:rPr>
            <w:rStyle w:val="Hyperlink"/>
            <w:lang w:val="en-GB"/>
          </w:rPr>
          <w:t>https://www.espon.eu/paper-cross-border-public-services</w:t>
        </w:r>
      </w:hyperlink>
      <w:r w:rsidRPr="00037C61">
        <w:rPr>
          <w:lang w:val="en-GB"/>
        </w:rPr>
        <w:t xml:space="preserve">. </w:t>
      </w:r>
    </w:p>
    <w:p w14:paraId="6C94C19A" w14:textId="5C684892" w:rsidR="00CB5080" w:rsidRPr="00037C61" w:rsidRDefault="00CB5080" w:rsidP="00C36342">
      <w:pPr>
        <w:rPr>
          <w:lang w:val="en-GB"/>
        </w:rPr>
      </w:pPr>
      <w:r w:rsidRPr="00037C61">
        <w:rPr>
          <w:lang w:val="en-GB"/>
        </w:rPr>
        <w:t xml:space="preserve">ESPON (2018b). Comparative Analysis of Territorial Governance and Spatial Planning Systems in Europe (COMPASS). Available </w:t>
      </w:r>
      <w:r w:rsidR="009678A8" w:rsidRPr="00037C61">
        <w:rPr>
          <w:lang w:val="en-GB"/>
        </w:rPr>
        <w:t xml:space="preserve">at: </w:t>
      </w:r>
      <w:hyperlink r:id="rId325" w:history="1">
        <w:r w:rsidR="009678A8" w:rsidRPr="00037C61">
          <w:rPr>
            <w:rStyle w:val="Hyperlink"/>
            <w:lang w:val="en-GB"/>
          </w:rPr>
          <w:t>https://www.espon.eu/planning-systems</w:t>
        </w:r>
      </w:hyperlink>
      <w:r w:rsidRPr="00037C61">
        <w:rPr>
          <w:lang w:val="en-GB"/>
        </w:rPr>
        <w:t xml:space="preserve"> </w:t>
      </w:r>
    </w:p>
    <w:p w14:paraId="0B5A793E" w14:textId="0C16EF6C" w:rsidR="00C36342" w:rsidRPr="00037C61" w:rsidRDefault="00C36342" w:rsidP="00C36342">
      <w:pPr>
        <w:rPr>
          <w:lang w:val="en-GB"/>
        </w:rPr>
      </w:pPr>
      <w:r w:rsidRPr="00037C61">
        <w:rPr>
          <w:lang w:val="en-GB"/>
        </w:rPr>
        <w:lastRenderedPageBreak/>
        <w:t>ESPON (2019</w:t>
      </w:r>
      <w:r w:rsidR="009678A8" w:rsidRPr="00037C61">
        <w:rPr>
          <w:lang w:val="en-GB"/>
        </w:rPr>
        <w:t>a</w:t>
      </w:r>
      <w:r w:rsidRPr="00037C61">
        <w:rPr>
          <w:lang w:val="en-GB"/>
        </w:rPr>
        <w:t xml:space="preserve">). European Territorial Reference Framework (ETRF). Available at: </w:t>
      </w:r>
      <w:hyperlink r:id="rId326" w:history="1">
        <w:r w:rsidRPr="00037C61">
          <w:rPr>
            <w:rStyle w:val="Hyperlink"/>
            <w:lang w:val="en-GB"/>
          </w:rPr>
          <w:t>https://www.espon.eu/etrf</w:t>
        </w:r>
      </w:hyperlink>
      <w:r w:rsidRPr="00037C61">
        <w:rPr>
          <w:lang w:val="en-GB"/>
        </w:rPr>
        <w:t xml:space="preserve"> </w:t>
      </w:r>
    </w:p>
    <w:p w14:paraId="66EBAD04" w14:textId="37C8A15B" w:rsidR="009678A8" w:rsidRPr="00037C61" w:rsidRDefault="009678A8" w:rsidP="00C36342">
      <w:pPr>
        <w:rPr>
          <w:lang w:val="en-GB"/>
        </w:rPr>
      </w:pPr>
      <w:r w:rsidRPr="00037C61">
        <w:rPr>
          <w:lang w:val="en-GB"/>
        </w:rPr>
        <w:t xml:space="preserve">ESPON (2019b). Territories with Geographical Specificities (BRIDGES). Available at:  </w:t>
      </w:r>
      <w:hyperlink r:id="rId327" w:history="1">
        <w:r w:rsidRPr="00037C61">
          <w:rPr>
            <w:rStyle w:val="Hyperlink"/>
            <w:lang w:val="en-GB"/>
          </w:rPr>
          <w:t>https://www.espon.eu/geographical-specifities</w:t>
        </w:r>
      </w:hyperlink>
      <w:r w:rsidRPr="00037C61">
        <w:rPr>
          <w:lang w:val="en-GB"/>
        </w:rPr>
        <w:t xml:space="preserve"> </w:t>
      </w:r>
    </w:p>
    <w:p w14:paraId="21BDAE5F" w14:textId="18D50781" w:rsidR="00C36342" w:rsidRPr="00037C61" w:rsidRDefault="00C36342" w:rsidP="00C92943">
      <w:pPr>
        <w:rPr>
          <w:lang w:val="en-GB"/>
        </w:rPr>
      </w:pPr>
      <w:r w:rsidRPr="00037C61">
        <w:rPr>
          <w:lang w:val="en-GB"/>
        </w:rPr>
        <w:t xml:space="preserve">ESPON (2020). European Shrinking Rural Areas Challenges, Actions and Perspectives for Territorial Governance (ESCAPE). Available at: </w:t>
      </w:r>
      <w:hyperlink r:id="rId328" w:history="1">
        <w:r w:rsidRPr="00037C61">
          <w:rPr>
            <w:rStyle w:val="Hyperlink"/>
            <w:lang w:val="en-GB"/>
          </w:rPr>
          <w:t>https://www.espon.eu/escape</w:t>
        </w:r>
      </w:hyperlink>
      <w:r w:rsidRPr="00037C61">
        <w:rPr>
          <w:lang w:val="en-GB"/>
        </w:rPr>
        <w:t xml:space="preserve"> </w:t>
      </w:r>
    </w:p>
    <w:p w14:paraId="3F8D92AA" w14:textId="35406371" w:rsidR="00546FAA" w:rsidRPr="00037C61" w:rsidRDefault="00546FAA" w:rsidP="00C92943">
      <w:pPr>
        <w:rPr>
          <w:b/>
          <w:bCs/>
          <w:lang w:val="en-GB"/>
        </w:rPr>
      </w:pPr>
      <w:r w:rsidRPr="00037C61">
        <w:rPr>
          <w:lang w:val="en-GB"/>
        </w:rPr>
        <w:t>ETC Energy Projects – Assessing the Contribution of European Territorial Cooperation to EU Energy Policy</w:t>
      </w:r>
    </w:p>
    <w:p w14:paraId="217BFB17" w14:textId="31EFAE5F" w:rsidR="00EF01B4" w:rsidRPr="00037C61" w:rsidRDefault="00EF01B4" w:rsidP="00C92943">
      <w:pPr>
        <w:rPr>
          <w:rStyle w:val="Hyperlink"/>
          <w:lang w:val="en-GB"/>
        </w:rPr>
      </w:pPr>
      <w:r w:rsidRPr="00037C61">
        <w:rPr>
          <w:lang w:val="en-GB"/>
        </w:rPr>
        <w:t xml:space="preserve">European Environmental Agency (2019) Air quality in Europe—2019 report—EEA Report No 10/2019 (Issue 10). </w:t>
      </w:r>
      <w:hyperlink r:id="rId329" w:history="1">
        <w:r w:rsidRPr="00037C61">
          <w:rPr>
            <w:rStyle w:val="Hyperlink"/>
            <w:lang w:val="en-GB"/>
          </w:rPr>
          <w:t>https://doi.org/10.2800/822355</w:t>
        </w:r>
      </w:hyperlink>
    </w:p>
    <w:p w14:paraId="5301405D" w14:textId="71635FBF" w:rsidR="00CC74C4" w:rsidRPr="00037C61" w:rsidRDefault="00CC74C4" w:rsidP="00C92943">
      <w:pPr>
        <w:rPr>
          <w:lang w:val="en-GB"/>
        </w:rPr>
      </w:pPr>
      <w:r w:rsidRPr="00037C61">
        <w:rPr>
          <w:lang w:val="en-GB"/>
        </w:rPr>
        <w:t>Hungary - Slovakia - Romania - Ukraine ENI Cross-border Cooperation Program, 2014-2020</w:t>
      </w:r>
      <w:r w:rsidR="00AD4439" w:rsidRPr="00037C61">
        <w:rPr>
          <w:lang w:val="en-GB"/>
        </w:rPr>
        <w:t>. Available at: https://huskroua-cbc.eu/</w:t>
      </w:r>
    </w:p>
    <w:p w14:paraId="7E744F3B" w14:textId="7DDBEAB0" w:rsidR="00D26B7C" w:rsidRPr="00037C61" w:rsidRDefault="00D26B7C" w:rsidP="00C92943">
      <w:pPr>
        <w:rPr>
          <w:lang w:val="en-GB"/>
        </w:rPr>
      </w:pPr>
      <w:r w:rsidRPr="00037C61">
        <w:rPr>
          <w:lang w:val="en-GB"/>
        </w:rPr>
        <w:t xml:space="preserve">FRONTEX (2020). Annual Risk Analysis for 2020. Available at:  </w:t>
      </w:r>
      <w:hyperlink r:id="rId330" w:history="1">
        <w:r w:rsidRPr="00037C61">
          <w:rPr>
            <w:rStyle w:val="Hyperlink"/>
            <w:lang w:val="en-GB"/>
          </w:rPr>
          <w:t>https://frontex.europa.eu/publications/frontex-releases-risk-analysis-for-2020-vp0TZ7</w:t>
        </w:r>
      </w:hyperlink>
      <w:r w:rsidRPr="00037C61">
        <w:rPr>
          <w:lang w:val="en-GB"/>
        </w:rPr>
        <w:t xml:space="preserve"> </w:t>
      </w:r>
    </w:p>
    <w:p w14:paraId="698C690D" w14:textId="4B8228F8" w:rsidR="00AD4439" w:rsidRPr="00037C61" w:rsidRDefault="00EF01B4" w:rsidP="00C92943">
      <w:pPr>
        <w:rPr>
          <w:lang w:val="en-GB"/>
        </w:rPr>
      </w:pPr>
      <w:r w:rsidRPr="00037C61">
        <w:rPr>
          <w:lang w:val="en-GB"/>
        </w:rPr>
        <w:t>OECD (2009), “E-Government readiness”, in Government at a Glance 2009, OECD Publishing, Paris. DOI: https://doi.org/10.1787/9789264061651-33-en</w:t>
      </w:r>
    </w:p>
    <w:p w14:paraId="4510A9D2" w14:textId="77777777" w:rsidR="009678A8" w:rsidRPr="00037C61" w:rsidRDefault="009678A8" w:rsidP="009678A8">
      <w:pPr>
        <w:spacing w:line="256" w:lineRule="auto"/>
        <w:rPr>
          <w:lang w:val="en-GB"/>
        </w:rPr>
      </w:pPr>
      <w:r w:rsidRPr="00037C61">
        <w:rPr>
          <w:lang w:val="en-GB"/>
        </w:rPr>
        <w:t xml:space="preserve">Romanian Government (2020). The 2021-2030 Integrated National Energy and Climate Plan. April 2020, available at: </w:t>
      </w:r>
      <w:hyperlink r:id="rId331" w:history="1">
        <w:r w:rsidRPr="00037C61">
          <w:rPr>
            <w:rStyle w:val="Hyperlink"/>
            <w:lang w:val="en-GB"/>
          </w:rPr>
          <w:t>https://ec.europa.eu/energy/sites/ener/files/documents/ro_final_necp_main_en.pdf</w:t>
        </w:r>
      </w:hyperlink>
      <w:r w:rsidRPr="00037C61">
        <w:rPr>
          <w:lang w:val="en-GB"/>
        </w:rPr>
        <w:t xml:space="preserve"> </w:t>
      </w:r>
    </w:p>
    <w:p w14:paraId="2B4FB628" w14:textId="5B6A9FDD" w:rsidR="009678A8" w:rsidRPr="00037C61" w:rsidRDefault="009678A8" w:rsidP="009678A8">
      <w:pPr>
        <w:spacing w:line="256" w:lineRule="auto"/>
        <w:rPr>
          <w:lang w:val="en-GB"/>
        </w:rPr>
      </w:pPr>
      <w:r w:rsidRPr="00037C61">
        <w:rPr>
          <w:lang w:val="en-GB"/>
        </w:rPr>
        <w:t xml:space="preserve">Hungarian Ministry of Innovation and Technology (2020). National Energy and Climate Plan. Available at: </w:t>
      </w:r>
      <w:hyperlink r:id="rId332" w:history="1">
        <w:r w:rsidRPr="00037C61">
          <w:rPr>
            <w:rStyle w:val="Hyperlink"/>
            <w:lang w:val="en-GB"/>
          </w:rPr>
          <w:t>https://ec.europa.eu/energy/sites/ener/files/documents/hu_final_necp_main_en.pdf</w:t>
        </w:r>
      </w:hyperlink>
      <w:r w:rsidRPr="00037C61">
        <w:rPr>
          <w:lang w:val="en-GB"/>
        </w:rPr>
        <w:t xml:space="preserve"> </w:t>
      </w:r>
    </w:p>
    <w:p w14:paraId="23C5DDC0" w14:textId="028023AB" w:rsidR="005D0818" w:rsidRPr="00037C61" w:rsidRDefault="00AD4439" w:rsidP="00E462C5">
      <w:pPr>
        <w:spacing w:line="256" w:lineRule="auto"/>
        <w:rPr>
          <w:lang w:val="en-GB"/>
        </w:rPr>
      </w:pPr>
      <w:r w:rsidRPr="00037C61">
        <w:rPr>
          <w:lang w:val="en-GB"/>
        </w:rPr>
        <w:t>UNECE, 2018, Progress on Transboundary Water Cooperation Under the Water Convention, Report on implementation of the Convention on the Protection and Use of Transboundary Watercourses and International Lakes , New York and Geneva</w:t>
      </w:r>
      <w:r w:rsidR="005D0818" w:rsidRPr="00037C61">
        <w:rPr>
          <w:lang w:val="en-GB"/>
        </w:rPr>
        <w:t xml:space="preserve">. Available at: </w:t>
      </w:r>
      <w:hyperlink r:id="rId333" w:history="1">
        <w:r w:rsidR="005D0818" w:rsidRPr="00037C61">
          <w:rPr>
            <w:rStyle w:val="Hyperlink"/>
            <w:lang w:val="en-GB"/>
          </w:rPr>
          <w:t>https://www.unece.org/fileadmin/DAM/env/water/publications/WAT_51_report_on_the_Implementation/ece_mp.wat_51_web.pdf</w:t>
        </w:r>
      </w:hyperlink>
    </w:p>
    <w:p w14:paraId="7F4C3077" w14:textId="09195DA1" w:rsidR="00D26B7C" w:rsidRPr="00037C61" w:rsidRDefault="00D26B7C" w:rsidP="00C92943">
      <w:pPr>
        <w:rPr>
          <w:lang w:val="en-GB"/>
        </w:rPr>
      </w:pPr>
      <w:r w:rsidRPr="00DB74BF">
        <w:t xml:space="preserve">Agenția de Dezvoltare Regională (2020). Planul pentru Dezvoltare Regională al Regiunii Vest 2021-2027. </w:t>
      </w:r>
      <w:r w:rsidRPr="00037C61">
        <w:rPr>
          <w:lang w:val="en-GB"/>
        </w:rPr>
        <w:t xml:space="preserve">Available at: </w:t>
      </w:r>
      <w:hyperlink r:id="rId334" w:history="1">
        <w:r w:rsidRPr="00037C61">
          <w:rPr>
            <w:rStyle w:val="Hyperlink"/>
            <w:lang w:val="en-GB"/>
          </w:rPr>
          <w:t>https://adrvest.ro/wp-content/uploads/2020/07/Analiza-socio-economica-si-SWOT-Planul-de-Dezvoltare-Regionala-PDR-Vest-2021-2027.pdf</w:t>
        </w:r>
      </w:hyperlink>
      <w:r w:rsidRPr="00037C61">
        <w:rPr>
          <w:lang w:val="en-GB"/>
        </w:rPr>
        <w:t xml:space="preserve"> </w:t>
      </w:r>
    </w:p>
    <w:p w14:paraId="758F50D0" w14:textId="4ED93F1C" w:rsidR="00D26B7C" w:rsidRPr="00037C61" w:rsidRDefault="00D26B7C" w:rsidP="00C92943">
      <w:pPr>
        <w:rPr>
          <w:lang w:val="en-GB"/>
        </w:rPr>
      </w:pPr>
      <w:r w:rsidRPr="00DB74BF">
        <w:t xml:space="preserve">Agenția de Dezvoltare Regională Nord-Vest (2020). ). Planul pentru Dezvoltare Regională al Regiunii Nord-Vest 2021-2027. </w:t>
      </w:r>
      <w:r w:rsidRPr="00037C61">
        <w:rPr>
          <w:lang w:val="en-GB"/>
        </w:rPr>
        <w:t xml:space="preserve">Available at: </w:t>
      </w:r>
      <w:hyperlink r:id="rId335" w:history="1">
        <w:r w:rsidRPr="00037C61">
          <w:rPr>
            <w:rStyle w:val="Hyperlink"/>
            <w:lang w:val="en-GB"/>
          </w:rPr>
          <w:t>https://www.nord-vest.ro/wp-content/uploads/2020/10/PDR-Nord-Vest-2021-2027-1.pdf</w:t>
        </w:r>
      </w:hyperlink>
      <w:r w:rsidRPr="00037C61">
        <w:rPr>
          <w:lang w:val="en-GB"/>
        </w:rPr>
        <w:t xml:space="preserve"> </w:t>
      </w:r>
    </w:p>
    <w:p w14:paraId="27F60E5C" w14:textId="1140B1B0" w:rsidR="00D26B7C" w:rsidRPr="00037C61" w:rsidRDefault="00D26B7C" w:rsidP="00C92943">
      <w:pPr>
        <w:rPr>
          <w:lang w:val="en-GB"/>
        </w:rPr>
      </w:pPr>
      <w:r w:rsidRPr="00DB74BF">
        <w:t xml:space="preserve">Consiliul Județean Arad (2016). Strategia de Dezvoltare a Județului Arad pentru perioada 2014-2020. </w:t>
      </w:r>
      <w:r w:rsidRPr="00037C61">
        <w:rPr>
          <w:lang w:val="en-GB"/>
        </w:rPr>
        <w:t xml:space="preserve">Developed by RomActiv Business Consulting, August 2016. Available at: </w:t>
      </w:r>
      <w:hyperlink r:id="rId336" w:history="1">
        <w:r w:rsidRPr="00037C61">
          <w:rPr>
            <w:rStyle w:val="Hyperlink"/>
            <w:lang w:val="en-GB"/>
          </w:rPr>
          <w:t>https://www.ardld.ro/plugins/biblioteca/files/ARAD%20-%20STRATEGIA%20vers%20finala%20%20sedinta%20250816.pdf</w:t>
        </w:r>
      </w:hyperlink>
      <w:r w:rsidRPr="00037C61">
        <w:rPr>
          <w:lang w:val="en-GB"/>
        </w:rPr>
        <w:t xml:space="preserve"> </w:t>
      </w:r>
    </w:p>
    <w:p w14:paraId="79ED6189" w14:textId="5C04CF19" w:rsidR="00D26B7C" w:rsidRPr="00037C61" w:rsidRDefault="00D26B7C" w:rsidP="00C92943">
      <w:pPr>
        <w:rPr>
          <w:lang w:val="en-GB"/>
        </w:rPr>
      </w:pPr>
      <w:r w:rsidRPr="00DB74BF">
        <w:t xml:space="preserve">Consiliul Județean Bihor (2017). Strategia de Dezvoltare a Județului Bihor pentru perioada 2014-2020. </w:t>
      </w:r>
      <w:r w:rsidRPr="00037C61">
        <w:rPr>
          <w:lang w:val="en-GB"/>
        </w:rPr>
        <w:t xml:space="preserve">Developed by RomActiv Business Consulting and GEA Strategy &amp; Consulting, December 2013. Available at: </w:t>
      </w:r>
      <w:hyperlink r:id="rId337" w:history="1">
        <w:r w:rsidRPr="00037C61">
          <w:rPr>
            <w:rStyle w:val="Hyperlink"/>
            <w:lang w:val="en-GB"/>
          </w:rPr>
          <w:t>https://www.ardld.ro/plugins/biblioteca/files/BIHOR%20-%20h203.pdf</w:t>
        </w:r>
      </w:hyperlink>
      <w:r w:rsidRPr="00037C61">
        <w:rPr>
          <w:lang w:val="en-GB"/>
        </w:rPr>
        <w:t xml:space="preserve"> </w:t>
      </w:r>
    </w:p>
    <w:p w14:paraId="274F2CA7" w14:textId="1F2EC368" w:rsidR="00D26B7C" w:rsidRPr="00037C61" w:rsidRDefault="00D26B7C" w:rsidP="00D26B7C">
      <w:pPr>
        <w:rPr>
          <w:lang w:val="en-GB"/>
        </w:rPr>
      </w:pPr>
      <w:r w:rsidRPr="00DB74BF">
        <w:lastRenderedPageBreak/>
        <w:t xml:space="preserve">Consiliul Județean Timiș (2015). Strategia de Dezvoltare Economico-Socială a Județului Timiș 2015 – 2020/2023. </w:t>
      </w:r>
      <w:r w:rsidRPr="00037C61">
        <w:rPr>
          <w:lang w:val="en-GB"/>
        </w:rPr>
        <w:t xml:space="preserve">Available at: </w:t>
      </w:r>
      <w:hyperlink r:id="rId338" w:history="1">
        <w:r w:rsidRPr="00037C61">
          <w:rPr>
            <w:rStyle w:val="Hyperlink"/>
            <w:lang w:val="en-GB"/>
          </w:rPr>
          <w:t>https://www.ardld.ro/plugins/biblioteca/files/TIMIS%20Anunt%20si%20%20Strategie%20Jud%20Timis_1.pdf</w:t>
        </w:r>
      </w:hyperlink>
      <w:r w:rsidRPr="00037C61">
        <w:rPr>
          <w:lang w:val="en-GB"/>
        </w:rPr>
        <w:t xml:space="preserve"> </w:t>
      </w:r>
    </w:p>
    <w:p w14:paraId="600B36A9" w14:textId="21693A31" w:rsidR="00D26B7C" w:rsidRPr="00037C61" w:rsidRDefault="00D26B7C" w:rsidP="00D26B7C">
      <w:pPr>
        <w:rPr>
          <w:lang w:val="en-GB"/>
        </w:rPr>
      </w:pPr>
      <w:r w:rsidRPr="00DB74BF">
        <w:t xml:space="preserve">Consiliul Județean Satu Mare (2012). Strategia de dezvoltare a judeţului Satu Mare până în 2020. </w:t>
      </w:r>
      <w:r w:rsidRPr="00037C61">
        <w:rPr>
          <w:lang w:val="en-GB"/>
        </w:rPr>
        <w:t xml:space="preserve">Developed through COMPAS 20 – Conceptii şi Orientare Modernă, Planficare Armonioasă şi Strategică până în 2020, Available at: </w:t>
      </w:r>
      <w:hyperlink r:id="rId339" w:history="1">
        <w:r w:rsidRPr="00037C61">
          <w:rPr>
            <w:rStyle w:val="Hyperlink"/>
            <w:lang w:val="en-GB"/>
          </w:rPr>
          <w:t>https://www.google.com/url?sa=t&amp;rct=j&amp;q=&amp;esrc=s&amp;source=web&amp;cd=&amp;ved=2ahUKEwjEuqimgfXsAhWKXsAKHQatBkoQFjADegQIBhAC&amp;url=https%3A%2F%2Fwww.cjsm.ro%2Fdownload%2FStrategia-judetului-SM-pana-in-2020-.pdf&amp;usg=AOvVaw0eKRFo-VNuNeMyiHoKw4ZY</w:t>
        </w:r>
      </w:hyperlink>
      <w:r w:rsidRPr="00037C61">
        <w:rPr>
          <w:lang w:val="en-GB"/>
        </w:rPr>
        <w:t xml:space="preserve"> </w:t>
      </w:r>
    </w:p>
    <w:p w14:paraId="3F89DF7A" w14:textId="77777777" w:rsidR="00D26B7C" w:rsidRPr="00037C61" w:rsidRDefault="00D26B7C" w:rsidP="00C92943">
      <w:pPr>
        <w:rPr>
          <w:b/>
          <w:bCs/>
          <w:lang w:val="en-GB"/>
        </w:rPr>
      </w:pPr>
    </w:p>
    <w:p w14:paraId="20A00872" w14:textId="64B7860C" w:rsidR="009678A8" w:rsidRPr="00037C61" w:rsidRDefault="009678A8" w:rsidP="00E26DBC">
      <w:pPr>
        <w:rPr>
          <w:b/>
          <w:bCs/>
          <w:lang w:val="en-GB"/>
        </w:rPr>
      </w:pPr>
      <w:r w:rsidRPr="00037C61">
        <w:rPr>
          <w:b/>
          <w:bCs/>
          <w:lang w:val="en-GB"/>
        </w:rPr>
        <w:t>Webography</w:t>
      </w:r>
      <w:r w:rsidR="00286861" w:rsidRPr="00037C61">
        <w:rPr>
          <w:b/>
          <w:bCs/>
          <w:lang w:val="en-GB"/>
        </w:rPr>
        <w:t xml:space="preserve">, GIS platforms and atlases </w:t>
      </w:r>
    </w:p>
    <w:p w14:paraId="2506D054" w14:textId="6EA51702" w:rsidR="00D26B7C" w:rsidRPr="00037C61" w:rsidRDefault="00D26B7C" w:rsidP="00286861">
      <w:pPr>
        <w:pStyle w:val="InterregROHUBullet1"/>
        <w:ind w:left="709"/>
      </w:pPr>
      <w:r w:rsidRPr="00037C61">
        <w:t xml:space="preserve">EC Urban Data Platform + - </w:t>
      </w:r>
      <w:hyperlink r:id="rId340" w:anchor="/where" w:history="1">
        <w:r w:rsidRPr="00037C61">
          <w:rPr>
            <w:rStyle w:val="Hyperlink"/>
          </w:rPr>
          <w:t>https://urban.jrc.ec.europa.eu/strat-board/#/where</w:t>
        </w:r>
      </w:hyperlink>
      <w:r w:rsidRPr="00037C61">
        <w:t xml:space="preserve"> </w:t>
      </w:r>
    </w:p>
    <w:p w14:paraId="4E708E9B" w14:textId="1727D1A4" w:rsidR="00D26B7C" w:rsidRPr="00037C61" w:rsidRDefault="00D26B7C" w:rsidP="00286861">
      <w:pPr>
        <w:pStyle w:val="InterregROHUBullet1"/>
        <w:ind w:left="709"/>
      </w:pPr>
      <w:r w:rsidRPr="00037C61">
        <w:t xml:space="preserve">EC Regional Ecosystem Scoreboard 2019 – </w:t>
      </w:r>
      <w:hyperlink r:id="rId341" w:history="1">
        <w:r w:rsidRPr="00037C61">
          <w:rPr>
            <w:rStyle w:val="Hyperlink"/>
          </w:rPr>
          <w:t>https://interactivetool.eu/</w:t>
        </w:r>
      </w:hyperlink>
      <w:r w:rsidRPr="00037C61">
        <w:t xml:space="preserve"> </w:t>
      </w:r>
    </w:p>
    <w:p w14:paraId="6DA25039" w14:textId="15ED57F1" w:rsidR="000B1A7B" w:rsidRPr="00037C61" w:rsidRDefault="000B1A7B" w:rsidP="00286861">
      <w:pPr>
        <w:pStyle w:val="InterregROHUBullet1"/>
        <w:ind w:left="709"/>
      </w:pPr>
      <w:r w:rsidRPr="00037C61">
        <w:t xml:space="preserve">EC Quality of Governance Index 2019 – </w:t>
      </w:r>
      <w:hyperlink r:id="rId342" w:history="1">
        <w:r w:rsidRPr="00037C61">
          <w:rPr>
            <w:rStyle w:val="Hyperlink"/>
          </w:rPr>
          <w:t>https://ec.europa.eu/regional_policy/en/information/maps/quality_of_governance</w:t>
        </w:r>
      </w:hyperlink>
      <w:r w:rsidRPr="00037C61">
        <w:t xml:space="preserve"> </w:t>
      </w:r>
    </w:p>
    <w:p w14:paraId="51761B21" w14:textId="771CC036" w:rsidR="00D26B7C" w:rsidRPr="00037C61" w:rsidRDefault="00D26B7C" w:rsidP="00286861">
      <w:pPr>
        <w:pStyle w:val="InterregROHUBullet1"/>
        <w:ind w:left="709"/>
      </w:pPr>
      <w:r w:rsidRPr="00037C61">
        <w:t xml:space="preserve">Copernicus Land – </w:t>
      </w:r>
      <w:hyperlink r:id="rId343" w:history="1">
        <w:r w:rsidRPr="00037C61">
          <w:rPr>
            <w:rStyle w:val="Hyperlink"/>
          </w:rPr>
          <w:t>https://land.copernicus.eu/pan-european</w:t>
        </w:r>
      </w:hyperlink>
      <w:r w:rsidRPr="00037C61">
        <w:t xml:space="preserve"> </w:t>
      </w:r>
    </w:p>
    <w:p w14:paraId="65D24C27" w14:textId="55ABFFFD" w:rsidR="00D26B7C" w:rsidRPr="00037C61" w:rsidRDefault="00D26B7C" w:rsidP="00286861">
      <w:pPr>
        <w:pStyle w:val="InterregROHUBullet1"/>
        <w:ind w:left="709"/>
      </w:pPr>
      <w:r w:rsidRPr="00037C61">
        <w:t xml:space="preserve">EEA WFD – </w:t>
      </w:r>
      <w:hyperlink r:id="rId344" w:history="1">
        <w:r w:rsidRPr="00037C61">
          <w:rPr>
            <w:rStyle w:val="Hyperlink"/>
          </w:rPr>
          <w:t>https://www.eea.europa.eu/data-and-maps/explore-interactive-maps/water-framework-directive-quality-elements</w:t>
        </w:r>
      </w:hyperlink>
      <w:r w:rsidRPr="00037C61">
        <w:t xml:space="preserve"> </w:t>
      </w:r>
    </w:p>
    <w:p w14:paraId="3BE9A207" w14:textId="40493272" w:rsidR="00D26B7C" w:rsidRPr="00037C61" w:rsidRDefault="00D26B7C" w:rsidP="00286861">
      <w:pPr>
        <w:pStyle w:val="InterregROHUBullet1"/>
        <w:ind w:left="709"/>
      </w:pPr>
      <w:r w:rsidRPr="00037C61">
        <w:t xml:space="preserve">Eurostat Regional Yearbook 2018 – </w:t>
      </w:r>
      <w:hyperlink r:id="rId345" w:history="1">
        <w:r w:rsidRPr="00037C61">
          <w:rPr>
            <w:rStyle w:val="Hyperlink"/>
          </w:rPr>
          <w:t>https://ec.europa.eu/eurostat/statistical-atlas/gis/viewer/?ch=BKG,INT,C06,C02,CTF&amp;mids=BKGCNT,CNTOVL&amp;o=1,0.7&amp;center=46.88466,22.36974,6&amp;</w:t>
        </w:r>
      </w:hyperlink>
      <w:r w:rsidRPr="00037C61">
        <w:t xml:space="preserve"> </w:t>
      </w:r>
    </w:p>
    <w:p w14:paraId="69D693F8" w14:textId="1A1D28C1" w:rsidR="00341598" w:rsidRPr="00037C61" w:rsidRDefault="00341598" w:rsidP="00286861">
      <w:pPr>
        <w:pStyle w:val="InterregROHUBullet1"/>
        <w:ind w:left="709"/>
      </w:pPr>
      <w:r w:rsidRPr="00037C61">
        <w:t>European map estimating the level of invasion by alien plant species</w:t>
      </w:r>
    </w:p>
    <w:p w14:paraId="532106E5" w14:textId="19B903E1" w:rsidR="00341598" w:rsidRPr="00037C61" w:rsidRDefault="00341598" w:rsidP="00341598">
      <w:pPr>
        <w:pStyle w:val="InterregROHUBullet1"/>
        <w:numPr>
          <w:ilvl w:val="0"/>
          <w:numId w:val="0"/>
        </w:numPr>
        <w:ind w:left="709"/>
      </w:pPr>
      <w:r w:rsidRPr="00037C61">
        <w:t>https://www.eea.europa.eu/data-and-maps/figures/european-map-estimating-the-level/european-map-estimating-the-level</w:t>
      </w:r>
    </w:p>
    <w:p w14:paraId="3F15E69C" w14:textId="7D494F47" w:rsidR="00D26B7C" w:rsidRPr="00DB74BF" w:rsidRDefault="00D26B7C" w:rsidP="00286861">
      <w:pPr>
        <w:pStyle w:val="InterregROHUBullet1"/>
        <w:ind w:left="709"/>
        <w:rPr>
          <w:lang w:val="fr-FR"/>
        </w:rPr>
      </w:pPr>
      <w:r w:rsidRPr="00DB74BF">
        <w:rPr>
          <w:lang w:val="fr-FR"/>
        </w:rPr>
        <w:t xml:space="preserve">Natura 2000 sites – </w:t>
      </w:r>
      <w:hyperlink r:id="rId346" w:history="1">
        <w:r w:rsidRPr="00DB74BF">
          <w:rPr>
            <w:rStyle w:val="Hyperlink"/>
            <w:lang w:val="fr-FR"/>
          </w:rPr>
          <w:t>https://natura2000.eea.europa.eu/</w:t>
        </w:r>
      </w:hyperlink>
      <w:r w:rsidRPr="00DB74BF">
        <w:rPr>
          <w:lang w:val="fr-FR"/>
        </w:rPr>
        <w:t xml:space="preserve"> </w:t>
      </w:r>
    </w:p>
    <w:p w14:paraId="00735B1F" w14:textId="26CE807B" w:rsidR="00D26B7C" w:rsidRPr="00037C61" w:rsidRDefault="00D26B7C" w:rsidP="00286861">
      <w:pPr>
        <w:pStyle w:val="InterregROHUBullet1"/>
        <w:ind w:left="709"/>
      </w:pPr>
      <w:r w:rsidRPr="00037C61">
        <w:t xml:space="preserve">EEA Urban Waste Water Treatment Viewer – </w:t>
      </w:r>
      <w:hyperlink r:id="rId347" w:history="1">
        <w:r w:rsidRPr="00037C61">
          <w:rPr>
            <w:rStyle w:val="Hyperlink"/>
          </w:rPr>
          <w:t>https://eea.maps.arcgis.com/apps/MapJournal/index.html?appid=e7e93bfd95ab44e28cae733b5a4ff54b%20&amp;embed=true#</w:t>
        </w:r>
      </w:hyperlink>
      <w:r w:rsidRPr="00037C61">
        <w:t xml:space="preserve"> </w:t>
      </w:r>
    </w:p>
    <w:p w14:paraId="4D3ECD88" w14:textId="7804A150" w:rsidR="00D26B7C" w:rsidRPr="00037C61" w:rsidRDefault="00D26B7C" w:rsidP="00286861">
      <w:pPr>
        <w:pStyle w:val="InterregROHUBullet1"/>
        <w:ind w:left="709"/>
      </w:pPr>
      <w:r w:rsidRPr="00037C61">
        <w:t xml:space="preserve">European Air Quality Index – </w:t>
      </w:r>
      <w:hyperlink r:id="rId348" w:history="1">
        <w:r w:rsidRPr="00037C61">
          <w:rPr>
            <w:rStyle w:val="Hyperlink"/>
          </w:rPr>
          <w:t>https://www.eea.europa.eu/themes/air/air-quality-index/index</w:t>
        </w:r>
      </w:hyperlink>
      <w:r w:rsidRPr="00037C61">
        <w:t xml:space="preserve"> </w:t>
      </w:r>
    </w:p>
    <w:p w14:paraId="64AD7F6F" w14:textId="595E4E07" w:rsidR="00D26B7C" w:rsidRPr="00037C61" w:rsidRDefault="00D26B7C" w:rsidP="00286861">
      <w:pPr>
        <w:pStyle w:val="InterregROHUBullet1"/>
        <w:ind w:left="709"/>
      </w:pPr>
      <w:r w:rsidRPr="00037C61">
        <w:t xml:space="preserve">TENTEC Interactive Map Viewer – </w:t>
      </w:r>
      <w:hyperlink r:id="rId349" w:history="1">
        <w:r w:rsidRPr="00037C61">
          <w:rPr>
            <w:rStyle w:val="Hyperlink"/>
          </w:rPr>
          <w:t>https://ec.europa.eu/transport/infrastructure/tentec/tentec-portal/map/maps.html</w:t>
        </w:r>
      </w:hyperlink>
      <w:r w:rsidRPr="00037C61">
        <w:t xml:space="preserve"> </w:t>
      </w:r>
    </w:p>
    <w:p w14:paraId="11E43FAF" w14:textId="06F44ECC" w:rsidR="00D26B7C" w:rsidRPr="00037C61" w:rsidRDefault="00D26B7C" w:rsidP="00286861">
      <w:pPr>
        <w:pStyle w:val="InterregROHUBullet1"/>
        <w:ind w:left="709"/>
      </w:pPr>
      <w:r w:rsidRPr="00037C61">
        <w:t xml:space="preserve">European Severe Weather Database – </w:t>
      </w:r>
      <w:hyperlink r:id="rId350" w:history="1">
        <w:r w:rsidRPr="00037C61">
          <w:t>https://www.eswd.eu/</w:t>
        </w:r>
      </w:hyperlink>
      <w:r w:rsidRPr="00037C61">
        <w:t xml:space="preserve"> </w:t>
      </w:r>
    </w:p>
    <w:p w14:paraId="657FA972" w14:textId="4E4EB373" w:rsidR="007A31CB" w:rsidRPr="00037C61" w:rsidRDefault="007A31CB" w:rsidP="00286861">
      <w:pPr>
        <w:pStyle w:val="InterregROHUBullet1"/>
        <w:ind w:left="709"/>
      </w:pPr>
      <w:r w:rsidRPr="00037C61">
        <w:t xml:space="preserve">Environmental Report for the Interreg V-A Romania-Hungary Programme </w:t>
      </w:r>
      <w:hyperlink r:id="rId351" w:history="1">
        <w:r w:rsidRPr="00037C61">
          <w:rPr>
            <w:rStyle w:val="Hyperlink"/>
          </w:rPr>
          <w:t>https://www.mlpda.ro/uploads/articole/attachments/5db936a209d4f762288270.pdf</w:t>
        </w:r>
      </w:hyperlink>
    </w:p>
    <w:p w14:paraId="20E8C556" w14:textId="77777777" w:rsidR="00286861" w:rsidRPr="00037C61" w:rsidRDefault="0049362F" w:rsidP="00286861">
      <w:pPr>
        <w:pStyle w:val="InterregROHUBullet1"/>
        <w:ind w:left="709"/>
      </w:pPr>
      <w:hyperlink r:id="rId352" w:history="1">
        <w:r w:rsidR="00286861" w:rsidRPr="00037C61">
          <w:t>https://www.airportaar.ro/en/</w:t>
        </w:r>
      </w:hyperlink>
      <w:r w:rsidR="00286861" w:rsidRPr="00037C61">
        <w:t xml:space="preserve"> </w:t>
      </w:r>
    </w:p>
    <w:p w14:paraId="1CE7288B" w14:textId="77777777" w:rsidR="00286861" w:rsidRPr="00037C61" w:rsidRDefault="0049362F" w:rsidP="00286861">
      <w:pPr>
        <w:pStyle w:val="InterregROHUBullet1"/>
        <w:ind w:left="709"/>
      </w:pPr>
      <w:hyperlink r:id="rId353" w:history="1">
        <w:r w:rsidR="00286861" w:rsidRPr="00037C61">
          <w:t>http://www.airportszeged.hu/</w:t>
        </w:r>
      </w:hyperlink>
      <w:r w:rsidR="00286861" w:rsidRPr="00037C61">
        <w:t xml:space="preserve"> </w:t>
      </w:r>
    </w:p>
    <w:p w14:paraId="6B0B2E17" w14:textId="77777777" w:rsidR="00286861" w:rsidRPr="00037C61" w:rsidRDefault="0049362F" w:rsidP="00286861">
      <w:pPr>
        <w:pStyle w:val="InterregROHUBullet1"/>
        <w:ind w:left="709"/>
      </w:pPr>
      <w:hyperlink r:id="rId354" w:history="1">
        <w:r w:rsidR="00286861" w:rsidRPr="00037C61">
          <w:t>https://bileteinternationale.cfrcalatori.ro/ro/booking/search</w:t>
        </w:r>
      </w:hyperlink>
      <w:r w:rsidR="00286861" w:rsidRPr="00037C61">
        <w:t xml:space="preserve"> </w:t>
      </w:r>
    </w:p>
    <w:p w14:paraId="26F42124" w14:textId="77777777" w:rsidR="00286861" w:rsidRPr="00037C61" w:rsidRDefault="0049362F" w:rsidP="00286861">
      <w:pPr>
        <w:pStyle w:val="InterregROHUBullet1"/>
        <w:ind w:left="709"/>
      </w:pPr>
      <w:hyperlink r:id="rId355" w:history="1">
        <w:r w:rsidR="00286861" w:rsidRPr="00037C61">
          <w:t>https://anker-report.com/</w:t>
        </w:r>
      </w:hyperlink>
      <w:r w:rsidR="00286861" w:rsidRPr="00037C61">
        <w:t xml:space="preserve"> </w:t>
      </w:r>
    </w:p>
    <w:p w14:paraId="7EA8346C" w14:textId="77777777" w:rsidR="00286861" w:rsidRPr="00037C61" w:rsidRDefault="0049362F" w:rsidP="00286861">
      <w:pPr>
        <w:pStyle w:val="InterregROHUBullet1"/>
        <w:ind w:left="709"/>
      </w:pPr>
      <w:hyperlink r:id="rId356" w:history="1">
        <w:r w:rsidR="00286861" w:rsidRPr="00037C61">
          <w:t>http://www.fomterv.hu/</w:t>
        </w:r>
      </w:hyperlink>
      <w:r w:rsidR="00286861" w:rsidRPr="00037C61">
        <w:t xml:space="preserve"> </w:t>
      </w:r>
    </w:p>
    <w:p w14:paraId="452B159B" w14:textId="7D88A1C2" w:rsidR="00286861" w:rsidRPr="00037C61" w:rsidRDefault="00286861" w:rsidP="00286861">
      <w:pPr>
        <w:pStyle w:val="InterregROHUBullet1"/>
        <w:ind w:left="709"/>
      </w:pPr>
      <w:r w:rsidRPr="00037C61">
        <w:t xml:space="preserve">KEEP Database – </w:t>
      </w:r>
      <w:hyperlink r:id="rId357" w:history="1">
        <w:r w:rsidRPr="00037C61">
          <w:t>https://keep.eu/countries-and-regions/</w:t>
        </w:r>
      </w:hyperlink>
    </w:p>
    <w:p w14:paraId="59EE8BB6" w14:textId="2F7E3CC6" w:rsidR="00CC39B7" w:rsidRPr="00037C61" w:rsidRDefault="00E462C5" w:rsidP="008C697D">
      <w:pPr>
        <w:pStyle w:val="Heading1"/>
        <w:numPr>
          <w:ilvl w:val="0"/>
          <w:numId w:val="0"/>
        </w:numPr>
        <w:ind w:left="360"/>
      </w:pPr>
      <w:bookmarkStart w:id="926" w:name="_Toc64619588"/>
      <w:r w:rsidRPr="00037C61">
        <w:lastRenderedPageBreak/>
        <w:t>Annexes</w:t>
      </w:r>
      <w:bookmarkEnd w:id="926"/>
      <w:r w:rsidRPr="00037C61">
        <w:t xml:space="preserve">  </w:t>
      </w:r>
    </w:p>
    <w:p w14:paraId="370AF369" w14:textId="77777777" w:rsidR="00E462C5" w:rsidRPr="00037C61" w:rsidRDefault="00E462C5" w:rsidP="00E462C5">
      <w:pPr>
        <w:pStyle w:val="Heading2"/>
        <w:numPr>
          <w:ilvl w:val="0"/>
          <w:numId w:val="0"/>
        </w:numPr>
        <w:ind w:left="792"/>
      </w:pPr>
      <w:bookmarkStart w:id="927" w:name="_Toc64619589"/>
      <w:r w:rsidRPr="00037C61">
        <w:t>Annex 1. Policy Paper Table of Contents</w:t>
      </w:r>
      <w:bookmarkEnd w:id="927"/>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
        <w:gridCol w:w="8306"/>
      </w:tblGrid>
      <w:tr w:rsidR="00E462C5" w:rsidRPr="004A5488" w14:paraId="14D29AC3" w14:textId="77777777" w:rsidTr="008C697D">
        <w:tc>
          <w:tcPr>
            <w:tcW w:w="710" w:type="dxa"/>
            <w:shd w:val="clear" w:color="auto" w:fill="0070C0"/>
          </w:tcPr>
          <w:p w14:paraId="3A28D4BE"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1</w:t>
            </w:r>
          </w:p>
        </w:tc>
        <w:tc>
          <w:tcPr>
            <w:tcW w:w="8306" w:type="dxa"/>
            <w:shd w:val="clear" w:color="auto" w:fill="0070C0"/>
          </w:tcPr>
          <w:p w14:paraId="4B764F72"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APPROACH AND RATIONALE OF THE POLICY ANALYSIS</w:t>
            </w:r>
          </w:p>
        </w:tc>
      </w:tr>
      <w:tr w:rsidR="00E462C5" w:rsidRPr="004A5488" w14:paraId="4AD0DAAB" w14:textId="77777777" w:rsidTr="008C697D">
        <w:tc>
          <w:tcPr>
            <w:tcW w:w="710" w:type="dxa"/>
            <w:shd w:val="clear" w:color="auto" w:fill="0070C0"/>
          </w:tcPr>
          <w:p w14:paraId="6E87F637"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2</w:t>
            </w:r>
          </w:p>
        </w:tc>
        <w:tc>
          <w:tcPr>
            <w:tcW w:w="8306" w:type="dxa"/>
            <w:shd w:val="clear" w:color="auto" w:fill="0070C0"/>
          </w:tcPr>
          <w:p w14:paraId="70FD91D7"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EU AND MACRO-REGION LEVEL STRATEGIC FRAMEWORK 2021-2027</w:t>
            </w:r>
          </w:p>
        </w:tc>
      </w:tr>
      <w:tr w:rsidR="00E462C5" w:rsidRPr="004A5488" w14:paraId="4D765B3E" w14:textId="77777777" w:rsidTr="008C697D">
        <w:tc>
          <w:tcPr>
            <w:tcW w:w="710" w:type="dxa"/>
            <w:shd w:val="clear" w:color="auto" w:fill="BBDAFD" w:themeFill="accent1" w:themeFillTint="33"/>
          </w:tcPr>
          <w:p w14:paraId="4961ABCF"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2.1</w:t>
            </w:r>
          </w:p>
        </w:tc>
        <w:tc>
          <w:tcPr>
            <w:tcW w:w="8306" w:type="dxa"/>
            <w:shd w:val="clear" w:color="auto" w:fill="BBDAFD" w:themeFill="accent1" w:themeFillTint="33"/>
          </w:tcPr>
          <w:p w14:paraId="43090E4C" w14:textId="77777777" w:rsidR="00E462C5" w:rsidRPr="00037C61" w:rsidRDefault="00E462C5" w:rsidP="008C697D">
            <w:pPr>
              <w:rPr>
                <w:rStyle w:val="IntenseReference"/>
                <w:rFonts w:cs="Calibri"/>
                <w:smallCaps w:val="0"/>
                <w:lang w:val="en-GB"/>
              </w:rPr>
            </w:pPr>
            <w:r w:rsidRPr="00037C61">
              <w:rPr>
                <w:rStyle w:val="IntenseReference"/>
                <w:rFonts w:cs="Calibri"/>
                <w:smallCaps w:val="0"/>
                <w:color w:val="auto"/>
                <w:lang w:val="en-GB"/>
              </w:rPr>
              <w:t>Sustainable development and the EU 2030 targets</w:t>
            </w:r>
          </w:p>
        </w:tc>
      </w:tr>
      <w:tr w:rsidR="00E462C5" w:rsidRPr="00037C61" w14:paraId="4D7849EF" w14:textId="77777777" w:rsidTr="008C697D">
        <w:tc>
          <w:tcPr>
            <w:tcW w:w="710" w:type="dxa"/>
            <w:shd w:val="clear" w:color="auto" w:fill="BBDAFD" w:themeFill="accent1" w:themeFillTint="33"/>
          </w:tcPr>
          <w:p w14:paraId="50972700"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2.2</w:t>
            </w:r>
          </w:p>
        </w:tc>
        <w:tc>
          <w:tcPr>
            <w:tcW w:w="8306" w:type="dxa"/>
            <w:shd w:val="clear" w:color="auto" w:fill="BBDAFD" w:themeFill="accent1" w:themeFillTint="33"/>
          </w:tcPr>
          <w:p w14:paraId="51BFFDCC"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EU budget framework for 2021-2027</w:t>
            </w:r>
          </w:p>
        </w:tc>
      </w:tr>
      <w:tr w:rsidR="00E462C5" w:rsidRPr="004A5488" w14:paraId="5F5BAE8A" w14:textId="77777777" w:rsidTr="008C697D">
        <w:tc>
          <w:tcPr>
            <w:tcW w:w="710" w:type="dxa"/>
            <w:shd w:val="clear" w:color="auto" w:fill="BBDAFD" w:themeFill="accent1" w:themeFillTint="33"/>
          </w:tcPr>
          <w:p w14:paraId="1AB932F6"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2.2.1</w:t>
            </w:r>
          </w:p>
        </w:tc>
        <w:tc>
          <w:tcPr>
            <w:tcW w:w="8306" w:type="dxa"/>
            <w:shd w:val="clear" w:color="auto" w:fill="BBDAFD" w:themeFill="accent1" w:themeFillTint="33"/>
          </w:tcPr>
          <w:p w14:paraId="4DE4D8BD"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The EU Multiannual Financial Framework (MFF) for 2021-2027 and main future programmes</w:t>
            </w:r>
            <w:r w:rsidRPr="00037C61">
              <w:rPr>
                <w:rStyle w:val="IntenseReference"/>
                <w:rFonts w:cs="Calibri"/>
                <w:smallCaps w:val="0"/>
                <w:color w:val="auto"/>
                <w:lang w:val="en-GB"/>
              </w:rPr>
              <w:tab/>
            </w:r>
          </w:p>
        </w:tc>
      </w:tr>
      <w:tr w:rsidR="00E462C5" w:rsidRPr="00037C61" w14:paraId="1AED6D46" w14:textId="77777777" w:rsidTr="008C697D">
        <w:tc>
          <w:tcPr>
            <w:tcW w:w="710" w:type="dxa"/>
            <w:shd w:val="clear" w:color="auto" w:fill="BBDAFD" w:themeFill="accent1" w:themeFillTint="33"/>
          </w:tcPr>
          <w:p w14:paraId="5B43C2D7"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2.2.2</w:t>
            </w:r>
          </w:p>
        </w:tc>
        <w:tc>
          <w:tcPr>
            <w:tcW w:w="8306" w:type="dxa"/>
            <w:shd w:val="clear" w:color="auto" w:fill="BBDAFD" w:themeFill="accent1" w:themeFillTint="33"/>
          </w:tcPr>
          <w:p w14:paraId="5196A2B9"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Common provisions for 2021-2027</w:t>
            </w:r>
          </w:p>
        </w:tc>
      </w:tr>
      <w:tr w:rsidR="00E462C5" w:rsidRPr="00037C61" w14:paraId="54CAAD71" w14:textId="77777777" w:rsidTr="008C697D">
        <w:tc>
          <w:tcPr>
            <w:tcW w:w="710" w:type="dxa"/>
            <w:shd w:val="clear" w:color="auto" w:fill="BBDAFD" w:themeFill="accent1" w:themeFillTint="33"/>
          </w:tcPr>
          <w:p w14:paraId="2185D6A5"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2.2.3</w:t>
            </w:r>
          </w:p>
        </w:tc>
        <w:tc>
          <w:tcPr>
            <w:tcW w:w="8306" w:type="dxa"/>
            <w:shd w:val="clear" w:color="auto" w:fill="BBDAFD" w:themeFill="accent1" w:themeFillTint="33"/>
          </w:tcPr>
          <w:p w14:paraId="268844F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ETC specific provisions for 2021-2027</w:t>
            </w:r>
          </w:p>
        </w:tc>
      </w:tr>
      <w:tr w:rsidR="00E462C5" w:rsidRPr="004A5488" w14:paraId="5E16AEF4" w14:textId="77777777" w:rsidTr="008C697D">
        <w:tc>
          <w:tcPr>
            <w:tcW w:w="710" w:type="dxa"/>
            <w:shd w:val="clear" w:color="auto" w:fill="BBDAFD" w:themeFill="accent1" w:themeFillTint="33"/>
          </w:tcPr>
          <w:p w14:paraId="7E6CAF99"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2.2.4</w:t>
            </w:r>
          </w:p>
        </w:tc>
        <w:tc>
          <w:tcPr>
            <w:tcW w:w="8306" w:type="dxa"/>
            <w:shd w:val="clear" w:color="auto" w:fill="BBDAFD" w:themeFill="accent1" w:themeFillTint="33"/>
          </w:tcPr>
          <w:p w14:paraId="2A9981D6"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Integrated tools in cross-border cooperation programmes</w:t>
            </w:r>
          </w:p>
        </w:tc>
      </w:tr>
      <w:tr w:rsidR="00E462C5" w:rsidRPr="004A5488" w14:paraId="602F692A" w14:textId="77777777" w:rsidTr="008C697D">
        <w:tc>
          <w:tcPr>
            <w:tcW w:w="710" w:type="dxa"/>
            <w:shd w:val="clear" w:color="auto" w:fill="BBDAFD" w:themeFill="accent1" w:themeFillTint="33"/>
          </w:tcPr>
          <w:p w14:paraId="2742BA0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2.3</w:t>
            </w:r>
          </w:p>
        </w:tc>
        <w:tc>
          <w:tcPr>
            <w:tcW w:w="8306" w:type="dxa"/>
            <w:shd w:val="clear" w:color="auto" w:fill="BBDAFD" w:themeFill="accent1" w:themeFillTint="33"/>
          </w:tcPr>
          <w:p w14:paraId="45E79441"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Country recommendations (2020) for the cross-border countries</w:t>
            </w:r>
            <w:r w:rsidRPr="00037C61">
              <w:rPr>
                <w:rStyle w:val="IntenseReference"/>
                <w:rFonts w:cs="Calibri"/>
                <w:smallCaps w:val="0"/>
                <w:color w:val="auto"/>
                <w:lang w:val="en-GB"/>
              </w:rPr>
              <w:tab/>
            </w:r>
          </w:p>
        </w:tc>
      </w:tr>
      <w:tr w:rsidR="00E462C5" w:rsidRPr="004A5488" w14:paraId="62B5F9F8" w14:textId="77777777" w:rsidTr="008C697D">
        <w:tc>
          <w:tcPr>
            <w:tcW w:w="710" w:type="dxa"/>
            <w:shd w:val="clear" w:color="auto" w:fill="BBDAFD" w:themeFill="accent1" w:themeFillTint="33"/>
          </w:tcPr>
          <w:p w14:paraId="15E24B26"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2.3.1</w:t>
            </w:r>
          </w:p>
        </w:tc>
        <w:tc>
          <w:tcPr>
            <w:tcW w:w="8306" w:type="dxa"/>
            <w:shd w:val="clear" w:color="auto" w:fill="BBDAFD" w:themeFill="accent1" w:themeFillTint="33"/>
          </w:tcPr>
          <w:p w14:paraId="2569B0F2"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Main challenges and country recommendations for Romania</w:t>
            </w:r>
          </w:p>
        </w:tc>
      </w:tr>
      <w:tr w:rsidR="00E462C5" w:rsidRPr="004A5488" w14:paraId="79DA92E9" w14:textId="77777777" w:rsidTr="008C697D">
        <w:tc>
          <w:tcPr>
            <w:tcW w:w="710" w:type="dxa"/>
            <w:shd w:val="clear" w:color="auto" w:fill="BBDAFD" w:themeFill="accent1" w:themeFillTint="33"/>
          </w:tcPr>
          <w:p w14:paraId="7A4398ED"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2.3.2</w:t>
            </w:r>
          </w:p>
        </w:tc>
        <w:tc>
          <w:tcPr>
            <w:tcW w:w="8306" w:type="dxa"/>
            <w:shd w:val="clear" w:color="auto" w:fill="BBDAFD" w:themeFill="accent1" w:themeFillTint="33"/>
          </w:tcPr>
          <w:p w14:paraId="0E4EA347"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Main challenges and country recommendations for Hungary</w:t>
            </w:r>
          </w:p>
        </w:tc>
      </w:tr>
      <w:tr w:rsidR="00E462C5" w:rsidRPr="004A5488" w14:paraId="41F25785" w14:textId="77777777" w:rsidTr="008C697D">
        <w:tc>
          <w:tcPr>
            <w:tcW w:w="710" w:type="dxa"/>
            <w:shd w:val="clear" w:color="auto" w:fill="BBDAFD" w:themeFill="accent1" w:themeFillTint="33"/>
          </w:tcPr>
          <w:p w14:paraId="5142F6B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2.3.3</w:t>
            </w:r>
          </w:p>
        </w:tc>
        <w:tc>
          <w:tcPr>
            <w:tcW w:w="8306" w:type="dxa"/>
            <w:shd w:val="clear" w:color="auto" w:fill="BBDAFD" w:themeFill="accent1" w:themeFillTint="33"/>
          </w:tcPr>
          <w:p w14:paraId="10FFD746"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Recommendations for the cross-border area between Romania and Hungary for the period 2021-2027</w:t>
            </w:r>
          </w:p>
        </w:tc>
      </w:tr>
      <w:tr w:rsidR="00E462C5" w:rsidRPr="004A5488" w14:paraId="5AA2868F" w14:textId="77777777" w:rsidTr="008C697D">
        <w:tc>
          <w:tcPr>
            <w:tcW w:w="710" w:type="dxa"/>
            <w:shd w:val="clear" w:color="auto" w:fill="BBDAFD" w:themeFill="accent1" w:themeFillTint="33"/>
          </w:tcPr>
          <w:p w14:paraId="091460E9"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2.4</w:t>
            </w:r>
          </w:p>
        </w:tc>
        <w:tc>
          <w:tcPr>
            <w:tcW w:w="8306" w:type="dxa"/>
            <w:shd w:val="clear" w:color="auto" w:fill="BBDAFD" w:themeFill="accent1" w:themeFillTint="33"/>
          </w:tcPr>
          <w:p w14:paraId="6DD68B15"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Relevant macro-region strategies: strategic perspective and lessons learnt</w:t>
            </w:r>
          </w:p>
        </w:tc>
      </w:tr>
      <w:tr w:rsidR="00E462C5" w:rsidRPr="004A5488" w14:paraId="3D87B3BC" w14:textId="77777777" w:rsidTr="008C697D">
        <w:tc>
          <w:tcPr>
            <w:tcW w:w="710" w:type="dxa"/>
            <w:shd w:val="clear" w:color="auto" w:fill="BBDAFD" w:themeFill="accent1" w:themeFillTint="33"/>
          </w:tcPr>
          <w:p w14:paraId="28110560"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2.5</w:t>
            </w:r>
          </w:p>
        </w:tc>
        <w:tc>
          <w:tcPr>
            <w:tcW w:w="8306" w:type="dxa"/>
            <w:shd w:val="clear" w:color="auto" w:fill="BBDAFD" w:themeFill="accent1" w:themeFillTint="33"/>
          </w:tcPr>
          <w:p w14:paraId="3007FD2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Relevance and implications of the European context for the future Interreg Programme between Romania and Hungary 2021-2027</w:t>
            </w:r>
          </w:p>
        </w:tc>
      </w:tr>
      <w:tr w:rsidR="00E462C5" w:rsidRPr="004A5488" w14:paraId="15F2358E" w14:textId="77777777" w:rsidTr="008C697D">
        <w:tc>
          <w:tcPr>
            <w:tcW w:w="710" w:type="dxa"/>
            <w:shd w:val="clear" w:color="auto" w:fill="0070C0"/>
          </w:tcPr>
          <w:p w14:paraId="1A0702B9"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3</w:t>
            </w:r>
          </w:p>
        </w:tc>
        <w:tc>
          <w:tcPr>
            <w:tcW w:w="8306" w:type="dxa"/>
            <w:shd w:val="clear" w:color="auto" w:fill="0070C0"/>
          </w:tcPr>
          <w:p w14:paraId="1A003B5E"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NATIONAL LEVEL POLICY AND STRATEGY FRAMEWORK</w:t>
            </w:r>
          </w:p>
        </w:tc>
      </w:tr>
      <w:tr w:rsidR="00E462C5" w:rsidRPr="004A5488" w14:paraId="24CC7E6A" w14:textId="77777777" w:rsidTr="008C697D">
        <w:tc>
          <w:tcPr>
            <w:tcW w:w="710" w:type="dxa"/>
            <w:shd w:val="clear" w:color="auto" w:fill="BBDAFD" w:themeFill="accent1" w:themeFillTint="33"/>
          </w:tcPr>
          <w:p w14:paraId="07FD491A"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3.1</w:t>
            </w:r>
          </w:p>
        </w:tc>
        <w:tc>
          <w:tcPr>
            <w:tcW w:w="8306" w:type="dxa"/>
            <w:shd w:val="clear" w:color="auto" w:fill="BBDAFD" w:themeFill="accent1" w:themeFillTint="33"/>
          </w:tcPr>
          <w:p w14:paraId="1AEA2CFC"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Romanian national and sector level policy and strategy framework</w:t>
            </w:r>
          </w:p>
        </w:tc>
      </w:tr>
      <w:tr w:rsidR="00E462C5" w:rsidRPr="004A5488" w14:paraId="5349C989" w14:textId="77777777" w:rsidTr="008C697D">
        <w:tc>
          <w:tcPr>
            <w:tcW w:w="710" w:type="dxa"/>
            <w:shd w:val="clear" w:color="auto" w:fill="BBDAFD" w:themeFill="accent1" w:themeFillTint="33"/>
          </w:tcPr>
          <w:p w14:paraId="541A6B31"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3.2</w:t>
            </w:r>
          </w:p>
        </w:tc>
        <w:tc>
          <w:tcPr>
            <w:tcW w:w="8306" w:type="dxa"/>
            <w:shd w:val="clear" w:color="auto" w:fill="BBDAFD" w:themeFill="accent1" w:themeFillTint="33"/>
          </w:tcPr>
          <w:p w14:paraId="148F29F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Hungarian national and sector level policy and strategy framework</w:t>
            </w:r>
          </w:p>
        </w:tc>
      </w:tr>
      <w:tr w:rsidR="00E462C5" w:rsidRPr="004A5488" w14:paraId="7FAF3B4E" w14:textId="77777777" w:rsidTr="008C697D">
        <w:tc>
          <w:tcPr>
            <w:tcW w:w="710" w:type="dxa"/>
            <w:shd w:val="clear" w:color="auto" w:fill="BBDAFD" w:themeFill="accent1" w:themeFillTint="33"/>
          </w:tcPr>
          <w:p w14:paraId="50C580AF"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3.3</w:t>
            </w:r>
          </w:p>
        </w:tc>
        <w:tc>
          <w:tcPr>
            <w:tcW w:w="8306" w:type="dxa"/>
            <w:shd w:val="clear" w:color="auto" w:fill="BBDAFD" w:themeFill="accent1" w:themeFillTint="33"/>
          </w:tcPr>
          <w:p w14:paraId="43E69357"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Relevance and implications of the national contexts for the future Interreg Programme between Romania and Hungary 2021-2027</w:t>
            </w:r>
          </w:p>
        </w:tc>
      </w:tr>
      <w:tr w:rsidR="00E462C5" w:rsidRPr="004A5488" w14:paraId="608176DE" w14:textId="77777777" w:rsidTr="008C697D">
        <w:tc>
          <w:tcPr>
            <w:tcW w:w="710" w:type="dxa"/>
            <w:shd w:val="clear" w:color="auto" w:fill="0070C0"/>
          </w:tcPr>
          <w:p w14:paraId="00832337"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4</w:t>
            </w:r>
          </w:p>
        </w:tc>
        <w:tc>
          <w:tcPr>
            <w:tcW w:w="8306" w:type="dxa"/>
            <w:shd w:val="clear" w:color="auto" w:fill="0070C0"/>
          </w:tcPr>
          <w:p w14:paraId="41EA9C78"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REGIONAL LEVEL POLICY AND STRATEGY FRAMEWORK</w:t>
            </w:r>
          </w:p>
        </w:tc>
      </w:tr>
      <w:tr w:rsidR="00E462C5" w:rsidRPr="004A5488" w14:paraId="5F5D9773" w14:textId="77777777" w:rsidTr="008C697D">
        <w:tc>
          <w:tcPr>
            <w:tcW w:w="710" w:type="dxa"/>
            <w:shd w:val="clear" w:color="auto" w:fill="BBDAFD" w:themeFill="accent1" w:themeFillTint="33"/>
          </w:tcPr>
          <w:p w14:paraId="61BA0EB1"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4.1</w:t>
            </w:r>
          </w:p>
        </w:tc>
        <w:tc>
          <w:tcPr>
            <w:tcW w:w="8306" w:type="dxa"/>
            <w:shd w:val="clear" w:color="auto" w:fill="BBDAFD" w:themeFill="accent1" w:themeFillTint="33"/>
          </w:tcPr>
          <w:p w14:paraId="39D299A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Romanian regional level policy and strategy framework</w:t>
            </w:r>
          </w:p>
        </w:tc>
      </w:tr>
      <w:tr w:rsidR="00E462C5" w:rsidRPr="004A5488" w14:paraId="7EFE02FD" w14:textId="77777777" w:rsidTr="008C697D">
        <w:tc>
          <w:tcPr>
            <w:tcW w:w="710" w:type="dxa"/>
            <w:shd w:val="clear" w:color="auto" w:fill="BBDAFD" w:themeFill="accent1" w:themeFillTint="33"/>
          </w:tcPr>
          <w:p w14:paraId="2487F351"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4.2</w:t>
            </w:r>
          </w:p>
        </w:tc>
        <w:tc>
          <w:tcPr>
            <w:tcW w:w="8306" w:type="dxa"/>
            <w:shd w:val="clear" w:color="auto" w:fill="BBDAFD" w:themeFill="accent1" w:themeFillTint="33"/>
          </w:tcPr>
          <w:p w14:paraId="0E8E2A6B"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Hungarian regional level policy and strategy framework</w:t>
            </w:r>
          </w:p>
        </w:tc>
      </w:tr>
      <w:tr w:rsidR="00E462C5" w:rsidRPr="004A5488" w14:paraId="5BAF27FC" w14:textId="77777777" w:rsidTr="008C697D">
        <w:tc>
          <w:tcPr>
            <w:tcW w:w="710" w:type="dxa"/>
            <w:shd w:val="clear" w:color="auto" w:fill="BBDAFD" w:themeFill="accent1" w:themeFillTint="33"/>
          </w:tcPr>
          <w:p w14:paraId="71C5A5FC"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4.3</w:t>
            </w:r>
          </w:p>
        </w:tc>
        <w:tc>
          <w:tcPr>
            <w:tcW w:w="8306" w:type="dxa"/>
            <w:shd w:val="clear" w:color="auto" w:fill="BBDAFD" w:themeFill="accent1" w:themeFillTint="33"/>
          </w:tcPr>
          <w:p w14:paraId="467D9AF9"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Relevance and implications of the regional contexts for the future Interreg Programme between Romania and Hungary 2021-2027</w:t>
            </w:r>
          </w:p>
        </w:tc>
      </w:tr>
      <w:tr w:rsidR="00E462C5" w:rsidRPr="004A5488" w14:paraId="53D908B7" w14:textId="77777777" w:rsidTr="008C697D">
        <w:tc>
          <w:tcPr>
            <w:tcW w:w="710" w:type="dxa"/>
            <w:shd w:val="clear" w:color="auto" w:fill="0070C0"/>
          </w:tcPr>
          <w:p w14:paraId="699DCD1B"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5</w:t>
            </w:r>
          </w:p>
        </w:tc>
        <w:tc>
          <w:tcPr>
            <w:tcW w:w="8306" w:type="dxa"/>
            <w:shd w:val="clear" w:color="auto" w:fill="0070C0"/>
          </w:tcPr>
          <w:p w14:paraId="65D2677D"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LOCAL LEVEL POLICY AND STRATEGY FRAMEWORK</w:t>
            </w:r>
          </w:p>
        </w:tc>
      </w:tr>
      <w:tr w:rsidR="00E462C5" w:rsidRPr="004A5488" w14:paraId="2B0BA3C4" w14:textId="77777777" w:rsidTr="008C697D">
        <w:tc>
          <w:tcPr>
            <w:tcW w:w="710" w:type="dxa"/>
            <w:shd w:val="clear" w:color="auto" w:fill="BBDAFD" w:themeFill="accent1" w:themeFillTint="33"/>
          </w:tcPr>
          <w:p w14:paraId="48303A4F"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5.1</w:t>
            </w:r>
          </w:p>
        </w:tc>
        <w:tc>
          <w:tcPr>
            <w:tcW w:w="8306" w:type="dxa"/>
            <w:shd w:val="clear" w:color="auto" w:fill="BBDAFD" w:themeFill="accent1" w:themeFillTint="33"/>
          </w:tcPr>
          <w:p w14:paraId="7D39BCC4"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Romanian local level policy and strategy framework</w:t>
            </w:r>
          </w:p>
        </w:tc>
      </w:tr>
      <w:tr w:rsidR="00E462C5" w:rsidRPr="004A5488" w14:paraId="0FE749D8" w14:textId="77777777" w:rsidTr="008C697D">
        <w:tc>
          <w:tcPr>
            <w:tcW w:w="710" w:type="dxa"/>
            <w:shd w:val="clear" w:color="auto" w:fill="BBDAFD" w:themeFill="accent1" w:themeFillTint="33"/>
          </w:tcPr>
          <w:p w14:paraId="789653B7"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5.2</w:t>
            </w:r>
          </w:p>
        </w:tc>
        <w:tc>
          <w:tcPr>
            <w:tcW w:w="8306" w:type="dxa"/>
            <w:shd w:val="clear" w:color="auto" w:fill="BBDAFD" w:themeFill="accent1" w:themeFillTint="33"/>
          </w:tcPr>
          <w:p w14:paraId="3A16988E"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Hungarian local level policy and strategy framework</w:t>
            </w:r>
          </w:p>
        </w:tc>
      </w:tr>
      <w:tr w:rsidR="00E462C5" w:rsidRPr="004A5488" w14:paraId="0664F88F" w14:textId="77777777" w:rsidTr="008C697D">
        <w:tc>
          <w:tcPr>
            <w:tcW w:w="710" w:type="dxa"/>
            <w:shd w:val="clear" w:color="auto" w:fill="BBDAFD" w:themeFill="accent1" w:themeFillTint="33"/>
          </w:tcPr>
          <w:p w14:paraId="3708972C"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5.3</w:t>
            </w:r>
          </w:p>
        </w:tc>
        <w:tc>
          <w:tcPr>
            <w:tcW w:w="8306" w:type="dxa"/>
            <w:shd w:val="clear" w:color="auto" w:fill="BBDAFD" w:themeFill="accent1" w:themeFillTint="33"/>
          </w:tcPr>
          <w:p w14:paraId="5F9C3332"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Relevance and implications of the local context for the future Interreg Programme between Romania and Hungary 2021-2027</w:t>
            </w:r>
          </w:p>
        </w:tc>
      </w:tr>
      <w:tr w:rsidR="00E462C5" w:rsidRPr="004A5488" w14:paraId="02D833C4" w14:textId="77777777" w:rsidTr="008C697D">
        <w:tc>
          <w:tcPr>
            <w:tcW w:w="710" w:type="dxa"/>
            <w:shd w:val="clear" w:color="auto" w:fill="0070C0"/>
          </w:tcPr>
          <w:p w14:paraId="6AA02EEF"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6</w:t>
            </w:r>
          </w:p>
        </w:tc>
        <w:tc>
          <w:tcPr>
            <w:tcW w:w="8306" w:type="dxa"/>
            <w:shd w:val="clear" w:color="auto" w:fill="0070C0"/>
          </w:tcPr>
          <w:p w14:paraId="1E356E61"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 xml:space="preserve">INTEGRATED TERRITORIAL DEVELOPMENT IN THE CROSS-BORDER AREA: OVERVIEW ON INTEGRATED STRATEGIES   </w:t>
            </w:r>
          </w:p>
        </w:tc>
      </w:tr>
      <w:tr w:rsidR="00E462C5" w:rsidRPr="004A5488" w14:paraId="5B06AB04" w14:textId="77777777" w:rsidTr="008C697D">
        <w:tc>
          <w:tcPr>
            <w:tcW w:w="710" w:type="dxa"/>
            <w:shd w:val="clear" w:color="auto" w:fill="BBDAFD" w:themeFill="accent1" w:themeFillTint="33"/>
          </w:tcPr>
          <w:p w14:paraId="3B46A65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6.1</w:t>
            </w:r>
          </w:p>
        </w:tc>
        <w:tc>
          <w:tcPr>
            <w:tcW w:w="8306" w:type="dxa"/>
            <w:shd w:val="clear" w:color="auto" w:fill="BBDAFD" w:themeFill="accent1" w:themeFillTint="33"/>
          </w:tcPr>
          <w:p w14:paraId="20684408"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European Territorial Cooperation Groups in the cross-border area</w:t>
            </w:r>
          </w:p>
        </w:tc>
      </w:tr>
      <w:tr w:rsidR="00E462C5" w:rsidRPr="004A5488" w14:paraId="78DE5C86" w14:textId="77777777" w:rsidTr="008C697D">
        <w:tc>
          <w:tcPr>
            <w:tcW w:w="710" w:type="dxa"/>
            <w:shd w:val="clear" w:color="auto" w:fill="BBDAFD" w:themeFill="accent1" w:themeFillTint="33"/>
          </w:tcPr>
          <w:p w14:paraId="29DB9691"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6.2</w:t>
            </w:r>
          </w:p>
        </w:tc>
        <w:tc>
          <w:tcPr>
            <w:tcW w:w="8306" w:type="dxa"/>
            <w:shd w:val="clear" w:color="auto" w:fill="BBDAFD" w:themeFill="accent1" w:themeFillTint="33"/>
          </w:tcPr>
          <w:p w14:paraId="682BF18B"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Euro-regions in the cross-border area</w:t>
            </w:r>
          </w:p>
        </w:tc>
      </w:tr>
      <w:tr w:rsidR="00E462C5" w:rsidRPr="004A5488" w14:paraId="75D33DF9" w14:textId="77777777" w:rsidTr="008C697D">
        <w:tc>
          <w:tcPr>
            <w:tcW w:w="710" w:type="dxa"/>
            <w:shd w:val="clear" w:color="auto" w:fill="BBDAFD" w:themeFill="accent1" w:themeFillTint="33"/>
          </w:tcPr>
          <w:p w14:paraId="05908AA0"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6.3</w:t>
            </w:r>
          </w:p>
        </w:tc>
        <w:tc>
          <w:tcPr>
            <w:tcW w:w="8306" w:type="dxa"/>
            <w:shd w:val="clear" w:color="auto" w:fill="BBDAFD" w:themeFill="accent1" w:themeFillTint="33"/>
          </w:tcPr>
          <w:p w14:paraId="1522DF0A"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Local Action Groups and micro-regions in the cross-border area</w:t>
            </w:r>
            <w:r w:rsidRPr="00037C61">
              <w:rPr>
                <w:rStyle w:val="IntenseReference"/>
                <w:rFonts w:cs="Calibri"/>
                <w:smallCaps w:val="0"/>
                <w:color w:val="auto"/>
                <w:lang w:val="en-GB"/>
              </w:rPr>
              <w:tab/>
            </w:r>
          </w:p>
        </w:tc>
      </w:tr>
      <w:tr w:rsidR="00E462C5" w:rsidRPr="004A5488" w14:paraId="68F6EF4E" w14:textId="77777777" w:rsidTr="008C697D">
        <w:tc>
          <w:tcPr>
            <w:tcW w:w="710" w:type="dxa"/>
            <w:shd w:val="clear" w:color="auto" w:fill="BBDAFD" w:themeFill="accent1" w:themeFillTint="33"/>
          </w:tcPr>
          <w:p w14:paraId="43FD7444"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6.4</w:t>
            </w:r>
          </w:p>
        </w:tc>
        <w:tc>
          <w:tcPr>
            <w:tcW w:w="8306" w:type="dxa"/>
            <w:shd w:val="clear" w:color="auto" w:fill="BBDAFD" w:themeFill="accent1" w:themeFillTint="33"/>
          </w:tcPr>
          <w:p w14:paraId="6D622373"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Relevance and implications of the integrated territorial development state of play for the future Interreg Programme between Romania and Hungary 2021-2027</w:t>
            </w:r>
          </w:p>
        </w:tc>
      </w:tr>
      <w:tr w:rsidR="00E462C5" w:rsidRPr="00037C61" w14:paraId="14A68C5A" w14:textId="77777777" w:rsidTr="008C697D">
        <w:tc>
          <w:tcPr>
            <w:tcW w:w="710" w:type="dxa"/>
            <w:shd w:val="clear" w:color="auto" w:fill="0070C0"/>
          </w:tcPr>
          <w:p w14:paraId="64477F57"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7</w:t>
            </w:r>
          </w:p>
        </w:tc>
        <w:tc>
          <w:tcPr>
            <w:tcW w:w="8306" w:type="dxa"/>
            <w:shd w:val="clear" w:color="auto" w:fill="0070C0"/>
          </w:tcPr>
          <w:p w14:paraId="25ED1E0C" w14:textId="77777777" w:rsidR="00E462C5" w:rsidRPr="00037C61" w:rsidRDefault="00E462C5" w:rsidP="008C697D">
            <w:pPr>
              <w:rPr>
                <w:rStyle w:val="IntenseReference"/>
                <w:rFonts w:cs="Calibri"/>
                <w:smallCaps w:val="0"/>
                <w:color w:val="FFFFFF" w:themeColor="background1"/>
                <w:lang w:val="en-GB"/>
              </w:rPr>
            </w:pPr>
            <w:r w:rsidRPr="00037C61">
              <w:rPr>
                <w:rStyle w:val="IntenseReference"/>
                <w:rFonts w:cs="Calibri"/>
                <w:smallCaps w:val="0"/>
                <w:color w:val="FFFFFF" w:themeColor="background1"/>
                <w:lang w:val="en-GB"/>
              </w:rPr>
              <w:t>USEFUL TOOLS FOR COHERENCE</w:t>
            </w:r>
          </w:p>
        </w:tc>
      </w:tr>
      <w:tr w:rsidR="00E462C5" w:rsidRPr="00037C61" w14:paraId="53977100" w14:textId="77777777" w:rsidTr="008C697D">
        <w:tc>
          <w:tcPr>
            <w:tcW w:w="710" w:type="dxa"/>
            <w:shd w:val="clear" w:color="auto" w:fill="BBDAFD" w:themeFill="accent1" w:themeFillTint="33"/>
          </w:tcPr>
          <w:p w14:paraId="546311F1"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7.1</w:t>
            </w:r>
          </w:p>
        </w:tc>
        <w:tc>
          <w:tcPr>
            <w:tcW w:w="8306" w:type="dxa"/>
            <w:shd w:val="clear" w:color="auto" w:fill="BBDAFD" w:themeFill="accent1" w:themeFillTint="33"/>
          </w:tcPr>
          <w:p w14:paraId="77B41BB2" w14:textId="77777777" w:rsidR="00E462C5" w:rsidRPr="00037C61" w:rsidRDefault="00E462C5" w:rsidP="008C697D">
            <w:pPr>
              <w:rPr>
                <w:rStyle w:val="IntenseReference"/>
                <w:rFonts w:cs="Calibri"/>
                <w:smallCaps w:val="0"/>
                <w:color w:val="auto"/>
                <w:lang w:val="en-GB"/>
              </w:rPr>
            </w:pPr>
            <w:r w:rsidRPr="00037C61">
              <w:rPr>
                <w:rStyle w:val="IntenseReference"/>
                <w:rFonts w:cs="Calibri"/>
                <w:smallCaps w:val="0"/>
                <w:color w:val="auto"/>
                <w:lang w:val="en-GB"/>
              </w:rPr>
              <w:t>Multi-level policy relevance and complementarities matrix</w:t>
            </w:r>
          </w:p>
        </w:tc>
      </w:tr>
    </w:tbl>
    <w:p w14:paraId="3781A33B" w14:textId="77777777" w:rsidR="008C697D" w:rsidRPr="00037C61" w:rsidRDefault="008C697D" w:rsidP="00E26DBC">
      <w:pPr>
        <w:rPr>
          <w:lang w:val="en-GB"/>
        </w:rPr>
        <w:sectPr w:rsidR="008C697D" w:rsidRPr="00037C61" w:rsidSect="008C697D">
          <w:footerReference w:type="first" r:id="rId358"/>
          <w:type w:val="continuous"/>
          <w:pgSz w:w="11906" w:h="16838"/>
          <w:pgMar w:top="1713" w:right="1440" w:bottom="1440" w:left="1440" w:header="708" w:footer="828" w:gutter="0"/>
          <w:cols w:space="708"/>
          <w:docGrid w:linePitch="360"/>
        </w:sectPr>
      </w:pPr>
    </w:p>
    <w:p w14:paraId="6F65D91C" w14:textId="035FD026" w:rsidR="008C697D" w:rsidRPr="00037C61" w:rsidRDefault="008C697D" w:rsidP="00E26DBC">
      <w:pPr>
        <w:rPr>
          <w:lang w:val="en-GB"/>
        </w:rPr>
      </w:pPr>
    </w:p>
    <w:p w14:paraId="4046690B" w14:textId="3FF587AC" w:rsidR="008C697D" w:rsidRPr="00037C61" w:rsidRDefault="008C697D" w:rsidP="008C697D">
      <w:pPr>
        <w:pStyle w:val="Heading2"/>
        <w:numPr>
          <w:ilvl w:val="0"/>
          <w:numId w:val="0"/>
        </w:numPr>
        <w:ind w:left="792"/>
      </w:pPr>
      <w:bookmarkStart w:id="928" w:name="_Toc64619590"/>
      <w:r w:rsidRPr="00037C61">
        <w:t>Annex 2. List of documents / papers consulted under the Policy analysis</w:t>
      </w:r>
      <w:bookmarkEnd w:id="928"/>
      <w:r w:rsidRPr="00037C61">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
        <w:gridCol w:w="8306"/>
      </w:tblGrid>
      <w:tr w:rsidR="008C697D" w:rsidRPr="004A5488" w14:paraId="2B4F87F4" w14:textId="77777777" w:rsidTr="008C697D">
        <w:tc>
          <w:tcPr>
            <w:tcW w:w="710" w:type="dxa"/>
            <w:shd w:val="clear" w:color="auto" w:fill="auto"/>
          </w:tcPr>
          <w:p w14:paraId="14117D29" w14:textId="77777777" w:rsidR="008C697D" w:rsidRPr="00037C61" w:rsidRDefault="008C697D" w:rsidP="008C697D">
            <w:pPr>
              <w:rPr>
                <w:rStyle w:val="IntenseReference"/>
                <w:rFonts w:cstheme="minorHAnsi"/>
                <w:smallCaps w:val="0"/>
                <w:color w:val="FFFFFF" w:themeColor="background1"/>
                <w:lang w:val="en-GB"/>
              </w:rPr>
            </w:pPr>
          </w:p>
        </w:tc>
        <w:tc>
          <w:tcPr>
            <w:tcW w:w="8306" w:type="dxa"/>
            <w:shd w:val="clear" w:color="auto" w:fill="auto"/>
          </w:tcPr>
          <w:p w14:paraId="7DFB433D" w14:textId="61B782CC" w:rsidR="008C697D" w:rsidRPr="00037C61" w:rsidRDefault="008C697D" w:rsidP="008C697D">
            <w:pPr>
              <w:rPr>
                <w:rStyle w:val="IntenseReference"/>
                <w:rFonts w:cstheme="minorHAnsi"/>
                <w:smallCaps w:val="0"/>
                <w:color w:val="auto"/>
                <w:sz w:val="28"/>
                <w:szCs w:val="28"/>
                <w:lang w:val="en-GB"/>
              </w:rPr>
            </w:pPr>
          </w:p>
        </w:tc>
      </w:tr>
      <w:tr w:rsidR="008C697D" w:rsidRPr="004A5488" w14:paraId="691D585F" w14:textId="77777777" w:rsidTr="008C697D">
        <w:tc>
          <w:tcPr>
            <w:tcW w:w="710" w:type="dxa"/>
            <w:shd w:val="clear" w:color="auto" w:fill="0070C0"/>
          </w:tcPr>
          <w:p w14:paraId="251F5ACF"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1</w:t>
            </w:r>
          </w:p>
        </w:tc>
        <w:tc>
          <w:tcPr>
            <w:tcW w:w="8306" w:type="dxa"/>
            <w:shd w:val="clear" w:color="auto" w:fill="0070C0"/>
          </w:tcPr>
          <w:p w14:paraId="3EEB6F65"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APPROACH AND RATIONALE OF THE POLICY ANALYSIS</w:t>
            </w:r>
          </w:p>
        </w:tc>
      </w:tr>
      <w:tr w:rsidR="008C697D" w:rsidRPr="004A5488" w14:paraId="3F653A45" w14:textId="77777777" w:rsidTr="008C697D">
        <w:tc>
          <w:tcPr>
            <w:tcW w:w="710" w:type="dxa"/>
            <w:shd w:val="clear" w:color="auto" w:fill="auto"/>
          </w:tcPr>
          <w:p w14:paraId="25D416D2" w14:textId="77777777" w:rsidR="008C697D" w:rsidRPr="00037C61" w:rsidRDefault="008C697D" w:rsidP="008C697D">
            <w:pPr>
              <w:rPr>
                <w:rStyle w:val="IntenseReference"/>
                <w:rFonts w:cstheme="minorHAnsi"/>
                <w:smallCaps w:val="0"/>
                <w:color w:val="FFFFFF" w:themeColor="background1"/>
                <w:lang w:val="en-GB"/>
              </w:rPr>
            </w:pPr>
          </w:p>
        </w:tc>
        <w:tc>
          <w:tcPr>
            <w:tcW w:w="8306" w:type="dxa"/>
            <w:shd w:val="clear" w:color="auto" w:fill="auto"/>
          </w:tcPr>
          <w:p w14:paraId="547C35C1"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 (1)</w:t>
            </w:r>
            <w:r w:rsidRPr="00037C61">
              <w:rPr>
                <w:rStyle w:val="IntenseReference"/>
                <w:rFonts w:cstheme="minorHAnsi"/>
                <w:b w:val="0"/>
                <w:smallCaps w:val="0"/>
                <w:color w:val="808080" w:themeColor="background1" w:themeShade="80"/>
                <w:lang w:val="en-GB"/>
              </w:rPr>
              <w:t xml:space="preserve"> EU Level Policy and Strategic Framework; </w:t>
            </w:r>
            <w:r w:rsidRPr="00037C61">
              <w:rPr>
                <w:rStyle w:val="IntenseReference"/>
                <w:rFonts w:cstheme="minorHAnsi"/>
                <w:smallCaps w:val="0"/>
                <w:color w:val="808080" w:themeColor="background1" w:themeShade="80"/>
                <w:lang w:val="en-GB"/>
              </w:rPr>
              <w:t xml:space="preserve">(2) </w:t>
            </w:r>
            <w:r w:rsidRPr="00037C61">
              <w:rPr>
                <w:rStyle w:val="IntenseReference"/>
                <w:rFonts w:cstheme="minorHAnsi"/>
                <w:b w:val="0"/>
                <w:smallCaps w:val="0"/>
                <w:color w:val="808080" w:themeColor="background1" w:themeShade="80"/>
                <w:lang w:val="en-GB"/>
              </w:rPr>
              <w:t xml:space="preserve">Agenda 2030 and the proposed Regulations for cohesion policy; </w:t>
            </w:r>
            <w:r w:rsidRPr="00037C61">
              <w:rPr>
                <w:rStyle w:val="IntenseReference"/>
                <w:rFonts w:cstheme="minorHAnsi"/>
                <w:smallCaps w:val="0"/>
                <w:color w:val="808080" w:themeColor="background1" w:themeShade="80"/>
                <w:lang w:val="en-GB"/>
              </w:rPr>
              <w:t>(3)</w:t>
            </w:r>
            <w:r w:rsidRPr="00037C61">
              <w:rPr>
                <w:rStyle w:val="IntenseReference"/>
                <w:rFonts w:cstheme="minorHAnsi"/>
                <w:b w:val="0"/>
                <w:smallCaps w:val="0"/>
                <w:color w:val="808080" w:themeColor="background1" w:themeShade="80"/>
                <w:lang w:val="en-GB"/>
              </w:rPr>
              <w:t xml:space="preserve"> Border Orientation paper for the cross-border area between Romania and Hungary for the period 2021-2027</w:t>
            </w:r>
          </w:p>
          <w:p w14:paraId="3C27012F" w14:textId="77777777" w:rsidR="008C697D" w:rsidRPr="00037C61" w:rsidRDefault="008C697D" w:rsidP="008C697D">
            <w:pPr>
              <w:rPr>
                <w:rStyle w:val="IntenseReference"/>
                <w:rFonts w:cstheme="minorHAnsi"/>
                <w:smallCaps w:val="0"/>
                <w:color w:val="FFFFFF" w:themeColor="background1"/>
                <w:lang w:val="en-GB"/>
              </w:rPr>
            </w:pPr>
          </w:p>
        </w:tc>
      </w:tr>
      <w:tr w:rsidR="008C697D" w:rsidRPr="004A5488" w14:paraId="2A1C607D" w14:textId="77777777" w:rsidTr="008C697D">
        <w:tc>
          <w:tcPr>
            <w:tcW w:w="710" w:type="dxa"/>
            <w:shd w:val="clear" w:color="auto" w:fill="0070C0"/>
          </w:tcPr>
          <w:p w14:paraId="29794CDF"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2</w:t>
            </w:r>
          </w:p>
        </w:tc>
        <w:tc>
          <w:tcPr>
            <w:tcW w:w="8306" w:type="dxa"/>
            <w:shd w:val="clear" w:color="auto" w:fill="0070C0"/>
          </w:tcPr>
          <w:p w14:paraId="2D86DEC1"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EU AND MACRO-REGION LEVEL STRATEGIC FRAMEWORK 2021-2027</w:t>
            </w:r>
          </w:p>
        </w:tc>
      </w:tr>
      <w:tr w:rsidR="008C697D" w:rsidRPr="004A5488" w14:paraId="4E920858" w14:textId="77777777" w:rsidTr="008C697D">
        <w:tc>
          <w:tcPr>
            <w:tcW w:w="710" w:type="dxa"/>
            <w:shd w:val="clear" w:color="auto" w:fill="BBDAFD" w:themeFill="accent1" w:themeFillTint="33"/>
          </w:tcPr>
          <w:p w14:paraId="1DAE751A"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2.1</w:t>
            </w:r>
          </w:p>
        </w:tc>
        <w:tc>
          <w:tcPr>
            <w:tcW w:w="8306" w:type="dxa"/>
            <w:shd w:val="clear" w:color="auto" w:fill="BBDAFD" w:themeFill="accent1" w:themeFillTint="33"/>
          </w:tcPr>
          <w:p w14:paraId="48CF2A2E" w14:textId="77777777" w:rsidR="008C697D" w:rsidRPr="00037C61" w:rsidRDefault="008C697D" w:rsidP="008C697D">
            <w:pPr>
              <w:rPr>
                <w:rStyle w:val="IntenseReference"/>
                <w:rFonts w:cstheme="minorHAnsi"/>
                <w:smallCaps w:val="0"/>
                <w:lang w:val="en-GB"/>
              </w:rPr>
            </w:pPr>
            <w:r w:rsidRPr="00037C61">
              <w:rPr>
                <w:rStyle w:val="IntenseReference"/>
                <w:rFonts w:cstheme="minorHAnsi"/>
                <w:smallCaps w:val="0"/>
                <w:color w:val="auto"/>
                <w:lang w:val="en-GB"/>
              </w:rPr>
              <w:t>Sustainable development and the EU 2030 targets</w:t>
            </w:r>
          </w:p>
        </w:tc>
      </w:tr>
      <w:tr w:rsidR="008C697D" w:rsidRPr="004A5488" w14:paraId="4536FB30" w14:textId="77777777" w:rsidTr="008C697D">
        <w:tc>
          <w:tcPr>
            <w:tcW w:w="710" w:type="dxa"/>
          </w:tcPr>
          <w:p w14:paraId="5356E572" w14:textId="77777777" w:rsidR="008C697D" w:rsidRPr="00037C61" w:rsidRDefault="008C697D" w:rsidP="008C697D">
            <w:pPr>
              <w:rPr>
                <w:rStyle w:val="IntenseReference"/>
                <w:rFonts w:cstheme="minorHAnsi"/>
                <w:smallCaps w:val="0"/>
                <w:color w:val="auto"/>
                <w:lang w:val="en-GB"/>
              </w:rPr>
            </w:pPr>
          </w:p>
        </w:tc>
        <w:tc>
          <w:tcPr>
            <w:tcW w:w="8306" w:type="dxa"/>
          </w:tcPr>
          <w:p w14:paraId="47AD1936"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papers:(4)</w:t>
            </w:r>
            <w:r w:rsidRPr="00037C61">
              <w:rPr>
                <w:rStyle w:val="IntenseReference"/>
                <w:rFonts w:cstheme="minorHAnsi"/>
                <w:b w:val="0"/>
                <w:smallCaps w:val="0"/>
                <w:color w:val="808080" w:themeColor="background1" w:themeShade="80"/>
                <w:lang w:val="en-GB"/>
              </w:rPr>
              <w:t xml:space="preserve"> Agenda 2020; </w:t>
            </w:r>
            <w:r w:rsidRPr="00037C61">
              <w:rPr>
                <w:rStyle w:val="IntenseReference"/>
                <w:rFonts w:cstheme="minorHAnsi"/>
                <w:smallCaps w:val="0"/>
                <w:color w:val="808080" w:themeColor="background1" w:themeShade="80"/>
                <w:lang w:val="en-GB"/>
              </w:rPr>
              <w:t>(5)</w:t>
            </w:r>
            <w:r w:rsidRPr="00037C61">
              <w:rPr>
                <w:rStyle w:val="IntenseReference"/>
                <w:rFonts w:cstheme="minorHAnsi"/>
                <w:b w:val="0"/>
                <w:smallCaps w:val="0"/>
                <w:color w:val="808080" w:themeColor="background1" w:themeShade="80"/>
                <w:lang w:val="en-GB"/>
              </w:rPr>
              <w:t xml:space="preserve"> Agenda 2030 17 Sustainable Development Goals; </w:t>
            </w:r>
            <w:r w:rsidRPr="00037C61">
              <w:rPr>
                <w:rStyle w:val="IntenseReference"/>
                <w:rFonts w:cstheme="minorHAnsi"/>
                <w:smallCaps w:val="0"/>
                <w:color w:val="808080" w:themeColor="background1" w:themeShade="80"/>
                <w:lang w:val="en-GB"/>
              </w:rPr>
              <w:t>(6)</w:t>
            </w:r>
            <w:r w:rsidRPr="00037C61">
              <w:rPr>
                <w:rStyle w:val="IntenseReference"/>
                <w:rFonts w:cstheme="minorHAnsi"/>
                <w:b w:val="0"/>
                <w:smallCaps w:val="0"/>
                <w:color w:val="808080" w:themeColor="background1" w:themeShade="80"/>
                <w:lang w:val="en-GB"/>
              </w:rPr>
              <w:t xml:space="preserve"> The EC Communication on „Next steps for a sustainable European future”; </w:t>
            </w:r>
            <w:r w:rsidRPr="00037C61">
              <w:rPr>
                <w:rStyle w:val="IntenseReference"/>
                <w:rFonts w:cstheme="minorHAnsi"/>
                <w:smallCaps w:val="0"/>
                <w:color w:val="808080" w:themeColor="background1" w:themeShade="80"/>
                <w:lang w:val="en-GB"/>
              </w:rPr>
              <w:t>(7)</w:t>
            </w:r>
            <w:r w:rsidRPr="00037C61">
              <w:rPr>
                <w:rStyle w:val="IntenseReference"/>
                <w:rFonts w:cstheme="minorHAnsi"/>
                <w:b w:val="0"/>
                <w:smallCaps w:val="0"/>
                <w:color w:val="808080" w:themeColor="background1" w:themeShade="80"/>
                <w:lang w:val="en-GB"/>
              </w:rPr>
              <w:t xml:space="preserve"> EU Action 2030 Climate and Energy Policy Framework</w:t>
            </w:r>
          </w:p>
          <w:p w14:paraId="56ACFB71" w14:textId="77777777" w:rsidR="008C697D" w:rsidRPr="00037C61" w:rsidRDefault="008C697D" w:rsidP="008C697D">
            <w:pPr>
              <w:rPr>
                <w:rStyle w:val="IntenseReference"/>
                <w:rFonts w:cstheme="minorHAnsi"/>
                <w:b w:val="0"/>
                <w:bCs w:val="0"/>
                <w:smallCaps w:val="0"/>
                <w:color w:val="auto"/>
                <w:lang w:val="en-GB"/>
              </w:rPr>
            </w:pPr>
          </w:p>
        </w:tc>
      </w:tr>
      <w:tr w:rsidR="008C697D" w:rsidRPr="00037C61" w14:paraId="33F3FBFA" w14:textId="77777777" w:rsidTr="008C697D">
        <w:tc>
          <w:tcPr>
            <w:tcW w:w="710" w:type="dxa"/>
            <w:shd w:val="clear" w:color="auto" w:fill="BBDAFD" w:themeFill="accent1" w:themeFillTint="33"/>
          </w:tcPr>
          <w:p w14:paraId="694F31CF"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2.2</w:t>
            </w:r>
          </w:p>
        </w:tc>
        <w:tc>
          <w:tcPr>
            <w:tcW w:w="8306" w:type="dxa"/>
            <w:shd w:val="clear" w:color="auto" w:fill="BBDAFD" w:themeFill="accent1" w:themeFillTint="33"/>
          </w:tcPr>
          <w:p w14:paraId="1E36B615"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EU budget framework for 2021-2027</w:t>
            </w:r>
          </w:p>
        </w:tc>
      </w:tr>
      <w:tr w:rsidR="008C697D" w:rsidRPr="004A5488" w14:paraId="389F844F" w14:textId="77777777" w:rsidTr="008C697D">
        <w:tc>
          <w:tcPr>
            <w:tcW w:w="710" w:type="dxa"/>
            <w:shd w:val="clear" w:color="auto" w:fill="BBDAFD" w:themeFill="accent1" w:themeFillTint="33"/>
          </w:tcPr>
          <w:p w14:paraId="32167013"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2.2.1</w:t>
            </w:r>
          </w:p>
        </w:tc>
        <w:tc>
          <w:tcPr>
            <w:tcW w:w="8306" w:type="dxa"/>
            <w:shd w:val="clear" w:color="auto" w:fill="BBDAFD" w:themeFill="accent1" w:themeFillTint="33"/>
          </w:tcPr>
          <w:p w14:paraId="21D662F8"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The EU Multiannual Financial Framework (MFF) for 2021-2027 and main future programmes</w:t>
            </w:r>
            <w:r w:rsidRPr="00037C61">
              <w:rPr>
                <w:rStyle w:val="IntenseReference"/>
                <w:rFonts w:cstheme="minorHAnsi"/>
                <w:smallCaps w:val="0"/>
                <w:color w:val="auto"/>
                <w:lang w:val="en-GB"/>
              </w:rPr>
              <w:tab/>
            </w:r>
          </w:p>
        </w:tc>
      </w:tr>
      <w:tr w:rsidR="008C697D" w:rsidRPr="004A5488" w14:paraId="55AFAF9F" w14:textId="77777777" w:rsidTr="008C697D">
        <w:tc>
          <w:tcPr>
            <w:tcW w:w="710" w:type="dxa"/>
          </w:tcPr>
          <w:p w14:paraId="5AA397B9" w14:textId="77777777" w:rsidR="008C697D" w:rsidRPr="00037C61" w:rsidRDefault="008C697D" w:rsidP="008C697D">
            <w:pPr>
              <w:rPr>
                <w:rStyle w:val="IntenseReference"/>
                <w:rFonts w:cstheme="minorHAnsi"/>
                <w:smallCaps w:val="0"/>
                <w:color w:val="auto"/>
                <w:lang w:val="en-GB"/>
              </w:rPr>
            </w:pPr>
          </w:p>
        </w:tc>
        <w:tc>
          <w:tcPr>
            <w:tcW w:w="8306" w:type="dxa"/>
          </w:tcPr>
          <w:p w14:paraId="510089EB"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papers:(8)</w:t>
            </w:r>
            <w:r w:rsidRPr="00037C61">
              <w:rPr>
                <w:rStyle w:val="IntenseReference"/>
                <w:rFonts w:cstheme="minorHAnsi"/>
                <w:b w:val="0"/>
                <w:smallCaps w:val="0"/>
                <w:color w:val="808080" w:themeColor="background1" w:themeShade="80"/>
                <w:lang w:val="en-GB"/>
              </w:rPr>
              <w:t xml:space="preserve"> The MFF 2021-2027 + Next Generation EU (temporary recovery instrument); </w:t>
            </w:r>
            <w:r w:rsidRPr="00037C61">
              <w:rPr>
                <w:rStyle w:val="IntenseReference"/>
                <w:rFonts w:cstheme="minorHAnsi"/>
                <w:smallCaps w:val="0"/>
                <w:color w:val="808080" w:themeColor="background1" w:themeShade="80"/>
                <w:lang w:val="en-GB"/>
              </w:rPr>
              <w:t>(9)</w:t>
            </w:r>
            <w:r w:rsidRPr="00037C61">
              <w:rPr>
                <w:rStyle w:val="IntenseReference"/>
                <w:rFonts w:cstheme="minorHAnsi"/>
                <w:b w:val="0"/>
                <w:smallCaps w:val="0"/>
                <w:color w:val="808080" w:themeColor="background1" w:themeShade="80"/>
                <w:lang w:val="en-GB"/>
              </w:rPr>
              <w:t xml:space="preserve"> Neighborhood, Development and International Cooperation Instrument; </w:t>
            </w:r>
            <w:r w:rsidRPr="00037C61">
              <w:rPr>
                <w:rStyle w:val="IntenseReference"/>
                <w:rFonts w:cstheme="minorHAnsi"/>
                <w:smallCaps w:val="0"/>
                <w:color w:val="808080" w:themeColor="background1" w:themeShade="80"/>
                <w:lang w:val="en-GB"/>
              </w:rPr>
              <w:t>(10)</w:t>
            </w:r>
            <w:r w:rsidRPr="00037C61">
              <w:rPr>
                <w:rStyle w:val="IntenseReference"/>
                <w:rFonts w:cstheme="minorHAnsi"/>
                <w:b w:val="0"/>
                <w:smallCaps w:val="0"/>
                <w:color w:val="808080" w:themeColor="background1" w:themeShade="80"/>
                <w:lang w:val="en-GB"/>
              </w:rPr>
              <w:t xml:space="preserve"> Erasmus+ Programme; </w:t>
            </w:r>
            <w:r w:rsidRPr="00037C61">
              <w:rPr>
                <w:rStyle w:val="IntenseReference"/>
                <w:rFonts w:cstheme="minorHAnsi"/>
                <w:smallCaps w:val="0"/>
                <w:color w:val="808080" w:themeColor="background1" w:themeShade="80"/>
                <w:lang w:val="en-GB"/>
              </w:rPr>
              <w:t>(11)</w:t>
            </w:r>
            <w:r w:rsidRPr="00037C61">
              <w:rPr>
                <w:rStyle w:val="IntenseReference"/>
                <w:rFonts w:cstheme="minorHAnsi"/>
                <w:b w:val="0"/>
                <w:smallCaps w:val="0"/>
                <w:color w:val="808080" w:themeColor="background1" w:themeShade="80"/>
                <w:lang w:val="en-GB"/>
              </w:rPr>
              <w:t xml:space="preserve"> EU4Health Programme 2021-2027 objectives; </w:t>
            </w:r>
            <w:r w:rsidRPr="00037C61">
              <w:rPr>
                <w:rStyle w:val="IntenseReference"/>
                <w:rFonts w:cstheme="minorHAnsi"/>
                <w:smallCaps w:val="0"/>
                <w:color w:val="808080" w:themeColor="background1" w:themeShade="80"/>
                <w:lang w:val="en-GB"/>
              </w:rPr>
              <w:t>(12)</w:t>
            </w:r>
            <w:r w:rsidRPr="00037C61">
              <w:rPr>
                <w:rStyle w:val="IntenseReference"/>
                <w:rFonts w:cstheme="minorHAnsi"/>
                <w:b w:val="0"/>
                <w:smallCaps w:val="0"/>
                <w:color w:val="808080" w:themeColor="background1" w:themeShade="80"/>
                <w:lang w:val="en-GB"/>
              </w:rPr>
              <w:t xml:space="preserve"> Horizon Europe Programme (the 9th EU Framework Programme for Research and Innovation) 2021-2027; </w:t>
            </w:r>
            <w:r w:rsidRPr="00037C61">
              <w:rPr>
                <w:rStyle w:val="IntenseReference"/>
                <w:rFonts w:cstheme="minorHAnsi"/>
                <w:smallCaps w:val="0"/>
                <w:color w:val="808080" w:themeColor="background1" w:themeShade="80"/>
                <w:lang w:val="en-GB"/>
              </w:rPr>
              <w:t>(13)</w:t>
            </w:r>
            <w:r w:rsidRPr="00037C61">
              <w:rPr>
                <w:rStyle w:val="IntenseReference"/>
                <w:rFonts w:cstheme="minorHAnsi"/>
                <w:b w:val="0"/>
                <w:smallCaps w:val="0"/>
                <w:color w:val="808080" w:themeColor="background1" w:themeShade="80"/>
                <w:lang w:val="en-GB"/>
              </w:rPr>
              <w:t xml:space="preserve"> EU’s next long-term budget &amp; NextgenerationEU - Key facts and figures; </w:t>
            </w:r>
            <w:r w:rsidRPr="00037C61">
              <w:rPr>
                <w:rStyle w:val="IntenseReference"/>
                <w:rFonts w:cstheme="minorHAnsi"/>
                <w:smallCaps w:val="0"/>
                <w:color w:val="808080" w:themeColor="background1" w:themeShade="80"/>
                <w:lang w:val="en-GB"/>
              </w:rPr>
              <w:t>(14)</w:t>
            </w:r>
            <w:r w:rsidRPr="00037C61">
              <w:rPr>
                <w:rStyle w:val="IntenseReference"/>
                <w:rFonts w:cstheme="minorHAnsi"/>
                <w:b w:val="0"/>
                <w:smallCaps w:val="0"/>
                <w:color w:val="808080" w:themeColor="background1" w:themeShade="80"/>
                <w:lang w:val="en-GB"/>
              </w:rPr>
              <w:t xml:space="preserve"> The LIFE programme, 1992;</w:t>
            </w:r>
            <w:r w:rsidRPr="00037C61">
              <w:rPr>
                <w:rStyle w:val="IntenseReference"/>
                <w:rFonts w:cstheme="minorHAnsi"/>
                <w:smallCaps w:val="0"/>
                <w:color w:val="808080" w:themeColor="background1" w:themeShade="80"/>
                <w:lang w:val="en-GB"/>
              </w:rPr>
              <w:t xml:space="preserve"> (15)</w:t>
            </w:r>
            <w:r w:rsidRPr="00037C61">
              <w:rPr>
                <w:rStyle w:val="IntenseReference"/>
                <w:rFonts w:cstheme="minorHAnsi"/>
                <w:b w:val="0"/>
                <w:smallCaps w:val="0"/>
                <w:color w:val="808080" w:themeColor="background1" w:themeShade="80"/>
                <w:lang w:val="en-GB"/>
              </w:rPr>
              <w:t xml:space="preserve"> Union Civil Protection Mechanism</w:t>
            </w:r>
          </w:p>
          <w:p w14:paraId="1CB7E3ED" w14:textId="77777777" w:rsidR="008C697D" w:rsidRPr="00037C61" w:rsidRDefault="008C697D" w:rsidP="008C697D">
            <w:pPr>
              <w:rPr>
                <w:rStyle w:val="IntenseReference"/>
                <w:rFonts w:cstheme="minorHAnsi"/>
                <w:smallCaps w:val="0"/>
                <w:color w:val="auto"/>
                <w:lang w:val="en-GB"/>
              </w:rPr>
            </w:pPr>
          </w:p>
        </w:tc>
      </w:tr>
      <w:tr w:rsidR="008C697D" w:rsidRPr="00037C61" w14:paraId="3853DF50" w14:textId="77777777" w:rsidTr="008C697D">
        <w:tc>
          <w:tcPr>
            <w:tcW w:w="710" w:type="dxa"/>
            <w:shd w:val="clear" w:color="auto" w:fill="BBDAFD" w:themeFill="accent1" w:themeFillTint="33"/>
          </w:tcPr>
          <w:p w14:paraId="4FF14D43"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2.2.2</w:t>
            </w:r>
          </w:p>
        </w:tc>
        <w:tc>
          <w:tcPr>
            <w:tcW w:w="8306" w:type="dxa"/>
            <w:shd w:val="clear" w:color="auto" w:fill="BBDAFD" w:themeFill="accent1" w:themeFillTint="33"/>
          </w:tcPr>
          <w:p w14:paraId="772DEFC2"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Common provisions for 2021-2027</w:t>
            </w:r>
          </w:p>
        </w:tc>
      </w:tr>
      <w:tr w:rsidR="008C697D" w:rsidRPr="004A5488" w14:paraId="0E2CF1CC" w14:textId="77777777" w:rsidTr="008C697D">
        <w:tc>
          <w:tcPr>
            <w:tcW w:w="710" w:type="dxa"/>
          </w:tcPr>
          <w:p w14:paraId="04AAC107" w14:textId="77777777" w:rsidR="008C697D" w:rsidRPr="00037C61" w:rsidRDefault="008C697D" w:rsidP="008C697D">
            <w:pPr>
              <w:rPr>
                <w:rStyle w:val="IntenseReference"/>
                <w:rFonts w:cstheme="minorHAnsi"/>
                <w:smallCaps w:val="0"/>
                <w:color w:val="auto"/>
                <w:lang w:val="en-GB"/>
              </w:rPr>
            </w:pPr>
          </w:p>
        </w:tc>
        <w:tc>
          <w:tcPr>
            <w:tcW w:w="8306" w:type="dxa"/>
          </w:tcPr>
          <w:p w14:paraId="25BBEF87"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papers:(16)</w:t>
            </w:r>
            <w:r w:rsidRPr="00037C61">
              <w:rPr>
                <w:rStyle w:val="IntenseReference"/>
                <w:rFonts w:cstheme="minorHAnsi"/>
                <w:b w:val="0"/>
                <w:smallCaps w:val="0"/>
                <w:color w:val="808080" w:themeColor="background1" w:themeShade="80"/>
                <w:lang w:val="en-GB"/>
              </w:rPr>
              <w:t xml:space="preserve"> Common Agricultural Policy (CAP); (16) Connecting Europe Facility (CEF); </w:t>
            </w:r>
            <w:r w:rsidRPr="00037C61">
              <w:rPr>
                <w:rStyle w:val="IntenseReference"/>
                <w:rFonts w:cstheme="minorHAnsi"/>
                <w:smallCaps w:val="0"/>
                <w:color w:val="808080" w:themeColor="background1" w:themeShade="80"/>
                <w:lang w:val="en-GB"/>
              </w:rPr>
              <w:t>(17)</w:t>
            </w:r>
            <w:r w:rsidRPr="00037C61">
              <w:rPr>
                <w:rStyle w:val="IntenseReference"/>
                <w:rFonts w:cstheme="minorHAnsi"/>
                <w:b w:val="0"/>
                <w:smallCaps w:val="0"/>
                <w:color w:val="808080" w:themeColor="background1" w:themeShade="80"/>
                <w:lang w:val="en-GB"/>
              </w:rPr>
              <w:t xml:space="preserve"> Digital Europe Programme (DEP); </w:t>
            </w:r>
            <w:r w:rsidRPr="00037C61">
              <w:rPr>
                <w:rStyle w:val="IntenseReference"/>
                <w:rFonts w:cstheme="minorHAnsi"/>
                <w:smallCaps w:val="0"/>
                <w:color w:val="808080" w:themeColor="background1" w:themeShade="80"/>
                <w:lang w:val="en-GB"/>
              </w:rPr>
              <w:t>(18)</w:t>
            </w:r>
            <w:r w:rsidRPr="00037C61">
              <w:rPr>
                <w:rStyle w:val="IntenseReference"/>
                <w:rFonts w:cstheme="minorHAnsi"/>
                <w:b w:val="0"/>
                <w:smallCaps w:val="0"/>
                <w:color w:val="808080" w:themeColor="background1" w:themeShade="80"/>
                <w:lang w:val="en-GB"/>
              </w:rPr>
              <w:t xml:space="preserve"> InvestEU Fund; </w:t>
            </w:r>
            <w:r w:rsidRPr="00037C61">
              <w:rPr>
                <w:rStyle w:val="IntenseReference"/>
                <w:rFonts w:cstheme="minorHAnsi"/>
                <w:smallCaps w:val="0"/>
                <w:color w:val="808080" w:themeColor="background1" w:themeShade="80"/>
                <w:lang w:val="en-GB"/>
              </w:rPr>
              <w:t>(19)</w:t>
            </w:r>
            <w:r w:rsidRPr="00037C61">
              <w:rPr>
                <w:rStyle w:val="IntenseReference"/>
                <w:rFonts w:cstheme="minorHAnsi"/>
                <w:b w:val="0"/>
                <w:smallCaps w:val="0"/>
                <w:color w:val="808080" w:themeColor="background1" w:themeShade="80"/>
                <w:lang w:val="en-GB"/>
              </w:rPr>
              <w:t xml:space="preserve"> LIFE</w:t>
            </w:r>
          </w:p>
          <w:p w14:paraId="35E0DA8C" w14:textId="77777777" w:rsidR="008C697D" w:rsidRPr="00037C61" w:rsidRDefault="008C697D" w:rsidP="008C697D">
            <w:pPr>
              <w:rPr>
                <w:rStyle w:val="IntenseReference"/>
                <w:rFonts w:cstheme="minorHAnsi"/>
                <w:smallCaps w:val="0"/>
                <w:color w:val="auto"/>
                <w:lang w:val="en-GB"/>
              </w:rPr>
            </w:pPr>
          </w:p>
        </w:tc>
      </w:tr>
      <w:tr w:rsidR="008C697D" w:rsidRPr="00037C61" w14:paraId="1BA7CCAD" w14:textId="77777777" w:rsidTr="008C697D">
        <w:tc>
          <w:tcPr>
            <w:tcW w:w="710" w:type="dxa"/>
            <w:shd w:val="clear" w:color="auto" w:fill="BBDAFD" w:themeFill="accent1" w:themeFillTint="33"/>
          </w:tcPr>
          <w:p w14:paraId="6D44D6C7"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2.2.3</w:t>
            </w:r>
          </w:p>
        </w:tc>
        <w:tc>
          <w:tcPr>
            <w:tcW w:w="8306" w:type="dxa"/>
            <w:shd w:val="clear" w:color="auto" w:fill="BBDAFD" w:themeFill="accent1" w:themeFillTint="33"/>
          </w:tcPr>
          <w:p w14:paraId="04F08EED"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ETC specific provisions for 2021-2027</w:t>
            </w:r>
          </w:p>
        </w:tc>
      </w:tr>
      <w:tr w:rsidR="008C697D" w:rsidRPr="004A5488" w14:paraId="2C5F3048" w14:textId="77777777" w:rsidTr="008C697D">
        <w:tc>
          <w:tcPr>
            <w:tcW w:w="710" w:type="dxa"/>
          </w:tcPr>
          <w:p w14:paraId="0F63D3A1" w14:textId="77777777" w:rsidR="008C697D" w:rsidRPr="00037C61" w:rsidRDefault="008C697D" w:rsidP="008C697D">
            <w:pPr>
              <w:rPr>
                <w:rStyle w:val="IntenseReference"/>
                <w:rFonts w:cstheme="minorHAnsi"/>
                <w:smallCaps w:val="0"/>
                <w:color w:val="auto"/>
                <w:lang w:val="en-GB"/>
              </w:rPr>
            </w:pPr>
          </w:p>
        </w:tc>
        <w:tc>
          <w:tcPr>
            <w:tcW w:w="8306" w:type="dxa"/>
          </w:tcPr>
          <w:p w14:paraId="03BA859C"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papers:(20)</w:t>
            </w:r>
            <w:r w:rsidRPr="00037C61">
              <w:rPr>
                <w:rStyle w:val="IntenseReference"/>
                <w:rFonts w:cstheme="minorHAnsi"/>
                <w:b w:val="0"/>
                <w:smallCaps w:val="0"/>
                <w:color w:val="808080" w:themeColor="background1" w:themeShade="80"/>
                <w:lang w:val="en-GB"/>
              </w:rPr>
              <w:t xml:space="preserve"> EC Regulation mechanism for legal and administrative obstacles in a cross-border context</w:t>
            </w:r>
          </w:p>
          <w:p w14:paraId="25A4550A" w14:textId="77777777" w:rsidR="008C697D" w:rsidRPr="00037C61" w:rsidRDefault="008C697D" w:rsidP="008C697D">
            <w:pPr>
              <w:rPr>
                <w:rStyle w:val="IntenseReference"/>
                <w:rFonts w:cstheme="minorHAnsi"/>
                <w:smallCaps w:val="0"/>
                <w:color w:val="auto"/>
                <w:lang w:val="en-GB"/>
              </w:rPr>
            </w:pPr>
          </w:p>
        </w:tc>
      </w:tr>
      <w:tr w:rsidR="008C697D" w:rsidRPr="004A5488" w14:paraId="36E84C63" w14:textId="77777777" w:rsidTr="008C697D">
        <w:tc>
          <w:tcPr>
            <w:tcW w:w="710" w:type="dxa"/>
            <w:shd w:val="clear" w:color="auto" w:fill="BBDAFD" w:themeFill="accent1" w:themeFillTint="33"/>
          </w:tcPr>
          <w:p w14:paraId="5ACC1737"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2.2.4</w:t>
            </w:r>
          </w:p>
        </w:tc>
        <w:tc>
          <w:tcPr>
            <w:tcW w:w="8306" w:type="dxa"/>
            <w:shd w:val="clear" w:color="auto" w:fill="BBDAFD" w:themeFill="accent1" w:themeFillTint="33"/>
          </w:tcPr>
          <w:p w14:paraId="62A389BF"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Integrated tools in cross-border cooperation programmes</w:t>
            </w:r>
          </w:p>
        </w:tc>
      </w:tr>
      <w:tr w:rsidR="008C697D" w:rsidRPr="004A5488" w14:paraId="1DF772CB" w14:textId="77777777" w:rsidTr="008C697D">
        <w:tc>
          <w:tcPr>
            <w:tcW w:w="710" w:type="dxa"/>
          </w:tcPr>
          <w:p w14:paraId="08C7504E" w14:textId="77777777" w:rsidR="008C697D" w:rsidRPr="00037C61" w:rsidRDefault="008C697D" w:rsidP="008C697D">
            <w:pPr>
              <w:rPr>
                <w:rStyle w:val="IntenseReference"/>
                <w:rFonts w:cstheme="minorHAnsi"/>
                <w:smallCaps w:val="0"/>
                <w:color w:val="auto"/>
                <w:lang w:val="en-GB"/>
              </w:rPr>
            </w:pPr>
          </w:p>
        </w:tc>
        <w:tc>
          <w:tcPr>
            <w:tcW w:w="8306" w:type="dxa"/>
          </w:tcPr>
          <w:p w14:paraId="616067BF"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papers:(21)</w:t>
            </w:r>
            <w:r w:rsidRPr="00037C61">
              <w:rPr>
                <w:rStyle w:val="IntenseReference"/>
                <w:rFonts w:cstheme="minorHAnsi"/>
                <w:b w:val="0"/>
                <w:smallCaps w:val="0"/>
                <w:color w:val="808080" w:themeColor="background1" w:themeShade="80"/>
                <w:lang w:val="en-GB"/>
              </w:rPr>
              <w:t xml:space="preserve"> Seventh Report on Economic, Social and Territorial Cohesion; </w:t>
            </w:r>
            <w:r w:rsidRPr="00037C61">
              <w:rPr>
                <w:rStyle w:val="IntenseReference"/>
                <w:rFonts w:cstheme="minorHAnsi"/>
                <w:smallCaps w:val="0"/>
                <w:color w:val="808080" w:themeColor="background1" w:themeShade="80"/>
                <w:lang w:val="en-GB"/>
              </w:rPr>
              <w:t>(22)</w:t>
            </w:r>
            <w:r w:rsidRPr="00037C61">
              <w:rPr>
                <w:rStyle w:val="IntenseReference"/>
                <w:rFonts w:cstheme="minorHAnsi"/>
                <w:b w:val="0"/>
                <w:smallCaps w:val="0"/>
                <w:color w:val="808080" w:themeColor="background1" w:themeShade="80"/>
                <w:lang w:val="en-GB"/>
              </w:rPr>
              <w:t xml:space="preserve"> EU Cohesion Policy Legislative Package 2021-2027; </w:t>
            </w:r>
          </w:p>
          <w:p w14:paraId="4A78F90E" w14:textId="77777777" w:rsidR="008C697D" w:rsidRPr="00037C61" w:rsidRDefault="008C697D" w:rsidP="008C697D">
            <w:pPr>
              <w:rPr>
                <w:rStyle w:val="IntenseReference"/>
                <w:rFonts w:cstheme="minorHAnsi"/>
                <w:smallCaps w:val="0"/>
                <w:color w:val="auto"/>
                <w:lang w:val="en-GB"/>
              </w:rPr>
            </w:pPr>
          </w:p>
        </w:tc>
      </w:tr>
      <w:tr w:rsidR="008C697D" w:rsidRPr="004A5488" w14:paraId="57C3D8A1" w14:textId="77777777" w:rsidTr="008C697D">
        <w:tc>
          <w:tcPr>
            <w:tcW w:w="710" w:type="dxa"/>
            <w:shd w:val="clear" w:color="auto" w:fill="BBDAFD" w:themeFill="accent1" w:themeFillTint="33"/>
          </w:tcPr>
          <w:p w14:paraId="38FB8E05"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2.3</w:t>
            </w:r>
          </w:p>
        </w:tc>
        <w:tc>
          <w:tcPr>
            <w:tcW w:w="8306" w:type="dxa"/>
            <w:shd w:val="clear" w:color="auto" w:fill="BBDAFD" w:themeFill="accent1" w:themeFillTint="33"/>
          </w:tcPr>
          <w:p w14:paraId="2584191B"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Country recommendations (2020) for the cross-border countries</w:t>
            </w:r>
            <w:r w:rsidRPr="00037C61">
              <w:rPr>
                <w:rStyle w:val="IntenseReference"/>
                <w:rFonts w:cstheme="minorHAnsi"/>
                <w:smallCaps w:val="0"/>
                <w:color w:val="auto"/>
                <w:lang w:val="en-GB"/>
              </w:rPr>
              <w:tab/>
            </w:r>
          </w:p>
        </w:tc>
      </w:tr>
      <w:tr w:rsidR="008C697D" w:rsidRPr="004A5488" w14:paraId="2E4E94CA" w14:textId="77777777" w:rsidTr="008C697D">
        <w:tc>
          <w:tcPr>
            <w:tcW w:w="710" w:type="dxa"/>
            <w:shd w:val="clear" w:color="auto" w:fill="BBDAFD" w:themeFill="accent1" w:themeFillTint="33"/>
          </w:tcPr>
          <w:p w14:paraId="0F5A7EB2"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2.3.1</w:t>
            </w:r>
          </w:p>
        </w:tc>
        <w:tc>
          <w:tcPr>
            <w:tcW w:w="8306" w:type="dxa"/>
            <w:shd w:val="clear" w:color="auto" w:fill="BBDAFD" w:themeFill="accent1" w:themeFillTint="33"/>
          </w:tcPr>
          <w:p w14:paraId="1DBB1CDA"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Main challenges and country recommendations for Romania</w:t>
            </w:r>
          </w:p>
        </w:tc>
      </w:tr>
      <w:tr w:rsidR="008C697D" w:rsidRPr="004A5488" w14:paraId="52904BEF" w14:textId="77777777" w:rsidTr="008C697D">
        <w:tc>
          <w:tcPr>
            <w:tcW w:w="710" w:type="dxa"/>
          </w:tcPr>
          <w:p w14:paraId="17AEC8B3" w14:textId="77777777" w:rsidR="008C697D" w:rsidRPr="00037C61" w:rsidRDefault="008C697D" w:rsidP="008C697D">
            <w:pPr>
              <w:rPr>
                <w:rStyle w:val="IntenseReference"/>
                <w:rFonts w:cstheme="minorHAnsi"/>
                <w:smallCaps w:val="0"/>
                <w:color w:val="auto"/>
                <w:lang w:val="en-GB"/>
              </w:rPr>
            </w:pPr>
          </w:p>
        </w:tc>
        <w:tc>
          <w:tcPr>
            <w:tcW w:w="8306" w:type="dxa"/>
          </w:tcPr>
          <w:p w14:paraId="27564129"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papers:(23)</w:t>
            </w:r>
            <w:r w:rsidRPr="00037C61">
              <w:rPr>
                <w:rStyle w:val="IntenseReference"/>
                <w:rFonts w:cstheme="minorHAnsi"/>
                <w:b w:val="0"/>
                <w:smallCaps w:val="0"/>
                <w:color w:val="808080" w:themeColor="background1" w:themeShade="80"/>
                <w:lang w:val="en-GB"/>
              </w:rPr>
              <w:t xml:space="preserve"> Council Recommendation on the 2020 National Reform Programme of Romania</w:t>
            </w:r>
          </w:p>
          <w:p w14:paraId="330E9C56" w14:textId="77777777" w:rsidR="008C697D" w:rsidRPr="00037C61" w:rsidRDefault="008C697D" w:rsidP="008C697D">
            <w:pPr>
              <w:rPr>
                <w:rStyle w:val="IntenseReference"/>
                <w:rFonts w:cstheme="minorHAnsi"/>
                <w:smallCaps w:val="0"/>
                <w:color w:val="auto"/>
                <w:lang w:val="en-GB"/>
              </w:rPr>
            </w:pPr>
          </w:p>
        </w:tc>
      </w:tr>
      <w:tr w:rsidR="008C697D" w:rsidRPr="004A5488" w14:paraId="5A70D222" w14:textId="77777777" w:rsidTr="008C697D">
        <w:tc>
          <w:tcPr>
            <w:tcW w:w="710" w:type="dxa"/>
            <w:shd w:val="clear" w:color="auto" w:fill="BBDAFD" w:themeFill="accent1" w:themeFillTint="33"/>
          </w:tcPr>
          <w:p w14:paraId="04BDEE9D"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2.3.2</w:t>
            </w:r>
          </w:p>
        </w:tc>
        <w:tc>
          <w:tcPr>
            <w:tcW w:w="8306" w:type="dxa"/>
            <w:shd w:val="clear" w:color="auto" w:fill="BBDAFD" w:themeFill="accent1" w:themeFillTint="33"/>
          </w:tcPr>
          <w:p w14:paraId="0577A7E6"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Main challenges and country recommendations for Hungary</w:t>
            </w:r>
          </w:p>
        </w:tc>
      </w:tr>
      <w:tr w:rsidR="008C697D" w:rsidRPr="004A5488" w14:paraId="08E4840C" w14:textId="77777777" w:rsidTr="008C697D">
        <w:tc>
          <w:tcPr>
            <w:tcW w:w="710" w:type="dxa"/>
          </w:tcPr>
          <w:p w14:paraId="353A494E" w14:textId="77777777" w:rsidR="008C697D" w:rsidRPr="00037C61" w:rsidRDefault="008C697D" w:rsidP="008C697D">
            <w:pPr>
              <w:rPr>
                <w:rStyle w:val="IntenseReference"/>
                <w:rFonts w:cstheme="minorHAnsi"/>
                <w:smallCaps w:val="0"/>
                <w:color w:val="auto"/>
                <w:lang w:val="en-GB"/>
              </w:rPr>
            </w:pPr>
          </w:p>
        </w:tc>
        <w:tc>
          <w:tcPr>
            <w:tcW w:w="8306" w:type="dxa"/>
          </w:tcPr>
          <w:p w14:paraId="181AFED8"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papers:(24)</w:t>
            </w:r>
            <w:r w:rsidRPr="00037C61">
              <w:rPr>
                <w:rStyle w:val="IntenseReference"/>
                <w:rFonts w:cstheme="minorHAnsi"/>
                <w:b w:val="0"/>
                <w:smallCaps w:val="0"/>
                <w:color w:val="808080" w:themeColor="background1" w:themeShade="80"/>
                <w:lang w:val="en-GB"/>
              </w:rPr>
              <w:t xml:space="preserve"> Council Recommendation on the 2020 National Reform Programme of Hungary</w:t>
            </w:r>
          </w:p>
          <w:p w14:paraId="5EAF5F36" w14:textId="77777777" w:rsidR="008C697D" w:rsidRPr="00037C61" w:rsidRDefault="008C697D" w:rsidP="008C697D">
            <w:pPr>
              <w:rPr>
                <w:rStyle w:val="IntenseReference"/>
                <w:rFonts w:cstheme="minorHAnsi"/>
                <w:smallCaps w:val="0"/>
                <w:color w:val="auto"/>
                <w:lang w:val="en-GB"/>
              </w:rPr>
            </w:pPr>
          </w:p>
        </w:tc>
      </w:tr>
      <w:tr w:rsidR="008C697D" w:rsidRPr="004A5488" w14:paraId="240F1410" w14:textId="77777777" w:rsidTr="008C697D">
        <w:tc>
          <w:tcPr>
            <w:tcW w:w="710" w:type="dxa"/>
            <w:shd w:val="clear" w:color="auto" w:fill="BBDAFD" w:themeFill="accent1" w:themeFillTint="33"/>
          </w:tcPr>
          <w:p w14:paraId="41AA6347"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lastRenderedPageBreak/>
              <w:t>2.3.3</w:t>
            </w:r>
          </w:p>
        </w:tc>
        <w:tc>
          <w:tcPr>
            <w:tcW w:w="8306" w:type="dxa"/>
            <w:shd w:val="clear" w:color="auto" w:fill="BBDAFD" w:themeFill="accent1" w:themeFillTint="33"/>
          </w:tcPr>
          <w:p w14:paraId="40AF66FF"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Recommendations for the cross-border area between Romania and Hungary for the period 2021-2027</w:t>
            </w:r>
          </w:p>
        </w:tc>
      </w:tr>
      <w:tr w:rsidR="008C697D" w:rsidRPr="004A5488" w14:paraId="08E015C1" w14:textId="77777777" w:rsidTr="008C697D">
        <w:tc>
          <w:tcPr>
            <w:tcW w:w="710" w:type="dxa"/>
          </w:tcPr>
          <w:p w14:paraId="718171F7" w14:textId="77777777" w:rsidR="008C697D" w:rsidRPr="00037C61" w:rsidRDefault="008C697D" w:rsidP="008C697D">
            <w:pPr>
              <w:rPr>
                <w:rStyle w:val="IntenseReference"/>
                <w:rFonts w:cstheme="minorHAnsi"/>
                <w:smallCaps w:val="0"/>
                <w:color w:val="auto"/>
                <w:lang w:val="en-GB"/>
              </w:rPr>
            </w:pPr>
          </w:p>
        </w:tc>
        <w:tc>
          <w:tcPr>
            <w:tcW w:w="8306" w:type="dxa"/>
          </w:tcPr>
          <w:p w14:paraId="0DFE0DDD"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papers:(25)</w:t>
            </w:r>
            <w:r w:rsidRPr="00037C61">
              <w:rPr>
                <w:rStyle w:val="IntenseReference"/>
                <w:rFonts w:cstheme="minorHAnsi"/>
                <w:b w:val="0"/>
                <w:smallCaps w:val="0"/>
                <w:color w:val="808080" w:themeColor="background1" w:themeShade="80"/>
                <w:lang w:val="en-GB"/>
              </w:rPr>
              <w:t xml:space="preserve"> Border Orientation Paper for Romania and Hungary, 2019</w:t>
            </w:r>
          </w:p>
          <w:p w14:paraId="666697F2" w14:textId="77777777" w:rsidR="008C697D" w:rsidRPr="00037C61" w:rsidRDefault="008C697D" w:rsidP="008C697D">
            <w:pPr>
              <w:rPr>
                <w:rStyle w:val="IntenseReference"/>
                <w:rFonts w:cstheme="minorHAnsi"/>
                <w:smallCaps w:val="0"/>
                <w:color w:val="auto"/>
                <w:lang w:val="en-GB"/>
              </w:rPr>
            </w:pPr>
          </w:p>
        </w:tc>
      </w:tr>
      <w:tr w:rsidR="008C697D" w:rsidRPr="004A5488" w14:paraId="0C541DD8" w14:textId="77777777" w:rsidTr="008C697D">
        <w:tc>
          <w:tcPr>
            <w:tcW w:w="710" w:type="dxa"/>
            <w:shd w:val="clear" w:color="auto" w:fill="BBDAFD" w:themeFill="accent1" w:themeFillTint="33"/>
          </w:tcPr>
          <w:p w14:paraId="17AF43BD"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2.4</w:t>
            </w:r>
          </w:p>
        </w:tc>
        <w:tc>
          <w:tcPr>
            <w:tcW w:w="8306" w:type="dxa"/>
            <w:shd w:val="clear" w:color="auto" w:fill="BBDAFD" w:themeFill="accent1" w:themeFillTint="33"/>
          </w:tcPr>
          <w:p w14:paraId="39C66D19"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Relevant macro-region strategies: strategic perspective and lessons learnt</w:t>
            </w:r>
          </w:p>
        </w:tc>
      </w:tr>
      <w:tr w:rsidR="008C697D" w:rsidRPr="00037C61" w14:paraId="74458D7A" w14:textId="77777777" w:rsidTr="008C697D">
        <w:tc>
          <w:tcPr>
            <w:tcW w:w="710" w:type="dxa"/>
          </w:tcPr>
          <w:p w14:paraId="12099F12" w14:textId="77777777" w:rsidR="008C697D" w:rsidRPr="00037C61" w:rsidRDefault="008C697D" w:rsidP="008C697D">
            <w:pPr>
              <w:rPr>
                <w:rStyle w:val="IntenseReference"/>
                <w:rFonts w:cstheme="minorHAnsi"/>
                <w:smallCaps w:val="0"/>
                <w:color w:val="auto"/>
                <w:lang w:val="en-GB"/>
              </w:rPr>
            </w:pPr>
          </w:p>
        </w:tc>
        <w:tc>
          <w:tcPr>
            <w:tcW w:w="8306" w:type="dxa"/>
          </w:tcPr>
          <w:p w14:paraId="1628207A"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papers:(26)</w:t>
            </w:r>
            <w:r w:rsidRPr="00037C61">
              <w:rPr>
                <w:rStyle w:val="IntenseReference"/>
                <w:rFonts w:cstheme="minorHAnsi"/>
                <w:b w:val="0"/>
                <w:smallCaps w:val="0"/>
                <w:color w:val="808080" w:themeColor="background1" w:themeShade="80"/>
                <w:lang w:val="en-GB"/>
              </w:rPr>
              <w:t xml:space="preserve"> EU Strategy for the Danube Region (EUSDR); </w:t>
            </w:r>
            <w:r w:rsidRPr="00037C61">
              <w:rPr>
                <w:rStyle w:val="IntenseReference"/>
                <w:rFonts w:cstheme="minorHAnsi"/>
                <w:smallCaps w:val="0"/>
                <w:color w:val="808080" w:themeColor="background1" w:themeShade="80"/>
                <w:lang w:val="en-GB"/>
              </w:rPr>
              <w:t>(27)</w:t>
            </w:r>
            <w:r w:rsidRPr="00037C61">
              <w:rPr>
                <w:rStyle w:val="IntenseReference"/>
                <w:rFonts w:cstheme="minorHAnsi"/>
                <w:b w:val="0"/>
                <w:smallCaps w:val="0"/>
                <w:color w:val="808080" w:themeColor="background1" w:themeShade="80"/>
                <w:lang w:val="en-GB"/>
              </w:rPr>
              <w:t xml:space="preserve"> EUSDR Action Plan</w:t>
            </w:r>
          </w:p>
          <w:p w14:paraId="1C729EDF" w14:textId="77777777" w:rsidR="008C697D" w:rsidRPr="00037C61" w:rsidRDefault="008C697D" w:rsidP="008C697D">
            <w:pPr>
              <w:rPr>
                <w:rStyle w:val="IntenseReference"/>
                <w:rFonts w:cstheme="minorHAnsi"/>
                <w:smallCaps w:val="0"/>
                <w:color w:val="auto"/>
                <w:lang w:val="en-GB"/>
              </w:rPr>
            </w:pPr>
          </w:p>
        </w:tc>
      </w:tr>
      <w:tr w:rsidR="008C697D" w:rsidRPr="004A5488" w14:paraId="05DCD21E" w14:textId="77777777" w:rsidTr="008C697D">
        <w:tc>
          <w:tcPr>
            <w:tcW w:w="710" w:type="dxa"/>
            <w:shd w:val="clear" w:color="auto" w:fill="0070C0"/>
          </w:tcPr>
          <w:p w14:paraId="2B517191"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3</w:t>
            </w:r>
          </w:p>
        </w:tc>
        <w:tc>
          <w:tcPr>
            <w:tcW w:w="8306" w:type="dxa"/>
            <w:shd w:val="clear" w:color="auto" w:fill="0070C0"/>
          </w:tcPr>
          <w:p w14:paraId="6E7E7F0C"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NATIONAL LEVEL POLICY AND STRATEGY FRAMEWORK</w:t>
            </w:r>
          </w:p>
        </w:tc>
      </w:tr>
      <w:tr w:rsidR="008C697D" w:rsidRPr="004A5488" w14:paraId="0EBC1D83" w14:textId="77777777" w:rsidTr="008C697D">
        <w:tc>
          <w:tcPr>
            <w:tcW w:w="710" w:type="dxa"/>
            <w:shd w:val="clear" w:color="auto" w:fill="BBDAFD" w:themeFill="accent1" w:themeFillTint="33"/>
          </w:tcPr>
          <w:p w14:paraId="03758BF7"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3.1</w:t>
            </w:r>
          </w:p>
        </w:tc>
        <w:tc>
          <w:tcPr>
            <w:tcW w:w="8306" w:type="dxa"/>
            <w:shd w:val="clear" w:color="auto" w:fill="BBDAFD" w:themeFill="accent1" w:themeFillTint="33"/>
          </w:tcPr>
          <w:p w14:paraId="4F8725A5"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Romanian national and sector level policy and strategy framework</w:t>
            </w:r>
          </w:p>
        </w:tc>
      </w:tr>
      <w:tr w:rsidR="008C697D" w:rsidRPr="004A5488" w14:paraId="64B9B2BF" w14:textId="77777777" w:rsidTr="008C697D">
        <w:tc>
          <w:tcPr>
            <w:tcW w:w="710" w:type="dxa"/>
          </w:tcPr>
          <w:p w14:paraId="61C4D3A6" w14:textId="77777777" w:rsidR="008C697D" w:rsidRPr="00037C61" w:rsidRDefault="008C697D" w:rsidP="008C697D">
            <w:pPr>
              <w:rPr>
                <w:rStyle w:val="IntenseReference"/>
                <w:rFonts w:cstheme="minorHAnsi"/>
                <w:smallCaps w:val="0"/>
                <w:color w:val="auto"/>
                <w:lang w:val="en-GB"/>
              </w:rPr>
            </w:pPr>
          </w:p>
        </w:tc>
        <w:tc>
          <w:tcPr>
            <w:tcW w:w="8306" w:type="dxa"/>
          </w:tcPr>
          <w:p w14:paraId="56F875D3"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Documents, papers:(28)</w:t>
            </w:r>
            <w:r w:rsidRPr="00037C61">
              <w:rPr>
                <w:rStyle w:val="IntenseReference"/>
                <w:rFonts w:cstheme="minorHAnsi"/>
                <w:b w:val="0"/>
                <w:smallCaps w:val="0"/>
                <w:color w:val="808080" w:themeColor="background1" w:themeShade="80"/>
                <w:lang w:val="en-GB"/>
              </w:rPr>
              <w:t xml:space="preserve"> The Romania Territorial Development Strategy 2035; </w:t>
            </w:r>
            <w:r w:rsidRPr="00037C61">
              <w:rPr>
                <w:rStyle w:val="IntenseReference"/>
                <w:rFonts w:cstheme="minorHAnsi"/>
                <w:smallCaps w:val="0"/>
                <w:color w:val="808080" w:themeColor="background1" w:themeShade="80"/>
                <w:lang w:val="en-GB"/>
              </w:rPr>
              <w:t>(29)</w:t>
            </w:r>
            <w:r w:rsidRPr="00037C61">
              <w:rPr>
                <w:rStyle w:val="IntenseReference"/>
                <w:rFonts w:cstheme="minorHAnsi"/>
                <w:b w:val="0"/>
                <w:smallCaps w:val="0"/>
                <w:color w:val="808080" w:themeColor="background1" w:themeShade="80"/>
                <w:lang w:val="en-GB"/>
              </w:rPr>
              <w:t xml:space="preserve"> The Partnership Agreement between Romania and the EU for the period 2021-2027; </w:t>
            </w:r>
            <w:r w:rsidRPr="00037C61">
              <w:rPr>
                <w:rStyle w:val="IntenseReference"/>
                <w:rFonts w:cstheme="minorHAnsi"/>
                <w:smallCaps w:val="0"/>
                <w:color w:val="808080" w:themeColor="background1" w:themeShade="80"/>
                <w:lang w:val="en-GB"/>
              </w:rPr>
              <w:t>(30)</w:t>
            </w:r>
            <w:r w:rsidRPr="00037C61">
              <w:rPr>
                <w:rStyle w:val="IntenseReference"/>
                <w:rFonts w:cstheme="minorHAnsi"/>
                <w:b w:val="0"/>
                <w:smallCaps w:val="0"/>
                <w:color w:val="808080" w:themeColor="background1" w:themeShade="80"/>
                <w:lang w:val="en-GB"/>
              </w:rPr>
              <w:t xml:space="preserve"> The Romanian National Strategy for Sustainable Development;</w:t>
            </w:r>
          </w:p>
          <w:p w14:paraId="14CCF66C"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Additional documents (operational programmes): </w:t>
            </w:r>
            <w:r w:rsidRPr="00037C61">
              <w:rPr>
                <w:rStyle w:val="IntenseReference"/>
                <w:rFonts w:cstheme="minorHAnsi"/>
                <w:b w:val="0"/>
                <w:smallCaps w:val="0"/>
                <w:color w:val="808080" w:themeColor="background1" w:themeShade="80"/>
                <w:lang w:val="en-GB"/>
              </w:rPr>
              <w:t>Operational Programme for Smart Growth, Digitalization and Financial Instruments; Operational Programme for Health; Operational Programme for Education and Employment; Operational Programme for Social Inclusion and Dignity; Operational Programme for Sustainable Development; Operational Programme for Transports; 8 Regional Operational Programmes; Operational Programme for Aquaculture and Fishing; Operational Programme for a Just Transition; Technical Assistance Operational Programme;</w:t>
            </w:r>
          </w:p>
          <w:p w14:paraId="16164DC0"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Additional strategies consulted: (31) </w:t>
            </w:r>
            <w:r w:rsidRPr="00037C61">
              <w:rPr>
                <w:rStyle w:val="IntenseReference"/>
                <w:rFonts w:cstheme="minorHAnsi"/>
                <w:b w:val="0"/>
                <w:smallCaps w:val="0"/>
                <w:color w:val="808080" w:themeColor="background1" w:themeShade="80"/>
                <w:lang w:val="en-GB"/>
              </w:rPr>
              <w:t xml:space="preserve">National Programme for Smart Growth, Digitalization and Financial Instruments (draft); </w:t>
            </w:r>
            <w:r w:rsidRPr="00037C61">
              <w:rPr>
                <w:rStyle w:val="IntenseReference"/>
                <w:rFonts w:cstheme="minorHAnsi"/>
                <w:smallCaps w:val="0"/>
                <w:color w:val="808080" w:themeColor="background1" w:themeShade="80"/>
                <w:lang w:val="en-GB"/>
              </w:rPr>
              <w:t>(32)</w:t>
            </w:r>
            <w:r w:rsidRPr="00037C61">
              <w:rPr>
                <w:rStyle w:val="IntenseReference"/>
                <w:rFonts w:cstheme="minorHAnsi"/>
                <w:b w:val="0"/>
                <w:smallCaps w:val="0"/>
                <w:color w:val="808080" w:themeColor="background1" w:themeShade="80"/>
                <w:lang w:val="en-GB"/>
              </w:rPr>
              <w:t xml:space="preserve"> Integrated National Plan for Energy and Climate Change; </w:t>
            </w:r>
            <w:r w:rsidRPr="00037C61">
              <w:rPr>
                <w:rStyle w:val="IntenseReference"/>
                <w:rFonts w:cstheme="minorHAnsi"/>
                <w:smallCaps w:val="0"/>
                <w:color w:val="808080" w:themeColor="background1" w:themeShade="80"/>
                <w:lang w:val="en-GB"/>
              </w:rPr>
              <w:t>(33)</w:t>
            </w:r>
            <w:r w:rsidRPr="00037C61">
              <w:rPr>
                <w:rStyle w:val="IntenseReference"/>
                <w:rFonts w:cstheme="minorHAnsi"/>
                <w:b w:val="0"/>
                <w:smallCaps w:val="0"/>
                <w:color w:val="808080" w:themeColor="background1" w:themeShade="80"/>
                <w:lang w:val="en-GB"/>
              </w:rPr>
              <w:t xml:space="preserve"> Investment Plan for the development of transport infrastructure for 2020-2030; </w:t>
            </w:r>
            <w:r w:rsidRPr="00037C61">
              <w:rPr>
                <w:rStyle w:val="IntenseReference"/>
                <w:rFonts w:cstheme="minorHAnsi"/>
                <w:smallCaps w:val="0"/>
                <w:color w:val="808080" w:themeColor="background1" w:themeShade="80"/>
                <w:lang w:val="en-GB"/>
              </w:rPr>
              <w:t xml:space="preserve">(34) </w:t>
            </w:r>
            <w:r w:rsidRPr="00037C61">
              <w:rPr>
                <w:rStyle w:val="IntenseReference"/>
                <w:rFonts w:cstheme="minorHAnsi"/>
                <w:b w:val="0"/>
                <w:smallCaps w:val="0"/>
                <w:color w:val="808080" w:themeColor="background1" w:themeShade="80"/>
                <w:lang w:val="en-GB"/>
              </w:rPr>
              <w:t xml:space="preserve">National Strategy for the Development of Ecotourism in Romania 2017-2026; </w:t>
            </w:r>
            <w:r w:rsidRPr="00037C61">
              <w:rPr>
                <w:rStyle w:val="IntenseReference"/>
                <w:rFonts w:cstheme="minorHAnsi"/>
                <w:smallCaps w:val="0"/>
                <w:color w:val="808080" w:themeColor="background1" w:themeShade="80"/>
                <w:lang w:val="en-GB"/>
              </w:rPr>
              <w:t>(35)</w:t>
            </w:r>
            <w:r w:rsidRPr="00037C61">
              <w:rPr>
                <w:rStyle w:val="IntenseReference"/>
                <w:rFonts w:cstheme="minorHAnsi"/>
                <w:b w:val="0"/>
                <w:smallCaps w:val="0"/>
                <w:color w:val="808080" w:themeColor="background1" w:themeShade="80"/>
                <w:lang w:val="en-GB"/>
              </w:rPr>
              <w:t xml:space="preserve"> Health Operational Programme 2021-2027 (draft); </w:t>
            </w:r>
            <w:r w:rsidRPr="00037C61">
              <w:rPr>
                <w:rStyle w:val="IntenseReference"/>
                <w:rFonts w:cstheme="minorHAnsi"/>
                <w:smallCaps w:val="0"/>
                <w:color w:val="808080" w:themeColor="background1" w:themeShade="80"/>
                <w:lang w:val="en-GB"/>
              </w:rPr>
              <w:t>(36)</w:t>
            </w:r>
            <w:r w:rsidRPr="00037C61">
              <w:rPr>
                <w:rStyle w:val="IntenseReference"/>
                <w:rFonts w:cstheme="minorHAnsi"/>
                <w:b w:val="0"/>
                <w:smallCaps w:val="0"/>
                <w:color w:val="808080" w:themeColor="background1" w:themeShade="80"/>
                <w:lang w:val="en-GB"/>
              </w:rPr>
              <w:t xml:space="preserve"> Education and Employment Operational Programme 2021-2027 (draft); </w:t>
            </w:r>
            <w:r w:rsidRPr="00037C61">
              <w:rPr>
                <w:rStyle w:val="IntenseReference"/>
                <w:rFonts w:cstheme="minorHAnsi"/>
                <w:smallCaps w:val="0"/>
                <w:color w:val="808080" w:themeColor="background1" w:themeShade="80"/>
                <w:lang w:val="en-GB"/>
              </w:rPr>
              <w:t xml:space="preserve">(37) </w:t>
            </w:r>
            <w:r w:rsidRPr="00037C61">
              <w:rPr>
                <w:rStyle w:val="IntenseReference"/>
                <w:rFonts w:cstheme="minorHAnsi"/>
                <w:b w:val="0"/>
                <w:smallCaps w:val="0"/>
                <w:color w:val="808080" w:themeColor="background1" w:themeShade="80"/>
                <w:lang w:val="en-GB"/>
              </w:rPr>
              <w:t xml:space="preserve">National Strategy “Educated Romania”; </w:t>
            </w:r>
            <w:r w:rsidRPr="00037C61">
              <w:rPr>
                <w:rStyle w:val="IntenseReference"/>
                <w:rFonts w:cstheme="minorHAnsi"/>
                <w:smallCaps w:val="0"/>
                <w:color w:val="808080" w:themeColor="background1" w:themeShade="80"/>
                <w:lang w:val="en-GB"/>
              </w:rPr>
              <w:t>(38)</w:t>
            </w:r>
            <w:r w:rsidRPr="00037C61">
              <w:rPr>
                <w:rStyle w:val="IntenseReference"/>
                <w:rFonts w:cstheme="minorHAnsi"/>
                <w:b w:val="0"/>
                <w:smallCaps w:val="0"/>
                <w:color w:val="808080" w:themeColor="background1" w:themeShade="80"/>
                <w:lang w:val="en-GB"/>
              </w:rPr>
              <w:t xml:space="preserve"> New Code of Public Administration adopted in 2019 (OUG n. 57/2019); </w:t>
            </w:r>
            <w:r w:rsidRPr="00037C61">
              <w:rPr>
                <w:rStyle w:val="IntenseReference"/>
                <w:rFonts w:cstheme="minorHAnsi"/>
                <w:smallCaps w:val="0"/>
                <w:color w:val="808080" w:themeColor="background1" w:themeShade="80"/>
                <w:lang w:val="en-GB"/>
              </w:rPr>
              <w:t xml:space="preserve">(39) </w:t>
            </w:r>
            <w:r w:rsidRPr="00037C61">
              <w:rPr>
                <w:rStyle w:val="IntenseReference"/>
                <w:rFonts w:cstheme="minorHAnsi"/>
                <w:b w:val="0"/>
                <w:smallCaps w:val="0"/>
                <w:color w:val="808080" w:themeColor="background1" w:themeShade="80"/>
                <w:lang w:val="en-GB"/>
              </w:rPr>
              <w:t xml:space="preserve">National Strategy for Research, Technological Development and Innovation 2021-2027, and the National Smart Specialization Strategy 2021-2027; </w:t>
            </w:r>
            <w:r w:rsidRPr="00037C61">
              <w:rPr>
                <w:rStyle w:val="IntenseReference"/>
                <w:rFonts w:cstheme="minorHAnsi"/>
                <w:smallCaps w:val="0"/>
                <w:color w:val="808080" w:themeColor="background1" w:themeShade="80"/>
                <w:lang w:val="en-GB"/>
              </w:rPr>
              <w:t xml:space="preserve">(40) </w:t>
            </w:r>
            <w:r w:rsidRPr="00037C61">
              <w:rPr>
                <w:rStyle w:val="IntenseReference"/>
                <w:rFonts w:cstheme="minorHAnsi"/>
                <w:b w:val="0"/>
                <w:smallCaps w:val="0"/>
                <w:color w:val="808080" w:themeColor="background1" w:themeShade="80"/>
                <w:lang w:val="en-GB"/>
              </w:rPr>
              <w:t xml:space="preserve">The National Competitiveness Strategy 2014-2020; </w:t>
            </w:r>
            <w:r w:rsidRPr="00037C61">
              <w:rPr>
                <w:rStyle w:val="IntenseReference"/>
                <w:rFonts w:cstheme="minorHAnsi"/>
                <w:smallCaps w:val="0"/>
                <w:color w:val="808080" w:themeColor="background1" w:themeShade="80"/>
                <w:lang w:val="en-GB"/>
              </w:rPr>
              <w:t xml:space="preserve">(41) </w:t>
            </w:r>
            <w:r w:rsidRPr="00037C61">
              <w:rPr>
                <w:rStyle w:val="IntenseReference"/>
                <w:rFonts w:cstheme="minorHAnsi"/>
                <w:b w:val="0"/>
                <w:smallCaps w:val="0"/>
                <w:color w:val="808080" w:themeColor="background1" w:themeShade="80"/>
                <w:lang w:val="en-GB"/>
              </w:rPr>
              <w:t xml:space="preserve">The National Strategy for Climate Change 2013-2020; </w:t>
            </w:r>
            <w:r w:rsidRPr="00037C61">
              <w:rPr>
                <w:rStyle w:val="IntenseReference"/>
                <w:rFonts w:cstheme="minorHAnsi"/>
                <w:smallCaps w:val="0"/>
                <w:color w:val="808080" w:themeColor="background1" w:themeShade="80"/>
                <w:lang w:val="en-GB"/>
              </w:rPr>
              <w:t xml:space="preserve">(42) </w:t>
            </w:r>
            <w:r w:rsidRPr="00037C61">
              <w:rPr>
                <w:rStyle w:val="IntenseReference"/>
                <w:rFonts w:cstheme="minorHAnsi"/>
                <w:b w:val="0"/>
                <w:smallCaps w:val="0"/>
                <w:color w:val="808080" w:themeColor="background1" w:themeShade="80"/>
                <w:lang w:val="en-GB"/>
              </w:rPr>
              <w:t xml:space="preserve">The National Energy Strategy 2007-2020; </w:t>
            </w:r>
            <w:r w:rsidRPr="00037C61">
              <w:rPr>
                <w:rStyle w:val="IntenseReference"/>
                <w:rFonts w:cstheme="minorHAnsi"/>
                <w:smallCaps w:val="0"/>
                <w:color w:val="808080" w:themeColor="background1" w:themeShade="80"/>
                <w:lang w:val="en-GB"/>
              </w:rPr>
              <w:t xml:space="preserve">(43) </w:t>
            </w:r>
            <w:r w:rsidRPr="00037C61">
              <w:rPr>
                <w:rStyle w:val="IntenseReference"/>
                <w:rFonts w:cstheme="minorHAnsi"/>
                <w:b w:val="0"/>
                <w:smallCaps w:val="0"/>
                <w:color w:val="808080" w:themeColor="background1" w:themeShade="80"/>
                <w:lang w:val="en-GB"/>
              </w:rPr>
              <w:t xml:space="preserve">The Master Plan for Transports; </w:t>
            </w:r>
            <w:r w:rsidRPr="00037C61">
              <w:rPr>
                <w:rStyle w:val="IntenseReference"/>
                <w:rFonts w:cstheme="minorHAnsi"/>
                <w:smallCaps w:val="0"/>
                <w:color w:val="808080" w:themeColor="background1" w:themeShade="80"/>
                <w:lang w:val="en-GB"/>
              </w:rPr>
              <w:t>(44)</w:t>
            </w:r>
            <w:r w:rsidRPr="00037C61">
              <w:rPr>
                <w:rStyle w:val="IntenseReference"/>
                <w:rFonts w:cstheme="minorHAnsi"/>
                <w:b w:val="0"/>
                <w:smallCaps w:val="0"/>
                <w:color w:val="808080" w:themeColor="background1" w:themeShade="80"/>
                <w:lang w:val="en-GB"/>
              </w:rPr>
              <w:t xml:space="preserve"> The National Strategy for the Health Sector 2014-2020; </w:t>
            </w:r>
            <w:r w:rsidRPr="00037C61">
              <w:rPr>
                <w:rStyle w:val="IntenseReference"/>
                <w:rFonts w:cstheme="minorHAnsi"/>
                <w:smallCaps w:val="0"/>
                <w:color w:val="808080" w:themeColor="background1" w:themeShade="80"/>
                <w:lang w:val="en-GB"/>
              </w:rPr>
              <w:t xml:space="preserve">(45) </w:t>
            </w:r>
            <w:r w:rsidRPr="00037C61">
              <w:rPr>
                <w:rStyle w:val="IntenseReference"/>
                <w:rFonts w:cstheme="minorHAnsi"/>
                <w:b w:val="0"/>
                <w:smallCaps w:val="0"/>
                <w:color w:val="808080" w:themeColor="background1" w:themeShade="80"/>
                <w:lang w:val="en-GB"/>
              </w:rPr>
              <w:t xml:space="preserve">The National Strategy for Social Inclusion and Equal Opportunities post 2020; </w:t>
            </w:r>
            <w:r w:rsidRPr="00037C61">
              <w:rPr>
                <w:rStyle w:val="IntenseReference"/>
                <w:rFonts w:cstheme="minorHAnsi"/>
                <w:smallCaps w:val="0"/>
                <w:color w:val="808080" w:themeColor="background1" w:themeShade="80"/>
                <w:lang w:val="en-GB"/>
              </w:rPr>
              <w:t>(46)</w:t>
            </w:r>
            <w:r w:rsidRPr="00037C61">
              <w:rPr>
                <w:rStyle w:val="IntenseReference"/>
                <w:rFonts w:cstheme="minorHAnsi"/>
                <w:b w:val="0"/>
                <w:smallCaps w:val="0"/>
                <w:color w:val="808080" w:themeColor="background1" w:themeShade="80"/>
                <w:lang w:val="en-GB"/>
              </w:rPr>
              <w:t xml:space="preserve"> National Strategy of the National Agency for Employment 2021-2027; </w:t>
            </w:r>
            <w:r w:rsidRPr="00037C61">
              <w:rPr>
                <w:rStyle w:val="IntenseReference"/>
                <w:rFonts w:cstheme="minorHAnsi"/>
                <w:smallCaps w:val="0"/>
                <w:color w:val="808080" w:themeColor="background1" w:themeShade="80"/>
                <w:lang w:val="en-GB"/>
              </w:rPr>
              <w:t xml:space="preserve">(47) </w:t>
            </w:r>
            <w:r w:rsidRPr="00037C61">
              <w:rPr>
                <w:rStyle w:val="IntenseReference"/>
                <w:rFonts w:cstheme="minorHAnsi"/>
                <w:b w:val="0"/>
                <w:smallCaps w:val="0"/>
                <w:color w:val="808080" w:themeColor="background1" w:themeShade="80"/>
                <w:lang w:val="en-GB"/>
              </w:rPr>
              <w:t xml:space="preserve">National Strategy for the Consolidation of Public Administration 2014-2020; </w:t>
            </w:r>
            <w:r w:rsidRPr="00037C61">
              <w:rPr>
                <w:rStyle w:val="IntenseReference"/>
                <w:rFonts w:cstheme="minorHAnsi"/>
                <w:smallCaps w:val="0"/>
                <w:color w:val="808080" w:themeColor="background1" w:themeShade="80"/>
                <w:lang w:val="en-GB"/>
              </w:rPr>
              <w:t xml:space="preserve">(48) </w:t>
            </w:r>
            <w:r w:rsidRPr="00037C61">
              <w:rPr>
                <w:rStyle w:val="IntenseReference"/>
                <w:rFonts w:cstheme="minorHAnsi"/>
                <w:b w:val="0"/>
                <w:smallCaps w:val="0"/>
                <w:color w:val="808080" w:themeColor="background1" w:themeShade="80"/>
                <w:lang w:val="en-GB"/>
              </w:rPr>
              <w:t>The Master Plan for Tourism 2007-2026;</w:t>
            </w:r>
          </w:p>
          <w:p w14:paraId="70B18149" w14:textId="77777777" w:rsidR="008C697D" w:rsidRPr="00037C61" w:rsidRDefault="008C697D" w:rsidP="008C697D">
            <w:pPr>
              <w:rPr>
                <w:rStyle w:val="IntenseReference"/>
                <w:rFonts w:cstheme="minorHAnsi"/>
                <w:smallCaps w:val="0"/>
                <w:color w:val="auto"/>
                <w:lang w:val="en-GB"/>
              </w:rPr>
            </w:pPr>
          </w:p>
        </w:tc>
      </w:tr>
      <w:tr w:rsidR="008C697D" w:rsidRPr="004A5488" w14:paraId="7CF7691B" w14:textId="77777777" w:rsidTr="008C697D">
        <w:tc>
          <w:tcPr>
            <w:tcW w:w="710" w:type="dxa"/>
            <w:shd w:val="clear" w:color="auto" w:fill="BBDAFD" w:themeFill="accent1" w:themeFillTint="33"/>
          </w:tcPr>
          <w:p w14:paraId="430B3283"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3.2</w:t>
            </w:r>
          </w:p>
        </w:tc>
        <w:tc>
          <w:tcPr>
            <w:tcW w:w="8306" w:type="dxa"/>
            <w:shd w:val="clear" w:color="auto" w:fill="BBDAFD" w:themeFill="accent1" w:themeFillTint="33"/>
          </w:tcPr>
          <w:p w14:paraId="1F9D9F5D"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Hungarian national and sector level policy and strategy framework</w:t>
            </w:r>
          </w:p>
        </w:tc>
      </w:tr>
      <w:tr w:rsidR="008C697D" w:rsidRPr="004A5488" w14:paraId="2CF8DA88" w14:textId="77777777" w:rsidTr="008C697D">
        <w:tc>
          <w:tcPr>
            <w:tcW w:w="710" w:type="dxa"/>
          </w:tcPr>
          <w:p w14:paraId="3A882519" w14:textId="77777777" w:rsidR="008C697D" w:rsidRPr="00037C61" w:rsidRDefault="008C697D" w:rsidP="008C697D">
            <w:pPr>
              <w:rPr>
                <w:rStyle w:val="IntenseReference"/>
                <w:rFonts w:cstheme="minorHAnsi"/>
                <w:smallCaps w:val="0"/>
                <w:color w:val="auto"/>
                <w:lang w:val="en-GB"/>
              </w:rPr>
            </w:pPr>
          </w:p>
        </w:tc>
        <w:tc>
          <w:tcPr>
            <w:tcW w:w="8306" w:type="dxa"/>
          </w:tcPr>
          <w:p w14:paraId="14040654"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papers:(49) </w:t>
            </w:r>
            <w:r w:rsidRPr="00037C61">
              <w:rPr>
                <w:rStyle w:val="IntenseReference"/>
                <w:rFonts w:cstheme="minorHAnsi"/>
                <w:b w:val="0"/>
                <w:smallCaps w:val="0"/>
                <w:color w:val="808080" w:themeColor="background1" w:themeShade="80"/>
                <w:lang w:val="en-GB"/>
              </w:rPr>
              <w:t xml:space="preserve">The National Landscape Strategy (2017-2026) for Hungary; </w:t>
            </w:r>
            <w:r w:rsidRPr="00037C61">
              <w:rPr>
                <w:rStyle w:val="IntenseReference"/>
                <w:rFonts w:cstheme="minorHAnsi"/>
                <w:smallCaps w:val="0"/>
                <w:color w:val="808080" w:themeColor="background1" w:themeShade="80"/>
                <w:lang w:val="en-GB"/>
              </w:rPr>
              <w:t>(50)</w:t>
            </w:r>
            <w:r w:rsidRPr="00037C61">
              <w:rPr>
                <w:rStyle w:val="IntenseReference"/>
                <w:rFonts w:cstheme="minorHAnsi"/>
                <w:b w:val="0"/>
                <w:smallCaps w:val="0"/>
                <w:color w:val="808080" w:themeColor="background1" w:themeShade="80"/>
                <w:lang w:val="en-GB"/>
              </w:rPr>
              <w:t xml:space="preserve"> The National Development and Territorial Concept for Hungary 2030; </w:t>
            </w:r>
            <w:r w:rsidRPr="00037C61">
              <w:rPr>
                <w:rStyle w:val="IntenseReference"/>
                <w:rFonts w:cstheme="minorHAnsi"/>
                <w:smallCaps w:val="0"/>
                <w:color w:val="808080" w:themeColor="background1" w:themeShade="80"/>
                <w:lang w:val="en-GB"/>
              </w:rPr>
              <w:t>(51)</w:t>
            </w:r>
            <w:r w:rsidRPr="00037C61">
              <w:rPr>
                <w:rStyle w:val="IntenseReference"/>
                <w:rFonts w:cstheme="minorHAnsi"/>
                <w:b w:val="0"/>
                <w:smallCaps w:val="0"/>
                <w:color w:val="808080" w:themeColor="background1" w:themeShade="80"/>
                <w:lang w:val="en-GB"/>
              </w:rPr>
              <w:t xml:space="preserve"> The Partnership Agreement between Hungary and the EU for the period 2021-2027; </w:t>
            </w:r>
            <w:r w:rsidRPr="00037C61">
              <w:rPr>
                <w:rStyle w:val="IntenseReference"/>
                <w:rFonts w:cstheme="minorHAnsi"/>
                <w:smallCaps w:val="0"/>
                <w:color w:val="808080" w:themeColor="background1" w:themeShade="80"/>
                <w:lang w:val="en-GB"/>
              </w:rPr>
              <w:t>(52)</w:t>
            </w:r>
            <w:r w:rsidRPr="00037C61">
              <w:rPr>
                <w:rStyle w:val="IntenseReference"/>
                <w:rFonts w:cstheme="minorHAnsi"/>
                <w:b w:val="0"/>
                <w:smallCaps w:val="0"/>
                <w:color w:val="808080" w:themeColor="background1" w:themeShade="80"/>
                <w:lang w:val="en-GB"/>
              </w:rPr>
              <w:t xml:space="preserve"> The Hungarian National Framework Strategy for Sustainable Development 2012-2024; </w:t>
            </w:r>
          </w:p>
          <w:p w14:paraId="79737A9C"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Additional documents (operational programmes): </w:t>
            </w:r>
            <w:r w:rsidRPr="00037C61">
              <w:rPr>
                <w:rStyle w:val="IntenseReference"/>
                <w:rFonts w:cstheme="minorHAnsi"/>
                <w:b w:val="0"/>
                <w:smallCaps w:val="0"/>
                <w:color w:val="808080" w:themeColor="background1" w:themeShade="80"/>
                <w:lang w:val="en-GB"/>
              </w:rPr>
              <w:t>Operational Programme for Business Development and Innovation (VINOP); Green Infrastructure and Climate Protection Operational Programme (ZIKOP); Mobility Operational Programme (MIOP); Competitive Hungary Operational Programme (VMOP); Operational Programme for Human Development (HOP); Digital Renewal Operational Programme (DIMOP); Hungarian Aquaculture Development Operational Programme;</w:t>
            </w:r>
          </w:p>
          <w:p w14:paraId="5E33B86B" w14:textId="77777777" w:rsidR="008C697D" w:rsidRPr="00037C61" w:rsidRDefault="008C697D" w:rsidP="008C697D">
            <w:pPr>
              <w:rPr>
                <w:rStyle w:val="IntenseReference"/>
                <w:rFonts w:cstheme="minorHAnsi"/>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Additional strategies consulted: (53) </w:t>
            </w:r>
            <w:r w:rsidRPr="00037C61">
              <w:rPr>
                <w:rStyle w:val="IntenseReference"/>
                <w:rFonts w:cstheme="minorHAnsi"/>
                <w:b w:val="0"/>
                <w:smallCaps w:val="0"/>
                <w:color w:val="808080" w:themeColor="background1" w:themeShade="80"/>
                <w:lang w:val="en-GB"/>
              </w:rPr>
              <w:t xml:space="preserve">Hungarian Reformed Church Development Strategy for tourism and rural development for 2014-2020; </w:t>
            </w:r>
            <w:r w:rsidRPr="00037C61">
              <w:rPr>
                <w:rStyle w:val="IntenseReference"/>
                <w:rFonts w:cstheme="minorHAnsi"/>
                <w:smallCaps w:val="0"/>
                <w:color w:val="808080" w:themeColor="background1" w:themeShade="80"/>
                <w:lang w:val="en-GB"/>
              </w:rPr>
              <w:t>(54)</w:t>
            </w:r>
            <w:r w:rsidRPr="00037C61">
              <w:rPr>
                <w:rStyle w:val="IntenseReference"/>
                <w:rFonts w:cstheme="minorHAnsi"/>
                <w:b w:val="0"/>
                <w:smallCaps w:val="0"/>
                <w:color w:val="808080" w:themeColor="background1" w:themeShade="80"/>
                <w:lang w:val="en-GB"/>
              </w:rPr>
              <w:t xml:space="preserve"> Programme for Digital </w:t>
            </w:r>
            <w:r w:rsidRPr="00037C61">
              <w:rPr>
                <w:rStyle w:val="IntenseReference"/>
                <w:rFonts w:cstheme="minorHAnsi"/>
                <w:b w:val="0"/>
                <w:smallCaps w:val="0"/>
                <w:color w:val="808080" w:themeColor="background1" w:themeShade="80"/>
                <w:lang w:val="en-GB"/>
              </w:rPr>
              <w:lastRenderedPageBreak/>
              <w:t xml:space="preserve">Well-being 2.0; </w:t>
            </w:r>
            <w:r w:rsidRPr="00037C61">
              <w:rPr>
                <w:rStyle w:val="IntenseReference"/>
                <w:rFonts w:cstheme="minorHAnsi"/>
                <w:smallCaps w:val="0"/>
                <w:color w:val="808080" w:themeColor="background1" w:themeShade="80"/>
                <w:lang w:val="en-GB"/>
              </w:rPr>
              <w:t>(55)</w:t>
            </w:r>
            <w:r w:rsidRPr="00037C61">
              <w:rPr>
                <w:rStyle w:val="IntenseReference"/>
                <w:rFonts w:cstheme="minorHAnsi"/>
                <w:b w:val="0"/>
                <w:smallCaps w:val="0"/>
                <w:color w:val="808080" w:themeColor="background1" w:themeShade="80"/>
                <w:lang w:val="en-GB"/>
              </w:rPr>
              <w:t xml:space="preserve"> National Strategy for Strengthening Hungarian SME’s 2019-2030; </w:t>
            </w:r>
            <w:r w:rsidRPr="00037C61">
              <w:rPr>
                <w:rStyle w:val="IntenseReference"/>
                <w:rFonts w:cstheme="minorHAnsi"/>
                <w:smallCaps w:val="0"/>
                <w:color w:val="808080" w:themeColor="background1" w:themeShade="80"/>
                <w:lang w:val="en-GB"/>
              </w:rPr>
              <w:t>(56)</w:t>
            </w:r>
            <w:r w:rsidRPr="00037C61">
              <w:rPr>
                <w:rStyle w:val="IntenseReference"/>
                <w:rFonts w:cstheme="minorHAnsi"/>
                <w:b w:val="0"/>
                <w:smallCaps w:val="0"/>
                <w:color w:val="808080" w:themeColor="background1" w:themeShade="80"/>
                <w:lang w:val="en-GB"/>
              </w:rPr>
              <w:t xml:space="preserve"> National Plan for Energy and Climate 2030; </w:t>
            </w:r>
            <w:r w:rsidRPr="00037C61">
              <w:rPr>
                <w:rStyle w:val="IntenseReference"/>
                <w:rFonts w:cstheme="minorHAnsi"/>
                <w:smallCaps w:val="0"/>
                <w:color w:val="808080" w:themeColor="background1" w:themeShade="80"/>
                <w:lang w:val="en-GB"/>
              </w:rPr>
              <w:t>(57)</w:t>
            </w:r>
            <w:r w:rsidRPr="00037C61">
              <w:rPr>
                <w:rStyle w:val="IntenseReference"/>
                <w:rFonts w:cstheme="minorHAnsi"/>
                <w:b w:val="0"/>
                <w:smallCaps w:val="0"/>
                <w:color w:val="808080" w:themeColor="background1" w:themeShade="80"/>
                <w:lang w:val="en-GB"/>
              </w:rPr>
              <w:t xml:space="preserve"> National Strategy for the Development of Transport Infrastructure 2014 – 2050; </w:t>
            </w:r>
            <w:r w:rsidRPr="00037C61">
              <w:rPr>
                <w:rStyle w:val="IntenseReference"/>
                <w:rFonts w:cstheme="minorHAnsi"/>
                <w:smallCaps w:val="0"/>
                <w:color w:val="808080" w:themeColor="background1" w:themeShade="80"/>
                <w:lang w:val="en-GB"/>
              </w:rPr>
              <w:t>(58)</w:t>
            </w:r>
            <w:r w:rsidRPr="00037C61">
              <w:rPr>
                <w:rStyle w:val="IntenseReference"/>
                <w:rFonts w:cstheme="minorHAnsi"/>
                <w:b w:val="0"/>
                <w:smallCaps w:val="0"/>
                <w:color w:val="808080" w:themeColor="background1" w:themeShade="80"/>
                <w:lang w:val="en-GB"/>
              </w:rPr>
              <w:t xml:space="preserve"> 4.0 – Medium-term Policy Strategy for the Renewal of Vocational Education and Training, The Vocational Training System’s Response to the Challenges of the Fourth Industrial Revolution; </w:t>
            </w:r>
            <w:r w:rsidRPr="00037C61">
              <w:rPr>
                <w:rStyle w:val="IntenseReference"/>
                <w:rFonts w:cstheme="minorHAnsi"/>
                <w:smallCaps w:val="0"/>
                <w:color w:val="808080" w:themeColor="background1" w:themeShade="80"/>
                <w:lang w:val="en-GB"/>
              </w:rPr>
              <w:t>(59)</w:t>
            </w:r>
            <w:r w:rsidRPr="00037C61">
              <w:rPr>
                <w:rStyle w:val="IntenseReference"/>
                <w:rFonts w:cstheme="minorHAnsi"/>
                <w:b w:val="0"/>
                <w:smallCaps w:val="0"/>
                <w:color w:val="808080" w:themeColor="background1" w:themeShade="80"/>
                <w:lang w:val="en-GB"/>
              </w:rPr>
              <w:t xml:space="preserve"> National Tourism Development Strategy 2030</w:t>
            </w:r>
          </w:p>
          <w:p w14:paraId="0136C38E" w14:textId="77777777" w:rsidR="008C697D" w:rsidRPr="00037C61" w:rsidRDefault="008C697D" w:rsidP="008C697D">
            <w:pPr>
              <w:rPr>
                <w:rStyle w:val="IntenseReference"/>
                <w:rFonts w:cstheme="minorHAnsi"/>
                <w:smallCaps w:val="0"/>
                <w:color w:val="auto"/>
                <w:lang w:val="en-GB"/>
              </w:rPr>
            </w:pPr>
          </w:p>
        </w:tc>
      </w:tr>
      <w:tr w:rsidR="008C697D" w:rsidRPr="004A5488" w14:paraId="74BE78EF" w14:textId="77777777" w:rsidTr="008C697D">
        <w:tc>
          <w:tcPr>
            <w:tcW w:w="710" w:type="dxa"/>
            <w:shd w:val="clear" w:color="auto" w:fill="0070C0"/>
          </w:tcPr>
          <w:p w14:paraId="61E452DF"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lastRenderedPageBreak/>
              <w:t>4</w:t>
            </w:r>
          </w:p>
        </w:tc>
        <w:tc>
          <w:tcPr>
            <w:tcW w:w="8306" w:type="dxa"/>
            <w:shd w:val="clear" w:color="auto" w:fill="0070C0"/>
          </w:tcPr>
          <w:p w14:paraId="0F4C1496"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REGIONAL LEVEL POLICY AND STRATEGY FRAMEWORK</w:t>
            </w:r>
          </w:p>
        </w:tc>
      </w:tr>
      <w:tr w:rsidR="008C697D" w:rsidRPr="004A5488" w14:paraId="2913382C" w14:textId="77777777" w:rsidTr="008C697D">
        <w:tc>
          <w:tcPr>
            <w:tcW w:w="710" w:type="dxa"/>
            <w:shd w:val="clear" w:color="auto" w:fill="BBDAFD" w:themeFill="accent1" w:themeFillTint="33"/>
          </w:tcPr>
          <w:p w14:paraId="4A325CBD"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4.1</w:t>
            </w:r>
          </w:p>
        </w:tc>
        <w:tc>
          <w:tcPr>
            <w:tcW w:w="8306" w:type="dxa"/>
            <w:shd w:val="clear" w:color="auto" w:fill="BBDAFD" w:themeFill="accent1" w:themeFillTint="33"/>
          </w:tcPr>
          <w:p w14:paraId="091C9881"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Romanian regional level policy and strategy framework</w:t>
            </w:r>
          </w:p>
        </w:tc>
      </w:tr>
      <w:tr w:rsidR="008C697D" w:rsidRPr="004A5488" w14:paraId="73D32380" w14:textId="77777777" w:rsidTr="008C697D">
        <w:tc>
          <w:tcPr>
            <w:tcW w:w="710" w:type="dxa"/>
          </w:tcPr>
          <w:p w14:paraId="615EC95F" w14:textId="77777777" w:rsidR="008C697D" w:rsidRPr="00037C61" w:rsidRDefault="008C697D" w:rsidP="008C697D">
            <w:pPr>
              <w:rPr>
                <w:rStyle w:val="IntenseReference"/>
                <w:rFonts w:cstheme="minorHAnsi"/>
                <w:smallCaps w:val="0"/>
                <w:color w:val="auto"/>
                <w:lang w:val="en-GB"/>
              </w:rPr>
            </w:pPr>
          </w:p>
        </w:tc>
        <w:tc>
          <w:tcPr>
            <w:tcW w:w="8306" w:type="dxa"/>
          </w:tcPr>
          <w:p w14:paraId="0C60361B"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papers:(60) </w:t>
            </w:r>
            <w:r w:rsidRPr="00037C61">
              <w:rPr>
                <w:rStyle w:val="IntenseReference"/>
                <w:rFonts w:cstheme="minorHAnsi"/>
                <w:b w:val="0"/>
                <w:smallCaps w:val="0"/>
                <w:color w:val="808080" w:themeColor="background1" w:themeShade="80"/>
                <w:lang w:val="en-GB"/>
              </w:rPr>
              <w:t xml:space="preserve">Law n. 315/2004; </w:t>
            </w:r>
            <w:r w:rsidRPr="00037C61">
              <w:rPr>
                <w:rStyle w:val="IntenseReference"/>
                <w:rFonts w:cstheme="minorHAnsi"/>
                <w:smallCaps w:val="0"/>
                <w:color w:val="808080" w:themeColor="background1" w:themeShade="80"/>
                <w:lang w:val="en-GB"/>
              </w:rPr>
              <w:t>(61)</w:t>
            </w:r>
            <w:r w:rsidRPr="00037C61">
              <w:rPr>
                <w:rStyle w:val="IntenseReference"/>
                <w:rFonts w:cstheme="minorHAnsi"/>
                <w:b w:val="0"/>
                <w:smallCaps w:val="0"/>
                <w:color w:val="808080" w:themeColor="background1" w:themeShade="80"/>
                <w:lang w:val="en-GB"/>
              </w:rPr>
              <w:t xml:space="preserve"> North West Region ROP 2021-2027 (draft); </w:t>
            </w:r>
            <w:r w:rsidRPr="00037C61">
              <w:rPr>
                <w:rStyle w:val="IntenseReference"/>
                <w:rFonts w:cstheme="minorHAnsi"/>
                <w:smallCaps w:val="0"/>
                <w:color w:val="808080" w:themeColor="background1" w:themeShade="80"/>
                <w:lang w:val="en-GB"/>
              </w:rPr>
              <w:t>(62)</w:t>
            </w:r>
            <w:r w:rsidRPr="00037C61">
              <w:rPr>
                <w:rStyle w:val="IntenseReference"/>
                <w:rFonts w:cstheme="minorHAnsi"/>
                <w:b w:val="0"/>
                <w:smallCaps w:val="0"/>
                <w:color w:val="808080" w:themeColor="background1" w:themeShade="80"/>
                <w:lang w:val="en-GB"/>
              </w:rPr>
              <w:t xml:space="preserve"> RIS 3 NW (horizon 2023); </w:t>
            </w:r>
            <w:r w:rsidRPr="00037C61">
              <w:rPr>
                <w:rStyle w:val="IntenseReference"/>
                <w:rFonts w:cstheme="minorHAnsi"/>
                <w:smallCaps w:val="0"/>
                <w:color w:val="808080" w:themeColor="background1" w:themeShade="80"/>
                <w:lang w:val="en-GB"/>
              </w:rPr>
              <w:t>(63)</w:t>
            </w:r>
            <w:r w:rsidRPr="00037C61">
              <w:rPr>
                <w:rStyle w:val="IntenseReference"/>
                <w:rFonts w:cstheme="minorHAnsi"/>
                <w:b w:val="0"/>
                <w:smallCaps w:val="0"/>
                <w:color w:val="808080" w:themeColor="background1" w:themeShade="80"/>
                <w:lang w:val="en-GB"/>
              </w:rPr>
              <w:t xml:space="preserve"> West Region ROP 2021-2027; </w:t>
            </w:r>
            <w:r w:rsidRPr="00037C61">
              <w:rPr>
                <w:rStyle w:val="IntenseReference"/>
                <w:rFonts w:cstheme="minorHAnsi"/>
                <w:smallCaps w:val="0"/>
                <w:color w:val="808080" w:themeColor="background1" w:themeShade="80"/>
                <w:lang w:val="en-GB"/>
              </w:rPr>
              <w:t>(64)</w:t>
            </w:r>
            <w:r w:rsidRPr="00037C61">
              <w:rPr>
                <w:rStyle w:val="IntenseReference"/>
                <w:rFonts w:cstheme="minorHAnsi"/>
                <w:b w:val="0"/>
                <w:smallCaps w:val="0"/>
                <w:color w:val="808080" w:themeColor="background1" w:themeShade="80"/>
                <w:lang w:val="en-GB"/>
              </w:rPr>
              <w:t xml:space="preserve"> RIS 3 W (drafted in 2015); </w:t>
            </w:r>
          </w:p>
          <w:p w14:paraId="62084F32" w14:textId="77777777" w:rsidR="008C697D" w:rsidRPr="00037C61" w:rsidRDefault="008C697D" w:rsidP="008C697D">
            <w:pPr>
              <w:rPr>
                <w:rStyle w:val="IntenseReference"/>
                <w:rFonts w:cstheme="minorHAnsi"/>
                <w:smallCaps w:val="0"/>
                <w:color w:val="auto"/>
                <w:lang w:val="en-GB"/>
              </w:rPr>
            </w:pPr>
          </w:p>
        </w:tc>
      </w:tr>
      <w:tr w:rsidR="008C697D" w:rsidRPr="004A5488" w14:paraId="4E358CCB" w14:textId="77777777" w:rsidTr="008C697D">
        <w:tc>
          <w:tcPr>
            <w:tcW w:w="710" w:type="dxa"/>
            <w:shd w:val="clear" w:color="auto" w:fill="BBDAFD" w:themeFill="accent1" w:themeFillTint="33"/>
          </w:tcPr>
          <w:p w14:paraId="0605ECC0"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4.2</w:t>
            </w:r>
          </w:p>
        </w:tc>
        <w:tc>
          <w:tcPr>
            <w:tcW w:w="8306" w:type="dxa"/>
            <w:shd w:val="clear" w:color="auto" w:fill="BBDAFD" w:themeFill="accent1" w:themeFillTint="33"/>
          </w:tcPr>
          <w:p w14:paraId="2C582FFB"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Hungarian regional level policy and strategy framework</w:t>
            </w:r>
          </w:p>
        </w:tc>
      </w:tr>
      <w:tr w:rsidR="008C697D" w:rsidRPr="004A5488" w14:paraId="4D9747FD" w14:textId="77777777" w:rsidTr="008C697D">
        <w:tc>
          <w:tcPr>
            <w:tcW w:w="710" w:type="dxa"/>
          </w:tcPr>
          <w:p w14:paraId="77673510" w14:textId="77777777" w:rsidR="008C697D" w:rsidRPr="00037C61" w:rsidRDefault="008C697D" w:rsidP="008C697D">
            <w:pPr>
              <w:rPr>
                <w:rStyle w:val="IntenseReference"/>
                <w:rFonts w:cstheme="minorHAnsi"/>
                <w:smallCaps w:val="0"/>
                <w:color w:val="auto"/>
                <w:lang w:val="en-GB"/>
              </w:rPr>
            </w:pPr>
          </w:p>
        </w:tc>
        <w:tc>
          <w:tcPr>
            <w:tcW w:w="8306" w:type="dxa"/>
          </w:tcPr>
          <w:p w14:paraId="4D6BA78A" w14:textId="6A3DADC6" w:rsidR="008C697D" w:rsidRPr="00037C61" w:rsidRDefault="008C697D" w:rsidP="008C697D">
            <w:pPr>
              <w:rPr>
                <w:rStyle w:val="IntenseReference"/>
                <w:rFonts w:cstheme="minorHAnsi"/>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papers:(65) </w:t>
            </w:r>
            <w:r w:rsidRPr="00037C61">
              <w:rPr>
                <w:rStyle w:val="IntenseReference"/>
                <w:rFonts w:cstheme="minorHAnsi"/>
                <w:b w:val="0"/>
                <w:smallCaps w:val="0"/>
                <w:color w:val="808080" w:themeColor="background1" w:themeShade="80"/>
                <w:lang w:val="en-GB"/>
              </w:rPr>
              <w:t xml:space="preserve">Law XXI of 1996; </w:t>
            </w:r>
            <w:r w:rsidRPr="00037C61">
              <w:rPr>
                <w:rStyle w:val="IntenseReference"/>
                <w:rFonts w:cstheme="minorHAnsi"/>
                <w:smallCaps w:val="0"/>
                <w:color w:val="808080" w:themeColor="background1" w:themeShade="80"/>
                <w:lang w:val="en-GB"/>
              </w:rPr>
              <w:t>(66)</w:t>
            </w:r>
            <w:r w:rsidRPr="00037C61">
              <w:rPr>
                <w:rStyle w:val="IntenseReference"/>
                <w:rFonts w:cstheme="minorHAnsi"/>
                <w:b w:val="0"/>
                <w:smallCaps w:val="0"/>
                <w:color w:val="808080" w:themeColor="background1" w:themeShade="80"/>
                <w:lang w:val="en-GB"/>
              </w:rPr>
              <w:t xml:space="preserve"> The National Development and Territorial Development Concept (2014); </w:t>
            </w:r>
            <w:r w:rsidRPr="00037C61">
              <w:rPr>
                <w:rStyle w:val="IntenseReference"/>
                <w:rFonts w:cstheme="minorHAnsi"/>
                <w:smallCaps w:val="0"/>
                <w:color w:val="808080" w:themeColor="background1" w:themeShade="80"/>
                <w:lang w:val="en-GB"/>
              </w:rPr>
              <w:t>(67)</w:t>
            </w:r>
            <w:r w:rsidRPr="00037C61">
              <w:rPr>
                <w:rStyle w:val="IntenseReference"/>
                <w:rFonts w:cstheme="minorHAnsi"/>
                <w:b w:val="0"/>
                <w:smallCaps w:val="0"/>
                <w:color w:val="808080" w:themeColor="background1" w:themeShade="80"/>
                <w:lang w:val="en-GB"/>
              </w:rPr>
              <w:t xml:space="preserve"> Southern Great Plain Smart Specialization Strategy 2014-2020 (RIS3);</w:t>
            </w:r>
            <w:r w:rsidRPr="00037C61">
              <w:rPr>
                <w:rStyle w:val="IntenseReference"/>
                <w:rFonts w:cstheme="minorHAnsi"/>
                <w:b w:val="0"/>
                <w:bCs w:val="0"/>
                <w:smallCaps w:val="0"/>
                <w:color w:val="808080" w:themeColor="background1" w:themeShade="80"/>
                <w:lang w:val="en-GB"/>
              </w:rPr>
              <w:t xml:space="preserve"> </w:t>
            </w:r>
            <w:r w:rsidRPr="00037C61">
              <w:rPr>
                <w:rStyle w:val="IntenseReference"/>
                <w:rFonts w:cstheme="minorHAnsi"/>
                <w:smallCaps w:val="0"/>
                <w:color w:val="808080" w:themeColor="background1" w:themeShade="80"/>
                <w:lang w:val="en-GB"/>
              </w:rPr>
              <w:t xml:space="preserve">(68) </w:t>
            </w:r>
            <w:r w:rsidRPr="00037C61">
              <w:rPr>
                <w:rStyle w:val="IntenseReference"/>
                <w:rFonts w:cstheme="minorHAnsi"/>
                <w:b w:val="0"/>
                <w:bCs w:val="0"/>
                <w:smallCaps w:val="0"/>
                <w:color w:val="808080" w:themeColor="background1" w:themeShade="80"/>
                <w:lang w:val="en-GB"/>
              </w:rPr>
              <w:t>Regional Development concept for</w:t>
            </w:r>
            <w:r w:rsidRPr="00037C61">
              <w:rPr>
                <w:rStyle w:val="IntenseReference"/>
                <w:rFonts w:cstheme="minorHAnsi"/>
                <w:b w:val="0"/>
                <w:smallCaps w:val="0"/>
                <w:color w:val="808080" w:themeColor="background1" w:themeShade="80"/>
                <w:lang w:val="en-GB"/>
              </w:rPr>
              <w:t xml:space="preserve"> Csongrád</w:t>
            </w:r>
            <w:r w:rsidR="00DE7D07">
              <w:rPr>
                <w:lang w:val="en-GB"/>
              </w:rPr>
              <w:t>-Csan</w:t>
            </w:r>
            <w:r w:rsidR="00DE7D07" w:rsidRPr="00DB74BF">
              <w:rPr>
                <w:rFonts w:ascii="Arial" w:hAnsi="Arial" w:cs="Arial"/>
                <w:sz w:val="20"/>
                <w:szCs w:val="20"/>
                <w:shd w:val="clear" w:color="auto" w:fill="FFFFFF"/>
                <w:lang w:val="en-GB"/>
              </w:rPr>
              <w:t>ád</w:t>
            </w:r>
            <w:r w:rsidRPr="00037C61">
              <w:rPr>
                <w:rStyle w:val="IntenseReference"/>
                <w:rFonts w:cstheme="minorHAnsi"/>
                <w:b w:val="0"/>
                <w:smallCaps w:val="0"/>
                <w:color w:val="808080" w:themeColor="background1" w:themeShade="80"/>
                <w:lang w:val="en-GB"/>
              </w:rPr>
              <w:t xml:space="preserve"> County; </w:t>
            </w:r>
            <w:r w:rsidRPr="00037C61">
              <w:rPr>
                <w:rStyle w:val="IntenseReference"/>
                <w:rFonts w:cstheme="minorHAnsi"/>
                <w:smallCaps w:val="0"/>
                <w:color w:val="808080" w:themeColor="background1" w:themeShade="80"/>
                <w:lang w:val="en-GB"/>
              </w:rPr>
              <w:t>(69)</w:t>
            </w:r>
            <w:r w:rsidRPr="00037C61">
              <w:rPr>
                <w:rStyle w:val="IntenseReference"/>
                <w:rFonts w:cstheme="minorHAnsi"/>
                <w:b w:val="0"/>
                <w:smallCaps w:val="0"/>
                <w:color w:val="808080" w:themeColor="background1" w:themeShade="80"/>
                <w:lang w:val="en-GB"/>
              </w:rPr>
              <w:t xml:space="preserve"> </w:t>
            </w:r>
            <w:r w:rsidRPr="00037C61">
              <w:rPr>
                <w:rStyle w:val="IntenseReference"/>
                <w:rFonts w:cstheme="minorHAnsi"/>
                <w:b w:val="0"/>
                <w:bCs w:val="0"/>
                <w:smallCaps w:val="0"/>
                <w:color w:val="808080" w:themeColor="background1" w:themeShade="80"/>
                <w:lang w:val="en-GB"/>
              </w:rPr>
              <w:t>Regional</w:t>
            </w:r>
            <w:r w:rsidRPr="00037C61">
              <w:rPr>
                <w:rStyle w:val="IntenseReference"/>
                <w:rFonts w:cstheme="minorHAnsi"/>
                <w:b w:val="0"/>
                <w:smallCaps w:val="0"/>
                <w:color w:val="808080" w:themeColor="background1" w:themeShade="80"/>
                <w:lang w:val="en-GB"/>
              </w:rPr>
              <w:t xml:space="preserve"> Development Concept </w:t>
            </w:r>
            <w:r w:rsidRPr="00037C61">
              <w:rPr>
                <w:rStyle w:val="IntenseReference"/>
                <w:rFonts w:cstheme="minorHAnsi"/>
                <w:b w:val="0"/>
                <w:bCs w:val="0"/>
                <w:smallCaps w:val="0"/>
                <w:color w:val="808080" w:themeColor="background1" w:themeShade="80"/>
                <w:lang w:val="en-GB"/>
              </w:rPr>
              <w:t>for</w:t>
            </w:r>
            <w:r w:rsidRPr="00037C61">
              <w:rPr>
                <w:rStyle w:val="IntenseReference"/>
                <w:rFonts w:cstheme="minorHAnsi"/>
                <w:b w:val="0"/>
                <w:smallCaps w:val="0"/>
                <w:color w:val="808080" w:themeColor="background1" w:themeShade="80"/>
                <w:lang w:val="en-GB"/>
              </w:rPr>
              <w:t xml:space="preserve"> Szabolcs-Szatmár-Bereg County; </w:t>
            </w:r>
            <w:r w:rsidRPr="00037C61">
              <w:rPr>
                <w:rStyle w:val="IntenseReference"/>
                <w:rFonts w:cstheme="minorHAnsi"/>
                <w:smallCaps w:val="0"/>
                <w:color w:val="808080" w:themeColor="background1" w:themeShade="80"/>
                <w:lang w:val="en-GB"/>
              </w:rPr>
              <w:t>(70)</w:t>
            </w:r>
            <w:r w:rsidRPr="00037C61">
              <w:rPr>
                <w:rStyle w:val="IntenseReference"/>
                <w:rFonts w:cstheme="minorHAnsi"/>
                <w:b w:val="0"/>
                <w:smallCaps w:val="0"/>
                <w:color w:val="808080" w:themeColor="background1" w:themeShade="80"/>
                <w:lang w:val="en-GB"/>
              </w:rPr>
              <w:t xml:space="preserve"> </w:t>
            </w:r>
            <w:r w:rsidRPr="00037C61">
              <w:rPr>
                <w:rStyle w:val="IntenseReference"/>
                <w:rFonts w:cstheme="minorHAnsi"/>
                <w:b w:val="0"/>
                <w:bCs w:val="0"/>
                <w:smallCaps w:val="0"/>
                <w:color w:val="808080" w:themeColor="background1" w:themeShade="80"/>
                <w:lang w:val="en-GB"/>
              </w:rPr>
              <w:t xml:space="preserve">Regional </w:t>
            </w:r>
            <w:r w:rsidRPr="00037C61">
              <w:rPr>
                <w:rStyle w:val="IntenseReference"/>
                <w:rFonts w:cstheme="minorHAnsi"/>
                <w:b w:val="0"/>
                <w:smallCaps w:val="0"/>
                <w:color w:val="808080" w:themeColor="background1" w:themeShade="80"/>
                <w:lang w:val="en-GB"/>
              </w:rPr>
              <w:t xml:space="preserve">Development Concept </w:t>
            </w:r>
            <w:r w:rsidRPr="00037C61">
              <w:rPr>
                <w:rStyle w:val="IntenseReference"/>
                <w:rFonts w:cstheme="minorHAnsi"/>
                <w:b w:val="0"/>
                <w:bCs w:val="0"/>
                <w:smallCaps w:val="0"/>
                <w:color w:val="808080" w:themeColor="background1" w:themeShade="80"/>
                <w:lang w:val="en-GB"/>
              </w:rPr>
              <w:t>for</w:t>
            </w:r>
            <w:r w:rsidRPr="00037C61">
              <w:rPr>
                <w:rStyle w:val="IntenseReference"/>
                <w:rFonts w:cstheme="minorHAnsi"/>
                <w:b w:val="0"/>
                <w:smallCaps w:val="0"/>
                <w:color w:val="808080" w:themeColor="background1" w:themeShade="80"/>
                <w:lang w:val="en-GB"/>
              </w:rPr>
              <w:t xml:space="preserve"> Békés County; </w:t>
            </w:r>
            <w:r w:rsidRPr="00037C61">
              <w:rPr>
                <w:rStyle w:val="IntenseReference"/>
                <w:rFonts w:cstheme="minorHAnsi"/>
                <w:smallCaps w:val="0"/>
                <w:color w:val="808080" w:themeColor="background1" w:themeShade="80"/>
                <w:lang w:val="en-GB"/>
              </w:rPr>
              <w:t>(71)</w:t>
            </w:r>
            <w:r w:rsidRPr="00037C61">
              <w:rPr>
                <w:rStyle w:val="IntenseReference"/>
                <w:rFonts w:cstheme="minorHAnsi"/>
                <w:b w:val="0"/>
                <w:smallCaps w:val="0"/>
                <w:color w:val="808080" w:themeColor="background1" w:themeShade="80"/>
                <w:lang w:val="en-GB"/>
              </w:rPr>
              <w:t xml:space="preserve"> </w:t>
            </w:r>
            <w:r w:rsidRPr="00037C61">
              <w:rPr>
                <w:rStyle w:val="IntenseReference"/>
                <w:rFonts w:cstheme="minorHAnsi"/>
                <w:b w:val="0"/>
                <w:bCs w:val="0"/>
                <w:smallCaps w:val="0"/>
                <w:color w:val="808080" w:themeColor="background1" w:themeShade="80"/>
                <w:lang w:val="en-GB"/>
              </w:rPr>
              <w:t>Regional</w:t>
            </w:r>
            <w:r w:rsidRPr="00037C61">
              <w:rPr>
                <w:rStyle w:val="IntenseReference"/>
                <w:rFonts w:cstheme="minorHAnsi"/>
                <w:b w:val="0"/>
                <w:smallCaps w:val="0"/>
                <w:color w:val="808080" w:themeColor="background1" w:themeShade="80"/>
                <w:lang w:val="en-GB"/>
              </w:rPr>
              <w:t xml:space="preserve"> Development Concept </w:t>
            </w:r>
            <w:r w:rsidRPr="00037C61">
              <w:rPr>
                <w:rStyle w:val="IntenseReference"/>
                <w:rFonts w:cstheme="minorHAnsi"/>
                <w:b w:val="0"/>
                <w:bCs w:val="0"/>
                <w:smallCaps w:val="0"/>
                <w:color w:val="808080" w:themeColor="background1" w:themeShade="80"/>
                <w:lang w:val="en-GB"/>
              </w:rPr>
              <w:t>for</w:t>
            </w:r>
            <w:r w:rsidRPr="00037C61">
              <w:rPr>
                <w:rStyle w:val="IntenseReference"/>
                <w:rFonts w:cstheme="minorHAnsi"/>
                <w:b w:val="0"/>
                <w:smallCaps w:val="0"/>
                <w:color w:val="808080" w:themeColor="background1" w:themeShade="80"/>
                <w:lang w:val="en-GB"/>
              </w:rPr>
              <w:t xml:space="preserve"> Hajdú-Bihar County</w:t>
            </w:r>
          </w:p>
          <w:p w14:paraId="3607355F" w14:textId="77777777" w:rsidR="008C697D" w:rsidRPr="00037C61" w:rsidRDefault="008C697D" w:rsidP="008C697D">
            <w:pPr>
              <w:rPr>
                <w:rStyle w:val="IntenseReference"/>
                <w:rFonts w:cstheme="minorHAnsi"/>
                <w:smallCaps w:val="0"/>
                <w:color w:val="auto"/>
                <w:lang w:val="en-GB"/>
              </w:rPr>
            </w:pPr>
          </w:p>
        </w:tc>
      </w:tr>
      <w:tr w:rsidR="008C697D" w:rsidRPr="004A5488" w14:paraId="297206CB" w14:textId="77777777" w:rsidTr="008C697D">
        <w:tc>
          <w:tcPr>
            <w:tcW w:w="710" w:type="dxa"/>
            <w:shd w:val="clear" w:color="auto" w:fill="0070C0"/>
          </w:tcPr>
          <w:p w14:paraId="3FB1A3E1"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5</w:t>
            </w:r>
          </w:p>
        </w:tc>
        <w:tc>
          <w:tcPr>
            <w:tcW w:w="8306" w:type="dxa"/>
            <w:shd w:val="clear" w:color="auto" w:fill="0070C0"/>
          </w:tcPr>
          <w:p w14:paraId="1CE8C8F4"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LOCAL LEVEL POLICY AND STRATEGY FRAMEWORK</w:t>
            </w:r>
          </w:p>
        </w:tc>
      </w:tr>
      <w:tr w:rsidR="008C697D" w:rsidRPr="004A5488" w14:paraId="40B7D05F" w14:textId="77777777" w:rsidTr="008C697D">
        <w:tc>
          <w:tcPr>
            <w:tcW w:w="710" w:type="dxa"/>
            <w:shd w:val="clear" w:color="auto" w:fill="BBDAFD" w:themeFill="accent1" w:themeFillTint="33"/>
          </w:tcPr>
          <w:p w14:paraId="167B5E88"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5.1</w:t>
            </w:r>
          </w:p>
        </w:tc>
        <w:tc>
          <w:tcPr>
            <w:tcW w:w="8306" w:type="dxa"/>
            <w:shd w:val="clear" w:color="auto" w:fill="BBDAFD" w:themeFill="accent1" w:themeFillTint="33"/>
          </w:tcPr>
          <w:p w14:paraId="15E65782"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Romanian local level policy and strategy framework</w:t>
            </w:r>
          </w:p>
        </w:tc>
      </w:tr>
      <w:tr w:rsidR="008C697D" w:rsidRPr="004A5488" w14:paraId="26F2467E" w14:textId="77777777" w:rsidTr="008C697D">
        <w:tc>
          <w:tcPr>
            <w:tcW w:w="710" w:type="dxa"/>
          </w:tcPr>
          <w:p w14:paraId="66C1A48D" w14:textId="77777777" w:rsidR="008C697D" w:rsidRPr="00037C61" w:rsidRDefault="008C697D" w:rsidP="008C697D">
            <w:pPr>
              <w:rPr>
                <w:rStyle w:val="IntenseReference"/>
                <w:rFonts w:cstheme="minorHAnsi"/>
                <w:smallCaps w:val="0"/>
                <w:color w:val="auto"/>
                <w:lang w:val="en-GB"/>
              </w:rPr>
            </w:pPr>
          </w:p>
        </w:tc>
        <w:tc>
          <w:tcPr>
            <w:tcW w:w="8306" w:type="dxa"/>
          </w:tcPr>
          <w:p w14:paraId="2DD29F79"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papers:(72) </w:t>
            </w:r>
            <w:r w:rsidRPr="00037C61">
              <w:rPr>
                <w:rStyle w:val="IntenseReference"/>
                <w:rFonts w:cstheme="minorHAnsi"/>
                <w:b w:val="0"/>
                <w:smallCaps w:val="0"/>
                <w:color w:val="808080" w:themeColor="background1" w:themeShade="80"/>
                <w:lang w:val="en-GB"/>
              </w:rPr>
              <w:t xml:space="preserve">Socio-economic development strategy for Timis County 2014-2020 – Horizon 2030 – and Timis Strategic Multiannual Plan 2015-2023; </w:t>
            </w:r>
            <w:r w:rsidRPr="00037C61">
              <w:rPr>
                <w:rStyle w:val="IntenseReference"/>
                <w:rFonts w:cstheme="minorHAnsi"/>
                <w:smallCaps w:val="0"/>
                <w:color w:val="808080" w:themeColor="background1" w:themeShade="80"/>
                <w:lang w:val="en-GB"/>
              </w:rPr>
              <w:t xml:space="preserve">(73) </w:t>
            </w:r>
            <w:r w:rsidRPr="00037C61">
              <w:rPr>
                <w:rStyle w:val="IntenseReference"/>
                <w:rFonts w:cstheme="minorHAnsi"/>
                <w:b w:val="0"/>
                <w:smallCaps w:val="0"/>
                <w:color w:val="808080" w:themeColor="background1" w:themeShade="80"/>
                <w:lang w:val="en-GB"/>
              </w:rPr>
              <w:t xml:space="preserve">Arad County development strategy 2014-2020; </w:t>
            </w:r>
            <w:r w:rsidRPr="00037C61">
              <w:rPr>
                <w:rStyle w:val="IntenseReference"/>
                <w:rFonts w:cstheme="minorHAnsi"/>
                <w:smallCaps w:val="0"/>
                <w:color w:val="808080" w:themeColor="background1" w:themeShade="80"/>
                <w:lang w:val="en-GB"/>
              </w:rPr>
              <w:t>(74)</w:t>
            </w:r>
            <w:r w:rsidRPr="00037C61">
              <w:rPr>
                <w:rStyle w:val="IntenseReference"/>
                <w:rFonts w:cstheme="minorHAnsi"/>
                <w:b w:val="0"/>
                <w:smallCaps w:val="0"/>
                <w:color w:val="808080" w:themeColor="background1" w:themeShade="80"/>
                <w:lang w:val="en-GB"/>
              </w:rPr>
              <w:t xml:space="preserve"> Bihor County sustainable development strategy 2014-2020; </w:t>
            </w:r>
            <w:r w:rsidRPr="00037C61">
              <w:rPr>
                <w:rStyle w:val="IntenseReference"/>
                <w:rFonts w:cstheme="minorHAnsi"/>
                <w:smallCaps w:val="0"/>
                <w:color w:val="808080" w:themeColor="background1" w:themeShade="80"/>
                <w:lang w:val="en-GB"/>
              </w:rPr>
              <w:t>(75)</w:t>
            </w:r>
            <w:r w:rsidRPr="00037C61">
              <w:rPr>
                <w:rStyle w:val="IntenseReference"/>
                <w:rFonts w:cstheme="minorHAnsi"/>
                <w:b w:val="0"/>
                <w:smallCaps w:val="0"/>
                <w:color w:val="808080" w:themeColor="background1" w:themeShade="80"/>
                <w:lang w:val="en-GB"/>
              </w:rPr>
              <w:t xml:space="preserve"> Satu Mare county development strategy up to 2020; </w:t>
            </w:r>
            <w:r w:rsidRPr="00037C61">
              <w:rPr>
                <w:rStyle w:val="IntenseReference"/>
                <w:rFonts w:cstheme="minorHAnsi"/>
                <w:smallCaps w:val="0"/>
                <w:color w:val="808080" w:themeColor="background1" w:themeShade="80"/>
                <w:lang w:val="en-GB"/>
              </w:rPr>
              <w:t>(76)</w:t>
            </w:r>
            <w:r w:rsidRPr="00037C61">
              <w:rPr>
                <w:rStyle w:val="IntenseReference"/>
                <w:rFonts w:cstheme="minorHAnsi"/>
                <w:b w:val="0"/>
                <w:smallCaps w:val="0"/>
                <w:color w:val="808080" w:themeColor="background1" w:themeShade="80"/>
                <w:lang w:val="en-GB"/>
              </w:rPr>
              <w:t xml:space="preserve"> Integrated Urban Development Strategy Arad 2014-2030; </w:t>
            </w:r>
            <w:r w:rsidRPr="00037C61">
              <w:rPr>
                <w:rStyle w:val="IntenseReference"/>
                <w:rFonts w:cstheme="minorHAnsi"/>
                <w:smallCaps w:val="0"/>
                <w:color w:val="808080" w:themeColor="background1" w:themeShade="80"/>
                <w:lang w:val="en-GB"/>
              </w:rPr>
              <w:t>(77)</w:t>
            </w:r>
            <w:r w:rsidRPr="00037C61">
              <w:rPr>
                <w:rStyle w:val="IntenseReference"/>
                <w:rFonts w:cstheme="minorHAnsi"/>
                <w:b w:val="0"/>
                <w:smallCaps w:val="0"/>
                <w:color w:val="808080" w:themeColor="background1" w:themeShade="80"/>
                <w:lang w:val="en-GB"/>
              </w:rPr>
              <w:t xml:space="preserve"> Cultural strategies - Timis, Bihor and Arad counties; </w:t>
            </w:r>
            <w:r w:rsidRPr="00037C61">
              <w:rPr>
                <w:rStyle w:val="IntenseReference"/>
                <w:rFonts w:cstheme="minorHAnsi"/>
                <w:smallCaps w:val="0"/>
                <w:color w:val="808080" w:themeColor="background1" w:themeShade="80"/>
                <w:lang w:val="en-GB"/>
              </w:rPr>
              <w:t>(78)</w:t>
            </w:r>
            <w:r w:rsidRPr="00037C61">
              <w:rPr>
                <w:rStyle w:val="IntenseReference"/>
                <w:rFonts w:cstheme="minorHAnsi"/>
                <w:b w:val="0"/>
                <w:smallCaps w:val="0"/>
                <w:color w:val="808080" w:themeColor="background1" w:themeShade="80"/>
                <w:lang w:val="en-GB"/>
              </w:rPr>
              <w:t xml:space="preserve"> Integrated Urban Development Strategy Satu Mare 2016-2025; </w:t>
            </w:r>
            <w:r w:rsidRPr="00037C61">
              <w:rPr>
                <w:rStyle w:val="IntenseReference"/>
                <w:rFonts w:cstheme="minorHAnsi"/>
                <w:smallCaps w:val="0"/>
                <w:color w:val="808080" w:themeColor="background1" w:themeShade="80"/>
                <w:lang w:val="en-GB"/>
              </w:rPr>
              <w:t>(79)</w:t>
            </w:r>
            <w:r w:rsidRPr="00037C61">
              <w:rPr>
                <w:rStyle w:val="IntenseReference"/>
                <w:rFonts w:cstheme="minorHAnsi"/>
                <w:b w:val="0"/>
                <w:smallCaps w:val="0"/>
                <w:color w:val="808080" w:themeColor="background1" w:themeShade="80"/>
                <w:lang w:val="en-GB"/>
              </w:rPr>
              <w:t xml:space="preserve"> Integrated Urban Development Strategy 2015-2023 - Timisoara Pole of Growth; </w:t>
            </w:r>
            <w:r w:rsidRPr="00037C61">
              <w:rPr>
                <w:rStyle w:val="IntenseReference"/>
                <w:rFonts w:cstheme="minorHAnsi"/>
                <w:smallCaps w:val="0"/>
                <w:color w:val="808080" w:themeColor="background1" w:themeShade="80"/>
                <w:lang w:val="en-GB"/>
              </w:rPr>
              <w:t>(80)</w:t>
            </w:r>
            <w:r w:rsidRPr="00037C61">
              <w:rPr>
                <w:rStyle w:val="IntenseReference"/>
                <w:rFonts w:cstheme="minorHAnsi"/>
                <w:b w:val="0"/>
                <w:smallCaps w:val="0"/>
                <w:color w:val="808080" w:themeColor="background1" w:themeShade="80"/>
                <w:lang w:val="en-GB"/>
              </w:rPr>
              <w:t xml:space="preserve"> Integrated Urban Development Strategy Oradea 2017-2023;</w:t>
            </w:r>
          </w:p>
          <w:p w14:paraId="043CAE2A" w14:textId="77777777" w:rsidR="008C697D" w:rsidRPr="00037C61" w:rsidRDefault="008C697D" w:rsidP="008C697D">
            <w:pPr>
              <w:rPr>
                <w:rStyle w:val="IntenseReference"/>
                <w:rFonts w:cstheme="minorHAnsi"/>
                <w:smallCaps w:val="0"/>
                <w:color w:val="auto"/>
                <w:lang w:val="en-GB"/>
              </w:rPr>
            </w:pPr>
          </w:p>
        </w:tc>
      </w:tr>
      <w:tr w:rsidR="008C697D" w:rsidRPr="004A5488" w14:paraId="26B56354" w14:textId="77777777" w:rsidTr="008C697D">
        <w:tc>
          <w:tcPr>
            <w:tcW w:w="710" w:type="dxa"/>
            <w:shd w:val="clear" w:color="auto" w:fill="BBDAFD" w:themeFill="accent1" w:themeFillTint="33"/>
          </w:tcPr>
          <w:p w14:paraId="37872352"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5.2</w:t>
            </w:r>
          </w:p>
        </w:tc>
        <w:tc>
          <w:tcPr>
            <w:tcW w:w="8306" w:type="dxa"/>
            <w:shd w:val="clear" w:color="auto" w:fill="BBDAFD" w:themeFill="accent1" w:themeFillTint="33"/>
          </w:tcPr>
          <w:p w14:paraId="5662C892"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Hungarian local level policy and strategy framework</w:t>
            </w:r>
          </w:p>
        </w:tc>
      </w:tr>
      <w:tr w:rsidR="008C697D" w:rsidRPr="004A5488" w14:paraId="41979B9A" w14:textId="77777777" w:rsidTr="008C697D">
        <w:tc>
          <w:tcPr>
            <w:tcW w:w="710" w:type="dxa"/>
          </w:tcPr>
          <w:p w14:paraId="17B062A3" w14:textId="77777777" w:rsidR="008C697D" w:rsidRPr="00037C61" w:rsidRDefault="008C697D" w:rsidP="008C697D">
            <w:pPr>
              <w:rPr>
                <w:rStyle w:val="IntenseReference"/>
                <w:rFonts w:cstheme="minorHAnsi"/>
                <w:smallCaps w:val="0"/>
                <w:color w:val="auto"/>
                <w:lang w:val="en-GB"/>
              </w:rPr>
            </w:pPr>
          </w:p>
        </w:tc>
        <w:tc>
          <w:tcPr>
            <w:tcW w:w="8306" w:type="dxa"/>
          </w:tcPr>
          <w:p w14:paraId="64C4C7E0"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papers:(81) </w:t>
            </w:r>
            <w:r w:rsidRPr="00037C61">
              <w:rPr>
                <w:rStyle w:val="IntenseReference"/>
                <w:rFonts w:cstheme="minorHAnsi"/>
                <w:b w:val="0"/>
                <w:smallCaps w:val="0"/>
                <w:color w:val="808080" w:themeColor="background1" w:themeShade="80"/>
                <w:lang w:val="en-GB"/>
              </w:rPr>
              <w:t xml:space="preserve">Territorial Development Concept of Csongrád County (2014-2020); </w:t>
            </w:r>
            <w:r w:rsidRPr="00037C61">
              <w:rPr>
                <w:rStyle w:val="IntenseReference"/>
                <w:rFonts w:cstheme="minorHAnsi"/>
                <w:smallCaps w:val="0"/>
                <w:color w:val="808080" w:themeColor="background1" w:themeShade="80"/>
                <w:lang w:val="en-GB"/>
              </w:rPr>
              <w:t>(82)</w:t>
            </w:r>
            <w:r w:rsidRPr="00037C61">
              <w:rPr>
                <w:rStyle w:val="IntenseReference"/>
                <w:rFonts w:cstheme="minorHAnsi"/>
                <w:b w:val="0"/>
                <w:smallCaps w:val="0"/>
                <w:color w:val="808080" w:themeColor="background1" w:themeShade="80"/>
                <w:lang w:val="en-GB"/>
              </w:rPr>
              <w:t xml:space="preserve"> Territorial Development Concept of Szabolcs-Szatmár-Bereg County (2014-2020); </w:t>
            </w:r>
            <w:r w:rsidRPr="00037C61">
              <w:rPr>
                <w:rStyle w:val="IntenseReference"/>
                <w:rFonts w:cstheme="minorHAnsi"/>
                <w:smallCaps w:val="0"/>
                <w:color w:val="808080" w:themeColor="background1" w:themeShade="80"/>
                <w:lang w:val="en-GB"/>
              </w:rPr>
              <w:t>(83)</w:t>
            </w:r>
            <w:r w:rsidRPr="00037C61">
              <w:rPr>
                <w:rStyle w:val="IntenseReference"/>
                <w:rFonts w:cstheme="minorHAnsi"/>
                <w:b w:val="0"/>
                <w:smallCaps w:val="0"/>
                <w:color w:val="808080" w:themeColor="background1" w:themeShade="80"/>
                <w:lang w:val="en-GB"/>
              </w:rPr>
              <w:t xml:space="preserve"> Territorial Development Concept of Békés County (2014-2020); </w:t>
            </w:r>
            <w:r w:rsidRPr="00037C61">
              <w:rPr>
                <w:rStyle w:val="IntenseReference"/>
                <w:rFonts w:cstheme="minorHAnsi"/>
                <w:smallCaps w:val="0"/>
                <w:color w:val="808080" w:themeColor="background1" w:themeShade="80"/>
                <w:lang w:val="en-GB"/>
              </w:rPr>
              <w:t>(84)</w:t>
            </w:r>
            <w:r w:rsidRPr="00037C61">
              <w:rPr>
                <w:rStyle w:val="IntenseReference"/>
                <w:rFonts w:cstheme="minorHAnsi"/>
                <w:b w:val="0"/>
                <w:smallCaps w:val="0"/>
                <w:color w:val="808080" w:themeColor="background1" w:themeShade="80"/>
                <w:lang w:val="en-GB"/>
              </w:rPr>
              <w:t xml:space="preserve"> Territorial Development Concept of Hajdú-Bihar County  (2014-2020); </w:t>
            </w:r>
            <w:r w:rsidRPr="00037C61">
              <w:rPr>
                <w:rStyle w:val="IntenseReference"/>
                <w:rFonts w:cstheme="minorHAnsi"/>
                <w:smallCaps w:val="0"/>
                <w:color w:val="808080" w:themeColor="background1" w:themeShade="80"/>
                <w:lang w:val="en-GB"/>
              </w:rPr>
              <w:t>(85)</w:t>
            </w:r>
            <w:r w:rsidRPr="00037C61">
              <w:rPr>
                <w:rStyle w:val="IntenseReference"/>
                <w:rFonts w:cstheme="minorHAnsi"/>
                <w:b w:val="0"/>
                <w:smallCaps w:val="0"/>
                <w:color w:val="808080" w:themeColor="background1" w:themeShade="80"/>
                <w:lang w:val="en-GB"/>
              </w:rPr>
              <w:t xml:space="preserve"> Energy and Climate Change Strategies - Bekes, Csongrád-Csanád and Hajdú-Bihar counties; </w:t>
            </w:r>
            <w:r w:rsidRPr="00037C61">
              <w:rPr>
                <w:rStyle w:val="IntenseReference"/>
                <w:rFonts w:cstheme="minorHAnsi"/>
                <w:smallCaps w:val="0"/>
                <w:color w:val="808080" w:themeColor="background1" w:themeShade="80"/>
                <w:lang w:val="en-GB"/>
              </w:rPr>
              <w:t>(86)</w:t>
            </w:r>
            <w:r w:rsidRPr="00037C61">
              <w:rPr>
                <w:rStyle w:val="IntenseReference"/>
                <w:rFonts w:cstheme="minorHAnsi"/>
                <w:b w:val="0"/>
                <w:smallCaps w:val="0"/>
                <w:color w:val="808080" w:themeColor="background1" w:themeShade="80"/>
                <w:lang w:val="en-GB"/>
              </w:rPr>
              <w:t xml:space="preserve"> Nyíregyháza Development Strategy; </w:t>
            </w:r>
            <w:r w:rsidRPr="00037C61">
              <w:rPr>
                <w:rStyle w:val="IntenseReference"/>
                <w:rFonts w:cstheme="minorHAnsi"/>
                <w:smallCaps w:val="0"/>
                <w:color w:val="808080" w:themeColor="background1" w:themeShade="80"/>
                <w:lang w:val="en-GB"/>
              </w:rPr>
              <w:t>(87)</w:t>
            </w:r>
            <w:r w:rsidRPr="00037C61">
              <w:rPr>
                <w:rStyle w:val="IntenseReference"/>
                <w:rFonts w:cstheme="minorHAnsi"/>
                <w:b w:val="0"/>
                <w:smallCaps w:val="0"/>
                <w:color w:val="808080" w:themeColor="background1" w:themeShade="80"/>
                <w:lang w:val="en-GB"/>
              </w:rPr>
              <w:t xml:space="preserve"> Debrecen 2030 Strategy; </w:t>
            </w:r>
            <w:r w:rsidRPr="00037C61">
              <w:rPr>
                <w:rStyle w:val="IntenseReference"/>
                <w:rFonts w:cstheme="minorHAnsi"/>
                <w:smallCaps w:val="0"/>
                <w:color w:val="808080" w:themeColor="background1" w:themeShade="80"/>
                <w:lang w:val="en-GB"/>
              </w:rPr>
              <w:t>(88)</w:t>
            </w:r>
            <w:r w:rsidRPr="00037C61">
              <w:rPr>
                <w:rStyle w:val="IntenseReference"/>
                <w:rFonts w:cstheme="minorHAnsi"/>
                <w:b w:val="0"/>
                <w:smallCaps w:val="0"/>
                <w:color w:val="808080" w:themeColor="background1" w:themeShade="80"/>
                <w:lang w:val="en-GB"/>
              </w:rPr>
              <w:t xml:space="preserve"> Békéscsaba City Modern City Programme; </w:t>
            </w:r>
            <w:r w:rsidRPr="00037C61">
              <w:rPr>
                <w:rStyle w:val="IntenseReference"/>
                <w:rFonts w:cstheme="minorHAnsi"/>
                <w:smallCaps w:val="0"/>
                <w:color w:val="808080" w:themeColor="background1" w:themeShade="80"/>
                <w:lang w:val="en-GB"/>
              </w:rPr>
              <w:t>(89)</w:t>
            </w:r>
            <w:r w:rsidRPr="00037C61">
              <w:rPr>
                <w:rStyle w:val="IntenseReference"/>
                <w:rFonts w:cstheme="minorHAnsi"/>
                <w:b w:val="0"/>
                <w:smallCaps w:val="0"/>
                <w:color w:val="808080" w:themeColor="background1" w:themeShade="80"/>
                <w:lang w:val="en-GB"/>
              </w:rPr>
              <w:t xml:space="preserve"> Szeged City Strategy and Urban Mobility Plan;</w:t>
            </w:r>
          </w:p>
          <w:p w14:paraId="6C34D335" w14:textId="77777777" w:rsidR="008C697D" w:rsidRPr="00037C61" w:rsidRDefault="008C697D" w:rsidP="008C697D">
            <w:pPr>
              <w:rPr>
                <w:rStyle w:val="IntenseReference"/>
                <w:rFonts w:cstheme="minorHAnsi"/>
                <w:smallCaps w:val="0"/>
                <w:color w:val="auto"/>
                <w:lang w:val="en-GB"/>
              </w:rPr>
            </w:pPr>
          </w:p>
        </w:tc>
      </w:tr>
      <w:tr w:rsidR="008C697D" w:rsidRPr="004A5488" w14:paraId="2A79304B" w14:textId="77777777" w:rsidTr="008C697D">
        <w:tc>
          <w:tcPr>
            <w:tcW w:w="710" w:type="dxa"/>
            <w:shd w:val="clear" w:color="auto" w:fill="0070C0"/>
          </w:tcPr>
          <w:p w14:paraId="70394CD1"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6</w:t>
            </w:r>
          </w:p>
        </w:tc>
        <w:tc>
          <w:tcPr>
            <w:tcW w:w="8306" w:type="dxa"/>
            <w:shd w:val="clear" w:color="auto" w:fill="0070C0"/>
          </w:tcPr>
          <w:p w14:paraId="6144E104" w14:textId="77777777" w:rsidR="008C697D" w:rsidRPr="00037C61" w:rsidRDefault="008C697D" w:rsidP="008C697D">
            <w:pPr>
              <w:rPr>
                <w:rStyle w:val="IntenseReference"/>
                <w:rFonts w:cstheme="minorHAnsi"/>
                <w:smallCaps w:val="0"/>
                <w:color w:val="FFFFFF" w:themeColor="background1"/>
                <w:lang w:val="en-GB"/>
              </w:rPr>
            </w:pPr>
            <w:r w:rsidRPr="00037C61">
              <w:rPr>
                <w:rStyle w:val="IntenseReference"/>
                <w:rFonts w:cstheme="minorHAnsi"/>
                <w:smallCaps w:val="0"/>
                <w:color w:val="FFFFFF" w:themeColor="background1"/>
                <w:lang w:val="en-GB"/>
              </w:rPr>
              <w:t xml:space="preserve">INTEGRATED TERRITORIAL DEVELOPMENT IN THE CROSS-BORDER AREA: OVERVIEW ON INTEGRATED STRATEGIES   </w:t>
            </w:r>
          </w:p>
        </w:tc>
      </w:tr>
      <w:tr w:rsidR="008C697D" w:rsidRPr="004A5488" w14:paraId="2A16C511" w14:textId="77777777" w:rsidTr="008C697D">
        <w:tc>
          <w:tcPr>
            <w:tcW w:w="710" w:type="dxa"/>
            <w:shd w:val="clear" w:color="auto" w:fill="BBDAFD" w:themeFill="accent1" w:themeFillTint="33"/>
          </w:tcPr>
          <w:p w14:paraId="063E7EEC"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6.1</w:t>
            </w:r>
          </w:p>
        </w:tc>
        <w:tc>
          <w:tcPr>
            <w:tcW w:w="8306" w:type="dxa"/>
            <w:shd w:val="clear" w:color="auto" w:fill="BBDAFD" w:themeFill="accent1" w:themeFillTint="33"/>
          </w:tcPr>
          <w:p w14:paraId="2697D6C3"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European Territorial Cooperation Groups in the cross-border area</w:t>
            </w:r>
          </w:p>
        </w:tc>
      </w:tr>
      <w:tr w:rsidR="008C697D" w:rsidRPr="004A5488" w14:paraId="6448488E" w14:textId="77777777" w:rsidTr="008C697D">
        <w:tc>
          <w:tcPr>
            <w:tcW w:w="710" w:type="dxa"/>
          </w:tcPr>
          <w:p w14:paraId="4692E8EE" w14:textId="77777777" w:rsidR="008C697D" w:rsidRPr="00037C61" w:rsidRDefault="008C697D" w:rsidP="008C697D">
            <w:pPr>
              <w:rPr>
                <w:rStyle w:val="IntenseReference"/>
                <w:rFonts w:cstheme="minorHAnsi"/>
                <w:smallCaps w:val="0"/>
                <w:color w:val="auto"/>
                <w:lang w:val="en-GB"/>
              </w:rPr>
            </w:pPr>
          </w:p>
        </w:tc>
        <w:tc>
          <w:tcPr>
            <w:tcW w:w="8306" w:type="dxa"/>
          </w:tcPr>
          <w:p w14:paraId="0CFEBE71"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 (90) </w:t>
            </w:r>
            <w:r w:rsidRPr="00037C61">
              <w:rPr>
                <w:rStyle w:val="IntenseReference"/>
                <w:rFonts w:cstheme="minorHAnsi"/>
                <w:b w:val="0"/>
                <w:smallCaps w:val="0"/>
                <w:color w:val="808080" w:themeColor="background1" w:themeShade="80"/>
                <w:lang w:val="en-GB"/>
              </w:rPr>
              <w:t xml:space="preserve">Cohesion Analysis and Integrated Territorial Strategy of the Gate to Europe EGTC (2014-2020); </w:t>
            </w:r>
            <w:r w:rsidRPr="00037C61">
              <w:rPr>
                <w:rStyle w:val="IntenseReference"/>
                <w:rFonts w:cstheme="minorHAnsi"/>
                <w:smallCaps w:val="0"/>
                <w:color w:val="808080" w:themeColor="background1" w:themeShade="80"/>
                <w:lang w:val="en-GB"/>
              </w:rPr>
              <w:t>(91)</w:t>
            </w:r>
            <w:r w:rsidRPr="00037C61">
              <w:rPr>
                <w:rStyle w:val="IntenseReference"/>
                <w:rFonts w:cstheme="minorHAnsi"/>
                <w:b w:val="0"/>
                <w:smallCaps w:val="0"/>
                <w:color w:val="808080" w:themeColor="background1" w:themeShade="80"/>
                <w:lang w:val="en-GB"/>
              </w:rPr>
              <w:t xml:space="preserve"> Integrated Territorial strategy of the Banat – Triplex Confinium (BTC) EGTC (2014-2020); </w:t>
            </w:r>
          </w:p>
          <w:p w14:paraId="22C3A80D" w14:textId="77777777" w:rsidR="008C697D" w:rsidRPr="00037C61" w:rsidRDefault="008C697D" w:rsidP="008C697D">
            <w:pPr>
              <w:rPr>
                <w:rStyle w:val="IntenseReference"/>
                <w:rFonts w:cstheme="minorHAnsi"/>
                <w:b w:val="0"/>
                <w:bCs w:val="0"/>
                <w:i/>
                <w:iCs/>
                <w:smallCaps w:val="0"/>
                <w:color w:val="808080" w:themeColor="background1" w:themeShade="80"/>
                <w:lang w:val="en-GB"/>
              </w:rPr>
            </w:pPr>
            <w:r w:rsidRPr="00037C61">
              <w:rPr>
                <w:rStyle w:val="IntenseReference"/>
                <w:rFonts w:cstheme="minorHAnsi"/>
                <w:b w:val="0"/>
                <w:bCs w:val="0"/>
                <w:i/>
                <w:iCs/>
                <w:smallCaps w:val="0"/>
                <w:color w:val="808080" w:themeColor="background1" w:themeShade="80"/>
                <w:lang w:val="en-GB"/>
              </w:rPr>
              <w:t>Analysis of membership, territorial coverage and main activities / mission</w:t>
            </w:r>
          </w:p>
          <w:p w14:paraId="23DCAF92" w14:textId="64C633F2" w:rsidR="007307F8" w:rsidRPr="00037C61" w:rsidRDefault="007307F8" w:rsidP="008C697D">
            <w:pPr>
              <w:rPr>
                <w:rStyle w:val="IntenseReference"/>
                <w:rFonts w:cstheme="minorHAnsi"/>
                <w:smallCaps w:val="0"/>
                <w:color w:val="auto"/>
                <w:lang w:val="en-GB"/>
              </w:rPr>
            </w:pPr>
          </w:p>
        </w:tc>
      </w:tr>
      <w:tr w:rsidR="008C697D" w:rsidRPr="004A5488" w14:paraId="1AB74A9A" w14:textId="77777777" w:rsidTr="008C697D">
        <w:tc>
          <w:tcPr>
            <w:tcW w:w="710" w:type="dxa"/>
            <w:shd w:val="clear" w:color="auto" w:fill="BBDAFD" w:themeFill="accent1" w:themeFillTint="33"/>
          </w:tcPr>
          <w:p w14:paraId="44146B98"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6.2</w:t>
            </w:r>
          </w:p>
        </w:tc>
        <w:tc>
          <w:tcPr>
            <w:tcW w:w="8306" w:type="dxa"/>
            <w:shd w:val="clear" w:color="auto" w:fill="BBDAFD" w:themeFill="accent1" w:themeFillTint="33"/>
          </w:tcPr>
          <w:p w14:paraId="5E70714C"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Euro-regions in the cross-border area</w:t>
            </w:r>
          </w:p>
        </w:tc>
      </w:tr>
      <w:tr w:rsidR="008C697D" w:rsidRPr="004A5488" w14:paraId="0C0E0A53" w14:textId="77777777" w:rsidTr="008C697D">
        <w:tc>
          <w:tcPr>
            <w:tcW w:w="710" w:type="dxa"/>
          </w:tcPr>
          <w:p w14:paraId="04B5AF32" w14:textId="77777777" w:rsidR="008C697D" w:rsidRPr="00037C61" w:rsidRDefault="008C697D" w:rsidP="008C697D">
            <w:pPr>
              <w:rPr>
                <w:rStyle w:val="IntenseReference"/>
                <w:rFonts w:cstheme="minorHAnsi"/>
                <w:smallCaps w:val="0"/>
                <w:color w:val="auto"/>
                <w:lang w:val="en-GB"/>
              </w:rPr>
            </w:pPr>
          </w:p>
        </w:tc>
        <w:tc>
          <w:tcPr>
            <w:tcW w:w="8306" w:type="dxa"/>
          </w:tcPr>
          <w:p w14:paraId="490EBBF3" w14:textId="77777777" w:rsidR="008C697D" w:rsidRPr="00037C61" w:rsidRDefault="008C697D" w:rsidP="008C697D">
            <w:pPr>
              <w:rPr>
                <w:rStyle w:val="IntenseReference"/>
                <w:rFonts w:cstheme="minorHAnsi"/>
                <w:b w:val="0"/>
                <w:bCs w:val="0"/>
                <w:smallCaps w:val="0"/>
                <w:color w:val="808080" w:themeColor="background1" w:themeShade="80"/>
                <w:lang w:val="en-GB"/>
              </w:rPr>
            </w:pPr>
            <w:r w:rsidRPr="00037C61">
              <w:rPr>
                <w:rStyle w:val="IntenseReference"/>
                <w:rFonts w:cstheme="minorHAnsi"/>
                <w:smallCaps w:val="0"/>
                <w:color w:val="808080" w:themeColor="background1" w:themeShade="80"/>
                <w:lang w:val="en-GB"/>
              </w:rPr>
              <w:t xml:space="preserve">Documents, papers: (92) </w:t>
            </w:r>
            <w:r w:rsidRPr="00037C61">
              <w:rPr>
                <w:rStyle w:val="IntenseReference"/>
                <w:rFonts w:cstheme="minorHAnsi"/>
                <w:b w:val="0"/>
                <w:smallCaps w:val="0"/>
                <w:color w:val="808080" w:themeColor="background1" w:themeShade="80"/>
                <w:lang w:val="en-GB"/>
              </w:rPr>
              <w:t xml:space="preserve">The Carpathian Euroregion Strategy 2020 &amp; beyond; </w:t>
            </w:r>
            <w:r w:rsidRPr="00037C61">
              <w:rPr>
                <w:rStyle w:val="IntenseReference"/>
                <w:rFonts w:cstheme="minorHAnsi"/>
                <w:smallCaps w:val="0"/>
                <w:color w:val="808080" w:themeColor="background1" w:themeShade="80"/>
                <w:lang w:val="en-GB"/>
              </w:rPr>
              <w:t xml:space="preserve">(93) </w:t>
            </w:r>
            <w:r w:rsidRPr="00037C61">
              <w:rPr>
                <w:rStyle w:val="IntenseReference"/>
                <w:rFonts w:cstheme="minorHAnsi"/>
                <w:b w:val="0"/>
                <w:smallCaps w:val="0"/>
                <w:color w:val="808080" w:themeColor="background1" w:themeShade="80"/>
                <w:lang w:val="en-GB"/>
              </w:rPr>
              <w:t>Danube-Kris-Mures-Tisa (DKMT) Regional Cooperation Strategy;</w:t>
            </w:r>
            <w:r w:rsidRPr="00037C61">
              <w:rPr>
                <w:rStyle w:val="IntenseReference"/>
                <w:rFonts w:cstheme="minorHAnsi"/>
                <w:smallCaps w:val="0"/>
                <w:color w:val="808080" w:themeColor="background1" w:themeShade="80"/>
                <w:lang w:val="en-GB"/>
              </w:rPr>
              <w:t xml:space="preserve"> </w:t>
            </w:r>
          </w:p>
          <w:p w14:paraId="372C9899" w14:textId="77777777" w:rsidR="008C697D" w:rsidRPr="00037C61" w:rsidRDefault="008C697D" w:rsidP="008C697D">
            <w:pPr>
              <w:rPr>
                <w:rStyle w:val="IntenseReference"/>
                <w:rFonts w:cstheme="minorHAnsi"/>
                <w:b w:val="0"/>
                <w:bCs w:val="0"/>
                <w:i/>
                <w:iCs/>
                <w:smallCaps w:val="0"/>
                <w:color w:val="808080" w:themeColor="background1" w:themeShade="80"/>
                <w:lang w:val="en-GB"/>
              </w:rPr>
            </w:pPr>
            <w:r w:rsidRPr="00037C61">
              <w:rPr>
                <w:rStyle w:val="IntenseReference"/>
                <w:rFonts w:cstheme="minorHAnsi"/>
                <w:b w:val="0"/>
                <w:bCs w:val="0"/>
                <w:i/>
                <w:iCs/>
                <w:smallCaps w:val="0"/>
                <w:color w:val="808080" w:themeColor="background1" w:themeShade="80"/>
                <w:lang w:val="en-GB"/>
              </w:rPr>
              <w:t>Analysis of membership, territorial coverage and main activities / mission</w:t>
            </w:r>
          </w:p>
          <w:p w14:paraId="554D2840" w14:textId="4712CC18" w:rsidR="007307F8" w:rsidRPr="00037C61" w:rsidRDefault="007307F8" w:rsidP="008C697D">
            <w:pPr>
              <w:rPr>
                <w:rStyle w:val="IntenseReference"/>
                <w:rFonts w:cstheme="minorHAnsi"/>
                <w:smallCaps w:val="0"/>
                <w:color w:val="auto"/>
                <w:lang w:val="en-GB"/>
              </w:rPr>
            </w:pPr>
          </w:p>
        </w:tc>
      </w:tr>
      <w:tr w:rsidR="008C697D" w:rsidRPr="004A5488" w14:paraId="55921FAF" w14:textId="77777777" w:rsidTr="008C697D">
        <w:tc>
          <w:tcPr>
            <w:tcW w:w="710" w:type="dxa"/>
            <w:shd w:val="clear" w:color="auto" w:fill="BBDAFD" w:themeFill="accent1" w:themeFillTint="33"/>
          </w:tcPr>
          <w:p w14:paraId="11AEDB49"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6.3</w:t>
            </w:r>
          </w:p>
        </w:tc>
        <w:tc>
          <w:tcPr>
            <w:tcW w:w="8306" w:type="dxa"/>
            <w:shd w:val="clear" w:color="auto" w:fill="BBDAFD" w:themeFill="accent1" w:themeFillTint="33"/>
          </w:tcPr>
          <w:p w14:paraId="7C1F3DC8" w14:textId="77777777" w:rsidR="008C697D" w:rsidRPr="00037C61" w:rsidRDefault="008C697D" w:rsidP="008C697D">
            <w:pPr>
              <w:rPr>
                <w:rStyle w:val="IntenseReference"/>
                <w:rFonts w:cstheme="minorHAnsi"/>
                <w:smallCaps w:val="0"/>
                <w:color w:val="auto"/>
                <w:lang w:val="en-GB"/>
              </w:rPr>
            </w:pPr>
            <w:r w:rsidRPr="00037C61">
              <w:rPr>
                <w:rStyle w:val="IntenseReference"/>
                <w:rFonts w:cstheme="minorHAnsi"/>
                <w:smallCaps w:val="0"/>
                <w:color w:val="auto"/>
                <w:lang w:val="en-GB"/>
              </w:rPr>
              <w:t>Local Action Groups and micro-regions in the cross-border area</w:t>
            </w:r>
            <w:r w:rsidRPr="00037C61">
              <w:rPr>
                <w:rStyle w:val="IntenseReference"/>
                <w:rFonts w:cstheme="minorHAnsi"/>
                <w:smallCaps w:val="0"/>
                <w:color w:val="auto"/>
                <w:lang w:val="en-GB"/>
              </w:rPr>
              <w:tab/>
            </w:r>
          </w:p>
        </w:tc>
      </w:tr>
    </w:tbl>
    <w:p w14:paraId="6D9C7B7F" w14:textId="12A0F60B" w:rsidR="007307F8" w:rsidRPr="00037C61" w:rsidRDefault="007307F8" w:rsidP="007307F8">
      <w:pPr>
        <w:ind w:firstLine="708"/>
        <w:rPr>
          <w:rStyle w:val="IntenseReference"/>
          <w:rFonts w:cstheme="minorHAnsi"/>
          <w:b w:val="0"/>
          <w:bCs w:val="0"/>
          <w:i/>
          <w:iCs/>
          <w:smallCaps w:val="0"/>
          <w:color w:val="808080" w:themeColor="background1" w:themeShade="80"/>
          <w:lang w:val="en-GB"/>
        </w:rPr>
      </w:pPr>
      <w:r w:rsidRPr="00037C61">
        <w:rPr>
          <w:rStyle w:val="IntenseReference"/>
          <w:rFonts w:cstheme="minorHAnsi"/>
          <w:b w:val="0"/>
          <w:bCs w:val="0"/>
          <w:i/>
          <w:iCs/>
          <w:smallCaps w:val="0"/>
          <w:color w:val="808080" w:themeColor="background1" w:themeShade="80"/>
          <w:lang w:val="en-GB"/>
        </w:rPr>
        <w:t xml:space="preserve">  Analysis of membership, territorial coverage and main activities / mission</w:t>
      </w:r>
    </w:p>
    <w:p w14:paraId="0DC100BF" w14:textId="77777777" w:rsidR="008C697D" w:rsidRPr="00037C61" w:rsidRDefault="008C697D" w:rsidP="00E26DBC">
      <w:pPr>
        <w:rPr>
          <w:lang w:val="en-GB"/>
        </w:rPr>
      </w:pPr>
    </w:p>
    <w:sectPr w:rsidR="008C697D" w:rsidRPr="00037C61" w:rsidSect="008C697D">
      <w:pgSz w:w="11906" w:h="16838"/>
      <w:pgMar w:top="1713" w:right="1440" w:bottom="1440" w:left="1440" w:header="708" w:footer="82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43223D" w14:textId="77777777" w:rsidR="0049362F" w:rsidRDefault="0049362F" w:rsidP="00453026">
      <w:pPr>
        <w:spacing w:after="0" w:line="240" w:lineRule="auto"/>
      </w:pPr>
      <w:r>
        <w:separator/>
      </w:r>
    </w:p>
    <w:p w14:paraId="20856676" w14:textId="77777777" w:rsidR="0049362F" w:rsidRDefault="0049362F"/>
  </w:endnote>
  <w:endnote w:type="continuationSeparator" w:id="0">
    <w:p w14:paraId="1B9479C6" w14:textId="77777777" w:rsidR="0049362F" w:rsidRDefault="0049362F" w:rsidP="00453026">
      <w:pPr>
        <w:spacing w:after="0" w:line="240" w:lineRule="auto"/>
      </w:pPr>
      <w:r>
        <w:continuationSeparator/>
      </w:r>
    </w:p>
    <w:p w14:paraId="2A106ABC" w14:textId="77777777" w:rsidR="0049362F" w:rsidRDefault="0049362F"/>
  </w:endnote>
  <w:endnote w:type="continuationNotice" w:id="1">
    <w:p w14:paraId="4A86DDF3" w14:textId="77777777" w:rsidR="0049362F" w:rsidRDefault="004936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to Sans Symbols">
    <w:altName w:val="Times New Roman"/>
    <w:charset w:val="00"/>
    <w:family w:val="auto"/>
    <w:pitch w:val="default"/>
  </w:font>
  <w:font w:name="Open Sans">
    <w:panose1 w:val="020B0606030504020204"/>
    <w:charset w:val="00"/>
    <w:family w:val="swiss"/>
    <w:pitch w:val="variable"/>
    <w:sig w:usb0="E00002EF" w:usb1="4000205B" w:usb2="00000028"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ovelo">
    <w:altName w:val="Calibri"/>
    <w:panose1 w:val="00000000000000000000"/>
    <w:charset w:val="00"/>
    <w:family w:val="modern"/>
    <w:notTrueType/>
    <w:pitch w:val="variable"/>
    <w:sig w:usb0="80000027" w:usb1="00000002"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Neue">
    <w:altName w:val="Sylfaen"/>
    <w:charset w:val="00"/>
    <w:family w:val="roman"/>
    <w:pitch w:val="default"/>
  </w:font>
  <w:font w:name="Fedra Sans Pro">
    <w:altName w:val="Fedra Sans Pro"/>
    <w:panose1 w:val="00000000000000000000"/>
    <w:charset w:val="00"/>
    <w:family w:val="swiss"/>
    <w:notTrueType/>
    <w:pitch w:val="default"/>
    <w:sig w:usb0="00000003" w:usb1="00000000" w:usb2="00000000" w:usb3="00000000" w:csb0="00000001" w:csb1="00000000"/>
  </w:font>
  <w:font w:name="IrisUPC">
    <w:panose1 w:val="020B06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5F003F" w14:textId="2E5B9780" w:rsidR="00944B4A" w:rsidRDefault="00944B4A">
    <w:pPr>
      <w:pStyle w:val="Footer"/>
      <w:jc w:val="center"/>
    </w:pPr>
    <w:r>
      <w:fldChar w:fldCharType="begin"/>
    </w:r>
    <w:r>
      <w:instrText>PAGE</w:instrText>
    </w:r>
    <w:r>
      <w:fldChar w:fldCharType="separate"/>
    </w:r>
    <w:r w:rsidR="00C21093">
      <w:rPr>
        <w:noProof/>
      </w:rPr>
      <w:t>3</w:t>
    </w:r>
    <w:r>
      <w:fldChar w:fldCharType="end"/>
    </w:r>
    <w:sdt>
      <w:sdtPr>
        <w:id w:val="1445501257"/>
        <w:placeholder>
          <w:docPart w:val="DefaultPlaceholder_1081868574"/>
        </w:placeholder>
      </w:sdtPr>
      <w:sdtEndPr/>
      <w:sdtContent/>
    </w:sdt>
  </w:p>
  <w:p w14:paraId="74420A5C" w14:textId="7DB71C8B" w:rsidR="00944B4A" w:rsidRDefault="00944B4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3E6191DE" w14:textId="77777777" w:rsidTr="00204288">
      <w:tc>
        <w:tcPr>
          <w:tcW w:w="3009" w:type="dxa"/>
        </w:tcPr>
        <w:p w14:paraId="3074E5C1" w14:textId="66BF8CD1" w:rsidR="00944B4A" w:rsidRDefault="00944B4A" w:rsidP="00204288">
          <w:pPr>
            <w:pStyle w:val="Header"/>
            <w:ind w:left="-115"/>
            <w:jc w:val="left"/>
          </w:pPr>
        </w:p>
      </w:tc>
      <w:tc>
        <w:tcPr>
          <w:tcW w:w="3009" w:type="dxa"/>
        </w:tcPr>
        <w:p w14:paraId="497C1AF3" w14:textId="0651E834" w:rsidR="00944B4A" w:rsidRDefault="00944B4A" w:rsidP="00204288">
          <w:pPr>
            <w:pStyle w:val="Header"/>
            <w:jc w:val="center"/>
          </w:pPr>
        </w:p>
      </w:tc>
      <w:tc>
        <w:tcPr>
          <w:tcW w:w="3009" w:type="dxa"/>
        </w:tcPr>
        <w:p w14:paraId="7D3F7F94" w14:textId="03C89AA0" w:rsidR="00944B4A" w:rsidRDefault="00944B4A" w:rsidP="00204288">
          <w:pPr>
            <w:pStyle w:val="Header"/>
            <w:ind w:right="-115"/>
            <w:jc w:val="right"/>
          </w:pPr>
        </w:p>
      </w:tc>
    </w:tr>
  </w:tbl>
  <w:p w14:paraId="7DCC6921" w14:textId="0C97AF40" w:rsidR="00944B4A" w:rsidRDefault="00944B4A" w:rsidP="0020428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57C6A4BD" w14:textId="77777777" w:rsidTr="00204288">
      <w:tc>
        <w:tcPr>
          <w:tcW w:w="4562" w:type="dxa"/>
        </w:tcPr>
        <w:p w14:paraId="726A8B41" w14:textId="04DF8843" w:rsidR="00944B4A" w:rsidRDefault="00944B4A" w:rsidP="00204288">
          <w:pPr>
            <w:pStyle w:val="Header"/>
            <w:ind w:left="-115"/>
            <w:jc w:val="left"/>
          </w:pPr>
        </w:p>
      </w:tc>
      <w:tc>
        <w:tcPr>
          <w:tcW w:w="4562" w:type="dxa"/>
        </w:tcPr>
        <w:p w14:paraId="23578CE2" w14:textId="08B0F5FA" w:rsidR="00944B4A" w:rsidRDefault="00944B4A" w:rsidP="00204288">
          <w:pPr>
            <w:pStyle w:val="Header"/>
            <w:jc w:val="center"/>
          </w:pPr>
        </w:p>
      </w:tc>
      <w:tc>
        <w:tcPr>
          <w:tcW w:w="4562" w:type="dxa"/>
        </w:tcPr>
        <w:p w14:paraId="3E19E360" w14:textId="6CE03A97" w:rsidR="00944B4A" w:rsidRDefault="00944B4A" w:rsidP="00204288">
          <w:pPr>
            <w:pStyle w:val="Header"/>
            <w:ind w:right="-115"/>
            <w:jc w:val="right"/>
          </w:pPr>
        </w:p>
      </w:tc>
    </w:tr>
  </w:tbl>
  <w:p w14:paraId="67AC54A5" w14:textId="45C44EF7" w:rsidR="00944B4A" w:rsidRDefault="00944B4A" w:rsidP="0020428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35673D0B" w14:textId="77777777" w:rsidTr="00204288">
      <w:tc>
        <w:tcPr>
          <w:tcW w:w="3009" w:type="dxa"/>
        </w:tcPr>
        <w:p w14:paraId="31AB2BE2" w14:textId="063F0C06" w:rsidR="00944B4A" w:rsidRDefault="00944B4A" w:rsidP="00204288">
          <w:pPr>
            <w:pStyle w:val="Header"/>
            <w:ind w:left="-115"/>
            <w:jc w:val="left"/>
          </w:pPr>
        </w:p>
      </w:tc>
      <w:tc>
        <w:tcPr>
          <w:tcW w:w="3009" w:type="dxa"/>
        </w:tcPr>
        <w:p w14:paraId="6E411F97" w14:textId="7C27B162" w:rsidR="00944B4A" w:rsidRDefault="00944B4A" w:rsidP="00204288">
          <w:pPr>
            <w:pStyle w:val="Header"/>
            <w:jc w:val="center"/>
          </w:pPr>
        </w:p>
      </w:tc>
      <w:tc>
        <w:tcPr>
          <w:tcW w:w="3009" w:type="dxa"/>
        </w:tcPr>
        <w:p w14:paraId="5C4326C1" w14:textId="6F2D6CE7" w:rsidR="00944B4A" w:rsidRDefault="00944B4A" w:rsidP="00204288">
          <w:pPr>
            <w:pStyle w:val="Header"/>
            <w:ind w:right="-115"/>
            <w:jc w:val="right"/>
          </w:pPr>
        </w:p>
      </w:tc>
    </w:tr>
  </w:tbl>
  <w:p w14:paraId="416DD422" w14:textId="060E96F4" w:rsidR="00944B4A" w:rsidRDefault="00944B4A" w:rsidP="0020428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0DA42C94" w14:textId="77777777" w:rsidTr="00204288">
      <w:tc>
        <w:tcPr>
          <w:tcW w:w="4562" w:type="dxa"/>
        </w:tcPr>
        <w:p w14:paraId="11EB61BD" w14:textId="476C9EB6" w:rsidR="00944B4A" w:rsidRDefault="00944B4A" w:rsidP="00204288">
          <w:pPr>
            <w:pStyle w:val="Header"/>
            <w:ind w:left="-115"/>
            <w:jc w:val="left"/>
          </w:pPr>
        </w:p>
      </w:tc>
      <w:tc>
        <w:tcPr>
          <w:tcW w:w="4562" w:type="dxa"/>
        </w:tcPr>
        <w:p w14:paraId="6EFA6104" w14:textId="23CEA4CE" w:rsidR="00944B4A" w:rsidRDefault="00944B4A" w:rsidP="00204288">
          <w:pPr>
            <w:pStyle w:val="Header"/>
            <w:jc w:val="center"/>
          </w:pPr>
        </w:p>
      </w:tc>
      <w:tc>
        <w:tcPr>
          <w:tcW w:w="4562" w:type="dxa"/>
        </w:tcPr>
        <w:p w14:paraId="0FFD6151" w14:textId="7384F4F0" w:rsidR="00944B4A" w:rsidRDefault="00944B4A" w:rsidP="00204288">
          <w:pPr>
            <w:pStyle w:val="Header"/>
            <w:ind w:right="-115"/>
            <w:jc w:val="right"/>
          </w:pPr>
        </w:p>
      </w:tc>
    </w:tr>
  </w:tbl>
  <w:p w14:paraId="0F9E4611" w14:textId="47EC0D79" w:rsidR="00944B4A" w:rsidRDefault="00944B4A" w:rsidP="0020428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78EDEABA" w14:textId="77777777" w:rsidTr="00204288">
      <w:tc>
        <w:tcPr>
          <w:tcW w:w="4562" w:type="dxa"/>
        </w:tcPr>
        <w:p w14:paraId="43202C4B" w14:textId="0B600762" w:rsidR="00944B4A" w:rsidRDefault="00944B4A" w:rsidP="00204288">
          <w:pPr>
            <w:pStyle w:val="Header"/>
            <w:ind w:left="-115"/>
            <w:jc w:val="left"/>
          </w:pPr>
        </w:p>
      </w:tc>
      <w:tc>
        <w:tcPr>
          <w:tcW w:w="4562" w:type="dxa"/>
        </w:tcPr>
        <w:p w14:paraId="0F6EBA7F" w14:textId="5AA1E5DD" w:rsidR="00944B4A" w:rsidRDefault="00944B4A" w:rsidP="00204288">
          <w:pPr>
            <w:pStyle w:val="Header"/>
            <w:jc w:val="center"/>
          </w:pPr>
        </w:p>
      </w:tc>
      <w:tc>
        <w:tcPr>
          <w:tcW w:w="4562" w:type="dxa"/>
        </w:tcPr>
        <w:p w14:paraId="2271E0A2" w14:textId="06E37B1A" w:rsidR="00944B4A" w:rsidRDefault="00944B4A" w:rsidP="00204288">
          <w:pPr>
            <w:pStyle w:val="Header"/>
            <w:ind w:right="-115"/>
            <w:jc w:val="right"/>
          </w:pPr>
        </w:p>
      </w:tc>
    </w:tr>
  </w:tbl>
  <w:p w14:paraId="4CACDCFF" w14:textId="4263B478" w:rsidR="00944B4A" w:rsidRDefault="00944B4A" w:rsidP="00204288">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40E44CB4" w14:textId="77777777" w:rsidTr="00204288">
      <w:tc>
        <w:tcPr>
          <w:tcW w:w="3009" w:type="dxa"/>
        </w:tcPr>
        <w:p w14:paraId="7CB675C9" w14:textId="4A4FFBEC" w:rsidR="00944B4A" w:rsidRDefault="00944B4A" w:rsidP="00204288">
          <w:pPr>
            <w:pStyle w:val="Header"/>
            <w:ind w:left="-115"/>
            <w:jc w:val="left"/>
          </w:pPr>
        </w:p>
      </w:tc>
      <w:tc>
        <w:tcPr>
          <w:tcW w:w="3009" w:type="dxa"/>
        </w:tcPr>
        <w:p w14:paraId="5ABB3FDF" w14:textId="0863145C" w:rsidR="00944B4A" w:rsidRDefault="00944B4A" w:rsidP="00204288">
          <w:pPr>
            <w:pStyle w:val="Header"/>
            <w:jc w:val="center"/>
          </w:pPr>
        </w:p>
      </w:tc>
      <w:tc>
        <w:tcPr>
          <w:tcW w:w="3009" w:type="dxa"/>
        </w:tcPr>
        <w:p w14:paraId="46B9AE0D" w14:textId="7755CCF3" w:rsidR="00944B4A" w:rsidRDefault="00944B4A" w:rsidP="00204288">
          <w:pPr>
            <w:pStyle w:val="Header"/>
            <w:ind w:right="-115"/>
            <w:jc w:val="right"/>
          </w:pPr>
        </w:p>
      </w:tc>
    </w:tr>
  </w:tbl>
  <w:p w14:paraId="6B0D5777" w14:textId="0A9FA78D" w:rsidR="00944B4A" w:rsidRDefault="00944B4A" w:rsidP="00204288">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2AE47716" w14:textId="77777777" w:rsidTr="00204288">
      <w:tc>
        <w:tcPr>
          <w:tcW w:w="4562" w:type="dxa"/>
        </w:tcPr>
        <w:p w14:paraId="3B437576" w14:textId="266C4970" w:rsidR="00944B4A" w:rsidRDefault="00944B4A" w:rsidP="00204288">
          <w:pPr>
            <w:pStyle w:val="Header"/>
            <w:ind w:left="-115"/>
            <w:jc w:val="left"/>
          </w:pPr>
        </w:p>
      </w:tc>
      <w:tc>
        <w:tcPr>
          <w:tcW w:w="4562" w:type="dxa"/>
        </w:tcPr>
        <w:p w14:paraId="5D47928D" w14:textId="7EC8A63D" w:rsidR="00944B4A" w:rsidRDefault="00944B4A" w:rsidP="00204288">
          <w:pPr>
            <w:pStyle w:val="Header"/>
            <w:jc w:val="center"/>
          </w:pPr>
        </w:p>
      </w:tc>
      <w:tc>
        <w:tcPr>
          <w:tcW w:w="4562" w:type="dxa"/>
        </w:tcPr>
        <w:p w14:paraId="6CA5F848" w14:textId="02B503B1" w:rsidR="00944B4A" w:rsidRDefault="00944B4A" w:rsidP="00204288">
          <w:pPr>
            <w:pStyle w:val="Header"/>
            <w:ind w:right="-115"/>
            <w:jc w:val="right"/>
          </w:pPr>
        </w:p>
      </w:tc>
    </w:tr>
  </w:tbl>
  <w:p w14:paraId="4FC7F461" w14:textId="44BCFAED" w:rsidR="00944B4A" w:rsidRDefault="00944B4A" w:rsidP="00204288">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2D9A64FC" w14:textId="77777777" w:rsidTr="00204288">
      <w:tc>
        <w:tcPr>
          <w:tcW w:w="4562" w:type="dxa"/>
        </w:tcPr>
        <w:p w14:paraId="080EC564" w14:textId="14AD4E63" w:rsidR="00944B4A" w:rsidRDefault="00944B4A" w:rsidP="00204288">
          <w:pPr>
            <w:pStyle w:val="Header"/>
            <w:ind w:left="-115"/>
            <w:jc w:val="left"/>
          </w:pPr>
        </w:p>
      </w:tc>
      <w:tc>
        <w:tcPr>
          <w:tcW w:w="4562" w:type="dxa"/>
        </w:tcPr>
        <w:p w14:paraId="38501D16" w14:textId="6A481AEB" w:rsidR="00944B4A" w:rsidRDefault="00944B4A" w:rsidP="00204288">
          <w:pPr>
            <w:pStyle w:val="Header"/>
            <w:jc w:val="center"/>
          </w:pPr>
        </w:p>
      </w:tc>
      <w:tc>
        <w:tcPr>
          <w:tcW w:w="4562" w:type="dxa"/>
        </w:tcPr>
        <w:p w14:paraId="4928F077" w14:textId="37925300" w:rsidR="00944B4A" w:rsidRDefault="00944B4A" w:rsidP="00204288">
          <w:pPr>
            <w:pStyle w:val="Header"/>
            <w:ind w:right="-115"/>
            <w:jc w:val="right"/>
          </w:pPr>
        </w:p>
      </w:tc>
    </w:tr>
  </w:tbl>
  <w:p w14:paraId="590FD66A" w14:textId="36FC8F69" w:rsidR="00944B4A" w:rsidRDefault="00944B4A" w:rsidP="0020428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6918C217" w14:textId="77777777" w:rsidTr="00204288">
      <w:tc>
        <w:tcPr>
          <w:tcW w:w="3009" w:type="dxa"/>
        </w:tcPr>
        <w:p w14:paraId="267EC437" w14:textId="612F9B5C" w:rsidR="00944B4A" w:rsidRDefault="00944B4A" w:rsidP="00204288">
          <w:pPr>
            <w:pStyle w:val="Header"/>
            <w:ind w:left="-115"/>
            <w:jc w:val="left"/>
          </w:pPr>
        </w:p>
      </w:tc>
      <w:tc>
        <w:tcPr>
          <w:tcW w:w="3009" w:type="dxa"/>
        </w:tcPr>
        <w:p w14:paraId="57EEE5FF" w14:textId="53099C9B" w:rsidR="00944B4A" w:rsidRDefault="00944B4A" w:rsidP="00204288">
          <w:pPr>
            <w:pStyle w:val="Header"/>
            <w:jc w:val="center"/>
          </w:pPr>
        </w:p>
      </w:tc>
      <w:tc>
        <w:tcPr>
          <w:tcW w:w="3009" w:type="dxa"/>
        </w:tcPr>
        <w:p w14:paraId="02EFDA57" w14:textId="57EF0A60" w:rsidR="00944B4A" w:rsidRDefault="00944B4A" w:rsidP="00204288">
          <w:pPr>
            <w:pStyle w:val="Header"/>
            <w:ind w:right="-115"/>
            <w:jc w:val="right"/>
          </w:pPr>
        </w:p>
      </w:tc>
    </w:tr>
  </w:tbl>
  <w:p w14:paraId="7C29A811" w14:textId="6B32C668" w:rsidR="00944B4A" w:rsidRDefault="00944B4A" w:rsidP="002042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213"/>
      <w:gridCol w:w="3213"/>
      <w:gridCol w:w="3213"/>
    </w:tblGrid>
    <w:tr w:rsidR="00944B4A" w14:paraId="572DC91E" w14:textId="77777777" w:rsidTr="00204288">
      <w:tc>
        <w:tcPr>
          <w:tcW w:w="3213" w:type="dxa"/>
        </w:tcPr>
        <w:p w14:paraId="30022604" w14:textId="01F067CE" w:rsidR="00944B4A" w:rsidRDefault="00944B4A" w:rsidP="00204288">
          <w:pPr>
            <w:pStyle w:val="Header"/>
            <w:ind w:left="-115"/>
            <w:jc w:val="left"/>
          </w:pPr>
        </w:p>
      </w:tc>
      <w:tc>
        <w:tcPr>
          <w:tcW w:w="3213" w:type="dxa"/>
        </w:tcPr>
        <w:p w14:paraId="5B198002" w14:textId="29BA1D52" w:rsidR="00944B4A" w:rsidRDefault="00944B4A" w:rsidP="00204288">
          <w:pPr>
            <w:pStyle w:val="Header"/>
            <w:jc w:val="center"/>
          </w:pPr>
        </w:p>
      </w:tc>
      <w:tc>
        <w:tcPr>
          <w:tcW w:w="3213" w:type="dxa"/>
        </w:tcPr>
        <w:p w14:paraId="71A81FD5" w14:textId="41D6D406" w:rsidR="00944B4A" w:rsidRDefault="00944B4A" w:rsidP="00204288">
          <w:pPr>
            <w:pStyle w:val="Header"/>
            <w:ind w:right="-115"/>
            <w:jc w:val="right"/>
          </w:pPr>
        </w:p>
      </w:tc>
    </w:tr>
  </w:tbl>
  <w:p w14:paraId="73FBCE8F" w14:textId="682DE32E" w:rsidR="00944B4A" w:rsidRDefault="00944B4A" w:rsidP="0020428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6DB190" w14:textId="0739FEBD" w:rsidR="00944B4A" w:rsidRDefault="00944B4A" w:rsidP="005E0849">
    <w:pPr>
      <w:pStyle w:val="Footer"/>
      <w:jc w:val="center"/>
    </w:pPr>
    <w:r>
      <w:fldChar w:fldCharType="begin"/>
    </w:r>
    <w:r>
      <w:instrText>PAGE</w:instrText>
    </w:r>
    <w:r>
      <w:fldChar w:fldCharType="separate"/>
    </w:r>
    <w:r w:rsidR="00C21093">
      <w:rPr>
        <w:noProof/>
      </w:rPr>
      <w:t>260</w:t>
    </w:r>
    <w:r>
      <w:fldChar w:fldCharType="end"/>
    </w:r>
    <w:sdt>
      <w:sdtPr>
        <w:id w:val="-1766301500"/>
        <w:placeholder>
          <w:docPart w:val="DefaultPlaceholder_1081868574"/>
        </w:placeholder>
      </w:sdtPr>
      <w:sdtEndP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5B82823A" w14:textId="77777777" w:rsidTr="00204288">
      <w:tc>
        <w:tcPr>
          <w:tcW w:w="3009" w:type="dxa"/>
        </w:tcPr>
        <w:p w14:paraId="46ED1168" w14:textId="49EEAAA9" w:rsidR="00944B4A" w:rsidRDefault="00944B4A" w:rsidP="00204288">
          <w:pPr>
            <w:pStyle w:val="Header"/>
            <w:ind w:left="-115"/>
            <w:jc w:val="left"/>
          </w:pPr>
        </w:p>
      </w:tc>
      <w:tc>
        <w:tcPr>
          <w:tcW w:w="3009" w:type="dxa"/>
        </w:tcPr>
        <w:p w14:paraId="2BE4987E" w14:textId="36E9B180" w:rsidR="00944B4A" w:rsidRDefault="00944B4A" w:rsidP="00204288">
          <w:pPr>
            <w:pStyle w:val="Header"/>
            <w:jc w:val="center"/>
          </w:pPr>
        </w:p>
      </w:tc>
      <w:tc>
        <w:tcPr>
          <w:tcW w:w="3009" w:type="dxa"/>
        </w:tcPr>
        <w:p w14:paraId="0024B66B" w14:textId="4814DA97" w:rsidR="00944B4A" w:rsidRDefault="00944B4A" w:rsidP="00204288">
          <w:pPr>
            <w:pStyle w:val="Header"/>
            <w:ind w:right="-115"/>
            <w:jc w:val="right"/>
          </w:pPr>
        </w:p>
      </w:tc>
    </w:tr>
  </w:tbl>
  <w:p w14:paraId="59F80191" w14:textId="008FBF01" w:rsidR="00944B4A" w:rsidRDefault="00944B4A" w:rsidP="0020428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68ACAD7E" w14:textId="77777777" w:rsidTr="00204288">
      <w:tc>
        <w:tcPr>
          <w:tcW w:w="4562" w:type="dxa"/>
        </w:tcPr>
        <w:p w14:paraId="693101AD" w14:textId="3DCA2779" w:rsidR="00944B4A" w:rsidRDefault="00944B4A" w:rsidP="00204288">
          <w:pPr>
            <w:pStyle w:val="Header"/>
            <w:ind w:left="-115"/>
            <w:jc w:val="left"/>
          </w:pPr>
        </w:p>
      </w:tc>
      <w:tc>
        <w:tcPr>
          <w:tcW w:w="4562" w:type="dxa"/>
        </w:tcPr>
        <w:p w14:paraId="152D3E15" w14:textId="03E2C969" w:rsidR="00944B4A" w:rsidRDefault="00944B4A" w:rsidP="00204288">
          <w:pPr>
            <w:pStyle w:val="Header"/>
            <w:jc w:val="center"/>
          </w:pPr>
        </w:p>
      </w:tc>
      <w:tc>
        <w:tcPr>
          <w:tcW w:w="4562" w:type="dxa"/>
        </w:tcPr>
        <w:p w14:paraId="053259AE" w14:textId="2CA8CFF4" w:rsidR="00944B4A" w:rsidRDefault="00944B4A" w:rsidP="00204288">
          <w:pPr>
            <w:pStyle w:val="Header"/>
            <w:ind w:right="-115"/>
            <w:jc w:val="right"/>
          </w:pPr>
        </w:p>
      </w:tc>
    </w:tr>
  </w:tbl>
  <w:p w14:paraId="0C3B07AE" w14:textId="04AE2EFE" w:rsidR="00944B4A" w:rsidRDefault="00944B4A" w:rsidP="0020428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21D8612B" w14:textId="77777777" w:rsidTr="00204288">
      <w:tc>
        <w:tcPr>
          <w:tcW w:w="3009" w:type="dxa"/>
        </w:tcPr>
        <w:p w14:paraId="4233A7A7" w14:textId="56F8626A" w:rsidR="00944B4A" w:rsidRDefault="00944B4A" w:rsidP="00204288">
          <w:pPr>
            <w:pStyle w:val="Header"/>
            <w:ind w:left="-115"/>
            <w:jc w:val="left"/>
          </w:pPr>
        </w:p>
      </w:tc>
      <w:tc>
        <w:tcPr>
          <w:tcW w:w="3009" w:type="dxa"/>
        </w:tcPr>
        <w:p w14:paraId="7687C5E9" w14:textId="5E08F1F8" w:rsidR="00944B4A" w:rsidRDefault="00944B4A" w:rsidP="00204288">
          <w:pPr>
            <w:pStyle w:val="Header"/>
            <w:jc w:val="center"/>
          </w:pPr>
        </w:p>
      </w:tc>
      <w:tc>
        <w:tcPr>
          <w:tcW w:w="3009" w:type="dxa"/>
        </w:tcPr>
        <w:p w14:paraId="30D8272C" w14:textId="349831FF" w:rsidR="00944B4A" w:rsidRDefault="00944B4A" w:rsidP="00204288">
          <w:pPr>
            <w:pStyle w:val="Header"/>
            <w:ind w:right="-115"/>
            <w:jc w:val="right"/>
          </w:pPr>
        </w:p>
      </w:tc>
    </w:tr>
  </w:tbl>
  <w:p w14:paraId="0F22594E" w14:textId="38BD7673" w:rsidR="00944B4A" w:rsidRDefault="00944B4A" w:rsidP="0020428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47EA8B84" w14:textId="77777777" w:rsidTr="00204288">
      <w:tc>
        <w:tcPr>
          <w:tcW w:w="4562" w:type="dxa"/>
        </w:tcPr>
        <w:p w14:paraId="234CC0B4" w14:textId="625C130E" w:rsidR="00944B4A" w:rsidRDefault="00944B4A" w:rsidP="00204288">
          <w:pPr>
            <w:pStyle w:val="Header"/>
            <w:ind w:left="-115"/>
            <w:jc w:val="left"/>
          </w:pPr>
        </w:p>
      </w:tc>
      <w:tc>
        <w:tcPr>
          <w:tcW w:w="4562" w:type="dxa"/>
        </w:tcPr>
        <w:p w14:paraId="3A89B1CE" w14:textId="42870090" w:rsidR="00944B4A" w:rsidRDefault="00944B4A" w:rsidP="00204288">
          <w:pPr>
            <w:pStyle w:val="Header"/>
            <w:jc w:val="center"/>
          </w:pPr>
        </w:p>
      </w:tc>
      <w:tc>
        <w:tcPr>
          <w:tcW w:w="4562" w:type="dxa"/>
        </w:tcPr>
        <w:p w14:paraId="386D1640" w14:textId="59DC9C09" w:rsidR="00944B4A" w:rsidRDefault="00944B4A" w:rsidP="00204288">
          <w:pPr>
            <w:pStyle w:val="Header"/>
            <w:ind w:right="-115"/>
            <w:jc w:val="right"/>
          </w:pPr>
        </w:p>
      </w:tc>
    </w:tr>
  </w:tbl>
  <w:p w14:paraId="35373281" w14:textId="2468997B" w:rsidR="00944B4A" w:rsidRDefault="00944B4A" w:rsidP="0020428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09"/>
      <w:gridCol w:w="3009"/>
      <w:gridCol w:w="3009"/>
    </w:tblGrid>
    <w:tr w:rsidR="00944B4A" w14:paraId="15BFB35B" w14:textId="77777777" w:rsidTr="00204288">
      <w:tc>
        <w:tcPr>
          <w:tcW w:w="3009" w:type="dxa"/>
        </w:tcPr>
        <w:p w14:paraId="531B74B4" w14:textId="40F3D50D" w:rsidR="00944B4A" w:rsidRDefault="00944B4A" w:rsidP="00204288">
          <w:pPr>
            <w:pStyle w:val="Header"/>
            <w:ind w:left="-115"/>
            <w:jc w:val="left"/>
          </w:pPr>
        </w:p>
      </w:tc>
      <w:tc>
        <w:tcPr>
          <w:tcW w:w="3009" w:type="dxa"/>
        </w:tcPr>
        <w:p w14:paraId="191D2082" w14:textId="6616D0CC" w:rsidR="00944B4A" w:rsidRDefault="00944B4A" w:rsidP="00204288">
          <w:pPr>
            <w:pStyle w:val="Header"/>
            <w:jc w:val="center"/>
          </w:pPr>
        </w:p>
      </w:tc>
      <w:tc>
        <w:tcPr>
          <w:tcW w:w="3009" w:type="dxa"/>
        </w:tcPr>
        <w:p w14:paraId="37FD1CC8" w14:textId="6EAF68D9" w:rsidR="00944B4A" w:rsidRDefault="00944B4A" w:rsidP="00204288">
          <w:pPr>
            <w:pStyle w:val="Header"/>
            <w:ind w:right="-115"/>
            <w:jc w:val="right"/>
          </w:pPr>
        </w:p>
      </w:tc>
    </w:tr>
  </w:tbl>
  <w:p w14:paraId="5FC90B75" w14:textId="5A011B1D" w:rsidR="00944B4A" w:rsidRDefault="00944B4A" w:rsidP="0020428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4562"/>
      <w:gridCol w:w="4562"/>
      <w:gridCol w:w="4562"/>
    </w:tblGrid>
    <w:tr w:rsidR="00944B4A" w14:paraId="01C381D3" w14:textId="77777777" w:rsidTr="00204288">
      <w:tc>
        <w:tcPr>
          <w:tcW w:w="4562" w:type="dxa"/>
        </w:tcPr>
        <w:p w14:paraId="6A88CCB3" w14:textId="2FA66C8A" w:rsidR="00944B4A" w:rsidRDefault="00944B4A" w:rsidP="00204288">
          <w:pPr>
            <w:pStyle w:val="Header"/>
            <w:ind w:left="-115"/>
            <w:jc w:val="left"/>
          </w:pPr>
        </w:p>
      </w:tc>
      <w:tc>
        <w:tcPr>
          <w:tcW w:w="4562" w:type="dxa"/>
        </w:tcPr>
        <w:p w14:paraId="0AA586B8" w14:textId="3F110596" w:rsidR="00944B4A" w:rsidRDefault="00944B4A" w:rsidP="00204288">
          <w:pPr>
            <w:pStyle w:val="Header"/>
            <w:jc w:val="center"/>
          </w:pPr>
        </w:p>
      </w:tc>
      <w:tc>
        <w:tcPr>
          <w:tcW w:w="4562" w:type="dxa"/>
        </w:tcPr>
        <w:p w14:paraId="47CD3866" w14:textId="3BB73D6F" w:rsidR="00944B4A" w:rsidRDefault="00944B4A" w:rsidP="00204288">
          <w:pPr>
            <w:pStyle w:val="Header"/>
            <w:ind w:right="-115"/>
            <w:jc w:val="right"/>
          </w:pPr>
        </w:p>
      </w:tc>
    </w:tr>
  </w:tbl>
  <w:p w14:paraId="54F2278A" w14:textId="20DB7ABD" w:rsidR="00944B4A" w:rsidRDefault="00944B4A" w:rsidP="002042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44D49C" w14:textId="77777777" w:rsidR="0049362F" w:rsidRDefault="0049362F" w:rsidP="00453026">
      <w:pPr>
        <w:spacing w:after="0" w:line="240" w:lineRule="auto"/>
      </w:pPr>
      <w:r>
        <w:separator/>
      </w:r>
    </w:p>
    <w:p w14:paraId="279D5A03" w14:textId="77777777" w:rsidR="0049362F" w:rsidRDefault="0049362F"/>
  </w:footnote>
  <w:footnote w:type="continuationSeparator" w:id="0">
    <w:p w14:paraId="5125E658" w14:textId="77777777" w:rsidR="0049362F" w:rsidRDefault="0049362F" w:rsidP="00453026">
      <w:pPr>
        <w:spacing w:after="0" w:line="240" w:lineRule="auto"/>
      </w:pPr>
      <w:r>
        <w:continuationSeparator/>
      </w:r>
    </w:p>
    <w:p w14:paraId="36029A5B" w14:textId="77777777" w:rsidR="0049362F" w:rsidRDefault="0049362F"/>
  </w:footnote>
  <w:footnote w:type="continuationNotice" w:id="1">
    <w:p w14:paraId="1BBCA1B0" w14:textId="77777777" w:rsidR="0049362F" w:rsidRDefault="0049362F">
      <w:pPr>
        <w:spacing w:after="0" w:line="240" w:lineRule="auto"/>
      </w:pPr>
    </w:p>
  </w:footnote>
  <w:footnote w:id="2">
    <w:p w14:paraId="5C45F23F" w14:textId="47FAB11E" w:rsidR="00944B4A" w:rsidRPr="005E0849" w:rsidRDefault="00944B4A">
      <w:pPr>
        <w:pStyle w:val="FootnoteText"/>
        <w:rPr>
          <w:sz w:val="16"/>
          <w:szCs w:val="16"/>
          <w:lang w:val="en-GB"/>
        </w:rPr>
      </w:pPr>
      <w:r>
        <w:rPr>
          <w:rStyle w:val="FootnoteReference"/>
        </w:rPr>
        <w:footnoteRef/>
      </w:r>
      <w:r w:rsidRPr="005E0849">
        <w:rPr>
          <w:lang w:val="en-GB"/>
        </w:rPr>
        <w:t xml:space="preserve"> </w:t>
      </w:r>
      <w:r w:rsidRPr="005E0849">
        <w:rPr>
          <w:sz w:val="16"/>
          <w:szCs w:val="16"/>
          <w:lang w:val="en-GB"/>
        </w:rPr>
        <w:t>A</w:t>
      </w:r>
      <w:r w:rsidRPr="005E0849">
        <w:rPr>
          <w:color w:val="000000"/>
          <w:sz w:val="18"/>
          <w:szCs w:val="16"/>
          <w:lang w:val="en-GB"/>
        </w:rPr>
        <w:t>s an example, information</w:t>
      </w:r>
      <w:r>
        <w:rPr>
          <w:color w:val="000000"/>
          <w:sz w:val="18"/>
          <w:szCs w:val="16"/>
          <w:lang w:val="en-GB"/>
        </w:rPr>
        <w:t xml:space="preserve"> for the cities included in the JRC</w:t>
      </w:r>
      <w:r w:rsidRPr="005E0849">
        <w:rPr>
          <w:color w:val="000000"/>
          <w:sz w:val="18"/>
          <w:szCs w:val="16"/>
          <w:lang w:val="en-GB"/>
        </w:rPr>
        <w:t xml:space="preserve"> Cultural and Creative Cities Monitor</w:t>
      </w:r>
      <w:r>
        <w:rPr>
          <w:color w:val="000000"/>
          <w:sz w:val="18"/>
          <w:szCs w:val="16"/>
          <w:lang w:val="en-GB"/>
        </w:rPr>
        <w:t xml:space="preserve"> (EC, 2019). </w:t>
      </w:r>
    </w:p>
  </w:footnote>
  <w:footnote w:id="3">
    <w:p w14:paraId="793C6A5C" w14:textId="6320806C" w:rsidR="00944B4A" w:rsidRPr="007307F8" w:rsidRDefault="00944B4A">
      <w:pPr>
        <w:pStyle w:val="FootnoteText"/>
        <w:rPr>
          <w:lang w:val="en-GB"/>
        </w:rPr>
      </w:pPr>
      <w:r>
        <w:rPr>
          <w:rStyle w:val="FootnoteReference"/>
        </w:rPr>
        <w:footnoteRef/>
      </w:r>
      <w:r w:rsidRPr="007307F8">
        <w:rPr>
          <w:lang w:val="en-GB"/>
        </w:rPr>
        <w:t xml:space="preserve"> </w:t>
      </w:r>
      <w:r>
        <w:rPr>
          <w:lang w:val="en-GB"/>
        </w:rPr>
        <w:t xml:space="preserve">Please see Annexes for further details on the content of the Policy Analysis Paper. </w:t>
      </w:r>
    </w:p>
  </w:footnote>
  <w:footnote w:id="4">
    <w:p w14:paraId="093D7A08" w14:textId="77777777" w:rsidR="00944B4A" w:rsidRPr="002D78EC" w:rsidRDefault="00944B4A" w:rsidP="00866764">
      <w:pPr>
        <w:pStyle w:val="FootnoteText"/>
        <w:rPr>
          <w:lang w:val="en-GB"/>
        </w:rPr>
      </w:pPr>
      <w:r>
        <w:rPr>
          <w:rStyle w:val="FootnoteReference"/>
        </w:rPr>
        <w:footnoteRef/>
      </w:r>
      <w:r w:rsidRPr="002D78EC">
        <w:rPr>
          <w:lang w:val="en-GB"/>
        </w:rPr>
        <w:t xml:space="preserve"> </w:t>
      </w:r>
      <w:r>
        <w:rPr>
          <w:lang w:val="en-GB"/>
        </w:rPr>
        <w:t xml:space="preserve">For the purpose of this analysis, we consider as being implemented at “local level” both county and urban development strategies. </w:t>
      </w:r>
    </w:p>
  </w:footnote>
  <w:footnote w:id="5">
    <w:p w14:paraId="29E2166E" w14:textId="77777777" w:rsidR="00944B4A" w:rsidRPr="00251399" w:rsidRDefault="00944B4A" w:rsidP="00866764">
      <w:pPr>
        <w:pStyle w:val="FootnoteText"/>
        <w:rPr>
          <w:lang w:val="en-GB"/>
        </w:rPr>
      </w:pPr>
      <w:r>
        <w:rPr>
          <w:rStyle w:val="FootnoteReference"/>
        </w:rPr>
        <w:footnoteRef/>
      </w:r>
      <w:r w:rsidRPr="00251399">
        <w:rPr>
          <w:lang w:val="en-GB"/>
        </w:rPr>
        <w:t xml:space="preserve"> </w:t>
      </w:r>
      <w:hyperlink r:id="rId1" w:history="1">
        <w:r w:rsidRPr="004B08B2">
          <w:rPr>
            <w:rStyle w:val="Hyperlink"/>
            <w:lang w:val="en-GB"/>
          </w:rPr>
          <w:t>https://ec.europa.eu/commission/sites/beta-political/files/budget-may2018-common-provisions_en.pdf</w:t>
        </w:r>
      </w:hyperlink>
    </w:p>
  </w:footnote>
  <w:footnote w:id="6">
    <w:p w14:paraId="32C1AD37" w14:textId="77777777" w:rsidR="00944B4A" w:rsidRPr="00D235CE" w:rsidRDefault="00944B4A" w:rsidP="00866764">
      <w:pPr>
        <w:pStyle w:val="FootnoteText"/>
        <w:rPr>
          <w:sz w:val="18"/>
          <w:szCs w:val="18"/>
          <w:lang w:val="en-GB"/>
        </w:rPr>
      </w:pPr>
      <w:r w:rsidRPr="00866764">
        <w:rPr>
          <w:rStyle w:val="FootnoteReference"/>
        </w:rPr>
        <w:footnoteRef/>
      </w:r>
      <w:r w:rsidRPr="00866764">
        <w:rPr>
          <w:sz w:val="18"/>
          <w:szCs w:val="18"/>
          <w:lang w:val="en-GB"/>
        </w:rPr>
        <w:t xml:space="preserve"> </w:t>
      </w:r>
      <w:hyperlink r:id="rId2" w:history="1">
        <w:r w:rsidRPr="00866764">
          <w:rPr>
            <w:rStyle w:val="Hyperlink"/>
            <w:sz w:val="18"/>
            <w:szCs w:val="18"/>
            <w:lang w:val="en-GB"/>
          </w:rPr>
          <w:t>https://ec.europa.eu/regional_policy/sources/docoffic/2014/boosting_growth/com_boosting_borders.pdf</w:t>
        </w:r>
      </w:hyperlink>
      <w:r w:rsidRPr="00866764">
        <w:rPr>
          <w:sz w:val="18"/>
          <w:szCs w:val="18"/>
          <w:lang w:val="en-GB"/>
        </w:rPr>
        <w:t xml:space="preserve"> </w:t>
      </w:r>
    </w:p>
  </w:footnote>
  <w:footnote w:id="7">
    <w:p w14:paraId="4B1EE7C1" w14:textId="77777777" w:rsidR="00944B4A" w:rsidRPr="00D235CE" w:rsidRDefault="00944B4A" w:rsidP="00866764">
      <w:pPr>
        <w:pStyle w:val="FootnoteText"/>
        <w:rPr>
          <w:sz w:val="18"/>
          <w:szCs w:val="18"/>
          <w:lang w:val="en-GB"/>
        </w:rPr>
      </w:pPr>
      <w:r w:rsidRPr="00D235CE">
        <w:rPr>
          <w:rStyle w:val="FootnoteReference"/>
        </w:rPr>
        <w:footnoteRef/>
      </w:r>
      <w:r w:rsidRPr="00D235CE">
        <w:rPr>
          <w:sz w:val="18"/>
          <w:szCs w:val="18"/>
          <w:lang w:val="en-GB"/>
        </w:rPr>
        <w:t xml:space="preserve"> </w:t>
      </w:r>
      <w:hyperlink r:id="rId3" w:history="1">
        <w:r w:rsidRPr="00D235CE">
          <w:rPr>
            <w:rStyle w:val="Hyperlink"/>
            <w:sz w:val="18"/>
            <w:szCs w:val="18"/>
            <w:lang w:val="en-GB"/>
          </w:rPr>
          <w:t>https://ec.europa.eu/info/sites/info/files/2020-european-semester-csr-comm-recommendation-hungary_en.pdf</w:t>
        </w:r>
      </w:hyperlink>
      <w:r w:rsidRPr="00D235CE">
        <w:rPr>
          <w:rStyle w:val="Hyperlink"/>
          <w:sz w:val="18"/>
          <w:szCs w:val="18"/>
          <w:lang w:val="en-GB"/>
        </w:rPr>
        <w:t xml:space="preserve">, </w:t>
      </w:r>
      <w:hyperlink r:id="rId4" w:history="1">
        <w:r w:rsidRPr="00D235CE">
          <w:rPr>
            <w:rStyle w:val="Hyperlink"/>
            <w:sz w:val="18"/>
            <w:szCs w:val="18"/>
            <w:lang w:val="en-GB"/>
          </w:rPr>
          <w:t>https://ec.europa.eu/info/sites/info/files/2020-european-semester-csr-comm-recommendation-romania_en.pdf</w:t>
        </w:r>
      </w:hyperlink>
    </w:p>
  </w:footnote>
  <w:footnote w:id="8">
    <w:p w14:paraId="7BADA99B" w14:textId="77777777" w:rsidR="00944B4A" w:rsidRPr="00FA466C" w:rsidRDefault="00944B4A" w:rsidP="00866764">
      <w:pPr>
        <w:pStyle w:val="FootnoteText"/>
        <w:rPr>
          <w:lang w:val="en-GB"/>
        </w:rPr>
      </w:pPr>
      <w:r w:rsidRPr="00D235CE">
        <w:rPr>
          <w:rStyle w:val="FootnoteReference"/>
        </w:rPr>
        <w:footnoteRef/>
      </w:r>
      <w:r w:rsidRPr="00D235CE">
        <w:rPr>
          <w:sz w:val="18"/>
          <w:szCs w:val="18"/>
          <w:lang w:val="en-GB"/>
        </w:rPr>
        <w:t xml:space="preserve"> </w:t>
      </w:r>
      <w:hyperlink r:id="rId5" w:history="1">
        <w:r w:rsidRPr="00D235CE">
          <w:rPr>
            <w:rStyle w:val="Hyperlink"/>
            <w:sz w:val="18"/>
            <w:szCs w:val="18"/>
            <w:lang w:val="en-GB"/>
          </w:rPr>
          <w:t>https://interreg-rohu.eu/wp-content/uploads/2019/10/BOP_CE_May_2019.pdf</w:t>
        </w:r>
      </w:hyperlink>
      <w:r w:rsidRPr="00D235CE">
        <w:rPr>
          <w:sz w:val="18"/>
          <w:szCs w:val="18"/>
          <w:lang w:val="en-GB"/>
        </w:rPr>
        <w:t xml:space="preserve"> </w:t>
      </w:r>
    </w:p>
  </w:footnote>
  <w:footnote w:id="9">
    <w:p w14:paraId="3FF0172B" w14:textId="77777777" w:rsidR="00944B4A" w:rsidRPr="00011D83" w:rsidRDefault="00944B4A" w:rsidP="00866764">
      <w:pPr>
        <w:pStyle w:val="FootnoteText"/>
        <w:rPr>
          <w:lang w:val="en-GB"/>
        </w:rPr>
      </w:pPr>
      <w:r>
        <w:rPr>
          <w:rStyle w:val="FootnoteReference"/>
        </w:rPr>
        <w:footnoteRef/>
      </w:r>
      <w:r w:rsidRPr="00011D83">
        <w:rPr>
          <w:lang w:val="en-GB"/>
        </w:rPr>
        <w:t xml:space="preserve"> Relevant for the cross-b</w:t>
      </w:r>
      <w:r>
        <w:rPr>
          <w:lang w:val="en-GB"/>
        </w:rPr>
        <w:t>order programme.</w:t>
      </w:r>
    </w:p>
  </w:footnote>
  <w:footnote w:id="10">
    <w:p w14:paraId="6A417FBD" w14:textId="77777777" w:rsidR="00944B4A" w:rsidRPr="00973BAB" w:rsidRDefault="00944B4A" w:rsidP="00866764">
      <w:pPr>
        <w:pStyle w:val="FootnoteText"/>
        <w:rPr>
          <w:lang w:val="en-GB"/>
        </w:rPr>
      </w:pPr>
      <w:r>
        <w:rPr>
          <w:rStyle w:val="FootnoteReference"/>
        </w:rPr>
        <w:footnoteRef/>
      </w:r>
      <w:r w:rsidRPr="00973BAB">
        <w:rPr>
          <w:lang w:val="en-GB"/>
        </w:rPr>
        <w:t xml:space="preserve"> </w:t>
      </w:r>
      <w:r>
        <w:rPr>
          <w:lang w:val="en-GB"/>
        </w:rPr>
        <w:t>Whilst for Hungary the next governance level is found at NUTS 3 level.</w:t>
      </w:r>
    </w:p>
  </w:footnote>
  <w:footnote w:id="11">
    <w:p w14:paraId="042545E6" w14:textId="77777777" w:rsidR="00944B4A" w:rsidRPr="005E0849" w:rsidRDefault="00944B4A" w:rsidP="00866764">
      <w:pPr>
        <w:pStyle w:val="FootnoteText"/>
        <w:rPr>
          <w:lang w:val="en-GB"/>
        </w:rPr>
      </w:pPr>
      <w:r>
        <w:rPr>
          <w:rStyle w:val="FootnoteReference"/>
        </w:rPr>
        <w:footnoteRef/>
      </w:r>
      <w:r w:rsidRPr="005E0849">
        <w:rPr>
          <w:lang w:val="en-GB"/>
        </w:rPr>
        <w:t xml:space="preserve"> https://blogs.imf.org/2020/04/14/the-great-lockdown-worst-economic-downturn-since-the-great-depression/</w:t>
      </w:r>
    </w:p>
  </w:footnote>
  <w:footnote w:id="12">
    <w:p w14:paraId="66837822" w14:textId="5B0DF3D7" w:rsidR="00944B4A" w:rsidRPr="0061187F" w:rsidRDefault="00944B4A">
      <w:pPr>
        <w:pStyle w:val="FootnoteText"/>
        <w:rPr>
          <w:lang w:val="en-GB"/>
        </w:rPr>
      </w:pPr>
      <w:r>
        <w:rPr>
          <w:rStyle w:val="FootnoteReference"/>
        </w:rPr>
        <w:footnoteRef/>
      </w:r>
      <w:r w:rsidRPr="0061187F">
        <w:rPr>
          <w:lang w:val="en-GB"/>
        </w:rPr>
        <w:t xml:space="preserve"> See the Final evaluation R</w:t>
      </w:r>
      <w:r>
        <w:rPr>
          <w:lang w:val="en-GB"/>
        </w:rPr>
        <w:t xml:space="preserve">eport under the </w:t>
      </w:r>
      <w:r w:rsidRPr="004B421A">
        <w:rPr>
          <w:lang w:val="en-GB"/>
        </w:rPr>
        <w:t>Services for evaluating the implementation of The Interreg V-A Romania – Hungary Programme</w:t>
      </w:r>
      <w:r>
        <w:rPr>
          <w:lang w:val="en-GB"/>
        </w:rPr>
        <w:t xml:space="preserve">. </w:t>
      </w:r>
    </w:p>
  </w:footnote>
  <w:footnote w:id="13">
    <w:p w14:paraId="38A0A7F3" w14:textId="77777777" w:rsidR="00944B4A" w:rsidRPr="00F1302B" w:rsidRDefault="00944B4A" w:rsidP="00FB6D3F">
      <w:pPr>
        <w:pStyle w:val="FootnoteText"/>
        <w:jc w:val="left"/>
        <w:rPr>
          <w:lang w:val="en-GB"/>
        </w:rPr>
      </w:pPr>
      <w:r>
        <w:rPr>
          <w:rStyle w:val="FootnoteReference"/>
        </w:rPr>
        <w:footnoteRef/>
      </w:r>
      <w:r w:rsidRPr="00F1302B">
        <w:rPr>
          <w:lang w:val="en-GB"/>
        </w:rPr>
        <w:t xml:space="preserve"> </w:t>
      </w:r>
      <w:hyperlink r:id="rId6" w:anchor="toc8" w:history="1">
        <w:r w:rsidRPr="00113BDC">
          <w:rPr>
            <w:rStyle w:val="Hyperlink"/>
            <w:lang w:val="en-GB"/>
          </w:rPr>
          <w:t>https://www.ecb.europa.eu/pub/economic-bulletin/articles/2020/html/ecb.ebart202007_01~ef0a77a516.en.html#toc8</w:t>
        </w:r>
      </w:hyperlink>
      <w:r>
        <w:rPr>
          <w:lang w:val="en-GB"/>
        </w:rPr>
        <w:t xml:space="preserve"> </w:t>
      </w:r>
    </w:p>
  </w:footnote>
  <w:footnote w:id="14">
    <w:p w14:paraId="0657D785" w14:textId="77777777" w:rsidR="00944B4A" w:rsidRPr="00FB3BD8" w:rsidRDefault="00944B4A" w:rsidP="00FB6D3F">
      <w:pPr>
        <w:pStyle w:val="FootnoteText"/>
        <w:rPr>
          <w:lang w:val="en-GB"/>
        </w:rPr>
      </w:pPr>
      <w:r>
        <w:rPr>
          <w:rStyle w:val="FootnoteReference"/>
        </w:rPr>
        <w:footnoteRef/>
      </w:r>
      <w:r w:rsidRPr="00FB3BD8">
        <w:rPr>
          <w:lang w:val="en-GB"/>
        </w:rPr>
        <w:t xml:space="preserve"> Potential output is typically defined as the highest level of economic activity that can be sustained by means of the available technology and factors of production without pushing inflation above its target.</w:t>
      </w:r>
    </w:p>
  </w:footnote>
  <w:footnote w:id="15">
    <w:p w14:paraId="72F3AC4E" w14:textId="77777777" w:rsidR="00944B4A" w:rsidRPr="004A1ECF" w:rsidRDefault="00944B4A" w:rsidP="00FB6D3F">
      <w:pPr>
        <w:pStyle w:val="FootnoteText"/>
        <w:jc w:val="left"/>
        <w:rPr>
          <w:lang w:val="en-GB"/>
        </w:rPr>
      </w:pPr>
      <w:r>
        <w:rPr>
          <w:rStyle w:val="FootnoteReference"/>
        </w:rPr>
        <w:footnoteRef/>
      </w:r>
      <w:r w:rsidRPr="004A1ECF">
        <w:rPr>
          <w:lang w:val="en-GB"/>
        </w:rPr>
        <w:t xml:space="preserve"> </w:t>
      </w:r>
      <w:hyperlink r:id="rId7" w:anchor="Employment_estimates_published_for_2020-Q1" w:history="1">
        <w:r w:rsidRPr="00113BDC">
          <w:rPr>
            <w:rStyle w:val="Hyperlink"/>
            <w:lang w:val="en-GB"/>
          </w:rPr>
          <w:t>https://ec.europa.eu/eurostat/statistics-explained/index.php?title=Impact_of_COVID-19_on_main_GDP_aggregates_including_employment#Employment_estimates_published_for_2020-Q1</w:t>
        </w:r>
      </w:hyperlink>
      <w:r>
        <w:rPr>
          <w:lang w:val="en-GB"/>
        </w:rPr>
        <w:t xml:space="preserve"> </w:t>
      </w:r>
    </w:p>
  </w:footnote>
  <w:footnote w:id="16">
    <w:p w14:paraId="092625E0" w14:textId="77777777" w:rsidR="00944B4A" w:rsidRPr="005F19B3" w:rsidRDefault="00944B4A" w:rsidP="00FB6D3F">
      <w:pPr>
        <w:pStyle w:val="FootnoteText"/>
        <w:rPr>
          <w:lang w:val="en-GB"/>
        </w:rPr>
      </w:pPr>
      <w:r>
        <w:rPr>
          <w:rStyle w:val="FootnoteReference"/>
        </w:rPr>
        <w:footnoteRef/>
      </w:r>
      <w:r w:rsidRPr="005F19B3">
        <w:rPr>
          <w:lang w:val="en-GB"/>
        </w:rPr>
        <w:t xml:space="preserve"> </w:t>
      </w:r>
      <w:hyperlink r:id="rId8" w:history="1">
        <w:r w:rsidRPr="00113BDC">
          <w:rPr>
            <w:rStyle w:val="Hyperlink"/>
            <w:lang w:val="en-GB"/>
          </w:rPr>
          <w:t>https://www.eurofound.europa.eu/data/covid-19</w:t>
        </w:r>
      </w:hyperlink>
      <w:r>
        <w:rPr>
          <w:lang w:val="en-GB"/>
        </w:rPr>
        <w:t xml:space="preserve"> </w:t>
      </w:r>
    </w:p>
  </w:footnote>
  <w:footnote w:id="17">
    <w:p w14:paraId="1787A778" w14:textId="77777777" w:rsidR="00944B4A" w:rsidRPr="00035B88" w:rsidRDefault="00944B4A" w:rsidP="00FB6D3F">
      <w:pPr>
        <w:pStyle w:val="FootnoteText"/>
        <w:rPr>
          <w:lang w:val="en-GB"/>
        </w:rPr>
      </w:pPr>
      <w:r>
        <w:rPr>
          <w:rStyle w:val="FootnoteReference"/>
        </w:rPr>
        <w:footnoteRef/>
      </w:r>
      <w:r w:rsidRPr="00035B88">
        <w:rPr>
          <w:lang w:val="en-GB"/>
        </w:rPr>
        <w:t xml:space="preserve"> </w:t>
      </w:r>
      <w:hyperlink r:id="rId9" w:history="1">
        <w:r w:rsidRPr="00113BDC">
          <w:rPr>
            <w:rStyle w:val="Hyperlink"/>
            <w:lang w:val="en-GB"/>
          </w:rPr>
          <w:t>https://ec.europa.eu/health/sites/health/files/expert_panel/docs/026_health_socialcare_covid19_en.pdf</w:t>
        </w:r>
      </w:hyperlink>
      <w:r>
        <w:rPr>
          <w:lang w:val="en-GB"/>
        </w:rPr>
        <w:t xml:space="preserve"> </w:t>
      </w:r>
    </w:p>
  </w:footnote>
  <w:footnote w:id="18">
    <w:p w14:paraId="383C45F9" w14:textId="04DC706D" w:rsidR="00944B4A" w:rsidRPr="00D945F1" w:rsidRDefault="00944B4A">
      <w:pPr>
        <w:pStyle w:val="FootnoteText"/>
        <w:rPr>
          <w:lang w:val="en-GB"/>
        </w:rPr>
      </w:pPr>
      <w:r>
        <w:rPr>
          <w:rStyle w:val="FootnoteReference"/>
        </w:rPr>
        <w:footnoteRef/>
      </w:r>
      <w:r w:rsidRPr="005E0849">
        <w:rPr>
          <w:lang w:val="en-GB"/>
        </w:rPr>
        <w:t xml:space="preserve"> </w:t>
      </w:r>
      <w:r w:rsidRPr="005E0849">
        <w:rPr>
          <w:sz w:val="18"/>
          <w:szCs w:val="18"/>
          <w:lang w:val="en-GB"/>
        </w:rPr>
        <w:t>There is a relevant difference between census data and the data regarding resident population in 2011, which is  20,199,059 according to Eurostat</w:t>
      </w:r>
    </w:p>
  </w:footnote>
  <w:footnote w:id="19">
    <w:p w14:paraId="08C9A05E" w14:textId="77777777" w:rsidR="00944B4A" w:rsidRPr="00457478" w:rsidRDefault="00944B4A" w:rsidP="00921D9C">
      <w:pPr>
        <w:pStyle w:val="FootnoteText"/>
        <w:rPr>
          <w:lang w:val="en-GB"/>
        </w:rPr>
      </w:pPr>
      <w:bookmarkStart w:id="107" w:name="_Hlk55724107"/>
      <w:r w:rsidRPr="00457478">
        <w:rPr>
          <w:rStyle w:val="FootnoteReference"/>
          <w:sz w:val="18"/>
          <w:szCs w:val="18"/>
          <w:lang w:val="en-GB"/>
        </w:rPr>
        <w:footnoteRef/>
      </w:r>
      <w:r w:rsidRPr="00457478">
        <w:rPr>
          <w:sz w:val="18"/>
          <w:szCs w:val="18"/>
          <w:lang w:val="en-GB"/>
        </w:rPr>
        <w:t xml:space="preserve"> The GEOSTAT 2011 population-grid dataset represents the main characteristics of the 2011 population and housing census in a 1 km2 grid dataset. Available at: https://ec.europa.eu/eurostat/statistics-explained/index.php/Population_grids</w:t>
      </w:r>
      <w:bookmarkEnd w:id="107"/>
    </w:p>
  </w:footnote>
  <w:footnote w:id="20">
    <w:p w14:paraId="66BFB5F4" w14:textId="77777777" w:rsidR="00944B4A" w:rsidRPr="005B3B6E" w:rsidRDefault="00944B4A" w:rsidP="00894BBC">
      <w:pPr>
        <w:pStyle w:val="FootnoteText"/>
        <w:rPr>
          <w:lang w:val="en-US"/>
        </w:rPr>
      </w:pPr>
      <w:r>
        <w:rPr>
          <w:rStyle w:val="FootnoteReference"/>
        </w:rPr>
        <w:footnoteRef/>
      </w:r>
      <w:r w:rsidRPr="00612AD6">
        <w:rPr>
          <w:lang w:val="en-US"/>
        </w:rPr>
        <w:t xml:space="preserve"> Strategy for sustainable development of Bihor County for the period 2014-2020, www.cjbihor.ro</w:t>
      </w:r>
    </w:p>
  </w:footnote>
  <w:footnote w:id="21">
    <w:p w14:paraId="63B4512B" w14:textId="77777777" w:rsidR="00944B4A" w:rsidRPr="005B3B6E" w:rsidRDefault="00944B4A" w:rsidP="00894BBC">
      <w:pPr>
        <w:pStyle w:val="FootnoteText"/>
        <w:rPr>
          <w:lang w:val="en-US"/>
        </w:rPr>
      </w:pPr>
      <w:r>
        <w:rPr>
          <w:rStyle w:val="FootnoteReference"/>
        </w:rPr>
        <w:footnoteRef/>
      </w:r>
      <w:r w:rsidRPr="00612AD6">
        <w:rPr>
          <w:lang w:val="en-US"/>
        </w:rPr>
        <w:t xml:space="preserve"> Strategy for the tourist valorization of the patrimony of Satu Mare county 2014-2020, www.cjsm.ro</w:t>
      </w:r>
    </w:p>
  </w:footnote>
  <w:footnote w:id="22">
    <w:p w14:paraId="26838E74" w14:textId="77777777" w:rsidR="00944B4A" w:rsidRPr="005B3B6E" w:rsidRDefault="00944B4A" w:rsidP="00894BBC">
      <w:pPr>
        <w:pStyle w:val="FootnoteText"/>
        <w:rPr>
          <w:lang w:val="en-US"/>
        </w:rPr>
      </w:pPr>
      <w:r>
        <w:rPr>
          <w:rStyle w:val="FootnoteReference"/>
        </w:rPr>
        <w:footnoteRef/>
      </w:r>
      <w:r w:rsidRPr="00612AD6">
        <w:rPr>
          <w:lang w:val="en-US"/>
        </w:rPr>
        <w:t xml:space="preserve"> Sectoral strategy for tourism development of Timiș County 2018-2028, www.turism</w:t>
      </w:r>
      <w:r>
        <w:rPr>
          <w:lang w:val="en-US"/>
        </w:rPr>
        <w:t>Timiș</w:t>
      </w:r>
      <w:r w:rsidRPr="00612AD6">
        <w:rPr>
          <w:lang w:val="en-US"/>
        </w:rPr>
        <w:t>turismtimis.ro</w:t>
      </w:r>
    </w:p>
  </w:footnote>
  <w:footnote w:id="23">
    <w:p w14:paraId="1FFCC2FF" w14:textId="77777777" w:rsidR="00944B4A" w:rsidRPr="005B3B6E" w:rsidRDefault="00944B4A" w:rsidP="00894BBC">
      <w:pPr>
        <w:pStyle w:val="FootnoteText"/>
        <w:rPr>
          <w:lang w:val="en-US"/>
        </w:rPr>
      </w:pPr>
      <w:r>
        <w:rPr>
          <w:rStyle w:val="FootnoteReference"/>
        </w:rPr>
        <w:footnoteRef/>
      </w:r>
      <w:r w:rsidRPr="00612AD6">
        <w:rPr>
          <w:lang w:val="en-US"/>
        </w:rPr>
        <w:t xml:space="preserve"> </w:t>
      </w:r>
      <w:r>
        <w:rPr>
          <w:lang w:val="en-US"/>
        </w:rPr>
        <w:t xml:space="preserve">Common Marketing Strategy </w:t>
      </w:r>
      <w:r w:rsidRPr="00EA212B">
        <w:rPr>
          <w:lang w:val="en-US"/>
        </w:rPr>
        <w:t xml:space="preserve">in </w:t>
      </w:r>
      <w:r w:rsidRPr="00612AD6">
        <w:rPr>
          <w:rFonts w:cstheme="minorHAnsi"/>
          <w:lang w:val="en-US"/>
        </w:rPr>
        <w:t xml:space="preserve">Békés and Arad 2011-2018, </w:t>
      </w:r>
      <w:r w:rsidRPr="00612AD6">
        <w:rPr>
          <w:lang w:val="en-US"/>
        </w:rPr>
        <w:t>http://www.kozepbekes.hu</w:t>
      </w:r>
    </w:p>
  </w:footnote>
  <w:footnote w:id="24">
    <w:p w14:paraId="3ED175B9" w14:textId="77777777" w:rsidR="00944B4A" w:rsidRPr="005B3B6E" w:rsidRDefault="00944B4A" w:rsidP="00894BBC">
      <w:pPr>
        <w:pStyle w:val="FootnoteText"/>
        <w:rPr>
          <w:lang w:val="en-US"/>
        </w:rPr>
      </w:pPr>
      <w:r>
        <w:rPr>
          <w:rStyle w:val="FootnoteReference"/>
        </w:rPr>
        <w:footnoteRef/>
      </w:r>
      <w:r w:rsidRPr="00612AD6">
        <w:rPr>
          <w:lang w:val="en-US"/>
        </w:rPr>
        <w:t xml:space="preserve"> http://www.infotourism.info/ro/</w:t>
      </w:r>
    </w:p>
  </w:footnote>
  <w:footnote w:id="25">
    <w:p w14:paraId="011E62E9" w14:textId="683A4AB4" w:rsidR="00944B4A" w:rsidRPr="005E0849" w:rsidRDefault="00944B4A">
      <w:pPr>
        <w:pStyle w:val="FootnoteText"/>
        <w:rPr>
          <w:lang w:val="ro-RO"/>
        </w:rPr>
      </w:pPr>
      <w:r w:rsidRPr="005E0849">
        <w:rPr>
          <w:rStyle w:val="FootnoteReference"/>
          <w:sz w:val="16"/>
          <w:szCs w:val="16"/>
        </w:rPr>
        <w:footnoteRef/>
      </w:r>
      <w:r w:rsidRPr="005E0849">
        <w:rPr>
          <w:sz w:val="16"/>
          <w:szCs w:val="16"/>
          <w:lang w:val="en-GB"/>
        </w:rPr>
        <w:t xml:space="preserve"> </w:t>
      </w:r>
      <w:r w:rsidRPr="005E0849">
        <w:rPr>
          <w:sz w:val="18"/>
          <w:szCs w:val="18"/>
          <w:lang w:val="en-GB"/>
        </w:rPr>
        <w:t>An index for 190 cities which have either been European Capitals of Culture, UNESCO Creative Cities and / or cities hosting at least two international cultural festivals. Edition 2019:</w:t>
      </w:r>
      <w:r w:rsidRPr="005E0849">
        <w:rPr>
          <w:sz w:val="18"/>
          <w:szCs w:val="18"/>
          <w:lang w:val="ro-RO"/>
        </w:rPr>
        <w:t xml:space="preserve"> </w:t>
      </w:r>
      <w:hyperlink r:id="rId10" w:history="1">
        <w:r w:rsidRPr="005E0849">
          <w:rPr>
            <w:rStyle w:val="Hyperlink"/>
            <w:sz w:val="18"/>
            <w:szCs w:val="18"/>
            <w:lang w:val="ro-RO"/>
          </w:rPr>
          <w:t>https://composite-indicators.jrc.ec.europa.eu/cultural-creative-cities-monitor/</w:t>
        </w:r>
      </w:hyperlink>
      <w:r w:rsidRPr="005E0849">
        <w:rPr>
          <w:sz w:val="16"/>
          <w:szCs w:val="16"/>
          <w:lang w:val="ro-RO"/>
        </w:rPr>
        <w:t xml:space="preserve"> </w:t>
      </w:r>
    </w:p>
  </w:footnote>
  <w:footnote w:id="26">
    <w:p w14:paraId="3A19F8C3" w14:textId="77777777" w:rsidR="00944B4A" w:rsidRPr="00772613" w:rsidRDefault="00944B4A" w:rsidP="00921D9C">
      <w:pPr>
        <w:pStyle w:val="FootnoteText"/>
        <w:rPr>
          <w:lang w:val="en-GB"/>
        </w:rPr>
      </w:pPr>
      <w:r w:rsidRPr="00772613">
        <w:rPr>
          <w:rStyle w:val="FootnoteReference"/>
          <w:lang w:val="en-GB"/>
        </w:rPr>
        <w:footnoteRef/>
      </w:r>
      <w:r w:rsidRPr="00772613">
        <w:rPr>
          <w:lang w:val="en-GB"/>
        </w:rPr>
        <w:t xml:space="preserve"> </w:t>
      </w:r>
      <w:r w:rsidRPr="005E0849">
        <w:rPr>
          <w:sz w:val="18"/>
          <w:szCs w:val="18"/>
          <w:lang w:val="en-GB"/>
        </w:rPr>
        <w:t xml:space="preserve">World Bank Group (2017), Doing Business in the EU 2017: Bulgaria, Hungary and Romania, </w:t>
      </w:r>
      <w:hyperlink r:id="rId11" w:history="1">
        <w:r w:rsidRPr="005E0849">
          <w:rPr>
            <w:rStyle w:val="Hyperlink"/>
            <w:sz w:val="18"/>
            <w:szCs w:val="18"/>
            <w:lang w:val="en-GB"/>
          </w:rPr>
          <w:t>https://www.doingbusiness.org/content/dam/doingBusiness/media/Special-Reports/DB17-EU-Report-ENG.PDF</w:t>
        </w:r>
      </w:hyperlink>
    </w:p>
  </w:footnote>
  <w:footnote w:id="27">
    <w:p w14:paraId="2FA26393" w14:textId="4B86D7C5" w:rsidR="00944B4A" w:rsidRPr="005E0849" w:rsidRDefault="00944B4A" w:rsidP="00542215">
      <w:pPr>
        <w:pStyle w:val="FootnoteText"/>
      </w:pPr>
      <w:r>
        <w:rPr>
          <w:rStyle w:val="FootnoteReference"/>
        </w:rPr>
        <w:footnoteRef/>
      </w:r>
      <w:r w:rsidRPr="005E0849">
        <w:t xml:space="preserve">  </w:t>
      </w:r>
      <w:r w:rsidRPr="005E0849">
        <w:rPr>
          <w:sz w:val="18"/>
          <w:szCs w:val="18"/>
        </w:rPr>
        <w:t>In Satu Mare and Sălaj are two CNIPT, one in Bihor, Arad and Timiș; Planul de Dezvoltare al Regiunii Nord-Vest 2021-2027, Planul pentru Dezvoltare Regionala al Regiunii Vest 2021-2027</w:t>
      </w:r>
    </w:p>
  </w:footnote>
  <w:footnote w:id="28">
    <w:p w14:paraId="03D2CD75" w14:textId="77777777" w:rsidR="00944B4A" w:rsidRPr="00612AD6" w:rsidRDefault="00944B4A" w:rsidP="00542215">
      <w:pPr>
        <w:pStyle w:val="FootnoteText"/>
      </w:pPr>
      <w:r>
        <w:rPr>
          <w:rStyle w:val="FootnoteReference"/>
        </w:rPr>
        <w:footnoteRef/>
      </w:r>
      <w:r>
        <w:t xml:space="preserve"> </w:t>
      </w:r>
      <w:r w:rsidRPr="00612AD6">
        <w:t>Planul de Dezvoltare al Regiunii Nord-Vest 2021-2027</w:t>
      </w:r>
    </w:p>
  </w:footnote>
  <w:footnote w:id="29">
    <w:p w14:paraId="58FB0AB4" w14:textId="131D3B56" w:rsidR="00944B4A" w:rsidRPr="005042B9" w:rsidRDefault="00944B4A">
      <w:pPr>
        <w:pStyle w:val="FootnoteText"/>
        <w:rPr>
          <w:lang w:val="fr-FR"/>
        </w:rPr>
      </w:pPr>
      <w:r>
        <w:rPr>
          <w:rStyle w:val="FootnoteReference"/>
        </w:rPr>
        <w:footnoteRef/>
      </w:r>
      <w:r w:rsidRPr="005042B9">
        <w:rPr>
          <w:lang w:val="fr-FR"/>
        </w:rPr>
        <w:t xml:space="preserve"> </w:t>
      </w:r>
      <w:r w:rsidRPr="005042B9">
        <w:rPr>
          <w:rFonts w:eastAsiaTheme="minorEastAsia"/>
          <w:lang w:val="fr-FR"/>
        </w:rPr>
        <w:t xml:space="preserve">Source: </w:t>
      </w:r>
      <w:hyperlink r:id="rId12">
        <w:r w:rsidRPr="005042B9">
          <w:rPr>
            <w:rFonts w:eastAsiaTheme="minorEastAsia"/>
            <w:lang w:val="fr-FR"/>
          </w:rPr>
          <w:t>https://www.eea.europa.eu/data-and-maps/indicators/invasive-alien-species-in-europe/invasive-alien-species-in-europe</w:t>
        </w:r>
      </w:hyperlink>
    </w:p>
  </w:footnote>
  <w:footnote w:id="30">
    <w:p w14:paraId="0C3B50C9" w14:textId="77777777" w:rsidR="00944B4A" w:rsidRDefault="00944B4A" w:rsidP="00357E37">
      <w:pPr>
        <w:pStyle w:val="FootnoteText"/>
        <w:rPr>
          <w:lang w:val="en-US"/>
        </w:rPr>
      </w:pPr>
      <w:r>
        <w:rPr>
          <w:rStyle w:val="FootnoteReference"/>
        </w:rPr>
        <w:footnoteRef/>
      </w:r>
      <w:r w:rsidRPr="003D0ED9">
        <w:rPr>
          <w:lang w:val="en-GB"/>
        </w:rPr>
        <w:t xml:space="preserve"> </w:t>
      </w:r>
      <w:r>
        <w:rPr>
          <w:lang w:val="en-US"/>
        </w:rPr>
        <w:t>Source: Environmental Report for the Interreg V-A Romania-Hungary Programme https://www.mlpda.ro/uploads/articole/attachments/5db936a209d4f762288270.pdf</w:t>
      </w:r>
    </w:p>
  </w:footnote>
  <w:footnote w:id="31">
    <w:p w14:paraId="5A96E305" w14:textId="77777777" w:rsidR="00944B4A" w:rsidRPr="003D0ED9" w:rsidRDefault="00944B4A" w:rsidP="00357E37">
      <w:pPr>
        <w:pStyle w:val="FootnoteText"/>
        <w:rPr>
          <w:lang w:val="fr-FR"/>
        </w:rPr>
      </w:pPr>
      <w:r>
        <w:rPr>
          <w:rStyle w:val="FootnoteReference"/>
        </w:rPr>
        <w:footnoteRef/>
      </w:r>
      <w:r w:rsidRPr="003D0ED9">
        <w:rPr>
          <w:lang w:val="fr-FR"/>
        </w:rPr>
        <w:t xml:space="preserve"> Source: https://ec.europa.eu/eurostat/statistics-explained/index.php/Archive:Agri-environmental_indicator_-_pesticide_pollution_of_water</w:t>
      </w:r>
    </w:p>
  </w:footnote>
  <w:footnote w:id="32">
    <w:p w14:paraId="285C73A4" w14:textId="77777777" w:rsidR="00944B4A" w:rsidRPr="005B3B6E" w:rsidRDefault="00944B4A" w:rsidP="00E34A60">
      <w:pPr>
        <w:pStyle w:val="FootnoteText"/>
        <w:rPr>
          <w:lang w:val="en-US"/>
        </w:rPr>
      </w:pPr>
      <w:r>
        <w:rPr>
          <w:rStyle w:val="FootnoteReference"/>
        </w:rPr>
        <w:footnoteRef/>
      </w:r>
      <w:r w:rsidRPr="00612AD6">
        <w:rPr>
          <w:lang w:val="en-US"/>
        </w:rPr>
        <w:t xml:space="preserve"> Strategy for sustainable development of Bihor County for the period 2014-2020, www.cjbihor.ro</w:t>
      </w:r>
    </w:p>
  </w:footnote>
  <w:footnote w:id="33">
    <w:p w14:paraId="7DCD2281" w14:textId="77777777" w:rsidR="00944B4A" w:rsidRPr="005B3B6E" w:rsidRDefault="00944B4A" w:rsidP="00E34A60">
      <w:pPr>
        <w:pStyle w:val="FootnoteText"/>
        <w:rPr>
          <w:lang w:val="en-US"/>
        </w:rPr>
      </w:pPr>
      <w:r>
        <w:rPr>
          <w:rStyle w:val="FootnoteReference"/>
        </w:rPr>
        <w:footnoteRef/>
      </w:r>
      <w:r w:rsidRPr="00612AD6">
        <w:rPr>
          <w:lang w:val="en-US"/>
        </w:rPr>
        <w:t xml:space="preserve"> Strategy for the tourist valorization of the patrimony of Satu Mare county 2014-2020, www.cjsm.ro</w:t>
      </w:r>
    </w:p>
  </w:footnote>
  <w:footnote w:id="34">
    <w:p w14:paraId="41B1BD74" w14:textId="77777777" w:rsidR="00944B4A" w:rsidRPr="005B3B6E" w:rsidRDefault="00944B4A" w:rsidP="00E34A60">
      <w:pPr>
        <w:pStyle w:val="FootnoteText"/>
        <w:rPr>
          <w:lang w:val="en-US"/>
        </w:rPr>
      </w:pPr>
      <w:r>
        <w:rPr>
          <w:rStyle w:val="FootnoteReference"/>
        </w:rPr>
        <w:footnoteRef/>
      </w:r>
      <w:r w:rsidRPr="00612AD6">
        <w:rPr>
          <w:lang w:val="en-US"/>
        </w:rPr>
        <w:t xml:space="preserve"> </w:t>
      </w:r>
      <w:r>
        <w:rPr>
          <w:lang w:val="en-US"/>
        </w:rPr>
        <w:t xml:space="preserve">Tourism Strategy for Arad County, </w:t>
      </w:r>
      <w:r w:rsidRPr="007979E8">
        <w:rPr>
          <w:lang w:val="en-US"/>
        </w:rPr>
        <w:t>www.cjarad.ro</w:t>
      </w:r>
    </w:p>
  </w:footnote>
  <w:footnote w:id="35">
    <w:p w14:paraId="5ABDD817" w14:textId="77777777" w:rsidR="00944B4A" w:rsidRPr="005B3B6E" w:rsidRDefault="00944B4A" w:rsidP="00E34A60">
      <w:pPr>
        <w:pStyle w:val="FootnoteText"/>
        <w:rPr>
          <w:lang w:val="en-US"/>
        </w:rPr>
      </w:pPr>
      <w:r>
        <w:rPr>
          <w:rStyle w:val="FootnoteReference"/>
        </w:rPr>
        <w:footnoteRef/>
      </w:r>
      <w:r w:rsidRPr="00612AD6">
        <w:rPr>
          <w:lang w:val="en-US"/>
        </w:rPr>
        <w:t xml:space="preserve"> Sectoral strategy for tourism development of Timiș County 2018-2028, www.turism</w:t>
      </w:r>
      <w:r>
        <w:rPr>
          <w:lang w:val="en-US"/>
        </w:rPr>
        <w:t>Timiș</w:t>
      </w:r>
      <w:r w:rsidRPr="00612AD6">
        <w:rPr>
          <w:lang w:val="en-US"/>
        </w:rPr>
        <w:t>turismtimis.ro</w:t>
      </w:r>
    </w:p>
  </w:footnote>
  <w:footnote w:id="36">
    <w:p w14:paraId="4017D91A" w14:textId="77777777" w:rsidR="00944B4A" w:rsidRPr="005B3B6E" w:rsidRDefault="00944B4A" w:rsidP="00E34A60">
      <w:pPr>
        <w:pStyle w:val="FootnoteText"/>
        <w:rPr>
          <w:lang w:val="en-US"/>
        </w:rPr>
      </w:pPr>
      <w:r>
        <w:rPr>
          <w:rStyle w:val="FootnoteReference"/>
        </w:rPr>
        <w:footnoteRef/>
      </w:r>
      <w:r w:rsidRPr="00612AD6">
        <w:rPr>
          <w:lang w:val="en-US"/>
        </w:rPr>
        <w:t xml:space="preserve"> </w:t>
      </w:r>
      <w:r>
        <w:rPr>
          <w:lang w:val="en-US"/>
        </w:rPr>
        <w:t xml:space="preserve">Common Marketing Strategy </w:t>
      </w:r>
      <w:r w:rsidRPr="00EA212B">
        <w:rPr>
          <w:lang w:val="en-US"/>
        </w:rPr>
        <w:t xml:space="preserve">in </w:t>
      </w:r>
      <w:r w:rsidRPr="00612AD6">
        <w:rPr>
          <w:rFonts w:cstheme="minorHAnsi"/>
          <w:lang w:val="en-US"/>
        </w:rPr>
        <w:t xml:space="preserve">Békés and Arad 2011-2018, </w:t>
      </w:r>
      <w:r w:rsidRPr="00612AD6">
        <w:rPr>
          <w:lang w:val="en-US"/>
        </w:rPr>
        <w:t>http://www.kozepbekes.hu</w:t>
      </w:r>
    </w:p>
  </w:footnote>
  <w:footnote w:id="37">
    <w:p w14:paraId="6DF07FC0" w14:textId="77777777" w:rsidR="00944B4A" w:rsidRPr="005B3B6E" w:rsidRDefault="00944B4A" w:rsidP="00E34A60">
      <w:pPr>
        <w:pStyle w:val="FootnoteText"/>
        <w:rPr>
          <w:lang w:val="en-US"/>
        </w:rPr>
      </w:pPr>
      <w:r>
        <w:rPr>
          <w:rStyle w:val="FootnoteReference"/>
        </w:rPr>
        <w:footnoteRef/>
      </w:r>
      <w:r w:rsidRPr="00612AD6">
        <w:rPr>
          <w:lang w:val="en-US"/>
        </w:rPr>
        <w:t xml:space="preserve"> http://www.infotourism.info/ro/</w:t>
      </w:r>
    </w:p>
  </w:footnote>
  <w:footnote w:id="38">
    <w:p w14:paraId="3E61E9A1" w14:textId="77777777" w:rsidR="00944B4A" w:rsidRPr="00D945F1" w:rsidRDefault="00944B4A" w:rsidP="00E34A60">
      <w:pPr>
        <w:pStyle w:val="FootnoteText"/>
        <w:rPr>
          <w:lang w:val="ro-RO"/>
        </w:rPr>
      </w:pPr>
      <w:r>
        <w:rPr>
          <w:rStyle w:val="FootnoteReference"/>
        </w:rPr>
        <w:footnoteRef/>
      </w:r>
      <w:r w:rsidRPr="001D0419">
        <w:rPr>
          <w:lang w:val="en-GB"/>
        </w:rPr>
        <w:t xml:space="preserve"> https://www.hungarospa.hu/en</w:t>
      </w:r>
    </w:p>
  </w:footnote>
  <w:footnote w:id="39">
    <w:p w14:paraId="5F48C428" w14:textId="50F4288F" w:rsidR="00944B4A" w:rsidRPr="00DB74BF" w:rsidRDefault="00944B4A">
      <w:pPr>
        <w:pStyle w:val="FootnoteText"/>
        <w:rPr>
          <w:lang w:val="ro-RO"/>
        </w:rPr>
      </w:pPr>
      <w:r>
        <w:rPr>
          <w:rStyle w:val="FootnoteReference"/>
        </w:rPr>
        <w:footnoteRef/>
      </w:r>
      <w:r w:rsidRPr="00DB74BF">
        <w:rPr>
          <w:lang w:val="ro-RO"/>
        </w:rPr>
        <w:t xml:space="preserve"> </w:t>
      </w:r>
      <w:hyperlink r:id="rId13" w:history="1">
        <w:r w:rsidRPr="00DB74BF">
          <w:rPr>
            <w:rStyle w:val="Hyperlink"/>
            <w:lang w:val="ro-RO"/>
          </w:rPr>
          <w:t>Sóstógyógyfürdő | Tourist Website of Nyíregyháza (nyiregyhaza.info.hu)</w:t>
        </w:r>
      </w:hyperlink>
      <w:r w:rsidRPr="00DB74BF">
        <w:rPr>
          <w:lang w:val="ro-RO"/>
        </w:rPr>
        <w:t xml:space="preserve"> </w:t>
      </w:r>
    </w:p>
  </w:footnote>
  <w:footnote w:id="40">
    <w:p w14:paraId="6FE89FF6" w14:textId="1827805B" w:rsidR="00C22D79" w:rsidRPr="00283B08" w:rsidRDefault="00C22D79">
      <w:pPr>
        <w:pStyle w:val="FootnoteText"/>
        <w:rPr>
          <w:lang w:val="en-GB"/>
        </w:rPr>
      </w:pPr>
      <w:r>
        <w:rPr>
          <w:rStyle w:val="FootnoteReference"/>
        </w:rPr>
        <w:footnoteRef/>
      </w:r>
      <w:r w:rsidRPr="00283B08">
        <w:rPr>
          <w:lang w:val="en-GB"/>
        </w:rPr>
        <w:t xml:space="preserve"> </w:t>
      </w:r>
      <w:r>
        <w:rPr>
          <w:lang w:val="en-GB"/>
        </w:rPr>
        <w:t xml:space="preserve">EC, </w:t>
      </w:r>
      <w:r w:rsidRPr="00427A70">
        <w:rPr>
          <w:lang w:val="en-GB"/>
        </w:rPr>
        <w:t>STUDY ON MACROREGIONAL</w:t>
      </w:r>
      <w:r>
        <w:rPr>
          <w:lang w:val="en-GB"/>
        </w:rPr>
        <w:t xml:space="preserve"> </w:t>
      </w:r>
      <w:r w:rsidRPr="00427A70">
        <w:rPr>
          <w:lang w:val="en-GB"/>
        </w:rPr>
        <w:t>STRATEGIES AND THEIR</w:t>
      </w:r>
      <w:r>
        <w:rPr>
          <w:lang w:val="en-GB"/>
        </w:rPr>
        <w:t xml:space="preserve"> </w:t>
      </w:r>
      <w:r w:rsidRPr="00427A70">
        <w:rPr>
          <w:lang w:val="en-GB"/>
        </w:rPr>
        <w:t>LINKS WITH</w:t>
      </w:r>
      <w:r>
        <w:rPr>
          <w:lang w:val="en-GB"/>
        </w:rPr>
        <w:t xml:space="preserve"> </w:t>
      </w:r>
      <w:r w:rsidRPr="00427A70">
        <w:rPr>
          <w:lang w:val="en-GB"/>
        </w:rPr>
        <w:t>COHESION POLICY</w:t>
      </w:r>
      <w:r>
        <w:rPr>
          <w:lang w:val="en-GB"/>
        </w:rPr>
        <w:t xml:space="preserve">, </w:t>
      </w:r>
      <w:r w:rsidRPr="00427A70">
        <w:rPr>
          <w:lang w:val="en-GB"/>
        </w:rPr>
        <w:t>Data and analytical report for the EUSDR</w:t>
      </w:r>
      <w:r>
        <w:rPr>
          <w:lang w:val="en-GB"/>
        </w:rPr>
        <w:t xml:space="preserve"> (2017).</w:t>
      </w:r>
    </w:p>
  </w:footnote>
  <w:footnote w:id="41">
    <w:p w14:paraId="0BE75D67" w14:textId="4393B9A5" w:rsidR="00944B4A" w:rsidRPr="005C67E4" w:rsidRDefault="00944B4A">
      <w:pPr>
        <w:pStyle w:val="FootnoteText"/>
        <w:rPr>
          <w:lang w:val="ro-RO"/>
        </w:rPr>
      </w:pPr>
      <w:r>
        <w:rPr>
          <w:rStyle w:val="FootnoteReference"/>
        </w:rPr>
        <w:footnoteRef/>
      </w:r>
      <w:r w:rsidRPr="005E0849">
        <w:rPr>
          <w:lang w:val="en-GB"/>
        </w:rPr>
        <w:t xml:space="preserve"> </w:t>
      </w:r>
      <w:r w:rsidRPr="005E0849">
        <w:rPr>
          <w:sz w:val="18"/>
          <w:szCs w:val="18"/>
          <w:lang w:val="en-GB"/>
        </w:rPr>
        <w:t>FUA consists of a densely inhabited city and of a surrounding area (commuting zone) whose labour market is highly integrated with the city (OECD 2012)</w:t>
      </w:r>
    </w:p>
  </w:footnote>
  <w:footnote w:id="42">
    <w:p w14:paraId="13C4F144" w14:textId="27BB3F0B" w:rsidR="00944B4A" w:rsidRPr="00CE3730" w:rsidRDefault="00944B4A">
      <w:pPr>
        <w:pStyle w:val="FootnoteText"/>
        <w:rPr>
          <w:lang w:val="ro-RO"/>
        </w:rPr>
      </w:pPr>
      <w:r>
        <w:rPr>
          <w:rStyle w:val="FootnoteReference"/>
        </w:rPr>
        <w:footnoteRef/>
      </w:r>
      <w:r w:rsidRPr="00842428">
        <w:rPr>
          <w:lang w:val="ro-RO"/>
        </w:rPr>
        <w:t xml:space="preserve"> </w:t>
      </w:r>
      <w:r w:rsidRPr="003E2D14">
        <w:rPr>
          <w:lang w:val="ro-RO"/>
        </w:rPr>
        <w:t>https://www.eea.europa.eu/themes/energy/renewable-energy/cross-border-cooperation-on-renewable-energy/</w:t>
      </w:r>
    </w:p>
  </w:footnote>
  <w:footnote w:id="43">
    <w:p w14:paraId="6B4B9CFC" w14:textId="103DD0CA" w:rsidR="00944B4A" w:rsidRPr="0061187F" w:rsidRDefault="00944B4A">
      <w:pPr>
        <w:pStyle w:val="FootnoteText"/>
        <w:rPr>
          <w:lang w:val="ro-RO"/>
        </w:rPr>
      </w:pPr>
      <w:r>
        <w:rPr>
          <w:rStyle w:val="FootnoteReference"/>
        </w:rPr>
        <w:footnoteRef/>
      </w:r>
      <w:r w:rsidRPr="00842428">
        <w:rPr>
          <w:lang w:val="ro-RO"/>
        </w:rPr>
        <w:t xml:space="preserve"> An example of cross-border pilot action in this field is the DARLINGe project - co-funded by the European Regional Development Fund (1612249,99 €) (Interreg Danube) and by the Instrument for Pre-Accession Assistance II (534646,6 €).</w:t>
      </w:r>
    </w:p>
  </w:footnote>
  <w:footnote w:id="44">
    <w:p w14:paraId="4621617A" w14:textId="3F32F2A6" w:rsidR="00944B4A" w:rsidRPr="00CE3730" w:rsidRDefault="00944B4A">
      <w:pPr>
        <w:pStyle w:val="FootnoteText"/>
        <w:rPr>
          <w:lang w:val="ro-RO"/>
        </w:rPr>
      </w:pPr>
      <w:r>
        <w:rPr>
          <w:rStyle w:val="FootnoteReference"/>
        </w:rPr>
        <w:footnoteRef/>
      </w:r>
      <w:r w:rsidRPr="0061187F">
        <w:rPr>
          <w:lang w:val="ro-RO"/>
        </w:rPr>
        <w:t xml:space="preserve"> </w:t>
      </w:r>
      <w:r w:rsidRPr="00CE3730">
        <w:rPr>
          <w:lang w:val="ro-RO"/>
        </w:rPr>
        <w:t>https://www.interact-eu.net/library/study-etc-energy-projects/pageflip</w:t>
      </w:r>
    </w:p>
  </w:footnote>
  <w:footnote w:id="45">
    <w:p w14:paraId="352F28CD" w14:textId="538304B5" w:rsidR="00944B4A" w:rsidRPr="003B1747" w:rsidRDefault="00944B4A">
      <w:pPr>
        <w:pStyle w:val="FootnoteText"/>
        <w:rPr>
          <w:lang w:val="en-GB"/>
        </w:rPr>
      </w:pPr>
      <w:r>
        <w:rPr>
          <w:rStyle w:val="FootnoteReference"/>
        </w:rPr>
        <w:footnoteRef/>
      </w:r>
      <w:r w:rsidRPr="003B1747">
        <w:rPr>
          <w:lang w:val="en-GB"/>
        </w:rPr>
        <w:t xml:space="preserve"> </w:t>
      </w:r>
      <w:r>
        <w:rPr>
          <w:rFonts w:cs="Calibri"/>
          <w:lang w:val="en-GB"/>
        </w:rPr>
        <w:t xml:space="preserve">as recommended under the </w:t>
      </w:r>
      <w:r w:rsidRPr="006F38B2">
        <w:rPr>
          <w:rFonts w:cs="Calibri"/>
          <w:lang w:val="en-GB"/>
        </w:rPr>
        <w:t>COMMUNICATION FROM THE COMMISSION TO THE EUROPEAN PARLIAMENT, THE COUNCIL, THE EUROPEAN ECONOMIC AND SOCIAL COMMITTEE AND THE COMMITTEE OF THE REGIONS from 9th of December 2020 regarding the Sustainable and Smart Mobility Strategy – putting European transport on track for the future</w:t>
      </w:r>
    </w:p>
  </w:footnote>
  <w:footnote w:id="46">
    <w:p w14:paraId="03920935" w14:textId="494554B9" w:rsidR="00944B4A" w:rsidRPr="009332E5" w:rsidRDefault="00944B4A">
      <w:pPr>
        <w:pStyle w:val="FootnoteText"/>
        <w:rPr>
          <w:lang w:val="ro-RO"/>
        </w:rPr>
      </w:pPr>
      <w:r>
        <w:rPr>
          <w:rStyle w:val="FootnoteReference"/>
        </w:rPr>
        <w:footnoteRef/>
      </w:r>
      <w:r w:rsidRPr="009332E5">
        <w:rPr>
          <w:lang w:val="ro-RO"/>
        </w:rPr>
        <w:t xml:space="preserve"> https://www.europarl.europa.eu/RegData/etudes/BRIE/2020/646135/EPRS_BRI(2020)646135_EN.pdf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37924" w14:textId="178BE100" w:rsidR="00944B4A" w:rsidRDefault="00944B4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369E4" w14:textId="77777777" w:rsidR="00944B4A" w:rsidRDefault="00944B4A">
    <w:pPr>
      <w:pStyle w:val="Header"/>
    </w:pPr>
    <w:r w:rsidRPr="00453026">
      <w:rPr>
        <w:noProof/>
        <w:lang w:val="ro-RO" w:eastAsia="ro-RO"/>
      </w:rPr>
      <w:drawing>
        <wp:anchor distT="0" distB="0" distL="114300" distR="114300" simplePos="0" relativeHeight="251685888" behindDoc="0" locked="0" layoutInCell="1" allowOverlap="1" wp14:anchorId="30421EA7" wp14:editId="739EC9CD">
          <wp:simplePos x="0" y="0"/>
          <wp:positionH relativeFrom="margin">
            <wp:posOffset>2602865</wp:posOffset>
          </wp:positionH>
          <wp:positionV relativeFrom="paragraph">
            <wp:posOffset>-303530</wp:posOffset>
          </wp:positionV>
          <wp:extent cx="936625" cy="767080"/>
          <wp:effectExtent l="0" t="0" r="0" b="0"/>
          <wp:wrapNone/>
          <wp:docPr id="583329708"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86912" behindDoc="0" locked="0" layoutInCell="1" allowOverlap="1" wp14:anchorId="2DB0B536" wp14:editId="6F249648">
          <wp:simplePos x="0" y="0"/>
          <wp:positionH relativeFrom="margin">
            <wp:posOffset>5111115</wp:posOffset>
          </wp:positionH>
          <wp:positionV relativeFrom="paragraph">
            <wp:posOffset>-227035</wp:posOffset>
          </wp:positionV>
          <wp:extent cx="802432" cy="678246"/>
          <wp:effectExtent l="0" t="0" r="0" b="7620"/>
          <wp:wrapNone/>
          <wp:docPr id="583329709"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84864" behindDoc="0" locked="0" layoutInCell="1" allowOverlap="1" wp14:anchorId="69A634CD" wp14:editId="28448500">
          <wp:simplePos x="0" y="0"/>
          <wp:positionH relativeFrom="margin">
            <wp:posOffset>-396240</wp:posOffset>
          </wp:positionH>
          <wp:positionV relativeFrom="paragraph">
            <wp:posOffset>-62865</wp:posOffset>
          </wp:positionV>
          <wp:extent cx="2101850" cy="464820"/>
          <wp:effectExtent l="0" t="0" r="0" b="0"/>
          <wp:wrapNone/>
          <wp:docPr id="583329710"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87936" behindDoc="1" locked="0" layoutInCell="0" allowOverlap="1" wp14:anchorId="67AF1362" wp14:editId="42879442">
              <wp:simplePos x="0" y="0"/>
              <wp:positionH relativeFrom="margin">
                <wp:align>center</wp:align>
              </wp:positionH>
              <wp:positionV relativeFrom="margin">
                <wp:align>center</wp:align>
              </wp:positionV>
              <wp:extent cx="7010400" cy="1617345"/>
              <wp:effectExtent l="0" t="1962150" r="0" b="1792605"/>
              <wp:wrapNone/>
              <wp:docPr id="799356999"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AA9296"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7AF1362" id="_x0000_t202" coordsize="21600,21600" o:spt="202" path="m,l,21600r21600,l21600,xe">
              <v:stroke joinstyle="miter"/>
              <v:path gradientshapeok="t" o:connecttype="rect"/>
            </v:shapetype>
            <v:shape id="_x0000_s1064" type="#_x0000_t202" style="position:absolute;left:0;text-align:left;margin-left:0;margin-top:0;width:552pt;height:127.35pt;rotation:-45;z-index:-2516285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" o:allowincell="f" filled="f" stroked="f">
              <v:stroke joinstyle="round"/>
              <o:lock v:ext="edit" shapetype="t"/>
              <v:textbox style="mso-fit-shape-to-text:t">
                <w:txbxContent>
                  <w:p w14:paraId="12AA9296"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5C2B52" w14:textId="14CC2880" w:rsidR="00944B4A" w:rsidRDefault="00944B4A">
    <w:pPr>
      <w:pStyle w:val="Header"/>
    </w:pPr>
    <w:r w:rsidRPr="00453026">
      <w:rPr>
        <w:noProof/>
        <w:lang w:val="ro-RO" w:eastAsia="ro-RO"/>
      </w:rPr>
      <w:drawing>
        <wp:anchor distT="0" distB="0" distL="114300" distR="114300" simplePos="0" relativeHeight="251701248" behindDoc="0" locked="0" layoutInCell="1" allowOverlap="1" wp14:anchorId="6AF695D2" wp14:editId="773A6B06">
          <wp:simplePos x="0" y="0"/>
          <wp:positionH relativeFrom="page">
            <wp:align>center</wp:align>
          </wp:positionH>
          <wp:positionV relativeFrom="paragraph">
            <wp:posOffset>-303530</wp:posOffset>
          </wp:positionV>
          <wp:extent cx="936625" cy="767080"/>
          <wp:effectExtent l="0" t="0" r="0" b="0"/>
          <wp:wrapNone/>
          <wp:docPr id="583329711"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02272" behindDoc="0" locked="0" layoutInCell="1" allowOverlap="1" wp14:anchorId="41E7EE0E" wp14:editId="7C1B4AB3">
          <wp:simplePos x="0" y="0"/>
          <wp:positionH relativeFrom="margin">
            <wp:align>right</wp:align>
          </wp:positionH>
          <wp:positionV relativeFrom="paragraph">
            <wp:posOffset>-226695</wp:posOffset>
          </wp:positionV>
          <wp:extent cx="802432" cy="678246"/>
          <wp:effectExtent l="0" t="0" r="0" b="7620"/>
          <wp:wrapNone/>
          <wp:docPr id="583329712"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00224" behindDoc="0" locked="0" layoutInCell="1" allowOverlap="1" wp14:anchorId="31D04F7D" wp14:editId="1F863D03">
          <wp:simplePos x="0" y="0"/>
          <wp:positionH relativeFrom="margin">
            <wp:posOffset>-396240</wp:posOffset>
          </wp:positionH>
          <wp:positionV relativeFrom="paragraph">
            <wp:posOffset>-62865</wp:posOffset>
          </wp:positionV>
          <wp:extent cx="2101850" cy="464820"/>
          <wp:effectExtent l="0" t="0" r="0" b="0"/>
          <wp:wrapNone/>
          <wp:docPr id="583329713"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703296" behindDoc="1" locked="0" layoutInCell="0" allowOverlap="1" wp14:anchorId="7BDF6451" wp14:editId="44187B86">
              <wp:simplePos x="0" y="0"/>
              <wp:positionH relativeFrom="margin">
                <wp:align>center</wp:align>
              </wp:positionH>
              <wp:positionV relativeFrom="margin">
                <wp:align>center</wp:align>
              </wp:positionV>
              <wp:extent cx="7010400" cy="1617345"/>
              <wp:effectExtent l="0" t="1962150" r="0" b="1792605"/>
              <wp:wrapNone/>
              <wp:docPr id="799357014"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793048"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DF6451" id="_x0000_t202" coordsize="21600,21600" o:spt="202" path="m,l,21600r21600,l21600,xe">
              <v:stroke joinstyle="miter"/>
              <v:path gradientshapeok="t" o:connecttype="rect"/>
            </v:shapetype>
            <v:shape id="_x0000_s1065" type="#_x0000_t202" style="position:absolute;left:0;text-align:left;margin-left:0;margin-top:0;width:552pt;height:127.35pt;rotation:-45;z-index:-2516131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" o:allowincell="f" filled="f" stroked="f">
              <v:stroke joinstyle="round"/>
              <o:lock v:ext="edit" shapetype="t"/>
              <v:textbox style="mso-fit-shape-to-text:t">
                <w:txbxContent>
                  <w:p w14:paraId="21793048"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FC8B62" w14:textId="77777777" w:rsidR="00944B4A" w:rsidRDefault="00944B4A">
    <w:pPr>
      <w:pStyle w:val="Header"/>
    </w:pPr>
    <w:r w:rsidRPr="00453026">
      <w:rPr>
        <w:noProof/>
        <w:lang w:val="ro-RO" w:eastAsia="ro-RO"/>
      </w:rPr>
      <w:drawing>
        <wp:anchor distT="0" distB="0" distL="114300" distR="114300" simplePos="0" relativeHeight="251716608" behindDoc="0" locked="0" layoutInCell="1" allowOverlap="1" wp14:anchorId="637C0165" wp14:editId="274E74E2">
          <wp:simplePos x="0" y="0"/>
          <wp:positionH relativeFrom="margin">
            <wp:posOffset>2602865</wp:posOffset>
          </wp:positionH>
          <wp:positionV relativeFrom="paragraph">
            <wp:posOffset>-303530</wp:posOffset>
          </wp:positionV>
          <wp:extent cx="936625" cy="767080"/>
          <wp:effectExtent l="0" t="0" r="0" b="0"/>
          <wp:wrapNone/>
          <wp:docPr id="583329714"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17632" behindDoc="0" locked="0" layoutInCell="1" allowOverlap="1" wp14:anchorId="07E6B8E1" wp14:editId="394F3ABF">
          <wp:simplePos x="0" y="0"/>
          <wp:positionH relativeFrom="margin">
            <wp:posOffset>5111115</wp:posOffset>
          </wp:positionH>
          <wp:positionV relativeFrom="paragraph">
            <wp:posOffset>-227035</wp:posOffset>
          </wp:positionV>
          <wp:extent cx="802432" cy="678246"/>
          <wp:effectExtent l="0" t="0" r="0" b="7620"/>
          <wp:wrapNone/>
          <wp:docPr id="583329715"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15584" behindDoc="0" locked="0" layoutInCell="1" allowOverlap="1" wp14:anchorId="2F8D9544" wp14:editId="65A43069">
          <wp:simplePos x="0" y="0"/>
          <wp:positionH relativeFrom="margin">
            <wp:posOffset>-396240</wp:posOffset>
          </wp:positionH>
          <wp:positionV relativeFrom="paragraph">
            <wp:posOffset>-62865</wp:posOffset>
          </wp:positionV>
          <wp:extent cx="2101850" cy="464820"/>
          <wp:effectExtent l="0" t="0" r="0" b="0"/>
          <wp:wrapNone/>
          <wp:docPr id="583329716"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718656" behindDoc="1" locked="0" layoutInCell="0" allowOverlap="1" wp14:anchorId="66E21CC2" wp14:editId="0B763EE8">
              <wp:simplePos x="0" y="0"/>
              <wp:positionH relativeFrom="margin">
                <wp:align>center</wp:align>
              </wp:positionH>
              <wp:positionV relativeFrom="margin">
                <wp:align>center</wp:align>
              </wp:positionV>
              <wp:extent cx="7010400" cy="1617345"/>
              <wp:effectExtent l="0" t="1962150" r="0" b="1792605"/>
              <wp:wrapNone/>
              <wp:docPr id="799357026"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104B29"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E21CC2" id="_x0000_t202" coordsize="21600,21600" o:spt="202" path="m,l,21600r21600,l21600,xe">
              <v:stroke joinstyle="miter"/>
              <v:path gradientshapeok="t" o:connecttype="rect"/>
            </v:shapetype>
            <v:shape id="_x0000_s1066" type="#_x0000_t202" style="position:absolute;left:0;text-align:left;margin-left:0;margin-top:0;width:552pt;height:127.35pt;rotation:-45;z-index:-251597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" o:allowincell="f" filled="f" stroked="f">
              <v:stroke joinstyle="round"/>
              <o:lock v:ext="edit" shapetype="t"/>
              <v:textbox style="mso-fit-shape-to-text:t">
                <w:txbxContent>
                  <w:p w14:paraId="13104B29"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3096B" w14:textId="4EB46800" w:rsidR="00944B4A" w:rsidRDefault="00944B4A">
    <w:pPr>
      <w:pStyle w:val="Header"/>
    </w:pPr>
    <w:r w:rsidRPr="00453026">
      <w:rPr>
        <w:noProof/>
        <w:lang w:val="ro-RO" w:eastAsia="ro-RO"/>
      </w:rPr>
      <w:drawing>
        <wp:anchor distT="0" distB="0" distL="114300" distR="114300" simplePos="0" relativeHeight="251721728" behindDoc="0" locked="0" layoutInCell="1" allowOverlap="1" wp14:anchorId="6A6D3B6A" wp14:editId="7A06959F">
          <wp:simplePos x="0" y="0"/>
          <wp:positionH relativeFrom="margin">
            <wp:align>center</wp:align>
          </wp:positionH>
          <wp:positionV relativeFrom="paragraph">
            <wp:posOffset>-303530</wp:posOffset>
          </wp:positionV>
          <wp:extent cx="936625" cy="767080"/>
          <wp:effectExtent l="0" t="0" r="0" b="0"/>
          <wp:wrapNone/>
          <wp:docPr id="583329717"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22752" behindDoc="0" locked="0" layoutInCell="1" allowOverlap="1" wp14:anchorId="76B2AE3A" wp14:editId="77C4ACE5">
          <wp:simplePos x="0" y="0"/>
          <wp:positionH relativeFrom="margin">
            <wp:align>right</wp:align>
          </wp:positionH>
          <wp:positionV relativeFrom="paragraph">
            <wp:posOffset>-226695</wp:posOffset>
          </wp:positionV>
          <wp:extent cx="802432" cy="678246"/>
          <wp:effectExtent l="0" t="0" r="0" b="7620"/>
          <wp:wrapNone/>
          <wp:docPr id="583329718"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20704" behindDoc="0" locked="0" layoutInCell="1" allowOverlap="1" wp14:anchorId="1808054D" wp14:editId="06C01E1D">
          <wp:simplePos x="0" y="0"/>
          <wp:positionH relativeFrom="margin">
            <wp:posOffset>-396240</wp:posOffset>
          </wp:positionH>
          <wp:positionV relativeFrom="paragraph">
            <wp:posOffset>-62865</wp:posOffset>
          </wp:positionV>
          <wp:extent cx="2101850" cy="464820"/>
          <wp:effectExtent l="0" t="0" r="0" b="0"/>
          <wp:wrapNone/>
          <wp:docPr id="583329719"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723776" behindDoc="1" locked="0" layoutInCell="0" allowOverlap="1" wp14:anchorId="134FE86C" wp14:editId="7B943F50">
              <wp:simplePos x="0" y="0"/>
              <wp:positionH relativeFrom="margin">
                <wp:align>center</wp:align>
              </wp:positionH>
              <wp:positionV relativeFrom="margin">
                <wp:align>center</wp:align>
              </wp:positionV>
              <wp:extent cx="7010400" cy="1617345"/>
              <wp:effectExtent l="0" t="1962150" r="0" b="1792605"/>
              <wp:wrapNone/>
              <wp:docPr id="799357030"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D3FCC2"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4FE86C" id="_x0000_t202" coordsize="21600,21600" o:spt="202" path="m,l,21600r21600,l21600,xe">
              <v:stroke joinstyle="miter"/>
              <v:path gradientshapeok="t" o:connecttype="rect"/>
            </v:shapetype>
            <v:shape id="_x0000_s1067" type="#_x0000_t202" style="position:absolute;left:0;text-align:left;margin-left:0;margin-top:0;width:552pt;height:127.35pt;rotation:-45;z-index:-251592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" o:allowincell="f" filled="f" stroked="f">
              <v:stroke joinstyle="round"/>
              <o:lock v:ext="edit" shapetype="t"/>
              <v:textbox style="mso-fit-shape-to-text:t">
                <w:txbxContent>
                  <w:p w14:paraId="15D3FCC2"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79610" w14:textId="77777777" w:rsidR="00944B4A" w:rsidRDefault="00944B4A">
    <w:pPr>
      <w:pStyle w:val="Header"/>
    </w:pPr>
    <w:r w:rsidRPr="00453026">
      <w:rPr>
        <w:noProof/>
        <w:lang w:val="ro-RO" w:eastAsia="ro-RO"/>
      </w:rPr>
      <w:drawing>
        <wp:anchor distT="0" distB="0" distL="114300" distR="114300" simplePos="0" relativeHeight="251726848" behindDoc="0" locked="0" layoutInCell="1" allowOverlap="1" wp14:anchorId="68B4D746" wp14:editId="7CB3952F">
          <wp:simplePos x="0" y="0"/>
          <wp:positionH relativeFrom="margin">
            <wp:posOffset>2602865</wp:posOffset>
          </wp:positionH>
          <wp:positionV relativeFrom="paragraph">
            <wp:posOffset>-303530</wp:posOffset>
          </wp:positionV>
          <wp:extent cx="936625" cy="767080"/>
          <wp:effectExtent l="0" t="0" r="0" b="0"/>
          <wp:wrapNone/>
          <wp:docPr id="583329720"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27872" behindDoc="0" locked="0" layoutInCell="1" allowOverlap="1" wp14:anchorId="106F167A" wp14:editId="10BDF71A">
          <wp:simplePos x="0" y="0"/>
          <wp:positionH relativeFrom="margin">
            <wp:posOffset>5111115</wp:posOffset>
          </wp:positionH>
          <wp:positionV relativeFrom="paragraph">
            <wp:posOffset>-227035</wp:posOffset>
          </wp:positionV>
          <wp:extent cx="802432" cy="678246"/>
          <wp:effectExtent l="0" t="0" r="0" b="7620"/>
          <wp:wrapNone/>
          <wp:docPr id="583329721"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25824" behindDoc="0" locked="0" layoutInCell="1" allowOverlap="1" wp14:anchorId="62BD5D6F" wp14:editId="15B665FC">
          <wp:simplePos x="0" y="0"/>
          <wp:positionH relativeFrom="margin">
            <wp:posOffset>-396240</wp:posOffset>
          </wp:positionH>
          <wp:positionV relativeFrom="paragraph">
            <wp:posOffset>-62865</wp:posOffset>
          </wp:positionV>
          <wp:extent cx="2101850" cy="464820"/>
          <wp:effectExtent l="0" t="0" r="0" b="0"/>
          <wp:wrapNone/>
          <wp:docPr id="583329722"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728896" behindDoc="1" locked="0" layoutInCell="0" allowOverlap="1" wp14:anchorId="1173354A" wp14:editId="0BD008F7">
              <wp:simplePos x="0" y="0"/>
              <wp:positionH relativeFrom="margin">
                <wp:align>center</wp:align>
              </wp:positionH>
              <wp:positionV relativeFrom="margin">
                <wp:align>center</wp:align>
              </wp:positionV>
              <wp:extent cx="7010400" cy="1617345"/>
              <wp:effectExtent l="0" t="1962150" r="0" b="1792605"/>
              <wp:wrapNone/>
              <wp:docPr id="799357034"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DD3A3B"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73354A" id="_x0000_t202" coordsize="21600,21600" o:spt="202" path="m,l,21600r21600,l21600,xe">
              <v:stroke joinstyle="miter"/>
              <v:path gradientshapeok="t" o:connecttype="rect"/>
            </v:shapetype>
            <v:shape id="_x0000_s1068" type="#_x0000_t202" style="position:absolute;left:0;text-align:left;margin-left:0;margin-top:0;width:552pt;height:127.35pt;rotation:-45;z-index:-2515875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" o:allowincell="f" filled="f" stroked="f">
              <v:stroke joinstyle="round"/>
              <o:lock v:ext="edit" shapetype="t"/>
              <v:textbox style="mso-fit-shape-to-text:t">
                <w:txbxContent>
                  <w:p w14:paraId="38DD3A3B"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439C90" w14:textId="07CAA910" w:rsidR="00944B4A" w:rsidRDefault="00944B4A">
    <w:pPr>
      <w:pStyle w:val="Header"/>
    </w:pPr>
    <w:r w:rsidRPr="00453026">
      <w:rPr>
        <w:noProof/>
        <w:lang w:val="ro-RO" w:eastAsia="ro-RO"/>
      </w:rPr>
      <w:drawing>
        <wp:anchor distT="0" distB="0" distL="114300" distR="114300" simplePos="0" relativeHeight="251731968" behindDoc="0" locked="0" layoutInCell="1" allowOverlap="1" wp14:anchorId="51DA0EFD" wp14:editId="04C48291">
          <wp:simplePos x="0" y="0"/>
          <wp:positionH relativeFrom="margin">
            <wp:align>center</wp:align>
          </wp:positionH>
          <wp:positionV relativeFrom="paragraph">
            <wp:posOffset>-303530</wp:posOffset>
          </wp:positionV>
          <wp:extent cx="936625" cy="767080"/>
          <wp:effectExtent l="0" t="0" r="0" b="0"/>
          <wp:wrapNone/>
          <wp:docPr id="583329723"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32992" behindDoc="0" locked="0" layoutInCell="1" allowOverlap="1" wp14:anchorId="367F3EC9" wp14:editId="290081A3">
          <wp:simplePos x="0" y="0"/>
          <wp:positionH relativeFrom="margin">
            <wp:align>right</wp:align>
          </wp:positionH>
          <wp:positionV relativeFrom="paragraph">
            <wp:posOffset>-226695</wp:posOffset>
          </wp:positionV>
          <wp:extent cx="802432" cy="678246"/>
          <wp:effectExtent l="0" t="0" r="0" b="7620"/>
          <wp:wrapNone/>
          <wp:docPr id="583329724"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730944" behindDoc="0" locked="0" layoutInCell="1" allowOverlap="1" wp14:anchorId="58ABFF8E" wp14:editId="5977DE0D">
          <wp:simplePos x="0" y="0"/>
          <wp:positionH relativeFrom="margin">
            <wp:posOffset>-396240</wp:posOffset>
          </wp:positionH>
          <wp:positionV relativeFrom="paragraph">
            <wp:posOffset>-62865</wp:posOffset>
          </wp:positionV>
          <wp:extent cx="2101850" cy="464820"/>
          <wp:effectExtent l="0" t="0" r="0" b="0"/>
          <wp:wrapNone/>
          <wp:docPr id="583329726"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734016" behindDoc="1" locked="0" layoutInCell="0" allowOverlap="1" wp14:anchorId="668E6F0A" wp14:editId="0146B611">
              <wp:simplePos x="0" y="0"/>
              <wp:positionH relativeFrom="margin">
                <wp:align>center</wp:align>
              </wp:positionH>
              <wp:positionV relativeFrom="margin">
                <wp:align>center</wp:align>
              </wp:positionV>
              <wp:extent cx="7010400" cy="1617345"/>
              <wp:effectExtent l="0" t="1962150" r="0" b="1792605"/>
              <wp:wrapNone/>
              <wp:docPr id="799357038"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C29FAF5"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8E6F0A" id="_x0000_t202" coordsize="21600,21600" o:spt="202" path="m,l,21600r21600,l21600,xe">
              <v:stroke joinstyle="miter"/>
              <v:path gradientshapeok="t" o:connecttype="rect"/>
            </v:shapetype>
            <v:shape id="_x0000_s1069" type="#_x0000_t202" style="position:absolute;left:0;text-align:left;margin-left:0;margin-top:0;width:552pt;height:127.35pt;rotation:-45;z-index:-2515824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" o:allowincell="f" filled="f" stroked="f">
              <v:stroke joinstyle="round"/>
              <o:lock v:ext="edit" shapetype="t"/>
              <v:textbox style="mso-fit-shape-to-text:t">
                <w:txbxContent>
                  <w:p w14:paraId="3C29FAF5"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1A6CB" w14:textId="49E60BAB" w:rsidR="00944B4A" w:rsidRDefault="00944B4A">
    <w:pPr>
      <w:pStyle w:val="Header"/>
    </w:pPr>
    <w:r w:rsidRPr="00453026">
      <w:rPr>
        <w:noProof/>
        <w:lang w:val="ro-RO" w:eastAsia="ro-RO"/>
      </w:rPr>
      <w:drawing>
        <wp:anchor distT="0" distB="0" distL="114300" distR="114300" simplePos="0" relativeHeight="251670528" behindDoc="0" locked="0" layoutInCell="1" allowOverlap="1" wp14:anchorId="6DF86474" wp14:editId="0EA301DD">
          <wp:simplePos x="0" y="0"/>
          <wp:positionH relativeFrom="margin">
            <wp:posOffset>3983990</wp:posOffset>
          </wp:positionH>
          <wp:positionV relativeFrom="paragraph">
            <wp:posOffset>-265430</wp:posOffset>
          </wp:positionV>
          <wp:extent cx="936625" cy="767080"/>
          <wp:effectExtent l="0" t="0" r="0" b="0"/>
          <wp:wrapNone/>
          <wp:docPr id="583329727"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71552" behindDoc="0" locked="0" layoutInCell="1" allowOverlap="1" wp14:anchorId="4ADDFE7F" wp14:editId="6A9C573D">
          <wp:simplePos x="0" y="0"/>
          <wp:positionH relativeFrom="margin">
            <wp:align>right</wp:align>
          </wp:positionH>
          <wp:positionV relativeFrom="paragraph">
            <wp:posOffset>-321945</wp:posOffset>
          </wp:positionV>
          <wp:extent cx="802432" cy="678246"/>
          <wp:effectExtent l="0" t="0" r="0" b="7620"/>
          <wp:wrapNone/>
          <wp:docPr id="799357008"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69504" behindDoc="0" locked="0" layoutInCell="1" allowOverlap="1" wp14:anchorId="5E7E44D2" wp14:editId="2D2314D1">
          <wp:simplePos x="0" y="0"/>
          <wp:positionH relativeFrom="margin">
            <wp:posOffset>-396240</wp:posOffset>
          </wp:positionH>
          <wp:positionV relativeFrom="paragraph">
            <wp:posOffset>-62865</wp:posOffset>
          </wp:positionV>
          <wp:extent cx="2101850" cy="464820"/>
          <wp:effectExtent l="0" t="0" r="0" b="0"/>
          <wp:wrapNone/>
          <wp:docPr id="799357022"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72576" behindDoc="1" locked="0" layoutInCell="0" allowOverlap="1" wp14:anchorId="35E25850" wp14:editId="4762CC5B">
              <wp:simplePos x="0" y="0"/>
              <wp:positionH relativeFrom="margin">
                <wp:align>center</wp:align>
              </wp:positionH>
              <wp:positionV relativeFrom="margin">
                <wp:align>center</wp:align>
              </wp:positionV>
              <wp:extent cx="7010400" cy="1617345"/>
              <wp:effectExtent l="0" t="1962150" r="0" b="1792605"/>
              <wp:wrapNone/>
              <wp:docPr id="3"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0FF728"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E25850" id="_x0000_t202" coordsize="21600,21600" o:spt="202" path="m,l,21600r21600,l21600,xe">
              <v:stroke joinstyle="miter"/>
              <v:path gradientshapeok="t" o:connecttype="rect"/>
            </v:shapetype>
            <v:shape id="_x0000_s1070" type="#_x0000_t202" style="position:absolute;left:0;text-align:left;margin-left:0;margin-top:0;width:552pt;height:127.35pt;rotation:-45;z-index:-2516439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" o:allowincell="f" filled="f" stroked="f">
              <v:stroke joinstyle="round"/>
              <o:lock v:ext="edit" shapetype="t"/>
              <v:textbox style="mso-fit-shape-to-text:t">
                <w:txbxContent>
                  <w:p w14:paraId="140FF728"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C6D305" w14:textId="77777777" w:rsidR="00944B4A" w:rsidRDefault="00944B4A">
    <w:pPr>
      <w:pStyle w:val="Header"/>
    </w:pPr>
    <w:r w:rsidRPr="00453026">
      <w:rPr>
        <w:noProof/>
        <w:lang w:val="ro-RO" w:eastAsia="ro-RO"/>
      </w:rPr>
      <w:drawing>
        <wp:anchor distT="0" distB="0" distL="114300" distR="114300" simplePos="0" relativeHeight="251675648" behindDoc="0" locked="0" layoutInCell="1" allowOverlap="1" wp14:anchorId="6D9A3005" wp14:editId="4F311B6A">
          <wp:simplePos x="0" y="0"/>
          <wp:positionH relativeFrom="margin">
            <wp:posOffset>2602865</wp:posOffset>
          </wp:positionH>
          <wp:positionV relativeFrom="paragraph">
            <wp:posOffset>-303530</wp:posOffset>
          </wp:positionV>
          <wp:extent cx="936625" cy="767080"/>
          <wp:effectExtent l="0" t="0" r="0" b="0"/>
          <wp:wrapNone/>
          <wp:docPr id="799357044"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76672" behindDoc="0" locked="0" layoutInCell="1" allowOverlap="1" wp14:anchorId="29F5850E" wp14:editId="4AFE31DE">
          <wp:simplePos x="0" y="0"/>
          <wp:positionH relativeFrom="margin">
            <wp:posOffset>5111115</wp:posOffset>
          </wp:positionH>
          <wp:positionV relativeFrom="paragraph">
            <wp:posOffset>-227035</wp:posOffset>
          </wp:positionV>
          <wp:extent cx="802432" cy="678246"/>
          <wp:effectExtent l="0" t="0" r="0" b="7620"/>
          <wp:wrapNone/>
          <wp:docPr id="799357045"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74624" behindDoc="0" locked="0" layoutInCell="1" allowOverlap="1" wp14:anchorId="14CBEBF1" wp14:editId="6E272B4E">
          <wp:simplePos x="0" y="0"/>
          <wp:positionH relativeFrom="margin">
            <wp:posOffset>-396240</wp:posOffset>
          </wp:positionH>
          <wp:positionV relativeFrom="paragraph">
            <wp:posOffset>-62865</wp:posOffset>
          </wp:positionV>
          <wp:extent cx="2101850" cy="464820"/>
          <wp:effectExtent l="0" t="0" r="0" b="0"/>
          <wp:wrapNone/>
          <wp:docPr id="799357046"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77696" behindDoc="1" locked="0" layoutInCell="0" allowOverlap="1" wp14:anchorId="6FB5365C" wp14:editId="15F35E56">
              <wp:simplePos x="0" y="0"/>
              <wp:positionH relativeFrom="margin">
                <wp:align>center</wp:align>
              </wp:positionH>
              <wp:positionV relativeFrom="margin">
                <wp:align>center</wp:align>
              </wp:positionV>
              <wp:extent cx="7010400" cy="1617345"/>
              <wp:effectExtent l="0" t="1962150" r="0" b="1792605"/>
              <wp:wrapNone/>
              <wp:docPr id="14"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E13D8B"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B5365C" id="_x0000_t202" coordsize="21600,21600" o:spt="202" path="m,l,21600r21600,l21600,xe">
              <v:stroke joinstyle="miter"/>
              <v:path gradientshapeok="t" o:connecttype="rect"/>
            </v:shapetype>
            <v:shape id="_x0000_s1071" type="#_x0000_t202" style="position:absolute;left:0;text-align:left;margin-left:0;margin-top:0;width:552pt;height:127.35pt;rotation:-45;z-index:-2516387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" o:allowincell="f" filled="f" stroked="f">
              <v:stroke joinstyle="round"/>
              <o:lock v:ext="edit" shapetype="t"/>
              <v:textbox style="mso-fit-shape-to-text:t">
                <w:txbxContent>
                  <w:p w14:paraId="40E13D8B"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05A575" w14:textId="0BB61D4E" w:rsidR="00944B4A" w:rsidRDefault="00944B4A">
    <w:pPr>
      <w:pStyle w:val="Header"/>
    </w:pPr>
    <w:r w:rsidRPr="00453026">
      <w:rPr>
        <w:noProof/>
        <w:lang w:val="ro-RO" w:eastAsia="ro-RO"/>
      </w:rPr>
      <w:drawing>
        <wp:anchor distT="0" distB="0" distL="114300" distR="114300" simplePos="0" relativeHeight="251662336" behindDoc="0" locked="0" layoutInCell="1" allowOverlap="1" wp14:anchorId="4DA93AD7" wp14:editId="5E005738">
          <wp:simplePos x="0" y="0"/>
          <wp:positionH relativeFrom="margin">
            <wp:posOffset>4059132</wp:posOffset>
          </wp:positionH>
          <wp:positionV relativeFrom="paragraph">
            <wp:posOffset>-303530</wp:posOffset>
          </wp:positionV>
          <wp:extent cx="936625" cy="767080"/>
          <wp:effectExtent l="0" t="0" r="0" b="0"/>
          <wp:wrapNone/>
          <wp:docPr id="67"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63360" behindDoc="0" locked="0" layoutInCell="1" allowOverlap="1" wp14:anchorId="5D05B2B8" wp14:editId="4E1EE5FF">
          <wp:simplePos x="0" y="0"/>
          <wp:positionH relativeFrom="margin">
            <wp:posOffset>7930515</wp:posOffset>
          </wp:positionH>
          <wp:positionV relativeFrom="paragraph">
            <wp:posOffset>-226695</wp:posOffset>
          </wp:positionV>
          <wp:extent cx="802432" cy="678246"/>
          <wp:effectExtent l="0" t="0" r="0" b="7620"/>
          <wp:wrapNone/>
          <wp:docPr id="69"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61312" behindDoc="0" locked="0" layoutInCell="1" allowOverlap="1" wp14:anchorId="07AC67A0" wp14:editId="126A3BA2">
          <wp:simplePos x="0" y="0"/>
          <wp:positionH relativeFrom="margin">
            <wp:posOffset>-396240</wp:posOffset>
          </wp:positionH>
          <wp:positionV relativeFrom="paragraph">
            <wp:posOffset>-62865</wp:posOffset>
          </wp:positionV>
          <wp:extent cx="2101850" cy="464820"/>
          <wp:effectExtent l="0" t="0" r="0" b="0"/>
          <wp:wrapNone/>
          <wp:docPr id="70"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64384" behindDoc="1" locked="0" layoutInCell="0" allowOverlap="1" wp14:anchorId="320918B5" wp14:editId="107E8115">
              <wp:simplePos x="0" y="0"/>
              <wp:positionH relativeFrom="margin">
                <wp:align>center</wp:align>
              </wp:positionH>
              <wp:positionV relativeFrom="margin">
                <wp:align>center</wp:align>
              </wp:positionV>
              <wp:extent cx="7010400" cy="1617345"/>
              <wp:effectExtent l="0" t="1962150" r="0" b="1792605"/>
              <wp:wrapNone/>
              <wp:docPr id="15"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369D4D"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20918B5" id="_x0000_t202" coordsize="21600,21600" o:spt="202" path="m,l,21600r21600,l21600,xe">
              <v:stroke joinstyle="miter"/>
              <v:path gradientshapeok="t" o:connecttype="rect"/>
            </v:shapetype>
            <v:shape id="WordArt 8" o:spid="_x0000_s1072" type="#_x0000_t202" style="position:absolute;left:0;text-align:left;margin-left:0;margin-top:0;width:552pt;height:127.35pt;rotation:-45;z-index:-2516520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" o:allowincell="f" filled="f" stroked="f">
              <v:stroke joinstyle="round"/>
              <o:lock v:ext="edit" shapetype="t"/>
              <v:textbox style="mso-fit-shape-to-text:t">
                <w:txbxContent>
                  <w:p w14:paraId="37369D4D"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37DC12" w14:textId="6C43708C" w:rsidR="00944B4A" w:rsidRDefault="00944B4A">
    <w:pPr>
      <w:pStyle w:val="Header"/>
    </w:pPr>
    <w:r w:rsidRPr="00453026">
      <w:rPr>
        <w:noProof/>
        <w:lang w:val="ro-RO" w:eastAsia="ro-RO"/>
      </w:rPr>
      <w:drawing>
        <wp:anchor distT="0" distB="0" distL="114300" distR="114300" simplePos="0" relativeHeight="251653120" behindDoc="0" locked="0" layoutInCell="1" allowOverlap="1" wp14:anchorId="26B76104" wp14:editId="2653F347">
          <wp:simplePos x="0" y="0"/>
          <wp:positionH relativeFrom="margin">
            <wp:posOffset>2602865</wp:posOffset>
          </wp:positionH>
          <wp:positionV relativeFrom="paragraph">
            <wp:posOffset>-303530</wp:posOffset>
          </wp:positionV>
          <wp:extent cx="936625" cy="767080"/>
          <wp:effectExtent l="0" t="0" r="0" b="0"/>
          <wp:wrapNone/>
          <wp:docPr id="583329693"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55168" behindDoc="0" locked="0" layoutInCell="1" allowOverlap="1" wp14:anchorId="10F934B8" wp14:editId="7DA8BF29">
          <wp:simplePos x="0" y="0"/>
          <wp:positionH relativeFrom="margin">
            <wp:posOffset>5111115</wp:posOffset>
          </wp:positionH>
          <wp:positionV relativeFrom="paragraph">
            <wp:posOffset>-227035</wp:posOffset>
          </wp:positionV>
          <wp:extent cx="802432" cy="678246"/>
          <wp:effectExtent l="0" t="0" r="0" b="7620"/>
          <wp:wrapNone/>
          <wp:docPr id="583329694"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52096" behindDoc="0" locked="0" layoutInCell="1" allowOverlap="1" wp14:anchorId="688CAE01" wp14:editId="4DBA75F7">
          <wp:simplePos x="0" y="0"/>
          <wp:positionH relativeFrom="margin">
            <wp:posOffset>-396240</wp:posOffset>
          </wp:positionH>
          <wp:positionV relativeFrom="paragraph">
            <wp:posOffset>-62865</wp:posOffset>
          </wp:positionV>
          <wp:extent cx="2101850" cy="464820"/>
          <wp:effectExtent l="0" t="0" r="0" b="0"/>
          <wp:wrapNone/>
          <wp:docPr id="583329695"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E350E" w14:textId="2CECE7F8" w:rsidR="00944B4A" w:rsidRDefault="00944B4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5A2460" w14:textId="317643F5" w:rsidR="00944B4A" w:rsidRDefault="00944B4A">
    <w:pPr>
      <w:pStyle w:val="Header"/>
    </w:pPr>
    <w:r w:rsidRPr="00B077CF">
      <w:rPr>
        <w:noProof/>
        <w:lang w:val="ro-RO" w:eastAsia="ro-RO"/>
      </w:rPr>
      <mc:AlternateContent>
        <mc:Choice Requires="wps">
          <w:drawing>
            <wp:anchor distT="0" distB="0" distL="114300" distR="114300" simplePos="0" relativeHeight="251654144" behindDoc="1" locked="0" layoutInCell="0" allowOverlap="1" wp14:anchorId="2A1F9856" wp14:editId="054C5821">
              <wp:simplePos x="0" y="0"/>
              <wp:positionH relativeFrom="margin">
                <wp:align>center</wp:align>
              </wp:positionH>
              <wp:positionV relativeFrom="margin">
                <wp:align>center</wp:align>
              </wp:positionV>
              <wp:extent cx="7010400" cy="1617345"/>
              <wp:effectExtent l="0" t="1962150" r="0" b="1792605"/>
              <wp:wrapNone/>
              <wp:docPr id="2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2D6859"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1F9856" id="_x0000_t202" coordsize="21600,21600" o:spt="202" path="m,l,21600r21600,l21600,xe">
              <v:stroke joinstyle="miter"/>
              <v:path gradientshapeok="t" o:connecttype="rect"/>
            </v:shapetype>
            <v:shape id="WordArt 5" o:spid="_x0000_s1058" type="#_x0000_t202" style="position:absolute;left:0;text-align:left;margin-left:0;margin-top:0;width:552pt;height:127.35pt;rotation:-45;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" o:allowincell="f" filled="f" stroked="f">
              <v:stroke joinstyle="round"/>
              <o:lock v:ext="edit" shapetype="t"/>
              <v:textbox style="mso-fit-shape-to-text:t">
                <w:txbxContent>
                  <w:p w14:paraId="192D6859"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p w14:paraId="426747B9" w14:textId="77777777" w:rsidR="00944B4A" w:rsidRDefault="00944B4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6EECBB" w14:textId="3284FB8B" w:rsidR="00944B4A" w:rsidRDefault="00944B4A">
    <w:pPr>
      <w:pStyle w:val="Header"/>
    </w:pPr>
    <w:r w:rsidRPr="00453026">
      <w:rPr>
        <w:noProof/>
        <w:lang w:val="ro-RO" w:eastAsia="ro-RO"/>
      </w:rPr>
      <w:drawing>
        <wp:anchor distT="0" distB="0" distL="114300" distR="114300" simplePos="0" relativeHeight="251649024" behindDoc="0" locked="0" layoutInCell="1" allowOverlap="1" wp14:anchorId="2059B69B" wp14:editId="5CDDA3D5">
          <wp:simplePos x="0" y="0"/>
          <wp:positionH relativeFrom="margin">
            <wp:posOffset>2602865</wp:posOffset>
          </wp:positionH>
          <wp:positionV relativeFrom="paragraph">
            <wp:posOffset>-303530</wp:posOffset>
          </wp:positionV>
          <wp:extent cx="936625" cy="767080"/>
          <wp:effectExtent l="0" t="0" r="0" b="0"/>
          <wp:wrapNone/>
          <wp:docPr id="583329696"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50048" behindDoc="0" locked="0" layoutInCell="1" allowOverlap="1" wp14:anchorId="3AD4916E" wp14:editId="3DE304E9">
          <wp:simplePos x="0" y="0"/>
          <wp:positionH relativeFrom="margin">
            <wp:posOffset>5111115</wp:posOffset>
          </wp:positionH>
          <wp:positionV relativeFrom="paragraph">
            <wp:posOffset>-227035</wp:posOffset>
          </wp:positionV>
          <wp:extent cx="802432" cy="678246"/>
          <wp:effectExtent l="0" t="0" r="0" b="7620"/>
          <wp:wrapNone/>
          <wp:docPr id="583329697"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48000" behindDoc="0" locked="0" layoutInCell="1" allowOverlap="1" wp14:anchorId="1D89CDFA" wp14:editId="49403303">
          <wp:simplePos x="0" y="0"/>
          <wp:positionH relativeFrom="margin">
            <wp:posOffset>-396240</wp:posOffset>
          </wp:positionH>
          <wp:positionV relativeFrom="paragraph">
            <wp:posOffset>-62865</wp:posOffset>
          </wp:positionV>
          <wp:extent cx="2101850" cy="464820"/>
          <wp:effectExtent l="0" t="0" r="0" b="0"/>
          <wp:wrapNone/>
          <wp:docPr id="583329698"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60288" behindDoc="1" locked="0" layoutInCell="0" allowOverlap="1" wp14:anchorId="1923E832" wp14:editId="3EF1E829">
              <wp:simplePos x="0" y="0"/>
              <wp:positionH relativeFrom="margin">
                <wp:align>center</wp:align>
              </wp:positionH>
              <wp:positionV relativeFrom="margin">
                <wp:align>center</wp:align>
              </wp:positionV>
              <wp:extent cx="7010400" cy="1617345"/>
              <wp:effectExtent l="0" t="1962150" r="0" b="1792605"/>
              <wp:wrapNone/>
              <wp:docPr id="20"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4AF3EF"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923E832" id="_x0000_t202" coordsize="21600,21600" o:spt="202" path="m,l,21600r21600,l21600,xe">
              <v:stroke joinstyle="miter"/>
              <v:path gradientshapeok="t" o:connecttype="rect"/>
            </v:shapetype>
            <v:shape id="WordArt 6" o:spid="_x0000_s1059" type="#_x0000_t202" style="position:absolute;left:0;text-align:left;margin-left:0;margin-top:0;width:552pt;height:127.3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" o:allowincell="f" filled="f" stroked="f">
              <v:stroke joinstyle="round"/>
              <o:lock v:ext="edit" shapetype="t"/>
              <v:textbox style="mso-fit-shape-to-text:t">
                <w:txbxContent>
                  <w:p w14:paraId="214AF3EF"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p w14:paraId="6270C60E" w14:textId="77777777" w:rsidR="00944B4A" w:rsidRDefault="00944B4A"/>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22593" w14:textId="546C3942" w:rsidR="00944B4A" w:rsidRDefault="00944B4A">
    <w:pPr>
      <w:pStyle w:val="Header"/>
    </w:pPr>
    <w:r w:rsidRPr="00B077CF">
      <w:rPr>
        <w:noProof/>
        <w:lang w:val="ro-RO" w:eastAsia="ro-RO"/>
      </w:rPr>
      <mc:AlternateContent>
        <mc:Choice Requires="wps">
          <w:drawing>
            <wp:anchor distT="0" distB="0" distL="114300" distR="114300" simplePos="0" relativeHeight="251651072" behindDoc="1" locked="0" layoutInCell="0" allowOverlap="1" wp14:anchorId="118F8E8C" wp14:editId="61644037">
              <wp:simplePos x="0" y="0"/>
              <wp:positionH relativeFrom="margin">
                <wp:align>center</wp:align>
              </wp:positionH>
              <wp:positionV relativeFrom="margin">
                <wp:align>center</wp:align>
              </wp:positionV>
              <wp:extent cx="7010400" cy="1617345"/>
              <wp:effectExtent l="0" t="1962150" r="0" b="1792605"/>
              <wp:wrapNone/>
              <wp:docPr id="1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6F39A3"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8F8E8C" id="_x0000_t202" coordsize="21600,21600" o:spt="202" path="m,l,21600r21600,l21600,xe">
              <v:stroke joinstyle="miter"/>
              <v:path gradientshapeok="t" o:connecttype="rect"/>
            </v:shapetype>
            <v:shape id="WordArt 4" o:spid="_x0000_s1060" type="#_x0000_t202" style="position:absolute;left:0;text-align:left;margin-left:0;margin-top:0;width:552pt;height:127.35pt;rotation:-45;z-index:-2516654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" o:allowincell="f" filled="f" stroked="f">
              <v:stroke joinstyle="round"/>
              <o:lock v:ext="edit" shapetype="t"/>
              <v:textbox style="mso-fit-shape-to-text:t">
                <w:txbxContent>
                  <w:p w14:paraId="446F39A3"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392E7" w14:textId="32BBE2A6" w:rsidR="00944B4A" w:rsidRDefault="00944B4A">
    <w:pPr>
      <w:pStyle w:val="Header"/>
    </w:pPr>
    <w:r w:rsidRPr="00453026">
      <w:rPr>
        <w:noProof/>
        <w:lang w:val="ro-RO" w:eastAsia="ro-RO"/>
      </w:rPr>
      <w:drawing>
        <wp:anchor distT="0" distB="0" distL="114300" distR="114300" simplePos="0" relativeHeight="251691008" behindDoc="0" locked="0" layoutInCell="1" allowOverlap="1" wp14:anchorId="3C678EF2" wp14:editId="6CF2C468">
          <wp:simplePos x="0" y="0"/>
          <wp:positionH relativeFrom="margin">
            <wp:align>center</wp:align>
          </wp:positionH>
          <wp:positionV relativeFrom="paragraph">
            <wp:posOffset>-303530</wp:posOffset>
          </wp:positionV>
          <wp:extent cx="936625" cy="767080"/>
          <wp:effectExtent l="0" t="0" r="0" b="0"/>
          <wp:wrapNone/>
          <wp:docPr id="583329699"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92032" behindDoc="0" locked="0" layoutInCell="1" allowOverlap="1" wp14:anchorId="180F54D3" wp14:editId="5EE18669">
          <wp:simplePos x="0" y="0"/>
          <wp:positionH relativeFrom="margin">
            <wp:posOffset>7831455</wp:posOffset>
          </wp:positionH>
          <wp:positionV relativeFrom="paragraph">
            <wp:posOffset>-226695</wp:posOffset>
          </wp:positionV>
          <wp:extent cx="802432" cy="678246"/>
          <wp:effectExtent l="0" t="0" r="0" b="7620"/>
          <wp:wrapNone/>
          <wp:docPr id="583329700"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89984" behindDoc="0" locked="0" layoutInCell="1" allowOverlap="1" wp14:anchorId="71306CF7" wp14:editId="69D1384A">
          <wp:simplePos x="0" y="0"/>
          <wp:positionH relativeFrom="margin">
            <wp:posOffset>-396240</wp:posOffset>
          </wp:positionH>
          <wp:positionV relativeFrom="paragraph">
            <wp:posOffset>-62865</wp:posOffset>
          </wp:positionV>
          <wp:extent cx="2101850" cy="464820"/>
          <wp:effectExtent l="0" t="0" r="0" b="0"/>
          <wp:wrapNone/>
          <wp:docPr id="583329701"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93056" behindDoc="1" locked="0" layoutInCell="0" allowOverlap="1" wp14:anchorId="1A6952C4" wp14:editId="5598E18C">
              <wp:simplePos x="0" y="0"/>
              <wp:positionH relativeFrom="margin">
                <wp:align>center</wp:align>
              </wp:positionH>
              <wp:positionV relativeFrom="margin">
                <wp:align>center</wp:align>
              </wp:positionV>
              <wp:extent cx="7010400" cy="1617345"/>
              <wp:effectExtent l="0" t="1962150" r="0" b="1792605"/>
              <wp:wrapNone/>
              <wp:docPr id="799357003"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BEC5DA"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6952C4" id="_x0000_t202" coordsize="21600,21600" o:spt="202" path="m,l,21600r21600,l21600,xe">
              <v:stroke joinstyle="miter"/>
              <v:path gradientshapeok="t" o:connecttype="rect"/>
            </v:shapetype>
            <v:shape id="_x0000_s1061" type="#_x0000_t202" style="position:absolute;left:0;text-align:left;margin-left:0;margin-top:0;width:552pt;height:127.35pt;rotation:-45;z-index:-2516234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" o:allowincell="f" filled="f" stroked="f">
              <v:stroke joinstyle="round"/>
              <o:lock v:ext="edit" shapetype="t"/>
              <v:textbox style="mso-fit-shape-to-text:t">
                <w:txbxContent>
                  <w:p w14:paraId="6CBEC5DA"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9DF2B" w14:textId="77777777" w:rsidR="00944B4A" w:rsidRDefault="00944B4A">
    <w:pPr>
      <w:pStyle w:val="Header"/>
    </w:pPr>
    <w:r w:rsidRPr="00453026">
      <w:rPr>
        <w:noProof/>
        <w:lang w:val="ro-RO" w:eastAsia="ro-RO"/>
      </w:rPr>
      <w:drawing>
        <wp:anchor distT="0" distB="0" distL="114300" distR="114300" simplePos="0" relativeHeight="251696128" behindDoc="0" locked="0" layoutInCell="1" allowOverlap="1" wp14:anchorId="60036443" wp14:editId="7D2A50E7">
          <wp:simplePos x="0" y="0"/>
          <wp:positionH relativeFrom="margin">
            <wp:posOffset>2602865</wp:posOffset>
          </wp:positionH>
          <wp:positionV relativeFrom="paragraph">
            <wp:posOffset>-303530</wp:posOffset>
          </wp:positionV>
          <wp:extent cx="936625" cy="767080"/>
          <wp:effectExtent l="0" t="0" r="0" b="0"/>
          <wp:wrapNone/>
          <wp:docPr id="583329702"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97152" behindDoc="0" locked="0" layoutInCell="1" allowOverlap="1" wp14:anchorId="5B6EA3B4" wp14:editId="3E8B1EE9">
          <wp:simplePos x="0" y="0"/>
          <wp:positionH relativeFrom="margin">
            <wp:posOffset>5111115</wp:posOffset>
          </wp:positionH>
          <wp:positionV relativeFrom="paragraph">
            <wp:posOffset>-227035</wp:posOffset>
          </wp:positionV>
          <wp:extent cx="802432" cy="678246"/>
          <wp:effectExtent l="0" t="0" r="0" b="7620"/>
          <wp:wrapNone/>
          <wp:docPr id="583329703"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95104" behindDoc="0" locked="0" layoutInCell="1" allowOverlap="1" wp14:anchorId="7A2DA769" wp14:editId="447C4E05">
          <wp:simplePos x="0" y="0"/>
          <wp:positionH relativeFrom="margin">
            <wp:posOffset>-396240</wp:posOffset>
          </wp:positionH>
          <wp:positionV relativeFrom="paragraph">
            <wp:posOffset>-62865</wp:posOffset>
          </wp:positionV>
          <wp:extent cx="2101850" cy="464820"/>
          <wp:effectExtent l="0" t="0" r="0" b="0"/>
          <wp:wrapNone/>
          <wp:docPr id="583329704"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98176" behindDoc="1" locked="0" layoutInCell="0" allowOverlap="1" wp14:anchorId="6FC9FECA" wp14:editId="33407795">
              <wp:simplePos x="0" y="0"/>
              <wp:positionH relativeFrom="margin">
                <wp:align>center</wp:align>
              </wp:positionH>
              <wp:positionV relativeFrom="margin">
                <wp:align>center</wp:align>
              </wp:positionV>
              <wp:extent cx="7010400" cy="1617345"/>
              <wp:effectExtent l="0" t="1962150" r="0" b="1792605"/>
              <wp:wrapNone/>
              <wp:docPr id="799357007"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5F7D70"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C9FECA" id="_x0000_t202" coordsize="21600,21600" o:spt="202" path="m,l,21600r21600,l21600,xe">
              <v:stroke joinstyle="miter"/>
              <v:path gradientshapeok="t" o:connecttype="rect"/>
            </v:shapetype>
            <v:shape id="_x0000_s1062" type="#_x0000_t202" style="position:absolute;left:0;text-align:left;margin-left:0;margin-top:0;width:552pt;height:127.35pt;rotation:-45;z-index:-2516183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" o:allowincell="f" filled="f" stroked="f">
              <v:stroke joinstyle="round"/>
              <o:lock v:ext="edit" shapetype="t"/>
              <v:textbox style="mso-fit-shape-to-text:t">
                <w:txbxContent>
                  <w:p w14:paraId="365F7D70"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1CB01D" w14:textId="048C5BB5" w:rsidR="00944B4A" w:rsidRDefault="00944B4A">
    <w:pPr>
      <w:pStyle w:val="Header"/>
    </w:pPr>
    <w:r w:rsidRPr="00453026">
      <w:rPr>
        <w:noProof/>
        <w:lang w:val="ro-RO" w:eastAsia="ro-RO"/>
      </w:rPr>
      <w:drawing>
        <wp:anchor distT="0" distB="0" distL="114300" distR="114300" simplePos="0" relativeHeight="251680768" behindDoc="0" locked="0" layoutInCell="1" allowOverlap="1" wp14:anchorId="4A9D1C28" wp14:editId="17A6EA1A">
          <wp:simplePos x="0" y="0"/>
          <wp:positionH relativeFrom="margin">
            <wp:align>center</wp:align>
          </wp:positionH>
          <wp:positionV relativeFrom="paragraph">
            <wp:posOffset>-303530</wp:posOffset>
          </wp:positionV>
          <wp:extent cx="936625" cy="767080"/>
          <wp:effectExtent l="0" t="0" r="0" b="0"/>
          <wp:wrapNone/>
          <wp:docPr id="583329705" name="Immagine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magine 10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11A24-03D7-41DF-B726-B521B167F57D}"/>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6625" cy="767080"/>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81792" behindDoc="0" locked="0" layoutInCell="1" allowOverlap="1" wp14:anchorId="32611553" wp14:editId="02B2A7DC">
          <wp:simplePos x="0" y="0"/>
          <wp:positionH relativeFrom="margin">
            <wp:align>right</wp:align>
          </wp:positionH>
          <wp:positionV relativeFrom="paragraph">
            <wp:posOffset>-226695</wp:posOffset>
          </wp:positionV>
          <wp:extent cx="802432" cy="678246"/>
          <wp:effectExtent l="0" t="0" r="0" b="7620"/>
          <wp:wrapNone/>
          <wp:docPr id="583329706" name="Immagine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magine 1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D8E1B7-1391-4E87-A126-4A1E11C76D9B}"/>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32" cy="678246"/>
                  </a:xfrm>
                  <a:prstGeom prst="rect">
                    <a:avLst/>
                  </a:prstGeom>
                  <a:noFill/>
                </pic:spPr>
              </pic:pic>
            </a:graphicData>
          </a:graphic>
          <wp14:sizeRelH relativeFrom="margin">
            <wp14:pctWidth>0</wp14:pctWidth>
          </wp14:sizeRelH>
          <wp14:sizeRelV relativeFrom="margin">
            <wp14:pctHeight>0</wp14:pctHeight>
          </wp14:sizeRelV>
        </wp:anchor>
      </w:drawing>
    </w:r>
    <w:r w:rsidRPr="00453026">
      <w:rPr>
        <w:noProof/>
        <w:lang w:val="ro-RO" w:eastAsia="ro-RO"/>
      </w:rPr>
      <w:drawing>
        <wp:anchor distT="0" distB="0" distL="114300" distR="114300" simplePos="0" relativeHeight="251679744" behindDoc="0" locked="0" layoutInCell="1" allowOverlap="1" wp14:anchorId="194C2B73" wp14:editId="1A2B96A6">
          <wp:simplePos x="0" y="0"/>
          <wp:positionH relativeFrom="margin">
            <wp:posOffset>-396240</wp:posOffset>
          </wp:positionH>
          <wp:positionV relativeFrom="paragraph">
            <wp:posOffset>-62865</wp:posOffset>
          </wp:positionV>
          <wp:extent cx="2101850" cy="464820"/>
          <wp:effectExtent l="0" t="0" r="0" b="0"/>
          <wp:wrapNone/>
          <wp:docPr id="583329707" name="Immagine 99" descr="Interr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magine 99" descr="Interr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81C27-9801-4AE3-B30C-F558F793003C}"/>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1850" cy="464820"/>
                  </a:xfrm>
                  <a:prstGeom prst="rect">
                    <a:avLst/>
                  </a:prstGeom>
                  <a:noFill/>
                </pic:spPr>
              </pic:pic>
            </a:graphicData>
          </a:graphic>
          <wp14:sizeRelH relativeFrom="margin">
            <wp14:pctWidth>0</wp14:pctWidth>
          </wp14:sizeRelH>
          <wp14:sizeRelV relativeFrom="margin">
            <wp14:pctHeight>0</wp14:pctHeight>
          </wp14:sizeRelV>
        </wp:anchor>
      </w:drawing>
    </w:r>
    <w:r w:rsidRPr="00B077CF">
      <w:rPr>
        <w:noProof/>
        <w:lang w:val="ro-RO" w:eastAsia="ro-RO"/>
      </w:rPr>
      <mc:AlternateContent>
        <mc:Choice Requires="wps">
          <w:drawing>
            <wp:anchor distT="0" distB="0" distL="114300" distR="114300" simplePos="0" relativeHeight="251682816" behindDoc="1" locked="0" layoutInCell="0" allowOverlap="1" wp14:anchorId="153F16CE" wp14:editId="305A8EAA">
              <wp:simplePos x="0" y="0"/>
              <wp:positionH relativeFrom="margin">
                <wp:align>center</wp:align>
              </wp:positionH>
              <wp:positionV relativeFrom="margin">
                <wp:align>center</wp:align>
              </wp:positionV>
              <wp:extent cx="7010400" cy="1617345"/>
              <wp:effectExtent l="0" t="1962150" r="0" b="1792605"/>
              <wp:wrapNone/>
              <wp:docPr id="42"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10400" cy="1617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78BBD52"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53F16CE" id="_x0000_t202" coordsize="21600,21600" o:spt="202" path="m,l,21600r21600,l21600,xe">
              <v:stroke joinstyle="miter"/>
              <v:path gradientshapeok="t" o:connecttype="rect"/>
            </v:shapetype>
            <v:shape id="_x0000_s1063" type="#_x0000_t202" style="position:absolute;left:0;text-align:left;margin-left:0;margin-top:0;width:552pt;height:127.35pt;rotation:-45;z-index:-2516336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" o:allowincell="f" filled="f" stroked="f">
              <v:stroke joinstyle="round"/>
              <o:lock v:ext="edit" shapetype="t"/>
              <v:textbox style="mso-fit-shape-to-text:t">
                <w:txbxContent>
                  <w:p w14:paraId="778BBD52" w14:textId="77777777" w:rsidR="00944B4A" w:rsidRDefault="00944B4A" w:rsidP="004B5012">
                    <w:pPr>
                      <w:jc w:val="center"/>
                      <w:rPr>
                        <w:sz w:val="24"/>
                        <w:szCs w:val="24"/>
                      </w:rPr>
                    </w:pPr>
                    <w:r>
                      <w:rPr>
                        <w:rFonts w:cs="Calibri"/>
                        <w:color w:val="F2F2F2" w:themeColor="background2"/>
                        <w:sz w:val="2"/>
                        <w:szCs w:val="2"/>
                        <w14:textFill>
                          <w14:solidFill>
                            <w14:schemeClr w14:val="bg2">
                              <w14:alpha w14:val="50000"/>
                            </w14:schemeClr>
                          </w14:solidFill>
                        </w14:textFill>
                      </w:rPr>
                      <w:t xml:space="preserve">WORKING DRAFT </w:t>
                    </w:r>
                  </w:p>
                </w:txbxContent>
              </v:textbox>
              <w10:wrap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7269C"/>
    <w:multiLevelType w:val="hybridMultilevel"/>
    <w:tmpl w:val="DA42CCC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42F269A"/>
    <w:multiLevelType w:val="hybridMultilevel"/>
    <w:tmpl w:val="B91878EA"/>
    <w:lvl w:ilvl="0" w:tplc="0409000F">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93F6C47"/>
    <w:multiLevelType w:val="hybridMultilevel"/>
    <w:tmpl w:val="67FC98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A1E6370"/>
    <w:multiLevelType w:val="hybridMultilevel"/>
    <w:tmpl w:val="2776203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4" w15:restartNumberingAfterBreak="0">
    <w:nsid w:val="0A3C5E51"/>
    <w:multiLevelType w:val="hybridMultilevel"/>
    <w:tmpl w:val="07E649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AA75C1D"/>
    <w:multiLevelType w:val="hybridMultilevel"/>
    <w:tmpl w:val="095080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10D5A95"/>
    <w:multiLevelType w:val="hybridMultilevel"/>
    <w:tmpl w:val="9F24D0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1BD42B8"/>
    <w:multiLevelType w:val="hybridMultilevel"/>
    <w:tmpl w:val="7A6C2190"/>
    <w:lvl w:ilvl="0" w:tplc="C82E30D4">
      <w:start w:val="1"/>
      <w:numFmt w:val="bullet"/>
      <w:lvlText w:val=""/>
      <w:lvlJc w:val="left"/>
      <w:pPr>
        <w:ind w:left="720" w:hanging="360"/>
      </w:pPr>
      <w:rPr>
        <w:rFonts w:ascii="Wingdings" w:eastAsia="Calibri" w:hAnsi="Wingdings"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1B556A"/>
    <w:multiLevelType w:val="hybridMultilevel"/>
    <w:tmpl w:val="F160A8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2410A5C"/>
    <w:multiLevelType w:val="hybridMultilevel"/>
    <w:tmpl w:val="1B1C65AA"/>
    <w:lvl w:ilvl="0" w:tplc="28CA505C">
      <w:start w:val="1"/>
      <w:numFmt w:val="bullet"/>
      <w:lvlText w:val="■"/>
      <w:lvlJc w:val="left"/>
      <w:pPr>
        <w:ind w:left="0" w:hanging="360"/>
      </w:pPr>
      <w:rPr>
        <w:rFonts w:ascii="Noto Sans Symbols" w:eastAsia="Noto Sans Symbols" w:hAnsi="Noto Sans Symbols" w:cs="Noto Sans Symbols"/>
        <w:color w:val="4472C4"/>
      </w:rPr>
    </w:lvl>
    <w:lvl w:ilvl="1" w:tplc="4EBE2390">
      <w:start w:val="1"/>
      <w:numFmt w:val="bullet"/>
      <w:lvlText w:val="🡪"/>
      <w:lvlJc w:val="left"/>
      <w:pPr>
        <w:ind w:left="1440" w:hanging="360"/>
      </w:pPr>
      <w:rPr>
        <w:rFonts w:ascii="Noto Sans Symbols" w:eastAsia="Noto Sans Symbols" w:hAnsi="Noto Sans Symbols" w:cs="Noto Sans Symbols"/>
        <w:color w:val="ED7D31"/>
      </w:rPr>
    </w:lvl>
    <w:lvl w:ilvl="2" w:tplc="BEB4A90C">
      <w:start w:val="1"/>
      <w:numFmt w:val="bullet"/>
      <w:lvlText w:val="▪"/>
      <w:lvlJc w:val="left"/>
      <w:pPr>
        <w:ind w:left="2160" w:hanging="360"/>
      </w:pPr>
      <w:rPr>
        <w:rFonts w:ascii="Noto Sans Symbols" w:eastAsia="Noto Sans Symbols" w:hAnsi="Noto Sans Symbols" w:cs="Noto Sans Symbols"/>
      </w:rPr>
    </w:lvl>
    <w:lvl w:ilvl="3" w:tplc="B0BA66F0">
      <w:start w:val="1"/>
      <w:numFmt w:val="bullet"/>
      <w:lvlText w:val="●"/>
      <w:lvlJc w:val="left"/>
      <w:pPr>
        <w:ind w:left="2880" w:hanging="360"/>
      </w:pPr>
      <w:rPr>
        <w:rFonts w:ascii="Noto Sans Symbols" w:eastAsia="Noto Sans Symbols" w:hAnsi="Noto Sans Symbols" w:cs="Noto Sans Symbols"/>
      </w:rPr>
    </w:lvl>
    <w:lvl w:ilvl="4" w:tplc="94B69D02">
      <w:start w:val="1"/>
      <w:numFmt w:val="bullet"/>
      <w:lvlText w:val="o"/>
      <w:lvlJc w:val="left"/>
      <w:pPr>
        <w:ind w:left="3600" w:hanging="360"/>
      </w:pPr>
      <w:rPr>
        <w:rFonts w:ascii="Courier New" w:eastAsia="Courier New" w:hAnsi="Courier New" w:cs="Courier New"/>
      </w:rPr>
    </w:lvl>
    <w:lvl w:ilvl="5" w:tplc="BE5078E4">
      <w:start w:val="1"/>
      <w:numFmt w:val="bullet"/>
      <w:lvlText w:val="▪"/>
      <w:lvlJc w:val="left"/>
      <w:pPr>
        <w:ind w:left="4320" w:hanging="360"/>
      </w:pPr>
      <w:rPr>
        <w:rFonts w:ascii="Noto Sans Symbols" w:eastAsia="Noto Sans Symbols" w:hAnsi="Noto Sans Symbols" w:cs="Noto Sans Symbols"/>
      </w:rPr>
    </w:lvl>
    <w:lvl w:ilvl="6" w:tplc="660EA726">
      <w:start w:val="1"/>
      <w:numFmt w:val="bullet"/>
      <w:lvlText w:val="●"/>
      <w:lvlJc w:val="left"/>
      <w:pPr>
        <w:ind w:left="5040" w:hanging="360"/>
      </w:pPr>
      <w:rPr>
        <w:rFonts w:ascii="Noto Sans Symbols" w:eastAsia="Noto Sans Symbols" w:hAnsi="Noto Sans Symbols" w:cs="Noto Sans Symbols"/>
      </w:rPr>
    </w:lvl>
    <w:lvl w:ilvl="7" w:tplc="0F4C2506">
      <w:start w:val="1"/>
      <w:numFmt w:val="bullet"/>
      <w:lvlText w:val="o"/>
      <w:lvlJc w:val="left"/>
      <w:pPr>
        <w:ind w:left="5760" w:hanging="360"/>
      </w:pPr>
      <w:rPr>
        <w:rFonts w:ascii="Courier New" w:eastAsia="Courier New" w:hAnsi="Courier New" w:cs="Courier New"/>
      </w:rPr>
    </w:lvl>
    <w:lvl w:ilvl="8" w:tplc="D1D2E9E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36F4DD0"/>
    <w:multiLevelType w:val="hybridMultilevel"/>
    <w:tmpl w:val="AFE2F3F6"/>
    <w:lvl w:ilvl="0" w:tplc="E5D48BC4">
      <w:start w:val="1"/>
      <w:numFmt w:val="bullet"/>
      <w:lvlText w:val=""/>
      <w:lvlJc w:val="left"/>
      <w:pPr>
        <w:ind w:left="720" w:hanging="360"/>
      </w:pPr>
      <w:rPr>
        <w:rFonts w:ascii="Symbol" w:hAnsi="Symbol" w:hint="default"/>
        <w:color w:val="auto"/>
      </w:rPr>
    </w:lvl>
    <w:lvl w:ilvl="1" w:tplc="5F580AC2">
      <w:start w:val="1"/>
      <w:numFmt w:val="bullet"/>
      <w:lvlText w:val="o"/>
      <w:lvlJc w:val="left"/>
      <w:pPr>
        <w:ind w:left="1440" w:hanging="360"/>
      </w:pPr>
      <w:rPr>
        <w:rFonts w:ascii="Courier New" w:eastAsia="Courier New" w:hAnsi="Courier New" w:cs="Courier New"/>
      </w:rPr>
    </w:lvl>
    <w:lvl w:ilvl="2" w:tplc="1DFA632A">
      <w:start w:val="1"/>
      <w:numFmt w:val="bullet"/>
      <w:lvlText w:val="▪"/>
      <w:lvlJc w:val="left"/>
      <w:pPr>
        <w:ind w:left="2160" w:hanging="360"/>
      </w:pPr>
      <w:rPr>
        <w:rFonts w:ascii="Noto Sans Symbols" w:eastAsia="Noto Sans Symbols" w:hAnsi="Noto Sans Symbols" w:cs="Noto Sans Symbols"/>
      </w:rPr>
    </w:lvl>
    <w:lvl w:ilvl="3" w:tplc="C6C03574">
      <w:start w:val="1"/>
      <w:numFmt w:val="bullet"/>
      <w:lvlText w:val="●"/>
      <w:lvlJc w:val="left"/>
      <w:pPr>
        <w:ind w:left="2880" w:hanging="360"/>
      </w:pPr>
      <w:rPr>
        <w:rFonts w:ascii="Noto Sans Symbols" w:eastAsia="Noto Sans Symbols" w:hAnsi="Noto Sans Symbols" w:cs="Noto Sans Symbols"/>
      </w:rPr>
    </w:lvl>
    <w:lvl w:ilvl="4" w:tplc="14B4BBDE">
      <w:start w:val="1"/>
      <w:numFmt w:val="bullet"/>
      <w:lvlText w:val="o"/>
      <w:lvlJc w:val="left"/>
      <w:pPr>
        <w:ind w:left="3600" w:hanging="360"/>
      </w:pPr>
      <w:rPr>
        <w:rFonts w:ascii="Courier New" w:eastAsia="Courier New" w:hAnsi="Courier New" w:cs="Courier New"/>
      </w:rPr>
    </w:lvl>
    <w:lvl w:ilvl="5" w:tplc="EAF65F28">
      <w:start w:val="1"/>
      <w:numFmt w:val="bullet"/>
      <w:lvlText w:val="▪"/>
      <w:lvlJc w:val="left"/>
      <w:pPr>
        <w:ind w:left="4320" w:hanging="360"/>
      </w:pPr>
      <w:rPr>
        <w:rFonts w:ascii="Noto Sans Symbols" w:eastAsia="Noto Sans Symbols" w:hAnsi="Noto Sans Symbols" w:cs="Noto Sans Symbols"/>
      </w:rPr>
    </w:lvl>
    <w:lvl w:ilvl="6" w:tplc="EEC22AC8">
      <w:start w:val="1"/>
      <w:numFmt w:val="bullet"/>
      <w:lvlText w:val="●"/>
      <w:lvlJc w:val="left"/>
      <w:pPr>
        <w:ind w:left="5040" w:hanging="360"/>
      </w:pPr>
      <w:rPr>
        <w:rFonts w:ascii="Noto Sans Symbols" w:eastAsia="Noto Sans Symbols" w:hAnsi="Noto Sans Symbols" w:cs="Noto Sans Symbols"/>
      </w:rPr>
    </w:lvl>
    <w:lvl w:ilvl="7" w:tplc="C1C05C76">
      <w:start w:val="1"/>
      <w:numFmt w:val="bullet"/>
      <w:lvlText w:val="o"/>
      <w:lvlJc w:val="left"/>
      <w:pPr>
        <w:ind w:left="5760" w:hanging="360"/>
      </w:pPr>
      <w:rPr>
        <w:rFonts w:ascii="Courier New" w:eastAsia="Courier New" w:hAnsi="Courier New" w:cs="Courier New"/>
      </w:rPr>
    </w:lvl>
    <w:lvl w:ilvl="8" w:tplc="868C4052">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4A957A8"/>
    <w:multiLevelType w:val="hybridMultilevel"/>
    <w:tmpl w:val="2F5898E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4FE170E"/>
    <w:multiLevelType w:val="hybridMultilevel"/>
    <w:tmpl w:val="4AC4BB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15981A40"/>
    <w:multiLevelType w:val="hybridMultilevel"/>
    <w:tmpl w:val="7B3628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18AE770E"/>
    <w:multiLevelType w:val="hybridMultilevel"/>
    <w:tmpl w:val="652474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8CA28D7"/>
    <w:multiLevelType w:val="hybridMultilevel"/>
    <w:tmpl w:val="E45E783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190503AB"/>
    <w:multiLevelType w:val="hybridMultilevel"/>
    <w:tmpl w:val="B36A7BF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7" w15:restartNumberingAfterBreak="0">
    <w:nsid w:val="199F0E28"/>
    <w:multiLevelType w:val="hybridMultilevel"/>
    <w:tmpl w:val="622CC1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E043237"/>
    <w:multiLevelType w:val="hybridMultilevel"/>
    <w:tmpl w:val="F138B580"/>
    <w:lvl w:ilvl="0" w:tplc="FFFFFFFF">
      <w:start w:val="1"/>
      <w:numFmt w:val="bullet"/>
      <w:pStyle w:val="InterregROHUBullet1"/>
      <w:lvlText w:val=""/>
      <w:lvlJc w:val="left"/>
      <w:pPr>
        <w:ind w:left="0" w:hanging="360"/>
      </w:pPr>
      <w:rPr>
        <w:rFonts w:ascii="Wingdings" w:hAnsi="Wingdings" w:hint="default"/>
        <w:color w:val="034FA3" w:themeColor="accent1"/>
      </w:rPr>
    </w:lvl>
    <w:lvl w:ilvl="1" w:tplc="92D0CC2E">
      <w:start w:val="1"/>
      <w:numFmt w:val="bullet"/>
      <w:lvlText w:val=""/>
      <w:lvlJc w:val="left"/>
      <w:pPr>
        <w:tabs>
          <w:tab w:val="num" w:pos="1440"/>
        </w:tabs>
        <w:ind w:left="1440" w:hanging="360"/>
      </w:pPr>
      <w:rPr>
        <w:rFonts w:ascii="Wingdings" w:eastAsia="Calibri" w:hAnsi="Wingdings" w:cs="Tahoma" w:hint="default"/>
        <w:color w:val="98A7D5" w:themeColor="accent2"/>
        <w:lang w:val="en-GB"/>
      </w:rPr>
    </w:lvl>
    <w:lvl w:ilvl="2" w:tplc="04100005">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13940D5"/>
    <w:multiLevelType w:val="hybridMultilevel"/>
    <w:tmpl w:val="BC7ED5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290B3E90"/>
    <w:multiLevelType w:val="multilevel"/>
    <w:tmpl w:val="AFE2F3F6"/>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BBD2907"/>
    <w:multiLevelType w:val="multilevel"/>
    <w:tmpl w:val="09CC3BD6"/>
    <w:lvl w:ilvl="0">
      <w:start w:val="1"/>
      <w:numFmt w:val="decimal"/>
      <w:pStyle w:val="Heading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1000"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497" w:hanging="504"/>
      </w:pPr>
      <w:rPr>
        <w:b/>
        <w:bCs/>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26A58E0"/>
    <w:multiLevelType w:val="hybridMultilevel"/>
    <w:tmpl w:val="2A74F884"/>
    <w:lvl w:ilvl="0" w:tplc="A216D104">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021EA9"/>
    <w:multiLevelType w:val="hybridMultilevel"/>
    <w:tmpl w:val="DD3847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84A235B"/>
    <w:multiLevelType w:val="hybridMultilevel"/>
    <w:tmpl w:val="5C7EEC12"/>
    <w:lvl w:ilvl="0" w:tplc="E98AD614">
      <w:start w:val="4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6321C9"/>
    <w:multiLevelType w:val="hybridMultilevel"/>
    <w:tmpl w:val="9282FE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48CC6E5D"/>
    <w:multiLevelType w:val="hybridMultilevel"/>
    <w:tmpl w:val="78107D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50A639C9"/>
    <w:multiLevelType w:val="multilevel"/>
    <w:tmpl w:val="EC401328"/>
    <w:styleLink w:val="ImportedStyle1"/>
    <w:lvl w:ilvl="0">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9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97" w:hanging="504"/>
      </w:pPr>
      <w:rPr>
        <w:rFonts w:hAnsi="Arial Unicode MS"/>
        <w:b/>
        <w:bCs/>
        <w:caps w:val="0"/>
        <w:smallCaps w:val="0"/>
        <w:strike w:val="0"/>
        <w:dstrike w:val="0"/>
        <w:outline w:val="0"/>
        <w:emboss w:val="0"/>
        <w:imprint w:val="0"/>
        <w:spacing w:val="0"/>
        <w:w w:val="100"/>
        <w:kern w:val="0"/>
        <w:position w:val="0"/>
        <w:sz w:val="24"/>
        <w:szCs w:val="24"/>
        <w:highlight w:val="none"/>
        <w:vertAlign w:val="baseline"/>
      </w:rPr>
    </w:lvl>
    <w:lvl w:ilvl="3">
      <w:start w:val="1"/>
      <w:numFmt w:val="decimal"/>
      <w:suff w:val="nothing"/>
      <w:lvlText w:val="%1.%2.%3.%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28" w:hanging="648"/>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232" w:hanging="792"/>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36" w:hanging="936"/>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4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744" w:hanging="1224"/>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320" w:hanging="14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51CF3D20"/>
    <w:multiLevelType w:val="hybridMultilevel"/>
    <w:tmpl w:val="59A44E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539E17F1"/>
    <w:multiLevelType w:val="hybridMultilevel"/>
    <w:tmpl w:val="46605CD4"/>
    <w:lvl w:ilvl="0" w:tplc="04100001">
      <w:start w:val="1"/>
      <w:numFmt w:val="bullet"/>
      <w:lvlText w:val=""/>
      <w:lvlJc w:val="left"/>
      <w:pPr>
        <w:ind w:left="884" w:hanging="360"/>
      </w:pPr>
      <w:rPr>
        <w:rFonts w:ascii="Symbol" w:hAnsi="Symbol" w:hint="default"/>
      </w:rPr>
    </w:lvl>
    <w:lvl w:ilvl="1" w:tplc="04100003" w:tentative="1">
      <w:start w:val="1"/>
      <w:numFmt w:val="bullet"/>
      <w:lvlText w:val="o"/>
      <w:lvlJc w:val="left"/>
      <w:pPr>
        <w:ind w:left="1604" w:hanging="360"/>
      </w:pPr>
      <w:rPr>
        <w:rFonts w:ascii="Courier New" w:hAnsi="Courier New" w:cs="Courier New" w:hint="default"/>
      </w:rPr>
    </w:lvl>
    <w:lvl w:ilvl="2" w:tplc="04100005" w:tentative="1">
      <w:start w:val="1"/>
      <w:numFmt w:val="bullet"/>
      <w:lvlText w:val=""/>
      <w:lvlJc w:val="left"/>
      <w:pPr>
        <w:ind w:left="2324" w:hanging="360"/>
      </w:pPr>
      <w:rPr>
        <w:rFonts w:ascii="Wingdings" w:hAnsi="Wingdings" w:hint="default"/>
      </w:rPr>
    </w:lvl>
    <w:lvl w:ilvl="3" w:tplc="04100001" w:tentative="1">
      <w:start w:val="1"/>
      <w:numFmt w:val="bullet"/>
      <w:lvlText w:val=""/>
      <w:lvlJc w:val="left"/>
      <w:pPr>
        <w:ind w:left="3044" w:hanging="360"/>
      </w:pPr>
      <w:rPr>
        <w:rFonts w:ascii="Symbol" w:hAnsi="Symbol" w:hint="default"/>
      </w:rPr>
    </w:lvl>
    <w:lvl w:ilvl="4" w:tplc="04100003" w:tentative="1">
      <w:start w:val="1"/>
      <w:numFmt w:val="bullet"/>
      <w:lvlText w:val="o"/>
      <w:lvlJc w:val="left"/>
      <w:pPr>
        <w:ind w:left="3764" w:hanging="360"/>
      </w:pPr>
      <w:rPr>
        <w:rFonts w:ascii="Courier New" w:hAnsi="Courier New" w:cs="Courier New" w:hint="default"/>
      </w:rPr>
    </w:lvl>
    <w:lvl w:ilvl="5" w:tplc="04100005" w:tentative="1">
      <w:start w:val="1"/>
      <w:numFmt w:val="bullet"/>
      <w:lvlText w:val=""/>
      <w:lvlJc w:val="left"/>
      <w:pPr>
        <w:ind w:left="4484" w:hanging="360"/>
      </w:pPr>
      <w:rPr>
        <w:rFonts w:ascii="Wingdings" w:hAnsi="Wingdings" w:hint="default"/>
      </w:rPr>
    </w:lvl>
    <w:lvl w:ilvl="6" w:tplc="04100001" w:tentative="1">
      <w:start w:val="1"/>
      <w:numFmt w:val="bullet"/>
      <w:lvlText w:val=""/>
      <w:lvlJc w:val="left"/>
      <w:pPr>
        <w:ind w:left="5204" w:hanging="360"/>
      </w:pPr>
      <w:rPr>
        <w:rFonts w:ascii="Symbol" w:hAnsi="Symbol" w:hint="default"/>
      </w:rPr>
    </w:lvl>
    <w:lvl w:ilvl="7" w:tplc="04100003" w:tentative="1">
      <w:start w:val="1"/>
      <w:numFmt w:val="bullet"/>
      <w:lvlText w:val="o"/>
      <w:lvlJc w:val="left"/>
      <w:pPr>
        <w:ind w:left="5924" w:hanging="360"/>
      </w:pPr>
      <w:rPr>
        <w:rFonts w:ascii="Courier New" w:hAnsi="Courier New" w:cs="Courier New" w:hint="default"/>
      </w:rPr>
    </w:lvl>
    <w:lvl w:ilvl="8" w:tplc="04100005" w:tentative="1">
      <w:start w:val="1"/>
      <w:numFmt w:val="bullet"/>
      <w:lvlText w:val=""/>
      <w:lvlJc w:val="left"/>
      <w:pPr>
        <w:ind w:left="6644" w:hanging="360"/>
      </w:pPr>
      <w:rPr>
        <w:rFonts w:ascii="Wingdings" w:hAnsi="Wingdings" w:hint="default"/>
      </w:rPr>
    </w:lvl>
  </w:abstractNum>
  <w:abstractNum w:abstractNumId="30" w15:restartNumberingAfterBreak="0">
    <w:nsid w:val="599B4D27"/>
    <w:multiLevelType w:val="hybridMultilevel"/>
    <w:tmpl w:val="0BC838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5BF75088"/>
    <w:multiLevelType w:val="hybridMultilevel"/>
    <w:tmpl w:val="7E1422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5D5B2D8B"/>
    <w:multiLevelType w:val="hybridMultilevel"/>
    <w:tmpl w:val="BAE44B70"/>
    <w:lvl w:ilvl="0" w:tplc="CAD4CFD8">
      <w:start w:val="1"/>
      <w:numFmt w:val="bullet"/>
      <w:lvlText w:val=""/>
      <w:lvlJc w:val="left"/>
      <w:pPr>
        <w:ind w:left="644" w:hanging="360"/>
      </w:pPr>
      <w:rPr>
        <w:rFonts w:ascii="Wingdings" w:hAnsi="Wingdings" w:hint="default"/>
        <w:color w:val="034FA3" w:themeColor="accent1"/>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3" w15:restartNumberingAfterBreak="0">
    <w:nsid w:val="60FE2F26"/>
    <w:multiLevelType w:val="hybridMultilevel"/>
    <w:tmpl w:val="EA6A6180"/>
    <w:lvl w:ilvl="0" w:tplc="CAD4CFD8">
      <w:start w:val="1"/>
      <w:numFmt w:val="bullet"/>
      <w:lvlText w:val=""/>
      <w:lvlJc w:val="left"/>
      <w:pPr>
        <w:ind w:left="1080" w:hanging="360"/>
      </w:pPr>
      <w:rPr>
        <w:rFonts w:ascii="Wingdings" w:hAnsi="Wingdings" w:hint="default"/>
        <w:color w:val="034FA3" w:themeColor="accen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5540A28"/>
    <w:multiLevelType w:val="hybridMultilevel"/>
    <w:tmpl w:val="C01439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65E41BC5"/>
    <w:multiLevelType w:val="hybridMultilevel"/>
    <w:tmpl w:val="0140678E"/>
    <w:lvl w:ilvl="0" w:tplc="096257A8">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FC5150"/>
    <w:multiLevelType w:val="hybridMultilevel"/>
    <w:tmpl w:val="5C7674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685975A1"/>
    <w:multiLevelType w:val="hybridMultilevel"/>
    <w:tmpl w:val="E152CC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70A530CA"/>
    <w:multiLevelType w:val="hybridMultilevel"/>
    <w:tmpl w:val="CC6E25DA"/>
    <w:lvl w:ilvl="0" w:tplc="D6A8A3A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72311988"/>
    <w:multiLevelType w:val="hybridMultilevel"/>
    <w:tmpl w:val="70FC09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7444333F"/>
    <w:multiLevelType w:val="hybridMultilevel"/>
    <w:tmpl w:val="54B068E4"/>
    <w:lvl w:ilvl="0" w:tplc="CAD4CFD8">
      <w:start w:val="1"/>
      <w:numFmt w:val="bullet"/>
      <w:lvlText w:val=""/>
      <w:lvlJc w:val="left"/>
      <w:pPr>
        <w:ind w:left="360" w:hanging="360"/>
      </w:pPr>
      <w:rPr>
        <w:rFonts w:ascii="Wingdings" w:hAnsi="Wingdings" w:hint="default"/>
        <w:color w:val="034FA3"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8"/>
  </w:num>
  <w:num w:numId="2">
    <w:abstractNumId w:val="40"/>
  </w:num>
  <w:num w:numId="3">
    <w:abstractNumId w:val="21"/>
  </w:num>
  <w:num w:numId="4">
    <w:abstractNumId w:val="1"/>
  </w:num>
  <w:num w:numId="5">
    <w:abstractNumId w:val="17"/>
  </w:num>
  <w:num w:numId="6">
    <w:abstractNumId w:val="7"/>
  </w:num>
  <w:num w:numId="7">
    <w:abstractNumId w:val="35"/>
  </w:num>
  <w:num w:numId="8">
    <w:abstractNumId w:val="32"/>
  </w:num>
  <w:num w:numId="9">
    <w:abstractNumId w:val="18"/>
  </w:num>
  <w:num w:numId="10">
    <w:abstractNumId w:val="38"/>
  </w:num>
  <w:num w:numId="11">
    <w:abstractNumId w:val="33"/>
  </w:num>
  <w:num w:numId="12">
    <w:abstractNumId w:val="9"/>
  </w:num>
  <w:num w:numId="13">
    <w:abstractNumId w:val="22"/>
  </w:num>
  <w:num w:numId="14">
    <w:abstractNumId w:val="0"/>
  </w:num>
  <w:num w:numId="15">
    <w:abstractNumId w:val="23"/>
  </w:num>
  <w:num w:numId="16">
    <w:abstractNumId w:val="29"/>
  </w:num>
  <w:num w:numId="17">
    <w:abstractNumId w:val="24"/>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num>
  <w:num w:numId="20">
    <w:abstractNumId w:val="31"/>
  </w:num>
  <w:num w:numId="21">
    <w:abstractNumId w:val="19"/>
  </w:num>
  <w:num w:numId="22">
    <w:abstractNumId w:val="8"/>
  </w:num>
  <w:num w:numId="23">
    <w:abstractNumId w:val="25"/>
  </w:num>
  <w:num w:numId="24">
    <w:abstractNumId w:val="30"/>
  </w:num>
  <w:num w:numId="25">
    <w:abstractNumId w:val="28"/>
  </w:num>
  <w:num w:numId="26">
    <w:abstractNumId w:val="15"/>
  </w:num>
  <w:num w:numId="27">
    <w:abstractNumId w:val="36"/>
  </w:num>
  <w:num w:numId="28">
    <w:abstractNumId w:val="37"/>
  </w:num>
  <w:num w:numId="29">
    <w:abstractNumId w:val="21"/>
  </w:num>
  <w:num w:numId="30">
    <w:abstractNumId w:val="18"/>
  </w:num>
  <w:num w:numId="31">
    <w:abstractNumId w:val="18"/>
  </w:num>
  <w:num w:numId="32">
    <w:abstractNumId w:val="11"/>
  </w:num>
  <w:num w:numId="33">
    <w:abstractNumId w:val="6"/>
  </w:num>
  <w:num w:numId="34">
    <w:abstractNumId w:val="13"/>
  </w:num>
  <w:num w:numId="35">
    <w:abstractNumId w:val="5"/>
  </w:num>
  <w:num w:numId="36">
    <w:abstractNumId w:val="34"/>
  </w:num>
  <w:num w:numId="37">
    <w:abstractNumId w:val="10"/>
  </w:num>
  <w:num w:numId="38">
    <w:abstractNumId w:val="20"/>
  </w:num>
  <w:num w:numId="39">
    <w:abstractNumId w:val="26"/>
  </w:num>
  <w:num w:numId="40">
    <w:abstractNumId w:val="39"/>
  </w:num>
  <w:num w:numId="41">
    <w:abstractNumId w:val="14"/>
  </w:num>
  <w:num w:numId="42">
    <w:abstractNumId w:val="12"/>
  </w:num>
  <w:num w:numId="43">
    <w:abstractNumId w:val="2"/>
  </w:num>
  <w:num w:numId="44">
    <w:abstractNumId w:val="4"/>
  </w:num>
  <w:num w:numId="45">
    <w:abstractNumId w:val="16"/>
  </w:num>
  <w:num w:numId="46">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it-IT"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it-IT" w:vendorID="64" w:dllVersion="0" w:nlCheck="1" w:checkStyle="0"/>
  <w:activeWritingStyle w:appName="MSWord" w:lang="en-GB" w:vendorID="64" w:dllVersion="131078" w:nlCheck="1" w:checkStyle="1"/>
  <w:activeWritingStyle w:appName="MSWord" w:lang="fr-FR" w:vendorID="64" w:dllVersion="131078" w:nlCheck="1" w:checkStyle="1"/>
  <w:defaultTabStop w:val="708"/>
  <w:hyphenationZone w:val="283"/>
  <w:defaultTableStyle w:val="ListTable3-Accent11"/>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3026"/>
    <w:rsid w:val="000000EB"/>
    <w:rsid w:val="00000EF1"/>
    <w:rsid w:val="00000EFC"/>
    <w:rsid w:val="000011DB"/>
    <w:rsid w:val="000012AE"/>
    <w:rsid w:val="00001B24"/>
    <w:rsid w:val="0000228C"/>
    <w:rsid w:val="00002A16"/>
    <w:rsid w:val="000038BF"/>
    <w:rsid w:val="00004C17"/>
    <w:rsid w:val="000056DB"/>
    <w:rsid w:val="00005ED2"/>
    <w:rsid w:val="00006D10"/>
    <w:rsid w:val="00011F53"/>
    <w:rsid w:val="00012BD7"/>
    <w:rsid w:val="00013DB5"/>
    <w:rsid w:val="000146E6"/>
    <w:rsid w:val="00014AA0"/>
    <w:rsid w:val="00014E37"/>
    <w:rsid w:val="000154BA"/>
    <w:rsid w:val="00015984"/>
    <w:rsid w:val="00015FF8"/>
    <w:rsid w:val="00020347"/>
    <w:rsid w:val="00020939"/>
    <w:rsid w:val="00023361"/>
    <w:rsid w:val="0002447E"/>
    <w:rsid w:val="00024D3A"/>
    <w:rsid w:val="00025251"/>
    <w:rsid w:val="00026E34"/>
    <w:rsid w:val="000277A0"/>
    <w:rsid w:val="00027E11"/>
    <w:rsid w:val="00027EE5"/>
    <w:rsid w:val="000301D9"/>
    <w:rsid w:val="0003054D"/>
    <w:rsid w:val="00031D06"/>
    <w:rsid w:val="000324AB"/>
    <w:rsid w:val="0003302F"/>
    <w:rsid w:val="00035DFB"/>
    <w:rsid w:val="00036A7E"/>
    <w:rsid w:val="00037C61"/>
    <w:rsid w:val="00037DE8"/>
    <w:rsid w:val="000408C6"/>
    <w:rsid w:val="000408CC"/>
    <w:rsid w:val="0004131F"/>
    <w:rsid w:val="00041EBB"/>
    <w:rsid w:val="000434AB"/>
    <w:rsid w:val="000449DE"/>
    <w:rsid w:val="00044B09"/>
    <w:rsid w:val="00047940"/>
    <w:rsid w:val="00050E54"/>
    <w:rsid w:val="00051955"/>
    <w:rsid w:val="00051B99"/>
    <w:rsid w:val="00053DAA"/>
    <w:rsid w:val="00053F25"/>
    <w:rsid w:val="000545A9"/>
    <w:rsid w:val="00056503"/>
    <w:rsid w:val="0006063C"/>
    <w:rsid w:val="00060D36"/>
    <w:rsid w:val="0006114B"/>
    <w:rsid w:val="00061735"/>
    <w:rsid w:val="00061D96"/>
    <w:rsid w:val="00063018"/>
    <w:rsid w:val="000642DE"/>
    <w:rsid w:val="000648BD"/>
    <w:rsid w:val="000664EA"/>
    <w:rsid w:val="00066960"/>
    <w:rsid w:val="00066C5A"/>
    <w:rsid w:val="00067E4D"/>
    <w:rsid w:val="0007064A"/>
    <w:rsid w:val="00070EEE"/>
    <w:rsid w:val="000717CC"/>
    <w:rsid w:val="00071A32"/>
    <w:rsid w:val="0007423A"/>
    <w:rsid w:val="0007616F"/>
    <w:rsid w:val="00077014"/>
    <w:rsid w:val="0007728D"/>
    <w:rsid w:val="00077D3D"/>
    <w:rsid w:val="00080D4C"/>
    <w:rsid w:val="00081ED2"/>
    <w:rsid w:val="000823E9"/>
    <w:rsid w:val="00084FA5"/>
    <w:rsid w:val="00085261"/>
    <w:rsid w:val="00085D03"/>
    <w:rsid w:val="00087802"/>
    <w:rsid w:val="00091235"/>
    <w:rsid w:val="000914CC"/>
    <w:rsid w:val="00091528"/>
    <w:rsid w:val="00092779"/>
    <w:rsid w:val="00092B06"/>
    <w:rsid w:val="00092D9F"/>
    <w:rsid w:val="000930DD"/>
    <w:rsid w:val="00093FB6"/>
    <w:rsid w:val="00094FD3"/>
    <w:rsid w:val="00095F3A"/>
    <w:rsid w:val="000965EC"/>
    <w:rsid w:val="00097073"/>
    <w:rsid w:val="000A083D"/>
    <w:rsid w:val="000A1174"/>
    <w:rsid w:val="000A1931"/>
    <w:rsid w:val="000A230F"/>
    <w:rsid w:val="000A300C"/>
    <w:rsid w:val="000A67BB"/>
    <w:rsid w:val="000A6CA8"/>
    <w:rsid w:val="000B1A7B"/>
    <w:rsid w:val="000B1CD4"/>
    <w:rsid w:val="000B20D7"/>
    <w:rsid w:val="000B27CB"/>
    <w:rsid w:val="000B2CFA"/>
    <w:rsid w:val="000B4BAB"/>
    <w:rsid w:val="000B5997"/>
    <w:rsid w:val="000B62F2"/>
    <w:rsid w:val="000C0157"/>
    <w:rsid w:val="000C0E8F"/>
    <w:rsid w:val="000C1187"/>
    <w:rsid w:val="000C2F83"/>
    <w:rsid w:val="000C33EE"/>
    <w:rsid w:val="000C5425"/>
    <w:rsid w:val="000C5526"/>
    <w:rsid w:val="000C5A56"/>
    <w:rsid w:val="000C6729"/>
    <w:rsid w:val="000C7CE7"/>
    <w:rsid w:val="000D0552"/>
    <w:rsid w:val="000D0A6D"/>
    <w:rsid w:val="000D0AD7"/>
    <w:rsid w:val="000D1387"/>
    <w:rsid w:val="000D1CC3"/>
    <w:rsid w:val="000D1F17"/>
    <w:rsid w:val="000D2223"/>
    <w:rsid w:val="000D22C9"/>
    <w:rsid w:val="000D3073"/>
    <w:rsid w:val="000D72D9"/>
    <w:rsid w:val="000E00E3"/>
    <w:rsid w:val="000E0EE1"/>
    <w:rsid w:val="000E1B72"/>
    <w:rsid w:val="000E4702"/>
    <w:rsid w:val="000E4A2D"/>
    <w:rsid w:val="000E5B1D"/>
    <w:rsid w:val="000E75BC"/>
    <w:rsid w:val="000E7710"/>
    <w:rsid w:val="000E7861"/>
    <w:rsid w:val="000F2CA4"/>
    <w:rsid w:val="000F31EF"/>
    <w:rsid w:val="000F404C"/>
    <w:rsid w:val="000F6764"/>
    <w:rsid w:val="000F6FBD"/>
    <w:rsid w:val="000F7212"/>
    <w:rsid w:val="000F7998"/>
    <w:rsid w:val="001002E8"/>
    <w:rsid w:val="00100565"/>
    <w:rsid w:val="00100C9C"/>
    <w:rsid w:val="001012E1"/>
    <w:rsid w:val="00101888"/>
    <w:rsid w:val="001019EE"/>
    <w:rsid w:val="0010286D"/>
    <w:rsid w:val="00105D0A"/>
    <w:rsid w:val="001100BB"/>
    <w:rsid w:val="00110A0F"/>
    <w:rsid w:val="001112BA"/>
    <w:rsid w:val="0011144F"/>
    <w:rsid w:val="00112320"/>
    <w:rsid w:val="00113097"/>
    <w:rsid w:val="00113302"/>
    <w:rsid w:val="00113ADE"/>
    <w:rsid w:val="001142D1"/>
    <w:rsid w:val="0011468D"/>
    <w:rsid w:val="001146A5"/>
    <w:rsid w:val="001153EB"/>
    <w:rsid w:val="00115A4A"/>
    <w:rsid w:val="00115B8B"/>
    <w:rsid w:val="001163EF"/>
    <w:rsid w:val="00116AE1"/>
    <w:rsid w:val="00117D58"/>
    <w:rsid w:val="00121374"/>
    <w:rsid w:val="0012203C"/>
    <w:rsid w:val="00122920"/>
    <w:rsid w:val="00123342"/>
    <w:rsid w:val="001242B9"/>
    <w:rsid w:val="00124940"/>
    <w:rsid w:val="00126A2A"/>
    <w:rsid w:val="00130883"/>
    <w:rsid w:val="00131774"/>
    <w:rsid w:val="0013290E"/>
    <w:rsid w:val="00134989"/>
    <w:rsid w:val="00134F68"/>
    <w:rsid w:val="001356C9"/>
    <w:rsid w:val="00137151"/>
    <w:rsid w:val="001413D4"/>
    <w:rsid w:val="00141744"/>
    <w:rsid w:val="00141A78"/>
    <w:rsid w:val="00143A39"/>
    <w:rsid w:val="00143DA8"/>
    <w:rsid w:val="001450E2"/>
    <w:rsid w:val="001457F2"/>
    <w:rsid w:val="00145B09"/>
    <w:rsid w:val="0014607B"/>
    <w:rsid w:val="001461A5"/>
    <w:rsid w:val="0014627C"/>
    <w:rsid w:val="001464A5"/>
    <w:rsid w:val="00146E8E"/>
    <w:rsid w:val="00147A72"/>
    <w:rsid w:val="0015033C"/>
    <w:rsid w:val="00150CA8"/>
    <w:rsid w:val="00151228"/>
    <w:rsid w:val="00151913"/>
    <w:rsid w:val="00152695"/>
    <w:rsid w:val="00154118"/>
    <w:rsid w:val="00154638"/>
    <w:rsid w:val="00154868"/>
    <w:rsid w:val="00154B42"/>
    <w:rsid w:val="001550FA"/>
    <w:rsid w:val="00156CEE"/>
    <w:rsid w:val="00157F08"/>
    <w:rsid w:val="001607A6"/>
    <w:rsid w:val="00161430"/>
    <w:rsid w:val="00161490"/>
    <w:rsid w:val="001618B8"/>
    <w:rsid w:val="00161A9A"/>
    <w:rsid w:val="0016241B"/>
    <w:rsid w:val="00162565"/>
    <w:rsid w:val="00163AE8"/>
    <w:rsid w:val="00164F3F"/>
    <w:rsid w:val="0016727F"/>
    <w:rsid w:val="00167E02"/>
    <w:rsid w:val="001700D3"/>
    <w:rsid w:val="0017037A"/>
    <w:rsid w:val="0017038C"/>
    <w:rsid w:val="00171983"/>
    <w:rsid w:val="00171B8A"/>
    <w:rsid w:val="00172E46"/>
    <w:rsid w:val="00172F90"/>
    <w:rsid w:val="0017359A"/>
    <w:rsid w:val="00173924"/>
    <w:rsid w:val="0017405B"/>
    <w:rsid w:val="001757C6"/>
    <w:rsid w:val="00176A97"/>
    <w:rsid w:val="00176C9A"/>
    <w:rsid w:val="00177027"/>
    <w:rsid w:val="00177D98"/>
    <w:rsid w:val="00177E8A"/>
    <w:rsid w:val="001800CC"/>
    <w:rsid w:val="00180D53"/>
    <w:rsid w:val="00181530"/>
    <w:rsid w:val="00182DF2"/>
    <w:rsid w:val="00185004"/>
    <w:rsid w:val="00185F32"/>
    <w:rsid w:val="001868A3"/>
    <w:rsid w:val="00187AA4"/>
    <w:rsid w:val="001900F8"/>
    <w:rsid w:val="001926DB"/>
    <w:rsid w:val="001932C6"/>
    <w:rsid w:val="00194127"/>
    <w:rsid w:val="00194263"/>
    <w:rsid w:val="001945AF"/>
    <w:rsid w:val="001948DE"/>
    <w:rsid w:val="00197D19"/>
    <w:rsid w:val="00197FCF"/>
    <w:rsid w:val="001A1F57"/>
    <w:rsid w:val="001A27CC"/>
    <w:rsid w:val="001A2FB6"/>
    <w:rsid w:val="001A316D"/>
    <w:rsid w:val="001A443B"/>
    <w:rsid w:val="001A44D3"/>
    <w:rsid w:val="001A460C"/>
    <w:rsid w:val="001A557E"/>
    <w:rsid w:val="001A606A"/>
    <w:rsid w:val="001A7700"/>
    <w:rsid w:val="001A7CD7"/>
    <w:rsid w:val="001B024D"/>
    <w:rsid w:val="001B0C17"/>
    <w:rsid w:val="001B2668"/>
    <w:rsid w:val="001B26C3"/>
    <w:rsid w:val="001B274F"/>
    <w:rsid w:val="001B3625"/>
    <w:rsid w:val="001B364A"/>
    <w:rsid w:val="001B3748"/>
    <w:rsid w:val="001B3962"/>
    <w:rsid w:val="001B47AD"/>
    <w:rsid w:val="001B5925"/>
    <w:rsid w:val="001B65A5"/>
    <w:rsid w:val="001B774F"/>
    <w:rsid w:val="001C2FDA"/>
    <w:rsid w:val="001C4232"/>
    <w:rsid w:val="001C46F9"/>
    <w:rsid w:val="001C55FB"/>
    <w:rsid w:val="001D0419"/>
    <w:rsid w:val="001D0E96"/>
    <w:rsid w:val="001D1A40"/>
    <w:rsid w:val="001D21D5"/>
    <w:rsid w:val="001D29FC"/>
    <w:rsid w:val="001D2C4C"/>
    <w:rsid w:val="001D333E"/>
    <w:rsid w:val="001D3897"/>
    <w:rsid w:val="001D444E"/>
    <w:rsid w:val="001D5550"/>
    <w:rsid w:val="001D5AB7"/>
    <w:rsid w:val="001D60B2"/>
    <w:rsid w:val="001E04DB"/>
    <w:rsid w:val="001E12DF"/>
    <w:rsid w:val="001E1546"/>
    <w:rsid w:val="001E1A57"/>
    <w:rsid w:val="001E27F0"/>
    <w:rsid w:val="001E4210"/>
    <w:rsid w:val="001E55E4"/>
    <w:rsid w:val="001E7158"/>
    <w:rsid w:val="001E748C"/>
    <w:rsid w:val="001E76E5"/>
    <w:rsid w:val="001F05EA"/>
    <w:rsid w:val="001F2085"/>
    <w:rsid w:val="001F20CF"/>
    <w:rsid w:val="001F2598"/>
    <w:rsid w:val="001F27CB"/>
    <w:rsid w:val="001F2902"/>
    <w:rsid w:val="001F3B6F"/>
    <w:rsid w:val="001F4DD3"/>
    <w:rsid w:val="001F57C0"/>
    <w:rsid w:val="001F6252"/>
    <w:rsid w:val="001F683C"/>
    <w:rsid w:val="001F736A"/>
    <w:rsid w:val="001F7822"/>
    <w:rsid w:val="00200201"/>
    <w:rsid w:val="002017E0"/>
    <w:rsid w:val="00201A94"/>
    <w:rsid w:val="00201F5D"/>
    <w:rsid w:val="0020312F"/>
    <w:rsid w:val="00203139"/>
    <w:rsid w:val="002037A1"/>
    <w:rsid w:val="00203F8D"/>
    <w:rsid w:val="00204288"/>
    <w:rsid w:val="0020433A"/>
    <w:rsid w:val="002046DE"/>
    <w:rsid w:val="00206B81"/>
    <w:rsid w:val="002105FA"/>
    <w:rsid w:val="00210884"/>
    <w:rsid w:val="00211F2E"/>
    <w:rsid w:val="00213A6D"/>
    <w:rsid w:val="00213F7D"/>
    <w:rsid w:val="002143D0"/>
    <w:rsid w:val="00214EC8"/>
    <w:rsid w:val="00216965"/>
    <w:rsid w:val="00216A95"/>
    <w:rsid w:val="00216E2B"/>
    <w:rsid w:val="0021747F"/>
    <w:rsid w:val="00221B32"/>
    <w:rsid w:val="00222DAC"/>
    <w:rsid w:val="0022493E"/>
    <w:rsid w:val="00225198"/>
    <w:rsid w:val="00230FC4"/>
    <w:rsid w:val="00231397"/>
    <w:rsid w:val="00231484"/>
    <w:rsid w:val="00231685"/>
    <w:rsid w:val="002318C9"/>
    <w:rsid w:val="002321D1"/>
    <w:rsid w:val="00233191"/>
    <w:rsid w:val="00233E8D"/>
    <w:rsid w:val="002355DF"/>
    <w:rsid w:val="00235625"/>
    <w:rsid w:val="0023601E"/>
    <w:rsid w:val="002378B3"/>
    <w:rsid w:val="00237EC5"/>
    <w:rsid w:val="00240346"/>
    <w:rsid w:val="00240F56"/>
    <w:rsid w:val="002424CB"/>
    <w:rsid w:val="00243841"/>
    <w:rsid w:val="00245B34"/>
    <w:rsid w:val="00246B57"/>
    <w:rsid w:val="00247BFE"/>
    <w:rsid w:val="002529CE"/>
    <w:rsid w:val="00252BC2"/>
    <w:rsid w:val="00252FAE"/>
    <w:rsid w:val="002537BA"/>
    <w:rsid w:val="00254087"/>
    <w:rsid w:val="002540E3"/>
    <w:rsid w:val="00255897"/>
    <w:rsid w:val="002603AA"/>
    <w:rsid w:val="00262E86"/>
    <w:rsid w:val="0026321E"/>
    <w:rsid w:val="00264D5D"/>
    <w:rsid w:val="00265A98"/>
    <w:rsid w:val="002660D5"/>
    <w:rsid w:val="002666CC"/>
    <w:rsid w:val="00267A9B"/>
    <w:rsid w:val="0026BBBE"/>
    <w:rsid w:val="0027038D"/>
    <w:rsid w:val="00270874"/>
    <w:rsid w:val="00271C7C"/>
    <w:rsid w:val="00273448"/>
    <w:rsid w:val="002739DC"/>
    <w:rsid w:val="00274A80"/>
    <w:rsid w:val="0027567D"/>
    <w:rsid w:val="0027569C"/>
    <w:rsid w:val="002757C1"/>
    <w:rsid w:val="002759A0"/>
    <w:rsid w:val="00275B7E"/>
    <w:rsid w:val="00275CBA"/>
    <w:rsid w:val="00276523"/>
    <w:rsid w:val="00277424"/>
    <w:rsid w:val="00277436"/>
    <w:rsid w:val="002775B3"/>
    <w:rsid w:val="002779B2"/>
    <w:rsid w:val="002807B7"/>
    <w:rsid w:val="002809A8"/>
    <w:rsid w:val="00280FE2"/>
    <w:rsid w:val="002810C5"/>
    <w:rsid w:val="00281D46"/>
    <w:rsid w:val="00283B08"/>
    <w:rsid w:val="002858B5"/>
    <w:rsid w:val="00285D27"/>
    <w:rsid w:val="00286861"/>
    <w:rsid w:val="00286B09"/>
    <w:rsid w:val="00286D4F"/>
    <w:rsid w:val="002900D7"/>
    <w:rsid w:val="00290399"/>
    <w:rsid w:val="0029157B"/>
    <w:rsid w:val="00291B6C"/>
    <w:rsid w:val="00291CFC"/>
    <w:rsid w:val="0029244B"/>
    <w:rsid w:val="002936EB"/>
    <w:rsid w:val="00295D59"/>
    <w:rsid w:val="002963AE"/>
    <w:rsid w:val="0029713B"/>
    <w:rsid w:val="0029768E"/>
    <w:rsid w:val="00297A4F"/>
    <w:rsid w:val="002A1356"/>
    <w:rsid w:val="002A16B0"/>
    <w:rsid w:val="002A2F54"/>
    <w:rsid w:val="002A32C4"/>
    <w:rsid w:val="002A419C"/>
    <w:rsid w:val="002A424E"/>
    <w:rsid w:val="002A4322"/>
    <w:rsid w:val="002A4F5D"/>
    <w:rsid w:val="002A66B3"/>
    <w:rsid w:val="002A7DFD"/>
    <w:rsid w:val="002B08C5"/>
    <w:rsid w:val="002B176F"/>
    <w:rsid w:val="002B1FA5"/>
    <w:rsid w:val="002B28BF"/>
    <w:rsid w:val="002B2C7B"/>
    <w:rsid w:val="002B3A27"/>
    <w:rsid w:val="002B4348"/>
    <w:rsid w:val="002B53AC"/>
    <w:rsid w:val="002B593D"/>
    <w:rsid w:val="002B5E10"/>
    <w:rsid w:val="002B6B86"/>
    <w:rsid w:val="002C05B4"/>
    <w:rsid w:val="002C0AD3"/>
    <w:rsid w:val="002C427C"/>
    <w:rsid w:val="002C4AB2"/>
    <w:rsid w:val="002C4C69"/>
    <w:rsid w:val="002C6502"/>
    <w:rsid w:val="002D00B2"/>
    <w:rsid w:val="002D01BA"/>
    <w:rsid w:val="002D048B"/>
    <w:rsid w:val="002D06AA"/>
    <w:rsid w:val="002D07CC"/>
    <w:rsid w:val="002D7A7D"/>
    <w:rsid w:val="002E4788"/>
    <w:rsid w:val="002E68BA"/>
    <w:rsid w:val="002F0703"/>
    <w:rsid w:val="002F07E0"/>
    <w:rsid w:val="002F20D9"/>
    <w:rsid w:val="002F2442"/>
    <w:rsid w:val="002F54BB"/>
    <w:rsid w:val="002F7869"/>
    <w:rsid w:val="002F7D79"/>
    <w:rsid w:val="003002C0"/>
    <w:rsid w:val="003020DB"/>
    <w:rsid w:val="003023B9"/>
    <w:rsid w:val="0030248E"/>
    <w:rsid w:val="00302ACA"/>
    <w:rsid w:val="00303AFD"/>
    <w:rsid w:val="0030467A"/>
    <w:rsid w:val="003059CF"/>
    <w:rsid w:val="0030665D"/>
    <w:rsid w:val="00306C18"/>
    <w:rsid w:val="00307002"/>
    <w:rsid w:val="00307732"/>
    <w:rsid w:val="00307E3F"/>
    <w:rsid w:val="003111F8"/>
    <w:rsid w:val="003117C7"/>
    <w:rsid w:val="0031595B"/>
    <w:rsid w:val="003174D6"/>
    <w:rsid w:val="00320EC0"/>
    <w:rsid w:val="003216AD"/>
    <w:rsid w:val="003221A9"/>
    <w:rsid w:val="003230AF"/>
    <w:rsid w:val="00325058"/>
    <w:rsid w:val="00325D69"/>
    <w:rsid w:val="0032601C"/>
    <w:rsid w:val="003260F3"/>
    <w:rsid w:val="00327069"/>
    <w:rsid w:val="00330056"/>
    <w:rsid w:val="00330760"/>
    <w:rsid w:val="003329EC"/>
    <w:rsid w:val="00334546"/>
    <w:rsid w:val="00335577"/>
    <w:rsid w:val="00337B6A"/>
    <w:rsid w:val="00341598"/>
    <w:rsid w:val="003426E5"/>
    <w:rsid w:val="003432AD"/>
    <w:rsid w:val="00343FC0"/>
    <w:rsid w:val="00344EE8"/>
    <w:rsid w:val="00345B4B"/>
    <w:rsid w:val="003468B7"/>
    <w:rsid w:val="003469DC"/>
    <w:rsid w:val="00347E15"/>
    <w:rsid w:val="003531F9"/>
    <w:rsid w:val="003535F0"/>
    <w:rsid w:val="003579A7"/>
    <w:rsid w:val="003579D3"/>
    <w:rsid w:val="00357A3A"/>
    <w:rsid w:val="00357E37"/>
    <w:rsid w:val="003602D7"/>
    <w:rsid w:val="00360815"/>
    <w:rsid w:val="00363571"/>
    <w:rsid w:val="00363F6D"/>
    <w:rsid w:val="003662D8"/>
    <w:rsid w:val="00366E59"/>
    <w:rsid w:val="00366E81"/>
    <w:rsid w:val="00367FE3"/>
    <w:rsid w:val="0036EFD4"/>
    <w:rsid w:val="0037023F"/>
    <w:rsid w:val="00370E57"/>
    <w:rsid w:val="003711E0"/>
    <w:rsid w:val="003719D7"/>
    <w:rsid w:val="003722E2"/>
    <w:rsid w:val="00373186"/>
    <w:rsid w:val="003750F9"/>
    <w:rsid w:val="00375FE4"/>
    <w:rsid w:val="0037706D"/>
    <w:rsid w:val="00377159"/>
    <w:rsid w:val="00382EFD"/>
    <w:rsid w:val="00383579"/>
    <w:rsid w:val="00383ABE"/>
    <w:rsid w:val="003840AF"/>
    <w:rsid w:val="00384947"/>
    <w:rsid w:val="003855F3"/>
    <w:rsid w:val="00386BBC"/>
    <w:rsid w:val="00386F4F"/>
    <w:rsid w:val="00387CFC"/>
    <w:rsid w:val="003911E9"/>
    <w:rsid w:val="003921ED"/>
    <w:rsid w:val="00393EA7"/>
    <w:rsid w:val="00393EBA"/>
    <w:rsid w:val="00395082"/>
    <w:rsid w:val="0039677C"/>
    <w:rsid w:val="00396B94"/>
    <w:rsid w:val="00396F11"/>
    <w:rsid w:val="00397397"/>
    <w:rsid w:val="003979D6"/>
    <w:rsid w:val="00397B18"/>
    <w:rsid w:val="003A0B0A"/>
    <w:rsid w:val="003A0D10"/>
    <w:rsid w:val="003A195C"/>
    <w:rsid w:val="003A1B67"/>
    <w:rsid w:val="003A229A"/>
    <w:rsid w:val="003A4335"/>
    <w:rsid w:val="003A4737"/>
    <w:rsid w:val="003A48F1"/>
    <w:rsid w:val="003A63E2"/>
    <w:rsid w:val="003A6BF6"/>
    <w:rsid w:val="003B0A63"/>
    <w:rsid w:val="003B1747"/>
    <w:rsid w:val="003B38CB"/>
    <w:rsid w:val="003B3AD6"/>
    <w:rsid w:val="003B42ED"/>
    <w:rsid w:val="003B46D8"/>
    <w:rsid w:val="003B50AE"/>
    <w:rsid w:val="003B60F7"/>
    <w:rsid w:val="003B7229"/>
    <w:rsid w:val="003B7301"/>
    <w:rsid w:val="003B77AE"/>
    <w:rsid w:val="003C015D"/>
    <w:rsid w:val="003C020A"/>
    <w:rsid w:val="003C037F"/>
    <w:rsid w:val="003C256B"/>
    <w:rsid w:val="003C34A7"/>
    <w:rsid w:val="003C452F"/>
    <w:rsid w:val="003C46B1"/>
    <w:rsid w:val="003C54C3"/>
    <w:rsid w:val="003C66F1"/>
    <w:rsid w:val="003D0ED9"/>
    <w:rsid w:val="003D165D"/>
    <w:rsid w:val="003D1F8F"/>
    <w:rsid w:val="003D27B7"/>
    <w:rsid w:val="003D2B87"/>
    <w:rsid w:val="003D5918"/>
    <w:rsid w:val="003D6DC0"/>
    <w:rsid w:val="003D7DC9"/>
    <w:rsid w:val="003E079D"/>
    <w:rsid w:val="003E0A1A"/>
    <w:rsid w:val="003E0C41"/>
    <w:rsid w:val="003E1F44"/>
    <w:rsid w:val="003E2A2D"/>
    <w:rsid w:val="003E2AF7"/>
    <w:rsid w:val="003E2D14"/>
    <w:rsid w:val="003E3150"/>
    <w:rsid w:val="003E3CAA"/>
    <w:rsid w:val="003E3E5F"/>
    <w:rsid w:val="003E3FCE"/>
    <w:rsid w:val="003E63AC"/>
    <w:rsid w:val="003E6F55"/>
    <w:rsid w:val="003E769E"/>
    <w:rsid w:val="003E76FB"/>
    <w:rsid w:val="003F0FBB"/>
    <w:rsid w:val="003F1363"/>
    <w:rsid w:val="003F1AC5"/>
    <w:rsid w:val="003F3C76"/>
    <w:rsid w:val="003F3F2C"/>
    <w:rsid w:val="003F4FCD"/>
    <w:rsid w:val="00402DBD"/>
    <w:rsid w:val="004041D1"/>
    <w:rsid w:val="00404F04"/>
    <w:rsid w:val="00405B6F"/>
    <w:rsid w:val="00406D12"/>
    <w:rsid w:val="004078D3"/>
    <w:rsid w:val="00407D22"/>
    <w:rsid w:val="004102A9"/>
    <w:rsid w:val="0041047A"/>
    <w:rsid w:val="0041089F"/>
    <w:rsid w:val="00411027"/>
    <w:rsid w:val="00412697"/>
    <w:rsid w:val="00413C68"/>
    <w:rsid w:val="00413DEB"/>
    <w:rsid w:val="00414D87"/>
    <w:rsid w:val="004156B2"/>
    <w:rsid w:val="004165EE"/>
    <w:rsid w:val="00417E24"/>
    <w:rsid w:val="00422162"/>
    <w:rsid w:val="00422CC2"/>
    <w:rsid w:val="00423F71"/>
    <w:rsid w:val="00425B44"/>
    <w:rsid w:val="00426050"/>
    <w:rsid w:val="00426094"/>
    <w:rsid w:val="00426CDB"/>
    <w:rsid w:val="0042724E"/>
    <w:rsid w:val="00432774"/>
    <w:rsid w:val="004331C8"/>
    <w:rsid w:val="00434158"/>
    <w:rsid w:val="00435350"/>
    <w:rsid w:val="00435BB3"/>
    <w:rsid w:val="00435CDB"/>
    <w:rsid w:val="00436175"/>
    <w:rsid w:val="004366E1"/>
    <w:rsid w:val="0043672A"/>
    <w:rsid w:val="0044018A"/>
    <w:rsid w:val="004415DA"/>
    <w:rsid w:val="00441AB0"/>
    <w:rsid w:val="0044224B"/>
    <w:rsid w:val="00442497"/>
    <w:rsid w:val="004435E3"/>
    <w:rsid w:val="00443F34"/>
    <w:rsid w:val="00444A85"/>
    <w:rsid w:val="004451EC"/>
    <w:rsid w:val="004456E6"/>
    <w:rsid w:val="00445F87"/>
    <w:rsid w:val="00446C8B"/>
    <w:rsid w:val="00446FAC"/>
    <w:rsid w:val="00447339"/>
    <w:rsid w:val="00447858"/>
    <w:rsid w:val="0044785A"/>
    <w:rsid w:val="004478F3"/>
    <w:rsid w:val="00450489"/>
    <w:rsid w:val="004505BB"/>
    <w:rsid w:val="00450C2E"/>
    <w:rsid w:val="00450ED0"/>
    <w:rsid w:val="0045196C"/>
    <w:rsid w:val="00451A16"/>
    <w:rsid w:val="00453026"/>
    <w:rsid w:val="00453D52"/>
    <w:rsid w:val="0045449D"/>
    <w:rsid w:val="004547D1"/>
    <w:rsid w:val="00455EAF"/>
    <w:rsid w:val="00455F30"/>
    <w:rsid w:val="00455FD4"/>
    <w:rsid w:val="00456104"/>
    <w:rsid w:val="00457478"/>
    <w:rsid w:val="004578BA"/>
    <w:rsid w:val="004578ED"/>
    <w:rsid w:val="00457F32"/>
    <w:rsid w:val="0046358E"/>
    <w:rsid w:val="004637F3"/>
    <w:rsid w:val="004644A4"/>
    <w:rsid w:val="00465233"/>
    <w:rsid w:val="00466D33"/>
    <w:rsid w:val="00471F27"/>
    <w:rsid w:val="004725C1"/>
    <w:rsid w:val="00472641"/>
    <w:rsid w:val="004729E7"/>
    <w:rsid w:val="0047507C"/>
    <w:rsid w:val="00475357"/>
    <w:rsid w:val="0047626C"/>
    <w:rsid w:val="00476743"/>
    <w:rsid w:val="0047796A"/>
    <w:rsid w:val="00481394"/>
    <w:rsid w:val="004817C8"/>
    <w:rsid w:val="00481E43"/>
    <w:rsid w:val="00483807"/>
    <w:rsid w:val="00483A96"/>
    <w:rsid w:val="00483BB9"/>
    <w:rsid w:val="00483DF0"/>
    <w:rsid w:val="00484574"/>
    <w:rsid w:val="00484A18"/>
    <w:rsid w:val="00485F15"/>
    <w:rsid w:val="004864E9"/>
    <w:rsid w:val="004866B4"/>
    <w:rsid w:val="004874FF"/>
    <w:rsid w:val="00487FBE"/>
    <w:rsid w:val="00490F66"/>
    <w:rsid w:val="004914C5"/>
    <w:rsid w:val="004917D4"/>
    <w:rsid w:val="00492031"/>
    <w:rsid w:val="004920D7"/>
    <w:rsid w:val="00492654"/>
    <w:rsid w:val="0049285D"/>
    <w:rsid w:val="0049362F"/>
    <w:rsid w:val="00493B69"/>
    <w:rsid w:val="00493BA3"/>
    <w:rsid w:val="004949AD"/>
    <w:rsid w:val="00494E56"/>
    <w:rsid w:val="00496146"/>
    <w:rsid w:val="004A0614"/>
    <w:rsid w:val="004A061E"/>
    <w:rsid w:val="004A0962"/>
    <w:rsid w:val="004A1713"/>
    <w:rsid w:val="004A3E33"/>
    <w:rsid w:val="004A5488"/>
    <w:rsid w:val="004A54AA"/>
    <w:rsid w:val="004A5BAA"/>
    <w:rsid w:val="004A6D36"/>
    <w:rsid w:val="004A706F"/>
    <w:rsid w:val="004B0C44"/>
    <w:rsid w:val="004B12B6"/>
    <w:rsid w:val="004B21E6"/>
    <w:rsid w:val="004B3B33"/>
    <w:rsid w:val="004B421A"/>
    <w:rsid w:val="004B4C2A"/>
    <w:rsid w:val="004B5012"/>
    <w:rsid w:val="004B7868"/>
    <w:rsid w:val="004B7884"/>
    <w:rsid w:val="004C03DE"/>
    <w:rsid w:val="004C108F"/>
    <w:rsid w:val="004C13D7"/>
    <w:rsid w:val="004C13DD"/>
    <w:rsid w:val="004C1AAD"/>
    <w:rsid w:val="004C2D57"/>
    <w:rsid w:val="004C30AF"/>
    <w:rsid w:val="004C3748"/>
    <w:rsid w:val="004C515C"/>
    <w:rsid w:val="004C51CB"/>
    <w:rsid w:val="004C581C"/>
    <w:rsid w:val="004C7208"/>
    <w:rsid w:val="004C727C"/>
    <w:rsid w:val="004C7A25"/>
    <w:rsid w:val="004D0891"/>
    <w:rsid w:val="004D0F49"/>
    <w:rsid w:val="004D3494"/>
    <w:rsid w:val="004D4739"/>
    <w:rsid w:val="004D6720"/>
    <w:rsid w:val="004D68C2"/>
    <w:rsid w:val="004D6EB1"/>
    <w:rsid w:val="004E1AAC"/>
    <w:rsid w:val="004E2906"/>
    <w:rsid w:val="004E3DFE"/>
    <w:rsid w:val="004E4493"/>
    <w:rsid w:val="004E49D1"/>
    <w:rsid w:val="004E4ADD"/>
    <w:rsid w:val="004E50D2"/>
    <w:rsid w:val="004E57F8"/>
    <w:rsid w:val="004E5848"/>
    <w:rsid w:val="004E70E0"/>
    <w:rsid w:val="004E7D44"/>
    <w:rsid w:val="004F037A"/>
    <w:rsid w:val="004F0889"/>
    <w:rsid w:val="004F375D"/>
    <w:rsid w:val="004F542E"/>
    <w:rsid w:val="004F6026"/>
    <w:rsid w:val="004F7B5A"/>
    <w:rsid w:val="00500DA6"/>
    <w:rsid w:val="0050128F"/>
    <w:rsid w:val="0050236E"/>
    <w:rsid w:val="00502483"/>
    <w:rsid w:val="0050355E"/>
    <w:rsid w:val="005042B9"/>
    <w:rsid w:val="005054C0"/>
    <w:rsid w:val="0050555A"/>
    <w:rsid w:val="00505C24"/>
    <w:rsid w:val="00505E70"/>
    <w:rsid w:val="005073D8"/>
    <w:rsid w:val="005078CB"/>
    <w:rsid w:val="005107F8"/>
    <w:rsid w:val="0051098C"/>
    <w:rsid w:val="00510FA3"/>
    <w:rsid w:val="00511B24"/>
    <w:rsid w:val="0051236B"/>
    <w:rsid w:val="0051319E"/>
    <w:rsid w:val="005133D0"/>
    <w:rsid w:val="00513FC0"/>
    <w:rsid w:val="005154D2"/>
    <w:rsid w:val="00515AC3"/>
    <w:rsid w:val="005171E7"/>
    <w:rsid w:val="00517296"/>
    <w:rsid w:val="00520635"/>
    <w:rsid w:val="0052081E"/>
    <w:rsid w:val="005211D2"/>
    <w:rsid w:val="005214A7"/>
    <w:rsid w:val="00521662"/>
    <w:rsid w:val="00521F7D"/>
    <w:rsid w:val="00521FA3"/>
    <w:rsid w:val="00522959"/>
    <w:rsid w:val="005236CC"/>
    <w:rsid w:val="00524C14"/>
    <w:rsid w:val="0052558A"/>
    <w:rsid w:val="00526EF1"/>
    <w:rsid w:val="00527ECB"/>
    <w:rsid w:val="005320A4"/>
    <w:rsid w:val="0053426D"/>
    <w:rsid w:val="00534A9A"/>
    <w:rsid w:val="00534EF7"/>
    <w:rsid w:val="0053681D"/>
    <w:rsid w:val="0053689F"/>
    <w:rsid w:val="005371A8"/>
    <w:rsid w:val="00537EE5"/>
    <w:rsid w:val="00540449"/>
    <w:rsid w:val="00541B9A"/>
    <w:rsid w:val="005421D2"/>
    <w:rsid w:val="00542215"/>
    <w:rsid w:val="005436DD"/>
    <w:rsid w:val="00543AF7"/>
    <w:rsid w:val="00543BEA"/>
    <w:rsid w:val="0054488C"/>
    <w:rsid w:val="005448E6"/>
    <w:rsid w:val="005449DD"/>
    <w:rsid w:val="00544D5D"/>
    <w:rsid w:val="005465E1"/>
    <w:rsid w:val="00546FAA"/>
    <w:rsid w:val="005506F4"/>
    <w:rsid w:val="00550A33"/>
    <w:rsid w:val="00550F7D"/>
    <w:rsid w:val="0055238F"/>
    <w:rsid w:val="00552808"/>
    <w:rsid w:val="00555B8D"/>
    <w:rsid w:val="00556019"/>
    <w:rsid w:val="0055630A"/>
    <w:rsid w:val="00556A94"/>
    <w:rsid w:val="005607D2"/>
    <w:rsid w:val="00560C65"/>
    <w:rsid w:val="00561051"/>
    <w:rsid w:val="00564CD5"/>
    <w:rsid w:val="005657AE"/>
    <w:rsid w:val="00565AE1"/>
    <w:rsid w:val="00566262"/>
    <w:rsid w:val="00566616"/>
    <w:rsid w:val="00571BC3"/>
    <w:rsid w:val="0057354C"/>
    <w:rsid w:val="00573972"/>
    <w:rsid w:val="0057467B"/>
    <w:rsid w:val="00574EAE"/>
    <w:rsid w:val="005758A7"/>
    <w:rsid w:val="00575FE5"/>
    <w:rsid w:val="00580845"/>
    <w:rsid w:val="00581442"/>
    <w:rsid w:val="005818DD"/>
    <w:rsid w:val="00581A2F"/>
    <w:rsid w:val="00581CE0"/>
    <w:rsid w:val="00582812"/>
    <w:rsid w:val="00582CBE"/>
    <w:rsid w:val="00583A50"/>
    <w:rsid w:val="00584766"/>
    <w:rsid w:val="00584E54"/>
    <w:rsid w:val="00586794"/>
    <w:rsid w:val="005876AF"/>
    <w:rsid w:val="0059024A"/>
    <w:rsid w:val="00590D1A"/>
    <w:rsid w:val="005910C4"/>
    <w:rsid w:val="005945BF"/>
    <w:rsid w:val="0059465E"/>
    <w:rsid w:val="00595E60"/>
    <w:rsid w:val="00597400"/>
    <w:rsid w:val="00597F07"/>
    <w:rsid w:val="005A119E"/>
    <w:rsid w:val="005A1651"/>
    <w:rsid w:val="005A2FEA"/>
    <w:rsid w:val="005A5C47"/>
    <w:rsid w:val="005A6E45"/>
    <w:rsid w:val="005A7034"/>
    <w:rsid w:val="005A7856"/>
    <w:rsid w:val="005A78C1"/>
    <w:rsid w:val="005A7BD8"/>
    <w:rsid w:val="005B0B5B"/>
    <w:rsid w:val="005B0D2E"/>
    <w:rsid w:val="005B1697"/>
    <w:rsid w:val="005B2938"/>
    <w:rsid w:val="005B3516"/>
    <w:rsid w:val="005B3555"/>
    <w:rsid w:val="005B3E6A"/>
    <w:rsid w:val="005B4017"/>
    <w:rsid w:val="005B4708"/>
    <w:rsid w:val="005B4AC8"/>
    <w:rsid w:val="005B6458"/>
    <w:rsid w:val="005B6568"/>
    <w:rsid w:val="005B7722"/>
    <w:rsid w:val="005C0AAB"/>
    <w:rsid w:val="005C2205"/>
    <w:rsid w:val="005C2556"/>
    <w:rsid w:val="005C25A5"/>
    <w:rsid w:val="005C548E"/>
    <w:rsid w:val="005C67E4"/>
    <w:rsid w:val="005C7B97"/>
    <w:rsid w:val="005D0329"/>
    <w:rsid w:val="005D0818"/>
    <w:rsid w:val="005D1208"/>
    <w:rsid w:val="005D1FD7"/>
    <w:rsid w:val="005D3F1D"/>
    <w:rsid w:val="005D4224"/>
    <w:rsid w:val="005D51CC"/>
    <w:rsid w:val="005D64A2"/>
    <w:rsid w:val="005E078A"/>
    <w:rsid w:val="005E0849"/>
    <w:rsid w:val="005E3CC2"/>
    <w:rsid w:val="005E6D92"/>
    <w:rsid w:val="005E716A"/>
    <w:rsid w:val="005F0CBC"/>
    <w:rsid w:val="005F2808"/>
    <w:rsid w:val="005F2BD4"/>
    <w:rsid w:val="005F3FF5"/>
    <w:rsid w:val="005F5D0B"/>
    <w:rsid w:val="005F68EE"/>
    <w:rsid w:val="00600136"/>
    <w:rsid w:val="00600611"/>
    <w:rsid w:val="0060126B"/>
    <w:rsid w:val="00601919"/>
    <w:rsid w:val="00601DA6"/>
    <w:rsid w:val="00602621"/>
    <w:rsid w:val="00602F55"/>
    <w:rsid w:val="00603D08"/>
    <w:rsid w:val="0060463D"/>
    <w:rsid w:val="00605997"/>
    <w:rsid w:val="00605CA5"/>
    <w:rsid w:val="00606392"/>
    <w:rsid w:val="00606B77"/>
    <w:rsid w:val="006079BC"/>
    <w:rsid w:val="0061187F"/>
    <w:rsid w:val="00612761"/>
    <w:rsid w:val="006127E0"/>
    <w:rsid w:val="00612AD6"/>
    <w:rsid w:val="00613877"/>
    <w:rsid w:val="00613A8B"/>
    <w:rsid w:val="00614E52"/>
    <w:rsid w:val="006154AA"/>
    <w:rsid w:val="00615793"/>
    <w:rsid w:val="006206EB"/>
    <w:rsid w:val="006214EE"/>
    <w:rsid w:val="00621604"/>
    <w:rsid w:val="0062367A"/>
    <w:rsid w:val="00623B42"/>
    <w:rsid w:val="006269A5"/>
    <w:rsid w:val="006273D3"/>
    <w:rsid w:val="006279BE"/>
    <w:rsid w:val="006301B6"/>
    <w:rsid w:val="00630A33"/>
    <w:rsid w:val="00631A85"/>
    <w:rsid w:val="006337D5"/>
    <w:rsid w:val="00633AA9"/>
    <w:rsid w:val="00634002"/>
    <w:rsid w:val="006344A9"/>
    <w:rsid w:val="00635E3B"/>
    <w:rsid w:val="00640041"/>
    <w:rsid w:val="006402EB"/>
    <w:rsid w:val="00640E7B"/>
    <w:rsid w:val="006413D2"/>
    <w:rsid w:val="00642312"/>
    <w:rsid w:val="0064527C"/>
    <w:rsid w:val="00645E3D"/>
    <w:rsid w:val="00646F81"/>
    <w:rsid w:val="0064759B"/>
    <w:rsid w:val="006508E7"/>
    <w:rsid w:val="0065118B"/>
    <w:rsid w:val="00652456"/>
    <w:rsid w:val="00652A8B"/>
    <w:rsid w:val="00655317"/>
    <w:rsid w:val="00656DB0"/>
    <w:rsid w:val="00656F7A"/>
    <w:rsid w:val="00657C89"/>
    <w:rsid w:val="0066030D"/>
    <w:rsid w:val="00660518"/>
    <w:rsid w:val="00660CA5"/>
    <w:rsid w:val="006617DF"/>
    <w:rsid w:val="006625F6"/>
    <w:rsid w:val="006628D2"/>
    <w:rsid w:val="00662F53"/>
    <w:rsid w:val="00663813"/>
    <w:rsid w:val="00665443"/>
    <w:rsid w:val="0067133A"/>
    <w:rsid w:val="0067178B"/>
    <w:rsid w:val="00673F65"/>
    <w:rsid w:val="00676934"/>
    <w:rsid w:val="006776CA"/>
    <w:rsid w:val="006777AA"/>
    <w:rsid w:val="00677F67"/>
    <w:rsid w:val="00680B05"/>
    <w:rsid w:val="00681B36"/>
    <w:rsid w:val="0068251A"/>
    <w:rsid w:val="00683172"/>
    <w:rsid w:val="00684AD6"/>
    <w:rsid w:val="00684C29"/>
    <w:rsid w:val="00685114"/>
    <w:rsid w:val="00685B50"/>
    <w:rsid w:val="00686550"/>
    <w:rsid w:val="00686557"/>
    <w:rsid w:val="00686C70"/>
    <w:rsid w:val="00686F93"/>
    <w:rsid w:val="006872A4"/>
    <w:rsid w:val="00687C8B"/>
    <w:rsid w:val="00690299"/>
    <w:rsid w:val="0069030C"/>
    <w:rsid w:val="00690A1F"/>
    <w:rsid w:val="00691B01"/>
    <w:rsid w:val="00691CE2"/>
    <w:rsid w:val="00692479"/>
    <w:rsid w:val="006940DE"/>
    <w:rsid w:val="00694138"/>
    <w:rsid w:val="00694D2E"/>
    <w:rsid w:val="00694DB0"/>
    <w:rsid w:val="00695EEC"/>
    <w:rsid w:val="00696F33"/>
    <w:rsid w:val="00697E1E"/>
    <w:rsid w:val="006A0ACA"/>
    <w:rsid w:val="006A1465"/>
    <w:rsid w:val="006A14D6"/>
    <w:rsid w:val="006A27F1"/>
    <w:rsid w:val="006A29EA"/>
    <w:rsid w:val="006A429D"/>
    <w:rsid w:val="006A4D3C"/>
    <w:rsid w:val="006A500B"/>
    <w:rsid w:val="006A50D5"/>
    <w:rsid w:val="006A6758"/>
    <w:rsid w:val="006A685E"/>
    <w:rsid w:val="006A748E"/>
    <w:rsid w:val="006B0038"/>
    <w:rsid w:val="006B0709"/>
    <w:rsid w:val="006B11F9"/>
    <w:rsid w:val="006B1643"/>
    <w:rsid w:val="006B184D"/>
    <w:rsid w:val="006B2267"/>
    <w:rsid w:val="006B32F7"/>
    <w:rsid w:val="006B4802"/>
    <w:rsid w:val="006B50EF"/>
    <w:rsid w:val="006B6507"/>
    <w:rsid w:val="006B6782"/>
    <w:rsid w:val="006B708F"/>
    <w:rsid w:val="006B791E"/>
    <w:rsid w:val="006C3911"/>
    <w:rsid w:val="006C4F6D"/>
    <w:rsid w:val="006C5543"/>
    <w:rsid w:val="006C63F4"/>
    <w:rsid w:val="006C65F0"/>
    <w:rsid w:val="006C68CD"/>
    <w:rsid w:val="006C717F"/>
    <w:rsid w:val="006C7299"/>
    <w:rsid w:val="006D17E7"/>
    <w:rsid w:val="006D28C8"/>
    <w:rsid w:val="006D3793"/>
    <w:rsid w:val="006D47CA"/>
    <w:rsid w:val="006D488B"/>
    <w:rsid w:val="006D51AB"/>
    <w:rsid w:val="006D546C"/>
    <w:rsid w:val="006D597B"/>
    <w:rsid w:val="006D5B32"/>
    <w:rsid w:val="006E02CA"/>
    <w:rsid w:val="006E031B"/>
    <w:rsid w:val="006E0436"/>
    <w:rsid w:val="006E131C"/>
    <w:rsid w:val="006E216B"/>
    <w:rsid w:val="006E2F3A"/>
    <w:rsid w:val="006E31C8"/>
    <w:rsid w:val="006E3B16"/>
    <w:rsid w:val="006E46CE"/>
    <w:rsid w:val="006E55FF"/>
    <w:rsid w:val="006E5F10"/>
    <w:rsid w:val="006E64A9"/>
    <w:rsid w:val="006F0353"/>
    <w:rsid w:val="006F06B5"/>
    <w:rsid w:val="006F1469"/>
    <w:rsid w:val="006F1F01"/>
    <w:rsid w:val="006F2717"/>
    <w:rsid w:val="006F3625"/>
    <w:rsid w:val="006F38B2"/>
    <w:rsid w:val="006F654B"/>
    <w:rsid w:val="006F6628"/>
    <w:rsid w:val="006F685A"/>
    <w:rsid w:val="006F7347"/>
    <w:rsid w:val="0070154D"/>
    <w:rsid w:val="00702017"/>
    <w:rsid w:val="00703CA5"/>
    <w:rsid w:val="00704129"/>
    <w:rsid w:val="0070488C"/>
    <w:rsid w:val="00704F3D"/>
    <w:rsid w:val="00705027"/>
    <w:rsid w:val="007061A5"/>
    <w:rsid w:val="00707657"/>
    <w:rsid w:val="00707BD6"/>
    <w:rsid w:val="00711C3F"/>
    <w:rsid w:val="00712161"/>
    <w:rsid w:val="0071321A"/>
    <w:rsid w:val="00713860"/>
    <w:rsid w:val="007138DB"/>
    <w:rsid w:val="00715111"/>
    <w:rsid w:val="00715644"/>
    <w:rsid w:val="00715B98"/>
    <w:rsid w:val="00716A1B"/>
    <w:rsid w:val="00716B71"/>
    <w:rsid w:val="00716FD3"/>
    <w:rsid w:val="0072022E"/>
    <w:rsid w:val="00722626"/>
    <w:rsid w:val="007230B6"/>
    <w:rsid w:val="00723727"/>
    <w:rsid w:val="00724D7E"/>
    <w:rsid w:val="00725645"/>
    <w:rsid w:val="00725A78"/>
    <w:rsid w:val="00725F99"/>
    <w:rsid w:val="00727126"/>
    <w:rsid w:val="007273BC"/>
    <w:rsid w:val="00727D7F"/>
    <w:rsid w:val="007307F8"/>
    <w:rsid w:val="00730BA6"/>
    <w:rsid w:val="0073178B"/>
    <w:rsid w:val="007318F6"/>
    <w:rsid w:val="0073310A"/>
    <w:rsid w:val="0073315F"/>
    <w:rsid w:val="0073467E"/>
    <w:rsid w:val="007366F5"/>
    <w:rsid w:val="007415FB"/>
    <w:rsid w:val="00741C9A"/>
    <w:rsid w:val="00741E50"/>
    <w:rsid w:val="00743CF6"/>
    <w:rsid w:val="007445F1"/>
    <w:rsid w:val="00744BF8"/>
    <w:rsid w:val="00745079"/>
    <w:rsid w:val="007458C7"/>
    <w:rsid w:val="007461EA"/>
    <w:rsid w:val="007504FA"/>
    <w:rsid w:val="00750F15"/>
    <w:rsid w:val="007512A1"/>
    <w:rsid w:val="007514B7"/>
    <w:rsid w:val="00752FDB"/>
    <w:rsid w:val="007533E1"/>
    <w:rsid w:val="00753875"/>
    <w:rsid w:val="00755263"/>
    <w:rsid w:val="007560D7"/>
    <w:rsid w:val="00756C09"/>
    <w:rsid w:val="00757770"/>
    <w:rsid w:val="00757C08"/>
    <w:rsid w:val="007603C4"/>
    <w:rsid w:val="00761A3E"/>
    <w:rsid w:val="0076205D"/>
    <w:rsid w:val="00762287"/>
    <w:rsid w:val="0076297E"/>
    <w:rsid w:val="00762D7E"/>
    <w:rsid w:val="007638CA"/>
    <w:rsid w:val="007639FF"/>
    <w:rsid w:val="00764729"/>
    <w:rsid w:val="007674E6"/>
    <w:rsid w:val="00767C8D"/>
    <w:rsid w:val="007716E6"/>
    <w:rsid w:val="00772613"/>
    <w:rsid w:val="00772FF9"/>
    <w:rsid w:val="00773BB5"/>
    <w:rsid w:val="00780A9C"/>
    <w:rsid w:val="00782492"/>
    <w:rsid w:val="00782693"/>
    <w:rsid w:val="00783F24"/>
    <w:rsid w:val="00784BD3"/>
    <w:rsid w:val="00786A30"/>
    <w:rsid w:val="00787A24"/>
    <w:rsid w:val="007909AE"/>
    <w:rsid w:val="0079358F"/>
    <w:rsid w:val="00793C02"/>
    <w:rsid w:val="00794DDF"/>
    <w:rsid w:val="00795C43"/>
    <w:rsid w:val="007970BB"/>
    <w:rsid w:val="007977FD"/>
    <w:rsid w:val="007A0000"/>
    <w:rsid w:val="007A006D"/>
    <w:rsid w:val="007A102A"/>
    <w:rsid w:val="007A31CB"/>
    <w:rsid w:val="007A426B"/>
    <w:rsid w:val="007A45EA"/>
    <w:rsid w:val="007A6441"/>
    <w:rsid w:val="007A6A13"/>
    <w:rsid w:val="007A7A97"/>
    <w:rsid w:val="007B18B4"/>
    <w:rsid w:val="007B1F79"/>
    <w:rsid w:val="007B2F11"/>
    <w:rsid w:val="007B36A2"/>
    <w:rsid w:val="007B3CDB"/>
    <w:rsid w:val="007B55A5"/>
    <w:rsid w:val="007B650E"/>
    <w:rsid w:val="007B6987"/>
    <w:rsid w:val="007B6F69"/>
    <w:rsid w:val="007C0769"/>
    <w:rsid w:val="007C13F2"/>
    <w:rsid w:val="007C15C0"/>
    <w:rsid w:val="007C1D0A"/>
    <w:rsid w:val="007C36C6"/>
    <w:rsid w:val="007C456D"/>
    <w:rsid w:val="007C48E8"/>
    <w:rsid w:val="007C7426"/>
    <w:rsid w:val="007D22CA"/>
    <w:rsid w:val="007D31CC"/>
    <w:rsid w:val="007D3CBF"/>
    <w:rsid w:val="007D3D61"/>
    <w:rsid w:val="007D3D70"/>
    <w:rsid w:val="007D48B3"/>
    <w:rsid w:val="007D5B14"/>
    <w:rsid w:val="007D6014"/>
    <w:rsid w:val="007D77E5"/>
    <w:rsid w:val="007D7971"/>
    <w:rsid w:val="007D7AB9"/>
    <w:rsid w:val="007E1291"/>
    <w:rsid w:val="007E1B75"/>
    <w:rsid w:val="007E214D"/>
    <w:rsid w:val="007E34B7"/>
    <w:rsid w:val="007E6749"/>
    <w:rsid w:val="007F2128"/>
    <w:rsid w:val="007F43EF"/>
    <w:rsid w:val="007F50BC"/>
    <w:rsid w:val="007F55B2"/>
    <w:rsid w:val="007F5E2A"/>
    <w:rsid w:val="007F6D84"/>
    <w:rsid w:val="00800881"/>
    <w:rsid w:val="00801A7A"/>
    <w:rsid w:val="00802D88"/>
    <w:rsid w:val="00804E97"/>
    <w:rsid w:val="0080535D"/>
    <w:rsid w:val="00806339"/>
    <w:rsid w:val="00806C65"/>
    <w:rsid w:val="00812B52"/>
    <w:rsid w:val="00812E3A"/>
    <w:rsid w:val="0081413E"/>
    <w:rsid w:val="00814F80"/>
    <w:rsid w:val="008161B3"/>
    <w:rsid w:val="00817163"/>
    <w:rsid w:val="008173E2"/>
    <w:rsid w:val="008204BD"/>
    <w:rsid w:val="008205B2"/>
    <w:rsid w:val="0082065D"/>
    <w:rsid w:val="00821986"/>
    <w:rsid w:val="00821DE4"/>
    <w:rsid w:val="00822119"/>
    <w:rsid w:val="00822536"/>
    <w:rsid w:val="00823767"/>
    <w:rsid w:val="00823D9E"/>
    <w:rsid w:val="0082454F"/>
    <w:rsid w:val="00824C63"/>
    <w:rsid w:val="0082509D"/>
    <w:rsid w:val="00825229"/>
    <w:rsid w:val="008307B1"/>
    <w:rsid w:val="008308AA"/>
    <w:rsid w:val="00830DD5"/>
    <w:rsid w:val="00831042"/>
    <w:rsid w:val="00833361"/>
    <w:rsid w:val="008347DA"/>
    <w:rsid w:val="00835623"/>
    <w:rsid w:val="008379A9"/>
    <w:rsid w:val="00837AF6"/>
    <w:rsid w:val="00837C0D"/>
    <w:rsid w:val="0084216E"/>
    <w:rsid w:val="008421BD"/>
    <w:rsid w:val="00842428"/>
    <w:rsid w:val="00843557"/>
    <w:rsid w:val="00843D96"/>
    <w:rsid w:val="00844449"/>
    <w:rsid w:val="00844E37"/>
    <w:rsid w:val="00845DC0"/>
    <w:rsid w:val="008467F6"/>
    <w:rsid w:val="00847246"/>
    <w:rsid w:val="00847958"/>
    <w:rsid w:val="008503E7"/>
    <w:rsid w:val="0085213C"/>
    <w:rsid w:val="00852ADB"/>
    <w:rsid w:val="00853903"/>
    <w:rsid w:val="0085507E"/>
    <w:rsid w:val="008574C6"/>
    <w:rsid w:val="00857DEC"/>
    <w:rsid w:val="00860632"/>
    <w:rsid w:val="00860E4E"/>
    <w:rsid w:val="008613D0"/>
    <w:rsid w:val="008626B5"/>
    <w:rsid w:val="00862830"/>
    <w:rsid w:val="00862EF3"/>
    <w:rsid w:val="008638A4"/>
    <w:rsid w:val="00863ED1"/>
    <w:rsid w:val="00863FF5"/>
    <w:rsid w:val="00864D0D"/>
    <w:rsid w:val="00865211"/>
    <w:rsid w:val="008662A5"/>
    <w:rsid w:val="00866433"/>
    <w:rsid w:val="00866764"/>
    <w:rsid w:val="00867323"/>
    <w:rsid w:val="0086774B"/>
    <w:rsid w:val="008727F2"/>
    <w:rsid w:val="00872D01"/>
    <w:rsid w:val="00872D9E"/>
    <w:rsid w:val="00873147"/>
    <w:rsid w:val="00873EE8"/>
    <w:rsid w:val="0087414A"/>
    <w:rsid w:val="008745A7"/>
    <w:rsid w:val="00875873"/>
    <w:rsid w:val="008772FD"/>
    <w:rsid w:val="008825ED"/>
    <w:rsid w:val="00882AA6"/>
    <w:rsid w:val="00882DEC"/>
    <w:rsid w:val="00883A27"/>
    <w:rsid w:val="00884841"/>
    <w:rsid w:val="00884A59"/>
    <w:rsid w:val="0088707A"/>
    <w:rsid w:val="00887220"/>
    <w:rsid w:val="00890660"/>
    <w:rsid w:val="008916CF"/>
    <w:rsid w:val="00891A3C"/>
    <w:rsid w:val="00891D32"/>
    <w:rsid w:val="00891DA4"/>
    <w:rsid w:val="008929F3"/>
    <w:rsid w:val="00894065"/>
    <w:rsid w:val="00894B71"/>
    <w:rsid w:val="00894BBC"/>
    <w:rsid w:val="00894F45"/>
    <w:rsid w:val="008955BE"/>
    <w:rsid w:val="00896B8B"/>
    <w:rsid w:val="00897140"/>
    <w:rsid w:val="00897AF6"/>
    <w:rsid w:val="008A0E47"/>
    <w:rsid w:val="008A23A7"/>
    <w:rsid w:val="008A2AA9"/>
    <w:rsid w:val="008A3019"/>
    <w:rsid w:val="008A36C4"/>
    <w:rsid w:val="008A53B9"/>
    <w:rsid w:val="008A622E"/>
    <w:rsid w:val="008A684D"/>
    <w:rsid w:val="008B0080"/>
    <w:rsid w:val="008B1865"/>
    <w:rsid w:val="008B195A"/>
    <w:rsid w:val="008B2137"/>
    <w:rsid w:val="008B22C4"/>
    <w:rsid w:val="008B32DD"/>
    <w:rsid w:val="008B50D7"/>
    <w:rsid w:val="008B51B0"/>
    <w:rsid w:val="008B5AF7"/>
    <w:rsid w:val="008B5D8C"/>
    <w:rsid w:val="008B600F"/>
    <w:rsid w:val="008B73FF"/>
    <w:rsid w:val="008B79FA"/>
    <w:rsid w:val="008C077A"/>
    <w:rsid w:val="008C0A16"/>
    <w:rsid w:val="008C12B1"/>
    <w:rsid w:val="008C1CC6"/>
    <w:rsid w:val="008C1E44"/>
    <w:rsid w:val="008C3E60"/>
    <w:rsid w:val="008C5049"/>
    <w:rsid w:val="008C5DD0"/>
    <w:rsid w:val="008C5DF7"/>
    <w:rsid w:val="008C697D"/>
    <w:rsid w:val="008C6A5E"/>
    <w:rsid w:val="008C7BDE"/>
    <w:rsid w:val="008C7EE1"/>
    <w:rsid w:val="008D0D72"/>
    <w:rsid w:val="008D0F73"/>
    <w:rsid w:val="008D1057"/>
    <w:rsid w:val="008D206E"/>
    <w:rsid w:val="008D2F57"/>
    <w:rsid w:val="008D5291"/>
    <w:rsid w:val="008D5B92"/>
    <w:rsid w:val="008D7EE4"/>
    <w:rsid w:val="008E02B3"/>
    <w:rsid w:val="008E08E9"/>
    <w:rsid w:val="008E18DD"/>
    <w:rsid w:val="008E48A9"/>
    <w:rsid w:val="008E4F94"/>
    <w:rsid w:val="008E504D"/>
    <w:rsid w:val="008E59DD"/>
    <w:rsid w:val="008E603C"/>
    <w:rsid w:val="008E6744"/>
    <w:rsid w:val="008F0162"/>
    <w:rsid w:val="008F0CA2"/>
    <w:rsid w:val="008F1834"/>
    <w:rsid w:val="008F475F"/>
    <w:rsid w:val="008F5DAA"/>
    <w:rsid w:val="008F5ED5"/>
    <w:rsid w:val="008F5F7E"/>
    <w:rsid w:val="008F6491"/>
    <w:rsid w:val="008F7392"/>
    <w:rsid w:val="00900F60"/>
    <w:rsid w:val="009020E6"/>
    <w:rsid w:val="00902726"/>
    <w:rsid w:val="009027CD"/>
    <w:rsid w:val="0090361F"/>
    <w:rsid w:val="009040AC"/>
    <w:rsid w:val="009046DB"/>
    <w:rsid w:val="0090473F"/>
    <w:rsid w:val="00904A84"/>
    <w:rsid w:val="00904B2E"/>
    <w:rsid w:val="00904DCE"/>
    <w:rsid w:val="00905A32"/>
    <w:rsid w:val="00905F0D"/>
    <w:rsid w:val="009061C3"/>
    <w:rsid w:val="00906233"/>
    <w:rsid w:val="009107C4"/>
    <w:rsid w:val="0091134B"/>
    <w:rsid w:val="009115B2"/>
    <w:rsid w:val="00911B60"/>
    <w:rsid w:val="00916512"/>
    <w:rsid w:val="009211E0"/>
    <w:rsid w:val="00921623"/>
    <w:rsid w:val="00921D9C"/>
    <w:rsid w:val="009225CD"/>
    <w:rsid w:val="00922BAD"/>
    <w:rsid w:val="00923101"/>
    <w:rsid w:val="00923397"/>
    <w:rsid w:val="00923A85"/>
    <w:rsid w:val="00924165"/>
    <w:rsid w:val="0092730E"/>
    <w:rsid w:val="009300B5"/>
    <w:rsid w:val="009312CF"/>
    <w:rsid w:val="009312E6"/>
    <w:rsid w:val="0093132F"/>
    <w:rsid w:val="00932FFF"/>
    <w:rsid w:val="009332E5"/>
    <w:rsid w:val="0093376D"/>
    <w:rsid w:val="00933B29"/>
    <w:rsid w:val="00934304"/>
    <w:rsid w:val="00934E8B"/>
    <w:rsid w:val="00936599"/>
    <w:rsid w:val="00937254"/>
    <w:rsid w:val="00939AEB"/>
    <w:rsid w:val="0093E913"/>
    <w:rsid w:val="009400F7"/>
    <w:rsid w:val="0094417F"/>
    <w:rsid w:val="00944A68"/>
    <w:rsid w:val="00944B4A"/>
    <w:rsid w:val="0094508C"/>
    <w:rsid w:val="00945301"/>
    <w:rsid w:val="00945B6E"/>
    <w:rsid w:val="0094609A"/>
    <w:rsid w:val="009462A2"/>
    <w:rsid w:val="009472AC"/>
    <w:rsid w:val="009509C9"/>
    <w:rsid w:val="009531F8"/>
    <w:rsid w:val="00953367"/>
    <w:rsid w:val="009539DE"/>
    <w:rsid w:val="00954343"/>
    <w:rsid w:val="009615C8"/>
    <w:rsid w:val="0096252F"/>
    <w:rsid w:val="00962B5F"/>
    <w:rsid w:val="0096414A"/>
    <w:rsid w:val="00964D0E"/>
    <w:rsid w:val="00964D60"/>
    <w:rsid w:val="009659CC"/>
    <w:rsid w:val="00966183"/>
    <w:rsid w:val="00966220"/>
    <w:rsid w:val="00966CF4"/>
    <w:rsid w:val="00966EBB"/>
    <w:rsid w:val="009678A8"/>
    <w:rsid w:val="0097175D"/>
    <w:rsid w:val="00971769"/>
    <w:rsid w:val="00971E7E"/>
    <w:rsid w:val="00972854"/>
    <w:rsid w:val="00972B00"/>
    <w:rsid w:val="00974599"/>
    <w:rsid w:val="00974ECF"/>
    <w:rsid w:val="009760EC"/>
    <w:rsid w:val="00976BD2"/>
    <w:rsid w:val="009770B5"/>
    <w:rsid w:val="00977C8B"/>
    <w:rsid w:val="009804B7"/>
    <w:rsid w:val="00981D6C"/>
    <w:rsid w:val="0098301C"/>
    <w:rsid w:val="00983E89"/>
    <w:rsid w:val="009861F6"/>
    <w:rsid w:val="00986FBF"/>
    <w:rsid w:val="0099088A"/>
    <w:rsid w:val="0099116D"/>
    <w:rsid w:val="009912BB"/>
    <w:rsid w:val="0099252C"/>
    <w:rsid w:val="009928B2"/>
    <w:rsid w:val="0099298B"/>
    <w:rsid w:val="00992EEE"/>
    <w:rsid w:val="0099338E"/>
    <w:rsid w:val="0099362F"/>
    <w:rsid w:val="00993C06"/>
    <w:rsid w:val="00994815"/>
    <w:rsid w:val="00994B20"/>
    <w:rsid w:val="00994EE8"/>
    <w:rsid w:val="00995B66"/>
    <w:rsid w:val="00996B5D"/>
    <w:rsid w:val="0099774F"/>
    <w:rsid w:val="00997EE7"/>
    <w:rsid w:val="009A01B1"/>
    <w:rsid w:val="009A06C6"/>
    <w:rsid w:val="009A1938"/>
    <w:rsid w:val="009A2412"/>
    <w:rsid w:val="009A3AFE"/>
    <w:rsid w:val="009A411A"/>
    <w:rsid w:val="009A4591"/>
    <w:rsid w:val="009A5621"/>
    <w:rsid w:val="009A64BE"/>
    <w:rsid w:val="009A6D0F"/>
    <w:rsid w:val="009A6E3D"/>
    <w:rsid w:val="009A7954"/>
    <w:rsid w:val="009B0378"/>
    <w:rsid w:val="009B05E6"/>
    <w:rsid w:val="009B06FE"/>
    <w:rsid w:val="009B112C"/>
    <w:rsid w:val="009B17AF"/>
    <w:rsid w:val="009B1C6C"/>
    <w:rsid w:val="009B3FBE"/>
    <w:rsid w:val="009B6FBE"/>
    <w:rsid w:val="009B72E1"/>
    <w:rsid w:val="009B73F9"/>
    <w:rsid w:val="009B76BD"/>
    <w:rsid w:val="009B7F4E"/>
    <w:rsid w:val="009C1B3E"/>
    <w:rsid w:val="009C2C05"/>
    <w:rsid w:val="009C464F"/>
    <w:rsid w:val="009C68A1"/>
    <w:rsid w:val="009CA87D"/>
    <w:rsid w:val="009D09AB"/>
    <w:rsid w:val="009D0A70"/>
    <w:rsid w:val="009D2AF6"/>
    <w:rsid w:val="009D314F"/>
    <w:rsid w:val="009D3505"/>
    <w:rsid w:val="009D3B03"/>
    <w:rsid w:val="009D57A8"/>
    <w:rsid w:val="009D6200"/>
    <w:rsid w:val="009D6D7D"/>
    <w:rsid w:val="009D780B"/>
    <w:rsid w:val="009D7CAD"/>
    <w:rsid w:val="009D7E40"/>
    <w:rsid w:val="009E02CF"/>
    <w:rsid w:val="009E07FB"/>
    <w:rsid w:val="009E14A2"/>
    <w:rsid w:val="009E24B4"/>
    <w:rsid w:val="009E3577"/>
    <w:rsid w:val="009E4103"/>
    <w:rsid w:val="009E4A7A"/>
    <w:rsid w:val="009E645C"/>
    <w:rsid w:val="009E72DD"/>
    <w:rsid w:val="009E756C"/>
    <w:rsid w:val="009F0BA4"/>
    <w:rsid w:val="009F2160"/>
    <w:rsid w:val="009F2F4F"/>
    <w:rsid w:val="009F33D1"/>
    <w:rsid w:val="009F6260"/>
    <w:rsid w:val="009F6717"/>
    <w:rsid w:val="009F6AF7"/>
    <w:rsid w:val="009F6FC3"/>
    <w:rsid w:val="00A01219"/>
    <w:rsid w:val="00A01C0D"/>
    <w:rsid w:val="00A029AF"/>
    <w:rsid w:val="00A02CEE"/>
    <w:rsid w:val="00A04686"/>
    <w:rsid w:val="00A0655C"/>
    <w:rsid w:val="00A0707B"/>
    <w:rsid w:val="00A07444"/>
    <w:rsid w:val="00A10220"/>
    <w:rsid w:val="00A108BA"/>
    <w:rsid w:val="00A10DB2"/>
    <w:rsid w:val="00A11181"/>
    <w:rsid w:val="00A11D27"/>
    <w:rsid w:val="00A121E8"/>
    <w:rsid w:val="00A1256E"/>
    <w:rsid w:val="00A128EA"/>
    <w:rsid w:val="00A12C7E"/>
    <w:rsid w:val="00A12E46"/>
    <w:rsid w:val="00A13EA2"/>
    <w:rsid w:val="00A14C07"/>
    <w:rsid w:val="00A1600C"/>
    <w:rsid w:val="00A21D8F"/>
    <w:rsid w:val="00A24326"/>
    <w:rsid w:val="00A27585"/>
    <w:rsid w:val="00A27D38"/>
    <w:rsid w:val="00A33BF3"/>
    <w:rsid w:val="00A34C1A"/>
    <w:rsid w:val="00A35182"/>
    <w:rsid w:val="00A35D01"/>
    <w:rsid w:val="00A378A4"/>
    <w:rsid w:val="00A408F9"/>
    <w:rsid w:val="00A40B70"/>
    <w:rsid w:val="00A40D3F"/>
    <w:rsid w:val="00A41470"/>
    <w:rsid w:val="00A42387"/>
    <w:rsid w:val="00A425F2"/>
    <w:rsid w:val="00A42FD5"/>
    <w:rsid w:val="00A44603"/>
    <w:rsid w:val="00A45C73"/>
    <w:rsid w:val="00A468D8"/>
    <w:rsid w:val="00A46B59"/>
    <w:rsid w:val="00A50E7E"/>
    <w:rsid w:val="00A50FDB"/>
    <w:rsid w:val="00A52490"/>
    <w:rsid w:val="00A52B11"/>
    <w:rsid w:val="00A53684"/>
    <w:rsid w:val="00A540B4"/>
    <w:rsid w:val="00A54BBC"/>
    <w:rsid w:val="00A54CC0"/>
    <w:rsid w:val="00A5592D"/>
    <w:rsid w:val="00A56688"/>
    <w:rsid w:val="00A566AF"/>
    <w:rsid w:val="00A57E58"/>
    <w:rsid w:val="00A60780"/>
    <w:rsid w:val="00A61265"/>
    <w:rsid w:val="00A61374"/>
    <w:rsid w:val="00A61A13"/>
    <w:rsid w:val="00A61F98"/>
    <w:rsid w:val="00A6238C"/>
    <w:rsid w:val="00A62509"/>
    <w:rsid w:val="00A626D3"/>
    <w:rsid w:val="00A6325B"/>
    <w:rsid w:val="00A633B8"/>
    <w:rsid w:val="00A65EA3"/>
    <w:rsid w:val="00A6651D"/>
    <w:rsid w:val="00A679AD"/>
    <w:rsid w:val="00A7008D"/>
    <w:rsid w:val="00A70D4B"/>
    <w:rsid w:val="00A7148F"/>
    <w:rsid w:val="00A74115"/>
    <w:rsid w:val="00A75CD2"/>
    <w:rsid w:val="00A76421"/>
    <w:rsid w:val="00A77284"/>
    <w:rsid w:val="00A81A7F"/>
    <w:rsid w:val="00A81AA6"/>
    <w:rsid w:val="00A8221C"/>
    <w:rsid w:val="00A829C0"/>
    <w:rsid w:val="00A82CA8"/>
    <w:rsid w:val="00A843F0"/>
    <w:rsid w:val="00A8480B"/>
    <w:rsid w:val="00A85998"/>
    <w:rsid w:val="00A86A35"/>
    <w:rsid w:val="00A86BC6"/>
    <w:rsid w:val="00A87076"/>
    <w:rsid w:val="00A87096"/>
    <w:rsid w:val="00A90522"/>
    <w:rsid w:val="00A95261"/>
    <w:rsid w:val="00A953B2"/>
    <w:rsid w:val="00A95E7E"/>
    <w:rsid w:val="00A9615B"/>
    <w:rsid w:val="00A964A5"/>
    <w:rsid w:val="00A97B28"/>
    <w:rsid w:val="00AA0505"/>
    <w:rsid w:val="00AA05FE"/>
    <w:rsid w:val="00AA0E71"/>
    <w:rsid w:val="00AA1564"/>
    <w:rsid w:val="00AA178B"/>
    <w:rsid w:val="00AA29E2"/>
    <w:rsid w:val="00AA2E7E"/>
    <w:rsid w:val="00AA3228"/>
    <w:rsid w:val="00AA3AB5"/>
    <w:rsid w:val="00AA42E3"/>
    <w:rsid w:val="00AA5178"/>
    <w:rsid w:val="00AA7BBB"/>
    <w:rsid w:val="00AA7BBD"/>
    <w:rsid w:val="00AB0C0A"/>
    <w:rsid w:val="00AB0DFE"/>
    <w:rsid w:val="00AB1C19"/>
    <w:rsid w:val="00AB22BC"/>
    <w:rsid w:val="00AB288E"/>
    <w:rsid w:val="00AB2C7D"/>
    <w:rsid w:val="00AB5518"/>
    <w:rsid w:val="00AB6349"/>
    <w:rsid w:val="00AB694E"/>
    <w:rsid w:val="00AB6DCE"/>
    <w:rsid w:val="00AB753A"/>
    <w:rsid w:val="00AC0020"/>
    <w:rsid w:val="00AC0E82"/>
    <w:rsid w:val="00AC1BC5"/>
    <w:rsid w:val="00AC23B9"/>
    <w:rsid w:val="00AC2652"/>
    <w:rsid w:val="00AC3431"/>
    <w:rsid w:val="00AC4974"/>
    <w:rsid w:val="00AC503B"/>
    <w:rsid w:val="00AC50A8"/>
    <w:rsid w:val="00AC5A6F"/>
    <w:rsid w:val="00AC5D73"/>
    <w:rsid w:val="00AC5ED2"/>
    <w:rsid w:val="00AC79ED"/>
    <w:rsid w:val="00AD0CCD"/>
    <w:rsid w:val="00AD2D00"/>
    <w:rsid w:val="00AD391B"/>
    <w:rsid w:val="00AD4439"/>
    <w:rsid w:val="00AD64A3"/>
    <w:rsid w:val="00AD671D"/>
    <w:rsid w:val="00AD7840"/>
    <w:rsid w:val="00AD78F8"/>
    <w:rsid w:val="00AE5DF8"/>
    <w:rsid w:val="00AE6929"/>
    <w:rsid w:val="00AF0BC7"/>
    <w:rsid w:val="00AF1D11"/>
    <w:rsid w:val="00AF5FA6"/>
    <w:rsid w:val="00AF69D2"/>
    <w:rsid w:val="00AF77AF"/>
    <w:rsid w:val="00AF77EC"/>
    <w:rsid w:val="00B01CC8"/>
    <w:rsid w:val="00B034DC"/>
    <w:rsid w:val="00B0449D"/>
    <w:rsid w:val="00B05968"/>
    <w:rsid w:val="00B077CF"/>
    <w:rsid w:val="00B07983"/>
    <w:rsid w:val="00B11338"/>
    <w:rsid w:val="00B11485"/>
    <w:rsid w:val="00B12BB5"/>
    <w:rsid w:val="00B14D19"/>
    <w:rsid w:val="00B155A7"/>
    <w:rsid w:val="00B16162"/>
    <w:rsid w:val="00B173AC"/>
    <w:rsid w:val="00B21A8C"/>
    <w:rsid w:val="00B21F0B"/>
    <w:rsid w:val="00B220F5"/>
    <w:rsid w:val="00B22436"/>
    <w:rsid w:val="00B25D27"/>
    <w:rsid w:val="00B2721D"/>
    <w:rsid w:val="00B27BDC"/>
    <w:rsid w:val="00B30300"/>
    <w:rsid w:val="00B31110"/>
    <w:rsid w:val="00B317AA"/>
    <w:rsid w:val="00B33D9E"/>
    <w:rsid w:val="00B340AD"/>
    <w:rsid w:val="00B34336"/>
    <w:rsid w:val="00B34C22"/>
    <w:rsid w:val="00B365DE"/>
    <w:rsid w:val="00B36706"/>
    <w:rsid w:val="00B370F6"/>
    <w:rsid w:val="00B403A6"/>
    <w:rsid w:val="00B4062A"/>
    <w:rsid w:val="00B42D78"/>
    <w:rsid w:val="00B4471E"/>
    <w:rsid w:val="00B44C10"/>
    <w:rsid w:val="00B461B5"/>
    <w:rsid w:val="00B50470"/>
    <w:rsid w:val="00B53CC4"/>
    <w:rsid w:val="00B54BA6"/>
    <w:rsid w:val="00B54ED1"/>
    <w:rsid w:val="00B55DC4"/>
    <w:rsid w:val="00B55ECC"/>
    <w:rsid w:val="00B562D8"/>
    <w:rsid w:val="00B576F7"/>
    <w:rsid w:val="00B6082A"/>
    <w:rsid w:val="00B6225F"/>
    <w:rsid w:val="00B629C8"/>
    <w:rsid w:val="00B63E31"/>
    <w:rsid w:val="00B64559"/>
    <w:rsid w:val="00B652C7"/>
    <w:rsid w:val="00B6613A"/>
    <w:rsid w:val="00B6613F"/>
    <w:rsid w:val="00B665F5"/>
    <w:rsid w:val="00B675BE"/>
    <w:rsid w:val="00B72D27"/>
    <w:rsid w:val="00B737CF"/>
    <w:rsid w:val="00B73AE3"/>
    <w:rsid w:val="00B745FC"/>
    <w:rsid w:val="00B747BF"/>
    <w:rsid w:val="00B75357"/>
    <w:rsid w:val="00B75739"/>
    <w:rsid w:val="00B75832"/>
    <w:rsid w:val="00B75BF7"/>
    <w:rsid w:val="00B762C8"/>
    <w:rsid w:val="00B768EA"/>
    <w:rsid w:val="00B76FA0"/>
    <w:rsid w:val="00B77F40"/>
    <w:rsid w:val="00B8028C"/>
    <w:rsid w:val="00B811A3"/>
    <w:rsid w:val="00B811A9"/>
    <w:rsid w:val="00B819E7"/>
    <w:rsid w:val="00B8289A"/>
    <w:rsid w:val="00B82A1F"/>
    <w:rsid w:val="00B82F5F"/>
    <w:rsid w:val="00B8421F"/>
    <w:rsid w:val="00B85042"/>
    <w:rsid w:val="00B85ABD"/>
    <w:rsid w:val="00B865F5"/>
    <w:rsid w:val="00B86CD1"/>
    <w:rsid w:val="00B90DFD"/>
    <w:rsid w:val="00B90F23"/>
    <w:rsid w:val="00B9335B"/>
    <w:rsid w:val="00B935DA"/>
    <w:rsid w:val="00B93CBA"/>
    <w:rsid w:val="00BA090F"/>
    <w:rsid w:val="00BA20D5"/>
    <w:rsid w:val="00BA517D"/>
    <w:rsid w:val="00BA7ED7"/>
    <w:rsid w:val="00BA7F2A"/>
    <w:rsid w:val="00BB1B56"/>
    <w:rsid w:val="00BB1CEA"/>
    <w:rsid w:val="00BB22FE"/>
    <w:rsid w:val="00BB27D9"/>
    <w:rsid w:val="00BB3C7C"/>
    <w:rsid w:val="00BB49DC"/>
    <w:rsid w:val="00BB5652"/>
    <w:rsid w:val="00BB585E"/>
    <w:rsid w:val="00BB5C02"/>
    <w:rsid w:val="00BB63D4"/>
    <w:rsid w:val="00BB7D11"/>
    <w:rsid w:val="00BB7DCB"/>
    <w:rsid w:val="00BB7EF5"/>
    <w:rsid w:val="00BC0ECE"/>
    <w:rsid w:val="00BC111A"/>
    <w:rsid w:val="00BC1666"/>
    <w:rsid w:val="00BC1DCC"/>
    <w:rsid w:val="00BC1DE2"/>
    <w:rsid w:val="00BC2587"/>
    <w:rsid w:val="00BC34F3"/>
    <w:rsid w:val="00BC4292"/>
    <w:rsid w:val="00BC5988"/>
    <w:rsid w:val="00BC642E"/>
    <w:rsid w:val="00BC74B2"/>
    <w:rsid w:val="00BC74F6"/>
    <w:rsid w:val="00BD0167"/>
    <w:rsid w:val="00BD1ABD"/>
    <w:rsid w:val="00BD3793"/>
    <w:rsid w:val="00BD44B9"/>
    <w:rsid w:val="00BD626E"/>
    <w:rsid w:val="00BD7144"/>
    <w:rsid w:val="00BD784F"/>
    <w:rsid w:val="00BD7D8B"/>
    <w:rsid w:val="00BE008C"/>
    <w:rsid w:val="00BE163E"/>
    <w:rsid w:val="00BE17E3"/>
    <w:rsid w:val="00BE1FB7"/>
    <w:rsid w:val="00BE24A9"/>
    <w:rsid w:val="00BE27B0"/>
    <w:rsid w:val="00BE2FAC"/>
    <w:rsid w:val="00BE4BF4"/>
    <w:rsid w:val="00BE638D"/>
    <w:rsid w:val="00BE6AD2"/>
    <w:rsid w:val="00BF017C"/>
    <w:rsid w:val="00BF06B7"/>
    <w:rsid w:val="00BF21A4"/>
    <w:rsid w:val="00BF229E"/>
    <w:rsid w:val="00BF22D7"/>
    <w:rsid w:val="00BF264A"/>
    <w:rsid w:val="00BF266E"/>
    <w:rsid w:val="00BF3A43"/>
    <w:rsid w:val="00BF3C07"/>
    <w:rsid w:val="00BF3DD3"/>
    <w:rsid w:val="00BF4B24"/>
    <w:rsid w:val="00BF602B"/>
    <w:rsid w:val="00C017F3"/>
    <w:rsid w:val="00C01C72"/>
    <w:rsid w:val="00C01D7B"/>
    <w:rsid w:val="00C0325D"/>
    <w:rsid w:val="00C04B78"/>
    <w:rsid w:val="00C07018"/>
    <w:rsid w:val="00C107DE"/>
    <w:rsid w:val="00C1116F"/>
    <w:rsid w:val="00C117ED"/>
    <w:rsid w:val="00C11F2E"/>
    <w:rsid w:val="00C148D2"/>
    <w:rsid w:val="00C15E52"/>
    <w:rsid w:val="00C166D7"/>
    <w:rsid w:val="00C168B1"/>
    <w:rsid w:val="00C177F5"/>
    <w:rsid w:val="00C17866"/>
    <w:rsid w:val="00C20903"/>
    <w:rsid w:val="00C21093"/>
    <w:rsid w:val="00C22D79"/>
    <w:rsid w:val="00C23429"/>
    <w:rsid w:val="00C238E8"/>
    <w:rsid w:val="00C24222"/>
    <w:rsid w:val="00C24686"/>
    <w:rsid w:val="00C27FE4"/>
    <w:rsid w:val="00C304BA"/>
    <w:rsid w:val="00C33AB6"/>
    <w:rsid w:val="00C35508"/>
    <w:rsid w:val="00C36342"/>
    <w:rsid w:val="00C36698"/>
    <w:rsid w:val="00C375C7"/>
    <w:rsid w:val="00C43830"/>
    <w:rsid w:val="00C43ADD"/>
    <w:rsid w:val="00C43D91"/>
    <w:rsid w:val="00C43E40"/>
    <w:rsid w:val="00C45615"/>
    <w:rsid w:val="00C456B5"/>
    <w:rsid w:val="00C45ED0"/>
    <w:rsid w:val="00C475C0"/>
    <w:rsid w:val="00C503BF"/>
    <w:rsid w:val="00C51584"/>
    <w:rsid w:val="00C51722"/>
    <w:rsid w:val="00C51C4D"/>
    <w:rsid w:val="00C528B2"/>
    <w:rsid w:val="00C53DCB"/>
    <w:rsid w:val="00C5503F"/>
    <w:rsid w:val="00C551C6"/>
    <w:rsid w:val="00C55556"/>
    <w:rsid w:val="00C56097"/>
    <w:rsid w:val="00C564DD"/>
    <w:rsid w:val="00C56D5C"/>
    <w:rsid w:val="00C57AAC"/>
    <w:rsid w:val="00C60A27"/>
    <w:rsid w:val="00C60C3D"/>
    <w:rsid w:val="00C61ACA"/>
    <w:rsid w:val="00C6219D"/>
    <w:rsid w:val="00C63C07"/>
    <w:rsid w:val="00C63F8A"/>
    <w:rsid w:val="00C644FA"/>
    <w:rsid w:val="00C64569"/>
    <w:rsid w:val="00C65542"/>
    <w:rsid w:val="00C65991"/>
    <w:rsid w:val="00C65A3F"/>
    <w:rsid w:val="00C65A6A"/>
    <w:rsid w:val="00C65BB1"/>
    <w:rsid w:val="00C6601C"/>
    <w:rsid w:val="00C67996"/>
    <w:rsid w:val="00C701FE"/>
    <w:rsid w:val="00C7039F"/>
    <w:rsid w:val="00C717B0"/>
    <w:rsid w:val="00C71D11"/>
    <w:rsid w:val="00C739EC"/>
    <w:rsid w:val="00C74192"/>
    <w:rsid w:val="00C76A75"/>
    <w:rsid w:val="00C76E40"/>
    <w:rsid w:val="00C76F0C"/>
    <w:rsid w:val="00C77841"/>
    <w:rsid w:val="00C802D1"/>
    <w:rsid w:val="00C80F22"/>
    <w:rsid w:val="00C8176A"/>
    <w:rsid w:val="00C821DE"/>
    <w:rsid w:val="00C822F7"/>
    <w:rsid w:val="00C847F8"/>
    <w:rsid w:val="00C84E86"/>
    <w:rsid w:val="00C85F70"/>
    <w:rsid w:val="00C86781"/>
    <w:rsid w:val="00C86C9E"/>
    <w:rsid w:val="00C87536"/>
    <w:rsid w:val="00C87B39"/>
    <w:rsid w:val="00C90D9D"/>
    <w:rsid w:val="00C90E44"/>
    <w:rsid w:val="00C91F3A"/>
    <w:rsid w:val="00C92943"/>
    <w:rsid w:val="00C93285"/>
    <w:rsid w:val="00C93A0F"/>
    <w:rsid w:val="00C95D96"/>
    <w:rsid w:val="00C95FF4"/>
    <w:rsid w:val="00C96179"/>
    <w:rsid w:val="00C9642A"/>
    <w:rsid w:val="00C969E9"/>
    <w:rsid w:val="00CA0426"/>
    <w:rsid w:val="00CA0CEF"/>
    <w:rsid w:val="00CA115C"/>
    <w:rsid w:val="00CA17D8"/>
    <w:rsid w:val="00CA22DD"/>
    <w:rsid w:val="00CA36DF"/>
    <w:rsid w:val="00CA3831"/>
    <w:rsid w:val="00CA431A"/>
    <w:rsid w:val="00CA4D96"/>
    <w:rsid w:val="00CA6466"/>
    <w:rsid w:val="00CA6EFC"/>
    <w:rsid w:val="00CA79A9"/>
    <w:rsid w:val="00CA7E7E"/>
    <w:rsid w:val="00CB11D4"/>
    <w:rsid w:val="00CB1D7D"/>
    <w:rsid w:val="00CB211D"/>
    <w:rsid w:val="00CB236C"/>
    <w:rsid w:val="00CB23B4"/>
    <w:rsid w:val="00CB2E70"/>
    <w:rsid w:val="00CB42E1"/>
    <w:rsid w:val="00CB4482"/>
    <w:rsid w:val="00CB4E22"/>
    <w:rsid w:val="00CB4EE5"/>
    <w:rsid w:val="00CB5080"/>
    <w:rsid w:val="00CB62C3"/>
    <w:rsid w:val="00CB74AF"/>
    <w:rsid w:val="00CB784C"/>
    <w:rsid w:val="00CB7C7B"/>
    <w:rsid w:val="00CB9433"/>
    <w:rsid w:val="00CC017F"/>
    <w:rsid w:val="00CC11A6"/>
    <w:rsid w:val="00CC21CE"/>
    <w:rsid w:val="00CC2299"/>
    <w:rsid w:val="00CC39B7"/>
    <w:rsid w:val="00CC4543"/>
    <w:rsid w:val="00CC74C4"/>
    <w:rsid w:val="00CD0CAF"/>
    <w:rsid w:val="00CD2A69"/>
    <w:rsid w:val="00CD40D9"/>
    <w:rsid w:val="00CD4987"/>
    <w:rsid w:val="00CD79A7"/>
    <w:rsid w:val="00CD7B78"/>
    <w:rsid w:val="00CE0F94"/>
    <w:rsid w:val="00CE1732"/>
    <w:rsid w:val="00CE1AE0"/>
    <w:rsid w:val="00CE2CC5"/>
    <w:rsid w:val="00CE34C6"/>
    <w:rsid w:val="00CE3730"/>
    <w:rsid w:val="00CE476D"/>
    <w:rsid w:val="00CE5316"/>
    <w:rsid w:val="00CE6520"/>
    <w:rsid w:val="00CF2218"/>
    <w:rsid w:val="00CF2872"/>
    <w:rsid w:val="00CF2A46"/>
    <w:rsid w:val="00CF3846"/>
    <w:rsid w:val="00CF3C0C"/>
    <w:rsid w:val="00CF4B68"/>
    <w:rsid w:val="00CF5066"/>
    <w:rsid w:val="00CF5D2F"/>
    <w:rsid w:val="00CF72FF"/>
    <w:rsid w:val="00D00FFB"/>
    <w:rsid w:val="00D0173A"/>
    <w:rsid w:val="00D032E4"/>
    <w:rsid w:val="00D03F92"/>
    <w:rsid w:val="00D04739"/>
    <w:rsid w:val="00D04D10"/>
    <w:rsid w:val="00D05326"/>
    <w:rsid w:val="00D053C7"/>
    <w:rsid w:val="00D05400"/>
    <w:rsid w:val="00D058EA"/>
    <w:rsid w:val="00D077B1"/>
    <w:rsid w:val="00D07874"/>
    <w:rsid w:val="00D103C3"/>
    <w:rsid w:val="00D10898"/>
    <w:rsid w:val="00D10934"/>
    <w:rsid w:val="00D10A3F"/>
    <w:rsid w:val="00D10B17"/>
    <w:rsid w:val="00D1271E"/>
    <w:rsid w:val="00D1376D"/>
    <w:rsid w:val="00D14BB3"/>
    <w:rsid w:val="00D15287"/>
    <w:rsid w:val="00D15727"/>
    <w:rsid w:val="00D158D7"/>
    <w:rsid w:val="00D20662"/>
    <w:rsid w:val="00D22F4D"/>
    <w:rsid w:val="00D235CE"/>
    <w:rsid w:val="00D2372F"/>
    <w:rsid w:val="00D24482"/>
    <w:rsid w:val="00D250DC"/>
    <w:rsid w:val="00D25534"/>
    <w:rsid w:val="00D26B7C"/>
    <w:rsid w:val="00D30141"/>
    <w:rsid w:val="00D301DB"/>
    <w:rsid w:val="00D347DB"/>
    <w:rsid w:val="00D35811"/>
    <w:rsid w:val="00D35961"/>
    <w:rsid w:val="00D36DB4"/>
    <w:rsid w:val="00D377D7"/>
    <w:rsid w:val="00D40ECE"/>
    <w:rsid w:val="00D428B2"/>
    <w:rsid w:val="00D42D95"/>
    <w:rsid w:val="00D436F9"/>
    <w:rsid w:val="00D43FE3"/>
    <w:rsid w:val="00D4460F"/>
    <w:rsid w:val="00D462F5"/>
    <w:rsid w:val="00D47B7E"/>
    <w:rsid w:val="00D50A92"/>
    <w:rsid w:val="00D531FE"/>
    <w:rsid w:val="00D568E7"/>
    <w:rsid w:val="00D571D0"/>
    <w:rsid w:val="00D575FF"/>
    <w:rsid w:val="00D62FE9"/>
    <w:rsid w:val="00D632B9"/>
    <w:rsid w:val="00D63DEB"/>
    <w:rsid w:val="00D63E2F"/>
    <w:rsid w:val="00D651DA"/>
    <w:rsid w:val="00D65749"/>
    <w:rsid w:val="00D667D0"/>
    <w:rsid w:val="00D66940"/>
    <w:rsid w:val="00D66BD6"/>
    <w:rsid w:val="00D67D55"/>
    <w:rsid w:val="00D70426"/>
    <w:rsid w:val="00D708ED"/>
    <w:rsid w:val="00D70E55"/>
    <w:rsid w:val="00D71898"/>
    <w:rsid w:val="00D72C9B"/>
    <w:rsid w:val="00D72E25"/>
    <w:rsid w:val="00D76864"/>
    <w:rsid w:val="00D76B41"/>
    <w:rsid w:val="00D76C66"/>
    <w:rsid w:val="00D77FC5"/>
    <w:rsid w:val="00D7BB64"/>
    <w:rsid w:val="00D8045A"/>
    <w:rsid w:val="00D80AE7"/>
    <w:rsid w:val="00D82013"/>
    <w:rsid w:val="00D82B0E"/>
    <w:rsid w:val="00D831AD"/>
    <w:rsid w:val="00D86302"/>
    <w:rsid w:val="00D8714D"/>
    <w:rsid w:val="00D8783E"/>
    <w:rsid w:val="00D87D74"/>
    <w:rsid w:val="00D911DE"/>
    <w:rsid w:val="00D912CF"/>
    <w:rsid w:val="00D92016"/>
    <w:rsid w:val="00D924A4"/>
    <w:rsid w:val="00D92BB6"/>
    <w:rsid w:val="00D93F10"/>
    <w:rsid w:val="00D94556"/>
    <w:rsid w:val="00D945F1"/>
    <w:rsid w:val="00D94ECD"/>
    <w:rsid w:val="00D95490"/>
    <w:rsid w:val="00D960B3"/>
    <w:rsid w:val="00D9634C"/>
    <w:rsid w:val="00D96468"/>
    <w:rsid w:val="00D97510"/>
    <w:rsid w:val="00DA0AC3"/>
    <w:rsid w:val="00DA0EED"/>
    <w:rsid w:val="00DA1F77"/>
    <w:rsid w:val="00DA6D0D"/>
    <w:rsid w:val="00DA7064"/>
    <w:rsid w:val="00DA7C4D"/>
    <w:rsid w:val="00DB037D"/>
    <w:rsid w:val="00DB059C"/>
    <w:rsid w:val="00DB2FD1"/>
    <w:rsid w:val="00DB31C0"/>
    <w:rsid w:val="00DB3813"/>
    <w:rsid w:val="00DB4F16"/>
    <w:rsid w:val="00DB4FD5"/>
    <w:rsid w:val="00DB5277"/>
    <w:rsid w:val="00DB74BF"/>
    <w:rsid w:val="00DB75C1"/>
    <w:rsid w:val="00DC0371"/>
    <w:rsid w:val="00DC0397"/>
    <w:rsid w:val="00DC06EC"/>
    <w:rsid w:val="00DC2ACB"/>
    <w:rsid w:val="00DC3CF8"/>
    <w:rsid w:val="00DC6B1C"/>
    <w:rsid w:val="00DC6D1A"/>
    <w:rsid w:val="00DC7530"/>
    <w:rsid w:val="00DC79F0"/>
    <w:rsid w:val="00DD00F4"/>
    <w:rsid w:val="00DD0351"/>
    <w:rsid w:val="00DD0798"/>
    <w:rsid w:val="00DD1009"/>
    <w:rsid w:val="00DD2042"/>
    <w:rsid w:val="00DD2748"/>
    <w:rsid w:val="00DD2E69"/>
    <w:rsid w:val="00DD3470"/>
    <w:rsid w:val="00DD39CB"/>
    <w:rsid w:val="00DD71C3"/>
    <w:rsid w:val="00DE0412"/>
    <w:rsid w:val="00DE11AF"/>
    <w:rsid w:val="00DE17F3"/>
    <w:rsid w:val="00DE27F1"/>
    <w:rsid w:val="00DE2BA6"/>
    <w:rsid w:val="00DE378F"/>
    <w:rsid w:val="00DE3CD6"/>
    <w:rsid w:val="00DE4A5A"/>
    <w:rsid w:val="00DE6C7C"/>
    <w:rsid w:val="00DE75AE"/>
    <w:rsid w:val="00DE77A9"/>
    <w:rsid w:val="00DE7D07"/>
    <w:rsid w:val="00DF09D9"/>
    <w:rsid w:val="00DF1A2A"/>
    <w:rsid w:val="00DF2193"/>
    <w:rsid w:val="00DF2B8D"/>
    <w:rsid w:val="00DF3401"/>
    <w:rsid w:val="00DF357D"/>
    <w:rsid w:val="00DF5072"/>
    <w:rsid w:val="00DF642F"/>
    <w:rsid w:val="00E011D8"/>
    <w:rsid w:val="00E01A45"/>
    <w:rsid w:val="00E021B7"/>
    <w:rsid w:val="00E02AA2"/>
    <w:rsid w:val="00E02F80"/>
    <w:rsid w:val="00E042E6"/>
    <w:rsid w:val="00E05C87"/>
    <w:rsid w:val="00E0601B"/>
    <w:rsid w:val="00E06565"/>
    <w:rsid w:val="00E0752A"/>
    <w:rsid w:val="00E07891"/>
    <w:rsid w:val="00E07B1C"/>
    <w:rsid w:val="00E07C4A"/>
    <w:rsid w:val="00E07F1E"/>
    <w:rsid w:val="00E10925"/>
    <w:rsid w:val="00E10D81"/>
    <w:rsid w:val="00E11337"/>
    <w:rsid w:val="00E114C5"/>
    <w:rsid w:val="00E12426"/>
    <w:rsid w:val="00E1267F"/>
    <w:rsid w:val="00E13454"/>
    <w:rsid w:val="00E136EC"/>
    <w:rsid w:val="00E1414B"/>
    <w:rsid w:val="00E1594C"/>
    <w:rsid w:val="00E16214"/>
    <w:rsid w:val="00E16864"/>
    <w:rsid w:val="00E17CA8"/>
    <w:rsid w:val="00E2141B"/>
    <w:rsid w:val="00E2268D"/>
    <w:rsid w:val="00E24AC6"/>
    <w:rsid w:val="00E255DD"/>
    <w:rsid w:val="00E25634"/>
    <w:rsid w:val="00E25F32"/>
    <w:rsid w:val="00E26DBC"/>
    <w:rsid w:val="00E272EF"/>
    <w:rsid w:val="00E27AC4"/>
    <w:rsid w:val="00E30A81"/>
    <w:rsid w:val="00E30B7F"/>
    <w:rsid w:val="00E32625"/>
    <w:rsid w:val="00E33CDA"/>
    <w:rsid w:val="00E34A60"/>
    <w:rsid w:val="00E35A66"/>
    <w:rsid w:val="00E35DB3"/>
    <w:rsid w:val="00E35EB5"/>
    <w:rsid w:val="00E3FB9E"/>
    <w:rsid w:val="00E40568"/>
    <w:rsid w:val="00E40FF6"/>
    <w:rsid w:val="00E4282F"/>
    <w:rsid w:val="00E429EB"/>
    <w:rsid w:val="00E42A3A"/>
    <w:rsid w:val="00E42B3F"/>
    <w:rsid w:val="00E43A5B"/>
    <w:rsid w:val="00E445DB"/>
    <w:rsid w:val="00E44F8B"/>
    <w:rsid w:val="00E462C5"/>
    <w:rsid w:val="00E462F3"/>
    <w:rsid w:val="00E50CE9"/>
    <w:rsid w:val="00E52182"/>
    <w:rsid w:val="00E52C7B"/>
    <w:rsid w:val="00E52E05"/>
    <w:rsid w:val="00E52E13"/>
    <w:rsid w:val="00E52EFE"/>
    <w:rsid w:val="00E5349F"/>
    <w:rsid w:val="00E5497B"/>
    <w:rsid w:val="00E5722B"/>
    <w:rsid w:val="00E57E3F"/>
    <w:rsid w:val="00E60388"/>
    <w:rsid w:val="00E6058B"/>
    <w:rsid w:val="00E61A19"/>
    <w:rsid w:val="00E61AA8"/>
    <w:rsid w:val="00E621DD"/>
    <w:rsid w:val="00E65791"/>
    <w:rsid w:val="00E65D37"/>
    <w:rsid w:val="00E667A6"/>
    <w:rsid w:val="00E70C59"/>
    <w:rsid w:val="00E71D28"/>
    <w:rsid w:val="00E72BA9"/>
    <w:rsid w:val="00E74A8F"/>
    <w:rsid w:val="00E76030"/>
    <w:rsid w:val="00E77A52"/>
    <w:rsid w:val="00E80AB5"/>
    <w:rsid w:val="00E80D74"/>
    <w:rsid w:val="00E80EBA"/>
    <w:rsid w:val="00E81828"/>
    <w:rsid w:val="00E83147"/>
    <w:rsid w:val="00E8451B"/>
    <w:rsid w:val="00E845CB"/>
    <w:rsid w:val="00E8500F"/>
    <w:rsid w:val="00E85A4B"/>
    <w:rsid w:val="00E85FDF"/>
    <w:rsid w:val="00E86369"/>
    <w:rsid w:val="00E87399"/>
    <w:rsid w:val="00E87DED"/>
    <w:rsid w:val="00E91209"/>
    <w:rsid w:val="00E92315"/>
    <w:rsid w:val="00E95D82"/>
    <w:rsid w:val="00E9700F"/>
    <w:rsid w:val="00EA0330"/>
    <w:rsid w:val="00EA0507"/>
    <w:rsid w:val="00EA188A"/>
    <w:rsid w:val="00EA371A"/>
    <w:rsid w:val="00EA3803"/>
    <w:rsid w:val="00EA57E0"/>
    <w:rsid w:val="00EA5C18"/>
    <w:rsid w:val="00EA5E72"/>
    <w:rsid w:val="00EA6750"/>
    <w:rsid w:val="00EA69DE"/>
    <w:rsid w:val="00EA7E17"/>
    <w:rsid w:val="00EB0E4C"/>
    <w:rsid w:val="00EB20EB"/>
    <w:rsid w:val="00EB22AD"/>
    <w:rsid w:val="00EB2785"/>
    <w:rsid w:val="00EB2A28"/>
    <w:rsid w:val="00EB2A68"/>
    <w:rsid w:val="00EB32E1"/>
    <w:rsid w:val="00EB6A61"/>
    <w:rsid w:val="00EB70BF"/>
    <w:rsid w:val="00EC1CAB"/>
    <w:rsid w:val="00EC5722"/>
    <w:rsid w:val="00EC59FF"/>
    <w:rsid w:val="00EC6710"/>
    <w:rsid w:val="00EC6783"/>
    <w:rsid w:val="00ED0383"/>
    <w:rsid w:val="00ED03AE"/>
    <w:rsid w:val="00ED1442"/>
    <w:rsid w:val="00ED1DD0"/>
    <w:rsid w:val="00ED2EEB"/>
    <w:rsid w:val="00ED5BA4"/>
    <w:rsid w:val="00ED69D6"/>
    <w:rsid w:val="00ED76F3"/>
    <w:rsid w:val="00EE011F"/>
    <w:rsid w:val="00EE080C"/>
    <w:rsid w:val="00EE416A"/>
    <w:rsid w:val="00EE4466"/>
    <w:rsid w:val="00EE5D45"/>
    <w:rsid w:val="00EE6743"/>
    <w:rsid w:val="00EE689B"/>
    <w:rsid w:val="00EE727E"/>
    <w:rsid w:val="00EE7F7C"/>
    <w:rsid w:val="00EF01B4"/>
    <w:rsid w:val="00EF29DE"/>
    <w:rsid w:val="00EF3898"/>
    <w:rsid w:val="00EF4397"/>
    <w:rsid w:val="00EF4973"/>
    <w:rsid w:val="00EF506F"/>
    <w:rsid w:val="00EF53A9"/>
    <w:rsid w:val="00EF6436"/>
    <w:rsid w:val="00EF648A"/>
    <w:rsid w:val="00EF6779"/>
    <w:rsid w:val="00EF67ED"/>
    <w:rsid w:val="00EF736D"/>
    <w:rsid w:val="00F0144C"/>
    <w:rsid w:val="00F039A6"/>
    <w:rsid w:val="00F03A9A"/>
    <w:rsid w:val="00F05815"/>
    <w:rsid w:val="00F05C1F"/>
    <w:rsid w:val="00F0733D"/>
    <w:rsid w:val="00F10191"/>
    <w:rsid w:val="00F104CE"/>
    <w:rsid w:val="00F106BA"/>
    <w:rsid w:val="00F15AA1"/>
    <w:rsid w:val="00F16D33"/>
    <w:rsid w:val="00F212B2"/>
    <w:rsid w:val="00F22274"/>
    <w:rsid w:val="00F229D7"/>
    <w:rsid w:val="00F244CA"/>
    <w:rsid w:val="00F24857"/>
    <w:rsid w:val="00F3070D"/>
    <w:rsid w:val="00F3072A"/>
    <w:rsid w:val="00F311F7"/>
    <w:rsid w:val="00F31E2F"/>
    <w:rsid w:val="00F3353D"/>
    <w:rsid w:val="00F33834"/>
    <w:rsid w:val="00F33E46"/>
    <w:rsid w:val="00F34086"/>
    <w:rsid w:val="00F34976"/>
    <w:rsid w:val="00F367E7"/>
    <w:rsid w:val="00F372F1"/>
    <w:rsid w:val="00F379E7"/>
    <w:rsid w:val="00F37B43"/>
    <w:rsid w:val="00F40B72"/>
    <w:rsid w:val="00F41AF5"/>
    <w:rsid w:val="00F42A30"/>
    <w:rsid w:val="00F45670"/>
    <w:rsid w:val="00F50DF8"/>
    <w:rsid w:val="00F518E2"/>
    <w:rsid w:val="00F51C69"/>
    <w:rsid w:val="00F51E65"/>
    <w:rsid w:val="00F52704"/>
    <w:rsid w:val="00F53430"/>
    <w:rsid w:val="00F54E73"/>
    <w:rsid w:val="00F54E84"/>
    <w:rsid w:val="00F55FEA"/>
    <w:rsid w:val="00F60029"/>
    <w:rsid w:val="00F60720"/>
    <w:rsid w:val="00F608A6"/>
    <w:rsid w:val="00F60E3D"/>
    <w:rsid w:val="00F6220D"/>
    <w:rsid w:val="00F626A7"/>
    <w:rsid w:val="00F62C76"/>
    <w:rsid w:val="00F64F8D"/>
    <w:rsid w:val="00F6565B"/>
    <w:rsid w:val="00F66C3C"/>
    <w:rsid w:val="00F66FA9"/>
    <w:rsid w:val="00F679A2"/>
    <w:rsid w:val="00F7048D"/>
    <w:rsid w:val="00F705C3"/>
    <w:rsid w:val="00F72247"/>
    <w:rsid w:val="00F73DAC"/>
    <w:rsid w:val="00F748A6"/>
    <w:rsid w:val="00F74CC2"/>
    <w:rsid w:val="00F75626"/>
    <w:rsid w:val="00F75A73"/>
    <w:rsid w:val="00F767AA"/>
    <w:rsid w:val="00F7699F"/>
    <w:rsid w:val="00F76F8F"/>
    <w:rsid w:val="00F7747D"/>
    <w:rsid w:val="00F783DC"/>
    <w:rsid w:val="00F80700"/>
    <w:rsid w:val="00F8093E"/>
    <w:rsid w:val="00F80C72"/>
    <w:rsid w:val="00F82AF1"/>
    <w:rsid w:val="00F82FED"/>
    <w:rsid w:val="00F83697"/>
    <w:rsid w:val="00F83AD6"/>
    <w:rsid w:val="00F8429E"/>
    <w:rsid w:val="00F84602"/>
    <w:rsid w:val="00F86D1D"/>
    <w:rsid w:val="00F86F44"/>
    <w:rsid w:val="00F874DB"/>
    <w:rsid w:val="00F90869"/>
    <w:rsid w:val="00F921CD"/>
    <w:rsid w:val="00F92E18"/>
    <w:rsid w:val="00F93159"/>
    <w:rsid w:val="00F939A6"/>
    <w:rsid w:val="00F94E50"/>
    <w:rsid w:val="00F950D4"/>
    <w:rsid w:val="00F963D9"/>
    <w:rsid w:val="00F9641F"/>
    <w:rsid w:val="00F96A4B"/>
    <w:rsid w:val="00F96AE2"/>
    <w:rsid w:val="00F97B12"/>
    <w:rsid w:val="00FA055A"/>
    <w:rsid w:val="00FA177A"/>
    <w:rsid w:val="00FA1DB6"/>
    <w:rsid w:val="00FA2E68"/>
    <w:rsid w:val="00FA30D6"/>
    <w:rsid w:val="00FA35ED"/>
    <w:rsid w:val="00FA3879"/>
    <w:rsid w:val="00FA597C"/>
    <w:rsid w:val="00FA6FA0"/>
    <w:rsid w:val="00FB0666"/>
    <w:rsid w:val="00FB0700"/>
    <w:rsid w:val="00FB0745"/>
    <w:rsid w:val="00FB10FC"/>
    <w:rsid w:val="00FB3E93"/>
    <w:rsid w:val="00FB49F9"/>
    <w:rsid w:val="00FB6D3F"/>
    <w:rsid w:val="00FB741A"/>
    <w:rsid w:val="00FB78E2"/>
    <w:rsid w:val="00FC09F2"/>
    <w:rsid w:val="00FC0C37"/>
    <w:rsid w:val="00FC1625"/>
    <w:rsid w:val="00FC1AD4"/>
    <w:rsid w:val="00FC3710"/>
    <w:rsid w:val="00FC3ABA"/>
    <w:rsid w:val="00FC5058"/>
    <w:rsid w:val="00FC5AA4"/>
    <w:rsid w:val="00FC74BD"/>
    <w:rsid w:val="00FC7DF7"/>
    <w:rsid w:val="00FD2544"/>
    <w:rsid w:val="00FD2B99"/>
    <w:rsid w:val="00FD3E12"/>
    <w:rsid w:val="00FD45D9"/>
    <w:rsid w:val="00FD4E9A"/>
    <w:rsid w:val="00FD79CB"/>
    <w:rsid w:val="00FE05AD"/>
    <w:rsid w:val="00FE09AC"/>
    <w:rsid w:val="00FE2E18"/>
    <w:rsid w:val="00FE545C"/>
    <w:rsid w:val="00FE715C"/>
    <w:rsid w:val="00FE71CF"/>
    <w:rsid w:val="00FF034A"/>
    <w:rsid w:val="00FF0950"/>
    <w:rsid w:val="00FF0C98"/>
    <w:rsid w:val="00FF1FB4"/>
    <w:rsid w:val="00FF238E"/>
    <w:rsid w:val="00FF251F"/>
    <w:rsid w:val="00FF35FF"/>
    <w:rsid w:val="00FF373B"/>
    <w:rsid w:val="00FF381A"/>
    <w:rsid w:val="00FF3834"/>
    <w:rsid w:val="00FF4D5B"/>
    <w:rsid w:val="00FF516A"/>
    <w:rsid w:val="00FF553B"/>
    <w:rsid w:val="00FF5FB4"/>
    <w:rsid w:val="010087F0"/>
    <w:rsid w:val="010A5C2C"/>
    <w:rsid w:val="010F63AD"/>
    <w:rsid w:val="011979B9"/>
    <w:rsid w:val="0121A53B"/>
    <w:rsid w:val="01266047"/>
    <w:rsid w:val="012A6A04"/>
    <w:rsid w:val="0137207B"/>
    <w:rsid w:val="0138250F"/>
    <w:rsid w:val="014F50EA"/>
    <w:rsid w:val="015A0630"/>
    <w:rsid w:val="015CDAE0"/>
    <w:rsid w:val="015FF624"/>
    <w:rsid w:val="016EE2A4"/>
    <w:rsid w:val="017D41B5"/>
    <w:rsid w:val="019AC408"/>
    <w:rsid w:val="01A6B57A"/>
    <w:rsid w:val="01B255A3"/>
    <w:rsid w:val="01C59EA0"/>
    <w:rsid w:val="01D13783"/>
    <w:rsid w:val="020ABB25"/>
    <w:rsid w:val="0220ACAC"/>
    <w:rsid w:val="02245921"/>
    <w:rsid w:val="0229D35E"/>
    <w:rsid w:val="022DED9E"/>
    <w:rsid w:val="022F1A9A"/>
    <w:rsid w:val="024B6C45"/>
    <w:rsid w:val="0252FC18"/>
    <w:rsid w:val="02548AFB"/>
    <w:rsid w:val="025F4ECB"/>
    <w:rsid w:val="0262FDCB"/>
    <w:rsid w:val="02BFFA8B"/>
    <w:rsid w:val="02C668EA"/>
    <w:rsid w:val="02E3E290"/>
    <w:rsid w:val="02E4EA26"/>
    <w:rsid w:val="02ED820F"/>
    <w:rsid w:val="02FC3B67"/>
    <w:rsid w:val="0309A13E"/>
    <w:rsid w:val="0312B60E"/>
    <w:rsid w:val="03172B53"/>
    <w:rsid w:val="031DA514"/>
    <w:rsid w:val="03281475"/>
    <w:rsid w:val="0332A9F5"/>
    <w:rsid w:val="033D92D6"/>
    <w:rsid w:val="03555571"/>
    <w:rsid w:val="035B803F"/>
    <w:rsid w:val="036E8FD7"/>
    <w:rsid w:val="03B8AAF5"/>
    <w:rsid w:val="03EF1C2F"/>
    <w:rsid w:val="03F07CCD"/>
    <w:rsid w:val="03FE9F89"/>
    <w:rsid w:val="0401B53C"/>
    <w:rsid w:val="040F174F"/>
    <w:rsid w:val="0418068D"/>
    <w:rsid w:val="042C3D1E"/>
    <w:rsid w:val="0436245E"/>
    <w:rsid w:val="043E6652"/>
    <w:rsid w:val="046292B2"/>
    <w:rsid w:val="0487D89B"/>
    <w:rsid w:val="04B2A262"/>
    <w:rsid w:val="04BBA79B"/>
    <w:rsid w:val="04BCDDFC"/>
    <w:rsid w:val="04C0856B"/>
    <w:rsid w:val="04C6C028"/>
    <w:rsid w:val="04C73FF9"/>
    <w:rsid w:val="04C9F3EA"/>
    <w:rsid w:val="04D6A9E6"/>
    <w:rsid w:val="04D71C3E"/>
    <w:rsid w:val="04DBB140"/>
    <w:rsid w:val="04DF24DF"/>
    <w:rsid w:val="04F20F2D"/>
    <w:rsid w:val="04F3DBFD"/>
    <w:rsid w:val="04FD4230"/>
    <w:rsid w:val="050E8B4F"/>
    <w:rsid w:val="0531999A"/>
    <w:rsid w:val="053A74E1"/>
    <w:rsid w:val="053AF5B7"/>
    <w:rsid w:val="053ECE07"/>
    <w:rsid w:val="053F9922"/>
    <w:rsid w:val="054179CD"/>
    <w:rsid w:val="0549CF48"/>
    <w:rsid w:val="05531D9C"/>
    <w:rsid w:val="0555EF31"/>
    <w:rsid w:val="055D8072"/>
    <w:rsid w:val="0565A8ED"/>
    <w:rsid w:val="05723A28"/>
    <w:rsid w:val="057F189D"/>
    <w:rsid w:val="0586F506"/>
    <w:rsid w:val="05982CB0"/>
    <w:rsid w:val="05AF2661"/>
    <w:rsid w:val="05B3EFA1"/>
    <w:rsid w:val="05C71DD0"/>
    <w:rsid w:val="05CC6DEF"/>
    <w:rsid w:val="05EBAFEC"/>
    <w:rsid w:val="061D8DB7"/>
    <w:rsid w:val="06290155"/>
    <w:rsid w:val="06535B2D"/>
    <w:rsid w:val="065CE2D8"/>
    <w:rsid w:val="0685DF64"/>
    <w:rsid w:val="069B4894"/>
    <w:rsid w:val="06C1C63B"/>
    <w:rsid w:val="06CEF32C"/>
    <w:rsid w:val="06D8BD0E"/>
    <w:rsid w:val="06DF290B"/>
    <w:rsid w:val="06E52AB8"/>
    <w:rsid w:val="06E5A709"/>
    <w:rsid w:val="06F3B0F5"/>
    <w:rsid w:val="0707C97C"/>
    <w:rsid w:val="071F222C"/>
    <w:rsid w:val="0729F00F"/>
    <w:rsid w:val="072C37AB"/>
    <w:rsid w:val="072E7F4D"/>
    <w:rsid w:val="073D09DF"/>
    <w:rsid w:val="0768CE2C"/>
    <w:rsid w:val="0772177B"/>
    <w:rsid w:val="0777BEE0"/>
    <w:rsid w:val="077D61B6"/>
    <w:rsid w:val="077FDF2D"/>
    <w:rsid w:val="079CE8EC"/>
    <w:rsid w:val="079D0162"/>
    <w:rsid w:val="07A16E07"/>
    <w:rsid w:val="07A41C3D"/>
    <w:rsid w:val="07CC1586"/>
    <w:rsid w:val="07DC2462"/>
    <w:rsid w:val="07DF8031"/>
    <w:rsid w:val="07EFB407"/>
    <w:rsid w:val="08093AD2"/>
    <w:rsid w:val="080CA148"/>
    <w:rsid w:val="08128611"/>
    <w:rsid w:val="082B8942"/>
    <w:rsid w:val="082EC020"/>
    <w:rsid w:val="082EC571"/>
    <w:rsid w:val="082FD65E"/>
    <w:rsid w:val="0834B09B"/>
    <w:rsid w:val="08368A6C"/>
    <w:rsid w:val="086A48B6"/>
    <w:rsid w:val="087BBFFC"/>
    <w:rsid w:val="087CF3CA"/>
    <w:rsid w:val="08805A6C"/>
    <w:rsid w:val="0881CCEA"/>
    <w:rsid w:val="0885B27C"/>
    <w:rsid w:val="08887C72"/>
    <w:rsid w:val="088EEF7E"/>
    <w:rsid w:val="0890B7BA"/>
    <w:rsid w:val="08B6B12D"/>
    <w:rsid w:val="08D2139C"/>
    <w:rsid w:val="08D33CE4"/>
    <w:rsid w:val="08E22207"/>
    <w:rsid w:val="08E66385"/>
    <w:rsid w:val="08E864FF"/>
    <w:rsid w:val="08EBA657"/>
    <w:rsid w:val="08F43D04"/>
    <w:rsid w:val="090657A2"/>
    <w:rsid w:val="092B40FF"/>
    <w:rsid w:val="093079D1"/>
    <w:rsid w:val="093B558B"/>
    <w:rsid w:val="0949EACB"/>
    <w:rsid w:val="094C882F"/>
    <w:rsid w:val="097AE3EB"/>
    <w:rsid w:val="09832BDB"/>
    <w:rsid w:val="0991FE8C"/>
    <w:rsid w:val="099D3748"/>
    <w:rsid w:val="09AE3241"/>
    <w:rsid w:val="09B2ED76"/>
    <w:rsid w:val="09B8701A"/>
    <w:rsid w:val="09BCB105"/>
    <w:rsid w:val="09CDEBA7"/>
    <w:rsid w:val="09D5F1C6"/>
    <w:rsid w:val="09E3A6CC"/>
    <w:rsid w:val="09F221AE"/>
    <w:rsid w:val="0A09BC8D"/>
    <w:rsid w:val="0A0EA894"/>
    <w:rsid w:val="0A17771F"/>
    <w:rsid w:val="0A25D2FF"/>
    <w:rsid w:val="0A346025"/>
    <w:rsid w:val="0A380714"/>
    <w:rsid w:val="0A721AAC"/>
    <w:rsid w:val="0A940B30"/>
    <w:rsid w:val="0A9C8940"/>
    <w:rsid w:val="0AC55E10"/>
    <w:rsid w:val="0ACA0E87"/>
    <w:rsid w:val="0ACE5BAE"/>
    <w:rsid w:val="0AE19180"/>
    <w:rsid w:val="0AEFADBC"/>
    <w:rsid w:val="0AFA114A"/>
    <w:rsid w:val="0AFE3D00"/>
    <w:rsid w:val="0B0C4929"/>
    <w:rsid w:val="0B161177"/>
    <w:rsid w:val="0B1FD1FC"/>
    <w:rsid w:val="0B21BF49"/>
    <w:rsid w:val="0B322FED"/>
    <w:rsid w:val="0B5676B7"/>
    <w:rsid w:val="0B5E026D"/>
    <w:rsid w:val="0B64176E"/>
    <w:rsid w:val="0B662511"/>
    <w:rsid w:val="0B67C479"/>
    <w:rsid w:val="0B6BD417"/>
    <w:rsid w:val="0B7C2A6B"/>
    <w:rsid w:val="0B8C98D0"/>
    <w:rsid w:val="0B9112BF"/>
    <w:rsid w:val="0BB6DD00"/>
    <w:rsid w:val="0BB86091"/>
    <w:rsid w:val="0BC88C2E"/>
    <w:rsid w:val="0BD22777"/>
    <w:rsid w:val="0BD2F351"/>
    <w:rsid w:val="0BEE35D3"/>
    <w:rsid w:val="0C09E4AE"/>
    <w:rsid w:val="0C0F0149"/>
    <w:rsid w:val="0C1B2B05"/>
    <w:rsid w:val="0C27B08C"/>
    <w:rsid w:val="0C41D853"/>
    <w:rsid w:val="0C42A022"/>
    <w:rsid w:val="0C614CD5"/>
    <w:rsid w:val="0C6668B0"/>
    <w:rsid w:val="0C7672A8"/>
    <w:rsid w:val="0C78DCA4"/>
    <w:rsid w:val="0C856E95"/>
    <w:rsid w:val="0C9A16C3"/>
    <w:rsid w:val="0CA092F1"/>
    <w:rsid w:val="0CA30543"/>
    <w:rsid w:val="0CBE3AA8"/>
    <w:rsid w:val="0CC07E28"/>
    <w:rsid w:val="0CCA4E04"/>
    <w:rsid w:val="0CD73938"/>
    <w:rsid w:val="0CD81533"/>
    <w:rsid w:val="0CD9C4D1"/>
    <w:rsid w:val="0CF1D952"/>
    <w:rsid w:val="0D3A1887"/>
    <w:rsid w:val="0D4A2568"/>
    <w:rsid w:val="0D542C62"/>
    <w:rsid w:val="0D543AC0"/>
    <w:rsid w:val="0D5C97A7"/>
    <w:rsid w:val="0D6083FA"/>
    <w:rsid w:val="0D61CEF8"/>
    <w:rsid w:val="0D6D30A3"/>
    <w:rsid w:val="0D7B1BDC"/>
    <w:rsid w:val="0D9B5954"/>
    <w:rsid w:val="0D9C0287"/>
    <w:rsid w:val="0D9CD5F1"/>
    <w:rsid w:val="0DA8BAC5"/>
    <w:rsid w:val="0DABA4BF"/>
    <w:rsid w:val="0DB08CD1"/>
    <w:rsid w:val="0DBB717E"/>
    <w:rsid w:val="0DC4F5BD"/>
    <w:rsid w:val="0DCCFE7E"/>
    <w:rsid w:val="0DD6653A"/>
    <w:rsid w:val="0DE7FFF0"/>
    <w:rsid w:val="0DF4520A"/>
    <w:rsid w:val="0DF9DD3E"/>
    <w:rsid w:val="0DFBCBB1"/>
    <w:rsid w:val="0E2E2E8D"/>
    <w:rsid w:val="0E56B059"/>
    <w:rsid w:val="0E752BB6"/>
    <w:rsid w:val="0E7DCD1E"/>
    <w:rsid w:val="0E7EA3A1"/>
    <w:rsid w:val="0E838771"/>
    <w:rsid w:val="0E90A0DB"/>
    <w:rsid w:val="0EB37597"/>
    <w:rsid w:val="0EBEE512"/>
    <w:rsid w:val="0ED38B14"/>
    <w:rsid w:val="0ED6740B"/>
    <w:rsid w:val="0F23746F"/>
    <w:rsid w:val="0F2B4450"/>
    <w:rsid w:val="0F3F4D31"/>
    <w:rsid w:val="0F44C1D3"/>
    <w:rsid w:val="0F44CBE9"/>
    <w:rsid w:val="0F4A3461"/>
    <w:rsid w:val="0F50F690"/>
    <w:rsid w:val="0F533F68"/>
    <w:rsid w:val="0F57D419"/>
    <w:rsid w:val="0F63A550"/>
    <w:rsid w:val="0F65ABE7"/>
    <w:rsid w:val="0F729F1D"/>
    <w:rsid w:val="0FD8C8CD"/>
    <w:rsid w:val="0FE294E0"/>
    <w:rsid w:val="0FF6DA68"/>
    <w:rsid w:val="1008B76E"/>
    <w:rsid w:val="10166439"/>
    <w:rsid w:val="10236CAA"/>
    <w:rsid w:val="102A9250"/>
    <w:rsid w:val="1038F4E6"/>
    <w:rsid w:val="103AE436"/>
    <w:rsid w:val="103ED06B"/>
    <w:rsid w:val="1044739C"/>
    <w:rsid w:val="10452943"/>
    <w:rsid w:val="106433F9"/>
    <w:rsid w:val="1064421D"/>
    <w:rsid w:val="10649D56"/>
    <w:rsid w:val="106E0B77"/>
    <w:rsid w:val="1071DF23"/>
    <w:rsid w:val="1076F9D3"/>
    <w:rsid w:val="10773A48"/>
    <w:rsid w:val="107E6963"/>
    <w:rsid w:val="108FBF22"/>
    <w:rsid w:val="1093DE46"/>
    <w:rsid w:val="1094DF34"/>
    <w:rsid w:val="109F93E8"/>
    <w:rsid w:val="10A061F7"/>
    <w:rsid w:val="10D2D6F5"/>
    <w:rsid w:val="1155643E"/>
    <w:rsid w:val="116712A5"/>
    <w:rsid w:val="11ABFC4F"/>
    <w:rsid w:val="11B4742C"/>
    <w:rsid w:val="11D183A9"/>
    <w:rsid w:val="11D4839A"/>
    <w:rsid w:val="11E0AD37"/>
    <w:rsid w:val="11E7F31E"/>
    <w:rsid w:val="11F3DE9C"/>
    <w:rsid w:val="11F65995"/>
    <w:rsid w:val="1205E4B7"/>
    <w:rsid w:val="120B6092"/>
    <w:rsid w:val="120DAE4B"/>
    <w:rsid w:val="120ECD08"/>
    <w:rsid w:val="121D539D"/>
    <w:rsid w:val="12209ACD"/>
    <w:rsid w:val="12232E6B"/>
    <w:rsid w:val="1223EB92"/>
    <w:rsid w:val="124776C1"/>
    <w:rsid w:val="126C8C8B"/>
    <w:rsid w:val="12733B0F"/>
    <w:rsid w:val="1276BB3E"/>
    <w:rsid w:val="1290DC26"/>
    <w:rsid w:val="1297A21D"/>
    <w:rsid w:val="129986BF"/>
    <w:rsid w:val="12A27929"/>
    <w:rsid w:val="12A2F8D9"/>
    <w:rsid w:val="12AF82BF"/>
    <w:rsid w:val="12B4149B"/>
    <w:rsid w:val="12B42FFB"/>
    <w:rsid w:val="12B8329C"/>
    <w:rsid w:val="12B95916"/>
    <w:rsid w:val="12EBA087"/>
    <w:rsid w:val="12F79BDD"/>
    <w:rsid w:val="12FD1B37"/>
    <w:rsid w:val="1300EF3F"/>
    <w:rsid w:val="1319C9B4"/>
    <w:rsid w:val="13263B68"/>
    <w:rsid w:val="132FDC52"/>
    <w:rsid w:val="1357CF55"/>
    <w:rsid w:val="13730CC0"/>
    <w:rsid w:val="137D6E65"/>
    <w:rsid w:val="1392254D"/>
    <w:rsid w:val="139655B8"/>
    <w:rsid w:val="13B4126A"/>
    <w:rsid w:val="13BBF9B3"/>
    <w:rsid w:val="13C08F15"/>
    <w:rsid w:val="13D5799C"/>
    <w:rsid w:val="13EAF9C1"/>
    <w:rsid w:val="13EC802B"/>
    <w:rsid w:val="13EE3C66"/>
    <w:rsid w:val="13FD3133"/>
    <w:rsid w:val="141342EC"/>
    <w:rsid w:val="14166648"/>
    <w:rsid w:val="1419A644"/>
    <w:rsid w:val="143767EB"/>
    <w:rsid w:val="143DDF10"/>
    <w:rsid w:val="144A7689"/>
    <w:rsid w:val="145B2EF3"/>
    <w:rsid w:val="14658D95"/>
    <w:rsid w:val="148C1949"/>
    <w:rsid w:val="148D85F6"/>
    <w:rsid w:val="14AD8BE5"/>
    <w:rsid w:val="14BF410B"/>
    <w:rsid w:val="14D2873A"/>
    <w:rsid w:val="14D53FDB"/>
    <w:rsid w:val="14EF3F2A"/>
    <w:rsid w:val="15061524"/>
    <w:rsid w:val="150A4CEE"/>
    <w:rsid w:val="150E0859"/>
    <w:rsid w:val="1511A2B6"/>
    <w:rsid w:val="1538274D"/>
    <w:rsid w:val="15830C6F"/>
    <w:rsid w:val="15832B12"/>
    <w:rsid w:val="1585F029"/>
    <w:rsid w:val="1591D9B1"/>
    <w:rsid w:val="159C384A"/>
    <w:rsid w:val="159F8DDA"/>
    <w:rsid w:val="15A04381"/>
    <w:rsid w:val="15AB1549"/>
    <w:rsid w:val="15BD43DF"/>
    <w:rsid w:val="15C89B52"/>
    <w:rsid w:val="15F54809"/>
    <w:rsid w:val="161B991A"/>
    <w:rsid w:val="161EB6F9"/>
    <w:rsid w:val="1627E214"/>
    <w:rsid w:val="1643ACD3"/>
    <w:rsid w:val="16643F6D"/>
    <w:rsid w:val="1694FADE"/>
    <w:rsid w:val="16D6B5AE"/>
    <w:rsid w:val="16E471E4"/>
    <w:rsid w:val="16E5B8D1"/>
    <w:rsid w:val="16F77AEA"/>
    <w:rsid w:val="16FECFC7"/>
    <w:rsid w:val="170D5F30"/>
    <w:rsid w:val="171F7F8B"/>
    <w:rsid w:val="1722B9C0"/>
    <w:rsid w:val="172682C0"/>
    <w:rsid w:val="1737E7B1"/>
    <w:rsid w:val="173C0125"/>
    <w:rsid w:val="17509F92"/>
    <w:rsid w:val="1757A1E1"/>
    <w:rsid w:val="1757CFDD"/>
    <w:rsid w:val="1758FDAE"/>
    <w:rsid w:val="17713FBE"/>
    <w:rsid w:val="1772EB60"/>
    <w:rsid w:val="178DCB01"/>
    <w:rsid w:val="17AA7F38"/>
    <w:rsid w:val="17AAC9CF"/>
    <w:rsid w:val="17AAD8E6"/>
    <w:rsid w:val="17B9EB32"/>
    <w:rsid w:val="17BCA0CD"/>
    <w:rsid w:val="17C05E48"/>
    <w:rsid w:val="17CA2A37"/>
    <w:rsid w:val="17CC0E35"/>
    <w:rsid w:val="17E57A1A"/>
    <w:rsid w:val="17EB7A3D"/>
    <w:rsid w:val="180B5AC3"/>
    <w:rsid w:val="1819D567"/>
    <w:rsid w:val="1821DE26"/>
    <w:rsid w:val="18224F38"/>
    <w:rsid w:val="1832BEDD"/>
    <w:rsid w:val="1833A15D"/>
    <w:rsid w:val="1838CBA4"/>
    <w:rsid w:val="18683862"/>
    <w:rsid w:val="18787265"/>
    <w:rsid w:val="1878BC16"/>
    <w:rsid w:val="188B50BE"/>
    <w:rsid w:val="18A077F3"/>
    <w:rsid w:val="18B64F32"/>
    <w:rsid w:val="18C72856"/>
    <w:rsid w:val="18DA0C23"/>
    <w:rsid w:val="18DAFE49"/>
    <w:rsid w:val="18FD1B0A"/>
    <w:rsid w:val="190BB3BE"/>
    <w:rsid w:val="19158E27"/>
    <w:rsid w:val="19203E62"/>
    <w:rsid w:val="192B28FB"/>
    <w:rsid w:val="195304A0"/>
    <w:rsid w:val="196834F5"/>
    <w:rsid w:val="19717D4C"/>
    <w:rsid w:val="197A028A"/>
    <w:rsid w:val="1980BF78"/>
    <w:rsid w:val="19824223"/>
    <w:rsid w:val="1995E384"/>
    <w:rsid w:val="19B6E228"/>
    <w:rsid w:val="19BC89B8"/>
    <w:rsid w:val="19CE5615"/>
    <w:rsid w:val="19D0EF7F"/>
    <w:rsid w:val="19ED3040"/>
    <w:rsid w:val="1A1689C4"/>
    <w:rsid w:val="1A2164A2"/>
    <w:rsid w:val="1A275229"/>
    <w:rsid w:val="1A2FB48F"/>
    <w:rsid w:val="1A32848E"/>
    <w:rsid w:val="1A3F8E09"/>
    <w:rsid w:val="1A447B3B"/>
    <w:rsid w:val="1A4EE271"/>
    <w:rsid w:val="1A606488"/>
    <w:rsid w:val="1A7AEC6F"/>
    <w:rsid w:val="1A7F1438"/>
    <w:rsid w:val="1A88235E"/>
    <w:rsid w:val="1A944401"/>
    <w:rsid w:val="1A994EFA"/>
    <w:rsid w:val="1A9F6509"/>
    <w:rsid w:val="1AA59B41"/>
    <w:rsid w:val="1AAAC854"/>
    <w:rsid w:val="1AAE1C84"/>
    <w:rsid w:val="1AB2A61B"/>
    <w:rsid w:val="1AB446BB"/>
    <w:rsid w:val="1AD1CE68"/>
    <w:rsid w:val="1AEE1DCF"/>
    <w:rsid w:val="1AF3ECBC"/>
    <w:rsid w:val="1AFBFF8C"/>
    <w:rsid w:val="1AFCB3AA"/>
    <w:rsid w:val="1B112F7D"/>
    <w:rsid w:val="1B1B2A85"/>
    <w:rsid w:val="1B1E995E"/>
    <w:rsid w:val="1B4FA03B"/>
    <w:rsid w:val="1B6C7E45"/>
    <w:rsid w:val="1B8D5F69"/>
    <w:rsid w:val="1B950DD8"/>
    <w:rsid w:val="1BA1BC88"/>
    <w:rsid w:val="1BA8E31D"/>
    <w:rsid w:val="1BC2B009"/>
    <w:rsid w:val="1BC986D7"/>
    <w:rsid w:val="1BCA352F"/>
    <w:rsid w:val="1BCBCC81"/>
    <w:rsid w:val="1BCF0D8C"/>
    <w:rsid w:val="1BDDF655"/>
    <w:rsid w:val="1BDE0833"/>
    <w:rsid w:val="1BF78B98"/>
    <w:rsid w:val="1BF8489D"/>
    <w:rsid w:val="1BF8E1C6"/>
    <w:rsid w:val="1BF954AF"/>
    <w:rsid w:val="1C131670"/>
    <w:rsid w:val="1C13E5CC"/>
    <w:rsid w:val="1C35CBA1"/>
    <w:rsid w:val="1C3EE7BC"/>
    <w:rsid w:val="1C47701A"/>
    <w:rsid w:val="1C4CEFEB"/>
    <w:rsid w:val="1C4D816E"/>
    <w:rsid w:val="1C5DF6FA"/>
    <w:rsid w:val="1C7128DE"/>
    <w:rsid w:val="1C74F1CF"/>
    <w:rsid w:val="1C774ED0"/>
    <w:rsid w:val="1CAE8D50"/>
    <w:rsid w:val="1CB69C73"/>
    <w:rsid w:val="1CBD4498"/>
    <w:rsid w:val="1CC4CF63"/>
    <w:rsid w:val="1CCB7B8F"/>
    <w:rsid w:val="1CD92615"/>
    <w:rsid w:val="1D1F415C"/>
    <w:rsid w:val="1D333F6D"/>
    <w:rsid w:val="1D337F34"/>
    <w:rsid w:val="1D3986AB"/>
    <w:rsid w:val="1D3EA4B8"/>
    <w:rsid w:val="1D64E1CA"/>
    <w:rsid w:val="1D75032E"/>
    <w:rsid w:val="1D788BDD"/>
    <w:rsid w:val="1D7B4F6E"/>
    <w:rsid w:val="1D7CE54B"/>
    <w:rsid w:val="1D87F509"/>
    <w:rsid w:val="1D9CB427"/>
    <w:rsid w:val="1DA5E5CB"/>
    <w:rsid w:val="1DB742A0"/>
    <w:rsid w:val="1DC052CB"/>
    <w:rsid w:val="1DF45A48"/>
    <w:rsid w:val="1E0C9435"/>
    <w:rsid w:val="1E0D32F2"/>
    <w:rsid w:val="1E104554"/>
    <w:rsid w:val="1E2055D8"/>
    <w:rsid w:val="1E36D85C"/>
    <w:rsid w:val="1E4391C3"/>
    <w:rsid w:val="1E43A59D"/>
    <w:rsid w:val="1E615E77"/>
    <w:rsid w:val="1E89EFF3"/>
    <w:rsid w:val="1E8AC6AF"/>
    <w:rsid w:val="1E955051"/>
    <w:rsid w:val="1EA1371D"/>
    <w:rsid w:val="1EA24DC4"/>
    <w:rsid w:val="1EBFC132"/>
    <w:rsid w:val="1ED06966"/>
    <w:rsid w:val="1EE3A464"/>
    <w:rsid w:val="1EF27005"/>
    <w:rsid w:val="1EFDA064"/>
    <w:rsid w:val="1F03CA20"/>
    <w:rsid w:val="1F3FE3F0"/>
    <w:rsid w:val="1F495DF9"/>
    <w:rsid w:val="1F563A8F"/>
    <w:rsid w:val="1F57E464"/>
    <w:rsid w:val="1F589172"/>
    <w:rsid w:val="1F5EB530"/>
    <w:rsid w:val="1F715E27"/>
    <w:rsid w:val="1F788846"/>
    <w:rsid w:val="1F7A3019"/>
    <w:rsid w:val="1F9564C5"/>
    <w:rsid w:val="1FDDEC86"/>
    <w:rsid w:val="1FE69058"/>
    <w:rsid w:val="1FE77758"/>
    <w:rsid w:val="1FEA610E"/>
    <w:rsid w:val="1FF5774E"/>
    <w:rsid w:val="1FFDBB00"/>
    <w:rsid w:val="1FFEF395"/>
    <w:rsid w:val="200B199B"/>
    <w:rsid w:val="20445AA5"/>
    <w:rsid w:val="205AEED3"/>
    <w:rsid w:val="20650217"/>
    <w:rsid w:val="207063A8"/>
    <w:rsid w:val="2071C06D"/>
    <w:rsid w:val="209CB809"/>
    <w:rsid w:val="20A534CF"/>
    <w:rsid w:val="20A7D0BB"/>
    <w:rsid w:val="20B3D882"/>
    <w:rsid w:val="20BD8557"/>
    <w:rsid w:val="20CEC3EA"/>
    <w:rsid w:val="20DF8A24"/>
    <w:rsid w:val="2115BD36"/>
    <w:rsid w:val="21194531"/>
    <w:rsid w:val="2148ED29"/>
    <w:rsid w:val="214A7C95"/>
    <w:rsid w:val="215590D2"/>
    <w:rsid w:val="217503FC"/>
    <w:rsid w:val="21760F99"/>
    <w:rsid w:val="21A07FCE"/>
    <w:rsid w:val="21A99785"/>
    <w:rsid w:val="21AC7F24"/>
    <w:rsid w:val="21ADFCD6"/>
    <w:rsid w:val="21B63F93"/>
    <w:rsid w:val="21C877CA"/>
    <w:rsid w:val="21D08B90"/>
    <w:rsid w:val="21D4312A"/>
    <w:rsid w:val="21D92D31"/>
    <w:rsid w:val="21F5D96A"/>
    <w:rsid w:val="21FF5014"/>
    <w:rsid w:val="2210C9A9"/>
    <w:rsid w:val="222A572A"/>
    <w:rsid w:val="222B76D2"/>
    <w:rsid w:val="22304B2F"/>
    <w:rsid w:val="223A5475"/>
    <w:rsid w:val="2247E896"/>
    <w:rsid w:val="224BCD8E"/>
    <w:rsid w:val="2251FF71"/>
    <w:rsid w:val="2252E5FA"/>
    <w:rsid w:val="225BCCE2"/>
    <w:rsid w:val="22683EFD"/>
    <w:rsid w:val="2269F216"/>
    <w:rsid w:val="226DFC3D"/>
    <w:rsid w:val="2282C37A"/>
    <w:rsid w:val="22A96AF2"/>
    <w:rsid w:val="22AC5A53"/>
    <w:rsid w:val="22ACC05D"/>
    <w:rsid w:val="22E5503B"/>
    <w:rsid w:val="232FE035"/>
    <w:rsid w:val="23320FFA"/>
    <w:rsid w:val="233CD293"/>
    <w:rsid w:val="236034E5"/>
    <w:rsid w:val="237EEB41"/>
    <w:rsid w:val="23968368"/>
    <w:rsid w:val="239983F3"/>
    <w:rsid w:val="23A7C946"/>
    <w:rsid w:val="23B4F96D"/>
    <w:rsid w:val="23D6102A"/>
    <w:rsid w:val="23E360A0"/>
    <w:rsid w:val="23E55065"/>
    <w:rsid w:val="23F1DD78"/>
    <w:rsid w:val="2404EDC8"/>
    <w:rsid w:val="242C0163"/>
    <w:rsid w:val="2461E16F"/>
    <w:rsid w:val="2464B208"/>
    <w:rsid w:val="2481CEDB"/>
    <w:rsid w:val="2483438B"/>
    <w:rsid w:val="2488D576"/>
    <w:rsid w:val="2491CDD2"/>
    <w:rsid w:val="24A55082"/>
    <w:rsid w:val="24AAAB85"/>
    <w:rsid w:val="24C3C3F3"/>
    <w:rsid w:val="24E43065"/>
    <w:rsid w:val="24E609A9"/>
    <w:rsid w:val="24E8F49A"/>
    <w:rsid w:val="24EA8FB4"/>
    <w:rsid w:val="25126644"/>
    <w:rsid w:val="252DE42C"/>
    <w:rsid w:val="253D9BBB"/>
    <w:rsid w:val="254E9F77"/>
    <w:rsid w:val="2561D048"/>
    <w:rsid w:val="25724DE1"/>
    <w:rsid w:val="258B7693"/>
    <w:rsid w:val="25B35648"/>
    <w:rsid w:val="25BEB74A"/>
    <w:rsid w:val="25C1D8A7"/>
    <w:rsid w:val="25FC588B"/>
    <w:rsid w:val="260455A2"/>
    <w:rsid w:val="260CCB69"/>
    <w:rsid w:val="261E39EF"/>
    <w:rsid w:val="262FD0FC"/>
    <w:rsid w:val="263F7EC4"/>
    <w:rsid w:val="26610E81"/>
    <w:rsid w:val="26694FD1"/>
    <w:rsid w:val="268C2935"/>
    <w:rsid w:val="269283EC"/>
    <w:rsid w:val="26929AF8"/>
    <w:rsid w:val="269B334C"/>
    <w:rsid w:val="26AEDFE3"/>
    <w:rsid w:val="26CB9CB3"/>
    <w:rsid w:val="26DD7D5E"/>
    <w:rsid w:val="26FF45EE"/>
    <w:rsid w:val="2709DD74"/>
    <w:rsid w:val="27139153"/>
    <w:rsid w:val="2717BA44"/>
    <w:rsid w:val="27193EE3"/>
    <w:rsid w:val="271C8B7C"/>
    <w:rsid w:val="272DD384"/>
    <w:rsid w:val="272E7434"/>
    <w:rsid w:val="274648A5"/>
    <w:rsid w:val="274E0C47"/>
    <w:rsid w:val="2765E0D7"/>
    <w:rsid w:val="2790DC07"/>
    <w:rsid w:val="27A2B30C"/>
    <w:rsid w:val="27A93EFE"/>
    <w:rsid w:val="27B0E377"/>
    <w:rsid w:val="27BC99DC"/>
    <w:rsid w:val="27C1654B"/>
    <w:rsid w:val="27CF99DD"/>
    <w:rsid w:val="27D43B58"/>
    <w:rsid w:val="27F1387E"/>
    <w:rsid w:val="27F285A4"/>
    <w:rsid w:val="280E1E00"/>
    <w:rsid w:val="281D17C1"/>
    <w:rsid w:val="282773D3"/>
    <w:rsid w:val="2840A6C8"/>
    <w:rsid w:val="284F10E6"/>
    <w:rsid w:val="28540BB5"/>
    <w:rsid w:val="285EB2FD"/>
    <w:rsid w:val="2877F573"/>
    <w:rsid w:val="288397FD"/>
    <w:rsid w:val="2897E605"/>
    <w:rsid w:val="28B71A6D"/>
    <w:rsid w:val="28B88481"/>
    <w:rsid w:val="28C28C14"/>
    <w:rsid w:val="28C64BC2"/>
    <w:rsid w:val="28F10C15"/>
    <w:rsid w:val="28F89C62"/>
    <w:rsid w:val="28FDC86D"/>
    <w:rsid w:val="290C565F"/>
    <w:rsid w:val="290F3BF4"/>
    <w:rsid w:val="292F2A39"/>
    <w:rsid w:val="294B923A"/>
    <w:rsid w:val="296618E3"/>
    <w:rsid w:val="2983872B"/>
    <w:rsid w:val="2987641D"/>
    <w:rsid w:val="29949956"/>
    <w:rsid w:val="299C2E89"/>
    <w:rsid w:val="29A85571"/>
    <w:rsid w:val="29ADED75"/>
    <w:rsid w:val="29B5E32D"/>
    <w:rsid w:val="29B677C3"/>
    <w:rsid w:val="29C4429A"/>
    <w:rsid w:val="29C9A131"/>
    <w:rsid w:val="29D2F78D"/>
    <w:rsid w:val="29E19D82"/>
    <w:rsid w:val="29E82EA0"/>
    <w:rsid w:val="2A0E3BB4"/>
    <w:rsid w:val="2A0FCFD3"/>
    <w:rsid w:val="2A17E7DF"/>
    <w:rsid w:val="2A1A90D7"/>
    <w:rsid w:val="2A1F541E"/>
    <w:rsid w:val="2A1F7BF2"/>
    <w:rsid w:val="2A3F7A4D"/>
    <w:rsid w:val="2A40D12E"/>
    <w:rsid w:val="2A45A7AB"/>
    <w:rsid w:val="2A510641"/>
    <w:rsid w:val="2A5110AF"/>
    <w:rsid w:val="2A5D07ED"/>
    <w:rsid w:val="2A5E37D6"/>
    <w:rsid w:val="2A7C3CCA"/>
    <w:rsid w:val="2A9CDEBA"/>
    <w:rsid w:val="2A9D2A6B"/>
    <w:rsid w:val="2AB848D2"/>
    <w:rsid w:val="2AC36C3B"/>
    <w:rsid w:val="2AC4BC68"/>
    <w:rsid w:val="2AF86C02"/>
    <w:rsid w:val="2B0A17B1"/>
    <w:rsid w:val="2B28F1A7"/>
    <w:rsid w:val="2B5DD9F1"/>
    <w:rsid w:val="2B742A5A"/>
    <w:rsid w:val="2BB6AFD0"/>
    <w:rsid w:val="2BBD7718"/>
    <w:rsid w:val="2BBFE288"/>
    <w:rsid w:val="2BC5D7DB"/>
    <w:rsid w:val="2BCA511D"/>
    <w:rsid w:val="2BD068F5"/>
    <w:rsid w:val="2BE5FF45"/>
    <w:rsid w:val="2C08B0CA"/>
    <w:rsid w:val="2C17F717"/>
    <w:rsid w:val="2C2EF7B5"/>
    <w:rsid w:val="2C3B8AEF"/>
    <w:rsid w:val="2C549B0C"/>
    <w:rsid w:val="2C682764"/>
    <w:rsid w:val="2C6F435D"/>
    <w:rsid w:val="2C7B625C"/>
    <w:rsid w:val="2C7D7825"/>
    <w:rsid w:val="2C92F27C"/>
    <w:rsid w:val="2C9B61C8"/>
    <w:rsid w:val="2CAA9BA9"/>
    <w:rsid w:val="2CB79270"/>
    <w:rsid w:val="2CD7A372"/>
    <w:rsid w:val="2CF1E534"/>
    <w:rsid w:val="2CF3487C"/>
    <w:rsid w:val="2CF54576"/>
    <w:rsid w:val="2CF683C2"/>
    <w:rsid w:val="2CFAB876"/>
    <w:rsid w:val="2D071A92"/>
    <w:rsid w:val="2D107A34"/>
    <w:rsid w:val="2D34440C"/>
    <w:rsid w:val="2D382010"/>
    <w:rsid w:val="2D39AC0A"/>
    <w:rsid w:val="2D3F7AA5"/>
    <w:rsid w:val="2D437CAC"/>
    <w:rsid w:val="2D44C663"/>
    <w:rsid w:val="2D59FD7D"/>
    <w:rsid w:val="2D5C023E"/>
    <w:rsid w:val="2D6166A8"/>
    <w:rsid w:val="2D654903"/>
    <w:rsid w:val="2D707456"/>
    <w:rsid w:val="2D7B97FF"/>
    <w:rsid w:val="2D7E7194"/>
    <w:rsid w:val="2D85ECE8"/>
    <w:rsid w:val="2DC201FC"/>
    <w:rsid w:val="2DCBA1DB"/>
    <w:rsid w:val="2DCD678D"/>
    <w:rsid w:val="2DCF527B"/>
    <w:rsid w:val="2DD1DA51"/>
    <w:rsid w:val="2E0C9642"/>
    <w:rsid w:val="2E17565B"/>
    <w:rsid w:val="2E1B4163"/>
    <w:rsid w:val="2E21770D"/>
    <w:rsid w:val="2E23C4C4"/>
    <w:rsid w:val="2E4195B1"/>
    <w:rsid w:val="2E47A31B"/>
    <w:rsid w:val="2E4C2331"/>
    <w:rsid w:val="2E506086"/>
    <w:rsid w:val="2E529521"/>
    <w:rsid w:val="2E62988B"/>
    <w:rsid w:val="2E7716C6"/>
    <w:rsid w:val="2E7F9812"/>
    <w:rsid w:val="2E974697"/>
    <w:rsid w:val="2EA034DF"/>
    <w:rsid w:val="2EBEF71B"/>
    <w:rsid w:val="2EE9AAE0"/>
    <w:rsid w:val="2EED6771"/>
    <w:rsid w:val="2F2214A9"/>
    <w:rsid w:val="2F2E6251"/>
    <w:rsid w:val="2F2FCE67"/>
    <w:rsid w:val="2F4D9913"/>
    <w:rsid w:val="2F65CD7B"/>
    <w:rsid w:val="2F72796D"/>
    <w:rsid w:val="2F853E23"/>
    <w:rsid w:val="2F986765"/>
    <w:rsid w:val="2F99A8FA"/>
    <w:rsid w:val="2FAD56E8"/>
    <w:rsid w:val="2FBEEDD1"/>
    <w:rsid w:val="2FCC2F6B"/>
    <w:rsid w:val="2FE4EE79"/>
    <w:rsid w:val="2FEC20C3"/>
    <w:rsid w:val="2FF14B3D"/>
    <w:rsid w:val="3002C4ED"/>
    <w:rsid w:val="30045DD3"/>
    <w:rsid w:val="3008F4F0"/>
    <w:rsid w:val="3012B42C"/>
    <w:rsid w:val="3012D320"/>
    <w:rsid w:val="30151B92"/>
    <w:rsid w:val="301F52FF"/>
    <w:rsid w:val="302AF8BE"/>
    <w:rsid w:val="30333027"/>
    <w:rsid w:val="30364829"/>
    <w:rsid w:val="303AE1CD"/>
    <w:rsid w:val="30405FB3"/>
    <w:rsid w:val="305E8532"/>
    <w:rsid w:val="30601709"/>
    <w:rsid w:val="3087E4E4"/>
    <w:rsid w:val="30918C67"/>
    <w:rsid w:val="30A7E352"/>
    <w:rsid w:val="30B26C16"/>
    <w:rsid w:val="30BB011B"/>
    <w:rsid w:val="30BBB0C3"/>
    <w:rsid w:val="30BF4667"/>
    <w:rsid w:val="30C9EAB1"/>
    <w:rsid w:val="30CBE2A6"/>
    <w:rsid w:val="30D0620D"/>
    <w:rsid w:val="30D1A229"/>
    <w:rsid w:val="30DCD9E2"/>
    <w:rsid w:val="30EED610"/>
    <w:rsid w:val="30EF10D8"/>
    <w:rsid w:val="30F2EA65"/>
    <w:rsid w:val="3103FA38"/>
    <w:rsid w:val="310838BD"/>
    <w:rsid w:val="310BB682"/>
    <w:rsid w:val="310BC332"/>
    <w:rsid w:val="3119EDFF"/>
    <w:rsid w:val="311D8D04"/>
    <w:rsid w:val="311F68C6"/>
    <w:rsid w:val="3123A802"/>
    <w:rsid w:val="312D762D"/>
    <w:rsid w:val="313EF2ED"/>
    <w:rsid w:val="31419B35"/>
    <w:rsid w:val="31458EEC"/>
    <w:rsid w:val="31473FB0"/>
    <w:rsid w:val="314D219C"/>
    <w:rsid w:val="316D9EF6"/>
    <w:rsid w:val="31813A56"/>
    <w:rsid w:val="31953C79"/>
    <w:rsid w:val="31996E24"/>
    <w:rsid w:val="319AE17B"/>
    <w:rsid w:val="319FD0C4"/>
    <w:rsid w:val="31C5711B"/>
    <w:rsid w:val="31C91C7B"/>
    <w:rsid w:val="31F4CEC3"/>
    <w:rsid w:val="31F5006C"/>
    <w:rsid w:val="321B92A9"/>
    <w:rsid w:val="32249BC5"/>
    <w:rsid w:val="322B139E"/>
    <w:rsid w:val="322C2650"/>
    <w:rsid w:val="32359477"/>
    <w:rsid w:val="324EA5B3"/>
    <w:rsid w:val="328D9281"/>
    <w:rsid w:val="3296EF0D"/>
    <w:rsid w:val="32A0ECBD"/>
    <w:rsid w:val="32A2DE59"/>
    <w:rsid w:val="32A93DE1"/>
    <w:rsid w:val="32AE2A25"/>
    <w:rsid w:val="32AF3441"/>
    <w:rsid w:val="32BC39CC"/>
    <w:rsid w:val="32DA97D2"/>
    <w:rsid w:val="32DA97EB"/>
    <w:rsid w:val="33110190"/>
    <w:rsid w:val="331689EC"/>
    <w:rsid w:val="33246353"/>
    <w:rsid w:val="3335CC58"/>
    <w:rsid w:val="33502FB9"/>
    <w:rsid w:val="33574845"/>
    <w:rsid w:val="335B0051"/>
    <w:rsid w:val="33696097"/>
    <w:rsid w:val="336D532A"/>
    <w:rsid w:val="337D9127"/>
    <w:rsid w:val="338997EF"/>
    <w:rsid w:val="339AE94F"/>
    <w:rsid w:val="33A8E54E"/>
    <w:rsid w:val="33AD5A41"/>
    <w:rsid w:val="33AEF036"/>
    <w:rsid w:val="33BF4C01"/>
    <w:rsid w:val="33C453CF"/>
    <w:rsid w:val="33E24ED5"/>
    <w:rsid w:val="33E582B1"/>
    <w:rsid w:val="33EC449D"/>
    <w:rsid w:val="33FB3D44"/>
    <w:rsid w:val="33FD94BB"/>
    <w:rsid w:val="344B5DEA"/>
    <w:rsid w:val="345BFB9D"/>
    <w:rsid w:val="346A64D9"/>
    <w:rsid w:val="346FDAA7"/>
    <w:rsid w:val="348081B6"/>
    <w:rsid w:val="348DC386"/>
    <w:rsid w:val="3494F58B"/>
    <w:rsid w:val="34A8F013"/>
    <w:rsid w:val="34BBA19B"/>
    <w:rsid w:val="34CBE361"/>
    <w:rsid w:val="34D3D19A"/>
    <w:rsid w:val="34D52673"/>
    <w:rsid w:val="34D8CA8E"/>
    <w:rsid w:val="34E7F8ED"/>
    <w:rsid w:val="35080778"/>
    <w:rsid w:val="35163473"/>
    <w:rsid w:val="354FB3FF"/>
    <w:rsid w:val="35788035"/>
    <w:rsid w:val="35C33D63"/>
    <w:rsid w:val="35CDFCB5"/>
    <w:rsid w:val="35D5BAB1"/>
    <w:rsid w:val="35E6D84A"/>
    <w:rsid w:val="35EA7D86"/>
    <w:rsid w:val="35F63338"/>
    <w:rsid w:val="3643863C"/>
    <w:rsid w:val="36452373"/>
    <w:rsid w:val="36553DA7"/>
    <w:rsid w:val="36795DE0"/>
    <w:rsid w:val="367D5F42"/>
    <w:rsid w:val="36933527"/>
    <w:rsid w:val="3699703C"/>
    <w:rsid w:val="36A0A858"/>
    <w:rsid w:val="36B00E17"/>
    <w:rsid w:val="36CDA6E3"/>
    <w:rsid w:val="36CFD024"/>
    <w:rsid w:val="36E8FC73"/>
    <w:rsid w:val="372174AD"/>
    <w:rsid w:val="37242B63"/>
    <w:rsid w:val="37256BB1"/>
    <w:rsid w:val="373B5101"/>
    <w:rsid w:val="3744686A"/>
    <w:rsid w:val="3746D17F"/>
    <w:rsid w:val="3761F9A2"/>
    <w:rsid w:val="37783C19"/>
    <w:rsid w:val="378440A7"/>
    <w:rsid w:val="37901746"/>
    <w:rsid w:val="37918065"/>
    <w:rsid w:val="3799354F"/>
    <w:rsid w:val="37A6C698"/>
    <w:rsid w:val="37DD0500"/>
    <w:rsid w:val="37DFD140"/>
    <w:rsid w:val="37E797AF"/>
    <w:rsid w:val="37E975DA"/>
    <w:rsid w:val="37EB6F38"/>
    <w:rsid w:val="381A6C28"/>
    <w:rsid w:val="381B5DD9"/>
    <w:rsid w:val="38310BB7"/>
    <w:rsid w:val="3835FE26"/>
    <w:rsid w:val="383CCD3D"/>
    <w:rsid w:val="386DF5D1"/>
    <w:rsid w:val="387D0B29"/>
    <w:rsid w:val="38863CBE"/>
    <w:rsid w:val="388F724C"/>
    <w:rsid w:val="389B1414"/>
    <w:rsid w:val="38A956BA"/>
    <w:rsid w:val="38AB1840"/>
    <w:rsid w:val="38B518D0"/>
    <w:rsid w:val="38C1B5B4"/>
    <w:rsid w:val="38C60544"/>
    <w:rsid w:val="38C6B011"/>
    <w:rsid w:val="38D696DD"/>
    <w:rsid w:val="38DB57E2"/>
    <w:rsid w:val="38DBECC2"/>
    <w:rsid w:val="38E74CE4"/>
    <w:rsid w:val="38FCF49B"/>
    <w:rsid w:val="3905C4BB"/>
    <w:rsid w:val="3905E031"/>
    <w:rsid w:val="390A4898"/>
    <w:rsid w:val="390CFBDF"/>
    <w:rsid w:val="39110E1A"/>
    <w:rsid w:val="39131840"/>
    <w:rsid w:val="3921454B"/>
    <w:rsid w:val="3937A1F8"/>
    <w:rsid w:val="39409755"/>
    <w:rsid w:val="3951A05C"/>
    <w:rsid w:val="396C37CA"/>
    <w:rsid w:val="396CB101"/>
    <w:rsid w:val="398D7040"/>
    <w:rsid w:val="39A0BBB4"/>
    <w:rsid w:val="39BE2A23"/>
    <w:rsid w:val="39D8910C"/>
    <w:rsid w:val="3A026FEE"/>
    <w:rsid w:val="3A03B97D"/>
    <w:rsid w:val="3A041EAD"/>
    <w:rsid w:val="3A146EF7"/>
    <w:rsid w:val="3A2FC7C2"/>
    <w:rsid w:val="3A3878D4"/>
    <w:rsid w:val="3A3FC749"/>
    <w:rsid w:val="3A4029C8"/>
    <w:rsid w:val="3A42C44E"/>
    <w:rsid w:val="3A6DE2FA"/>
    <w:rsid w:val="3A6E8E1E"/>
    <w:rsid w:val="3A7396C8"/>
    <w:rsid w:val="3A7D94CC"/>
    <w:rsid w:val="3A8CD4B9"/>
    <w:rsid w:val="3A9ACD3F"/>
    <w:rsid w:val="3AA074FD"/>
    <w:rsid w:val="3AA14110"/>
    <w:rsid w:val="3AA2D971"/>
    <w:rsid w:val="3AA5403C"/>
    <w:rsid w:val="3AE2EB1D"/>
    <w:rsid w:val="3AEE7CD0"/>
    <w:rsid w:val="3AF67143"/>
    <w:rsid w:val="3B0FEE6F"/>
    <w:rsid w:val="3B1B8ADE"/>
    <w:rsid w:val="3B29531C"/>
    <w:rsid w:val="3B38A99B"/>
    <w:rsid w:val="3B407375"/>
    <w:rsid w:val="3B42A608"/>
    <w:rsid w:val="3B524BF1"/>
    <w:rsid w:val="3B571EC4"/>
    <w:rsid w:val="3B9CEA21"/>
    <w:rsid w:val="3BA6AC4E"/>
    <w:rsid w:val="3BA88CE9"/>
    <w:rsid w:val="3BB5B5E2"/>
    <w:rsid w:val="3BD57A87"/>
    <w:rsid w:val="3BE58806"/>
    <w:rsid w:val="3BE7C52A"/>
    <w:rsid w:val="3BF1A5E3"/>
    <w:rsid w:val="3BF97649"/>
    <w:rsid w:val="3C1461C6"/>
    <w:rsid w:val="3C2E1FD4"/>
    <w:rsid w:val="3C4E8A45"/>
    <w:rsid w:val="3C561602"/>
    <w:rsid w:val="3C6D172B"/>
    <w:rsid w:val="3C6FB12D"/>
    <w:rsid w:val="3CA62A7A"/>
    <w:rsid w:val="3CA8E921"/>
    <w:rsid w:val="3CAD10AD"/>
    <w:rsid w:val="3CCE92E8"/>
    <w:rsid w:val="3CE8E1B0"/>
    <w:rsid w:val="3CEEBA53"/>
    <w:rsid w:val="3D00D489"/>
    <w:rsid w:val="3D0F7642"/>
    <w:rsid w:val="3D10F150"/>
    <w:rsid w:val="3D19512E"/>
    <w:rsid w:val="3D2EB293"/>
    <w:rsid w:val="3D2F8828"/>
    <w:rsid w:val="3D6B1090"/>
    <w:rsid w:val="3D830907"/>
    <w:rsid w:val="3D85C907"/>
    <w:rsid w:val="3DE29126"/>
    <w:rsid w:val="3DE80BAD"/>
    <w:rsid w:val="3DFFCEB2"/>
    <w:rsid w:val="3E056FF7"/>
    <w:rsid w:val="3E0BABAB"/>
    <w:rsid w:val="3E1287EB"/>
    <w:rsid w:val="3E15037D"/>
    <w:rsid w:val="3E1B496C"/>
    <w:rsid w:val="3E2B7606"/>
    <w:rsid w:val="3E3D96C3"/>
    <w:rsid w:val="3E662C9C"/>
    <w:rsid w:val="3E688A46"/>
    <w:rsid w:val="3E6C3AE9"/>
    <w:rsid w:val="3E7FAFBA"/>
    <w:rsid w:val="3EA7AD5B"/>
    <w:rsid w:val="3EAE7DA9"/>
    <w:rsid w:val="3EC2199D"/>
    <w:rsid w:val="3ECC4E9E"/>
    <w:rsid w:val="3EE15046"/>
    <w:rsid w:val="3EF1ABB4"/>
    <w:rsid w:val="3EF50810"/>
    <w:rsid w:val="3EF95E58"/>
    <w:rsid w:val="3F1C99C0"/>
    <w:rsid w:val="3F1FDF40"/>
    <w:rsid w:val="3F23B70B"/>
    <w:rsid w:val="3F2511DC"/>
    <w:rsid w:val="3F28FD2E"/>
    <w:rsid w:val="3F413C9B"/>
    <w:rsid w:val="3F4C8AB0"/>
    <w:rsid w:val="3F4CD872"/>
    <w:rsid w:val="3F4CF531"/>
    <w:rsid w:val="3F60AE25"/>
    <w:rsid w:val="3F710ED9"/>
    <w:rsid w:val="3F93B177"/>
    <w:rsid w:val="3FBB2F9B"/>
    <w:rsid w:val="3FC3F306"/>
    <w:rsid w:val="3FC7C1F1"/>
    <w:rsid w:val="3FE49808"/>
    <w:rsid w:val="3FECD0DC"/>
    <w:rsid w:val="3FFFAA14"/>
    <w:rsid w:val="4005FFCE"/>
    <w:rsid w:val="400D8FB4"/>
    <w:rsid w:val="4013D53D"/>
    <w:rsid w:val="40214FA4"/>
    <w:rsid w:val="40280398"/>
    <w:rsid w:val="403B7E87"/>
    <w:rsid w:val="4045FC8C"/>
    <w:rsid w:val="404C8EE5"/>
    <w:rsid w:val="40792F36"/>
    <w:rsid w:val="407CAFCF"/>
    <w:rsid w:val="407CB00F"/>
    <w:rsid w:val="40890766"/>
    <w:rsid w:val="408F654C"/>
    <w:rsid w:val="40B2FB9A"/>
    <w:rsid w:val="40BA1E91"/>
    <w:rsid w:val="40C25CE8"/>
    <w:rsid w:val="40C26420"/>
    <w:rsid w:val="40D45ACB"/>
    <w:rsid w:val="40DC688E"/>
    <w:rsid w:val="40EBADE7"/>
    <w:rsid w:val="40EED2FA"/>
    <w:rsid w:val="40F0DB09"/>
    <w:rsid w:val="40F53C77"/>
    <w:rsid w:val="40FAB418"/>
    <w:rsid w:val="40FD5640"/>
    <w:rsid w:val="41091DB3"/>
    <w:rsid w:val="41269944"/>
    <w:rsid w:val="4136B1EB"/>
    <w:rsid w:val="413F1CFC"/>
    <w:rsid w:val="416BD8CC"/>
    <w:rsid w:val="4191CB45"/>
    <w:rsid w:val="41ACB243"/>
    <w:rsid w:val="41B13F1A"/>
    <w:rsid w:val="41B157B0"/>
    <w:rsid w:val="41B26CAD"/>
    <w:rsid w:val="41C6F74D"/>
    <w:rsid w:val="41E923CF"/>
    <w:rsid w:val="41F58907"/>
    <w:rsid w:val="4201778D"/>
    <w:rsid w:val="4201A41C"/>
    <w:rsid w:val="42117F45"/>
    <w:rsid w:val="4219D49F"/>
    <w:rsid w:val="42358727"/>
    <w:rsid w:val="423EFC9B"/>
    <w:rsid w:val="4249684F"/>
    <w:rsid w:val="42583B04"/>
    <w:rsid w:val="42699464"/>
    <w:rsid w:val="426DA862"/>
    <w:rsid w:val="426FC97F"/>
    <w:rsid w:val="4272CEC8"/>
    <w:rsid w:val="4278A85C"/>
    <w:rsid w:val="427ED597"/>
    <w:rsid w:val="42878216"/>
    <w:rsid w:val="428A11CC"/>
    <w:rsid w:val="428CBBBC"/>
    <w:rsid w:val="42ACF477"/>
    <w:rsid w:val="42DF68C2"/>
    <w:rsid w:val="42FDF0FF"/>
    <w:rsid w:val="43127C60"/>
    <w:rsid w:val="43146F75"/>
    <w:rsid w:val="4314AF51"/>
    <w:rsid w:val="4323AFDC"/>
    <w:rsid w:val="4325F980"/>
    <w:rsid w:val="432E7ACE"/>
    <w:rsid w:val="433366E0"/>
    <w:rsid w:val="43487A6A"/>
    <w:rsid w:val="43559CDD"/>
    <w:rsid w:val="43708148"/>
    <w:rsid w:val="438ED05B"/>
    <w:rsid w:val="43928FF1"/>
    <w:rsid w:val="439632EA"/>
    <w:rsid w:val="43A19A7A"/>
    <w:rsid w:val="43A5E8BA"/>
    <w:rsid w:val="43BFF12A"/>
    <w:rsid w:val="43CA0EBE"/>
    <w:rsid w:val="43CD8627"/>
    <w:rsid w:val="43D49DFC"/>
    <w:rsid w:val="43E3DF1F"/>
    <w:rsid w:val="43F3BAE5"/>
    <w:rsid w:val="43FE05AF"/>
    <w:rsid w:val="43FFB507"/>
    <w:rsid w:val="44227BC9"/>
    <w:rsid w:val="4430799B"/>
    <w:rsid w:val="44354C33"/>
    <w:rsid w:val="443C1FCA"/>
    <w:rsid w:val="444927FE"/>
    <w:rsid w:val="444C036F"/>
    <w:rsid w:val="44575E44"/>
    <w:rsid w:val="4458D2FE"/>
    <w:rsid w:val="44668FCA"/>
    <w:rsid w:val="44A48C94"/>
    <w:rsid w:val="44B111BE"/>
    <w:rsid w:val="44C4E443"/>
    <w:rsid w:val="44C73105"/>
    <w:rsid w:val="44CBDE4D"/>
    <w:rsid w:val="44E40D87"/>
    <w:rsid w:val="450509BC"/>
    <w:rsid w:val="4506A46D"/>
    <w:rsid w:val="45075938"/>
    <w:rsid w:val="451362B1"/>
    <w:rsid w:val="4514033A"/>
    <w:rsid w:val="4517F120"/>
    <w:rsid w:val="452A7DEF"/>
    <w:rsid w:val="452E5D87"/>
    <w:rsid w:val="45504615"/>
    <w:rsid w:val="455FFE6D"/>
    <w:rsid w:val="456D32F1"/>
    <w:rsid w:val="457188CF"/>
    <w:rsid w:val="4583FD41"/>
    <w:rsid w:val="4592A6BA"/>
    <w:rsid w:val="45B31B67"/>
    <w:rsid w:val="45B95783"/>
    <w:rsid w:val="45BD23E9"/>
    <w:rsid w:val="460B31BA"/>
    <w:rsid w:val="46106A6D"/>
    <w:rsid w:val="46127E20"/>
    <w:rsid w:val="463D7D43"/>
    <w:rsid w:val="4640DE2A"/>
    <w:rsid w:val="467276D8"/>
    <w:rsid w:val="467CDB2A"/>
    <w:rsid w:val="46813EA3"/>
    <w:rsid w:val="4686D029"/>
    <w:rsid w:val="468729C8"/>
    <w:rsid w:val="468BA86A"/>
    <w:rsid w:val="468BE976"/>
    <w:rsid w:val="4696DA94"/>
    <w:rsid w:val="46A0EC3C"/>
    <w:rsid w:val="46A7D65C"/>
    <w:rsid w:val="46B1DDEF"/>
    <w:rsid w:val="46B8E5C9"/>
    <w:rsid w:val="46C81607"/>
    <w:rsid w:val="46CFE568"/>
    <w:rsid w:val="46D8CC19"/>
    <w:rsid w:val="46DFAA64"/>
    <w:rsid w:val="46E1D7C4"/>
    <w:rsid w:val="46F61348"/>
    <w:rsid w:val="46FCA8D5"/>
    <w:rsid w:val="4702C587"/>
    <w:rsid w:val="4706FB37"/>
    <w:rsid w:val="47178AE2"/>
    <w:rsid w:val="471B6D19"/>
    <w:rsid w:val="472488F0"/>
    <w:rsid w:val="473224D5"/>
    <w:rsid w:val="473A5588"/>
    <w:rsid w:val="4741E309"/>
    <w:rsid w:val="47434097"/>
    <w:rsid w:val="4760C457"/>
    <w:rsid w:val="47644301"/>
    <w:rsid w:val="476C70FC"/>
    <w:rsid w:val="476E77B9"/>
    <w:rsid w:val="47753145"/>
    <w:rsid w:val="4787CBFD"/>
    <w:rsid w:val="4793D85B"/>
    <w:rsid w:val="4799B01C"/>
    <w:rsid w:val="47A3DF1D"/>
    <w:rsid w:val="47D125AF"/>
    <w:rsid w:val="47E06B6F"/>
    <w:rsid w:val="47FE97F3"/>
    <w:rsid w:val="4816204B"/>
    <w:rsid w:val="481BFEDB"/>
    <w:rsid w:val="48230F2F"/>
    <w:rsid w:val="4825822B"/>
    <w:rsid w:val="482BDBEB"/>
    <w:rsid w:val="482E8E4D"/>
    <w:rsid w:val="4843E76F"/>
    <w:rsid w:val="48589249"/>
    <w:rsid w:val="485B11FB"/>
    <w:rsid w:val="485D22C5"/>
    <w:rsid w:val="4860C6DD"/>
    <w:rsid w:val="48640000"/>
    <w:rsid w:val="4874713F"/>
    <w:rsid w:val="48936706"/>
    <w:rsid w:val="48A3D724"/>
    <w:rsid w:val="48A6837A"/>
    <w:rsid w:val="48B6ACDC"/>
    <w:rsid w:val="48BB3D83"/>
    <w:rsid w:val="48D7D4A9"/>
    <w:rsid w:val="48EB88BC"/>
    <w:rsid w:val="490F9379"/>
    <w:rsid w:val="4910A3C8"/>
    <w:rsid w:val="4917CF9F"/>
    <w:rsid w:val="491CFDE6"/>
    <w:rsid w:val="491F550B"/>
    <w:rsid w:val="4938BC1D"/>
    <w:rsid w:val="495B6266"/>
    <w:rsid w:val="495DB916"/>
    <w:rsid w:val="49841A16"/>
    <w:rsid w:val="49A17CB4"/>
    <w:rsid w:val="49D3F7CE"/>
    <w:rsid w:val="49E0FB4B"/>
    <w:rsid w:val="49F2010C"/>
    <w:rsid w:val="4A2444DE"/>
    <w:rsid w:val="4A2E3423"/>
    <w:rsid w:val="4A3B1160"/>
    <w:rsid w:val="4A54FAA0"/>
    <w:rsid w:val="4A767D1D"/>
    <w:rsid w:val="4A943B2E"/>
    <w:rsid w:val="4AAF4392"/>
    <w:rsid w:val="4AC91416"/>
    <w:rsid w:val="4ACB89AC"/>
    <w:rsid w:val="4AD4E685"/>
    <w:rsid w:val="4AF28068"/>
    <w:rsid w:val="4B0BD430"/>
    <w:rsid w:val="4B0E820C"/>
    <w:rsid w:val="4B1E47CF"/>
    <w:rsid w:val="4B1FB7AE"/>
    <w:rsid w:val="4B33EABA"/>
    <w:rsid w:val="4B39B917"/>
    <w:rsid w:val="4B39E369"/>
    <w:rsid w:val="4B44CFBB"/>
    <w:rsid w:val="4B73CC91"/>
    <w:rsid w:val="4B745727"/>
    <w:rsid w:val="4B7BD449"/>
    <w:rsid w:val="4B8086BB"/>
    <w:rsid w:val="4BAB8949"/>
    <w:rsid w:val="4BB0806C"/>
    <w:rsid w:val="4BC4CAC2"/>
    <w:rsid w:val="4BCE064D"/>
    <w:rsid w:val="4BCE92E8"/>
    <w:rsid w:val="4BD37CF1"/>
    <w:rsid w:val="4BD998A1"/>
    <w:rsid w:val="4BDA7A1F"/>
    <w:rsid w:val="4BDC1DA3"/>
    <w:rsid w:val="4BE3F2FC"/>
    <w:rsid w:val="4BF33473"/>
    <w:rsid w:val="4C018B70"/>
    <w:rsid w:val="4C049AD8"/>
    <w:rsid w:val="4C077DC1"/>
    <w:rsid w:val="4C1186BB"/>
    <w:rsid w:val="4C1E6C9C"/>
    <w:rsid w:val="4C24EE63"/>
    <w:rsid w:val="4C349682"/>
    <w:rsid w:val="4C34E363"/>
    <w:rsid w:val="4C3571D6"/>
    <w:rsid w:val="4C395CC4"/>
    <w:rsid w:val="4C484795"/>
    <w:rsid w:val="4C59E9A3"/>
    <w:rsid w:val="4C5A8999"/>
    <w:rsid w:val="4C88D90E"/>
    <w:rsid w:val="4C9E4892"/>
    <w:rsid w:val="4CACB3BD"/>
    <w:rsid w:val="4CC3C290"/>
    <w:rsid w:val="4CC978D5"/>
    <w:rsid w:val="4CE72498"/>
    <w:rsid w:val="4CE7DD57"/>
    <w:rsid w:val="4CFA1496"/>
    <w:rsid w:val="4D0D1DD1"/>
    <w:rsid w:val="4D198E5D"/>
    <w:rsid w:val="4D1F4581"/>
    <w:rsid w:val="4D206A49"/>
    <w:rsid w:val="4D2A20FF"/>
    <w:rsid w:val="4D34644E"/>
    <w:rsid w:val="4D3D6C5B"/>
    <w:rsid w:val="4D419EE8"/>
    <w:rsid w:val="4D4461D1"/>
    <w:rsid w:val="4D69A605"/>
    <w:rsid w:val="4D6B6347"/>
    <w:rsid w:val="4D7B97A7"/>
    <w:rsid w:val="4D867BCF"/>
    <w:rsid w:val="4D867EAA"/>
    <w:rsid w:val="4D8D125C"/>
    <w:rsid w:val="4D964025"/>
    <w:rsid w:val="4DB5C7EA"/>
    <w:rsid w:val="4DC07E2F"/>
    <w:rsid w:val="4DFBF448"/>
    <w:rsid w:val="4E2CF1B9"/>
    <w:rsid w:val="4E2DE919"/>
    <w:rsid w:val="4E3E6BE4"/>
    <w:rsid w:val="4E41ECC0"/>
    <w:rsid w:val="4E42961C"/>
    <w:rsid w:val="4E46BCC4"/>
    <w:rsid w:val="4E609D23"/>
    <w:rsid w:val="4E661704"/>
    <w:rsid w:val="4E94DD45"/>
    <w:rsid w:val="4EB43A52"/>
    <w:rsid w:val="4EB7EA76"/>
    <w:rsid w:val="4ED165BA"/>
    <w:rsid w:val="4EEF9A3F"/>
    <w:rsid w:val="4EF6A0EC"/>
    <w:rsid w:val="4EF84D1D"/>
    <w:rsid w:val="4EF8C547"/>
    <w:rsid w:val="4F0ADC09"/>
    <w:rsid w:val="4F0F6B52"/>
    <w:rsid w:val="4F14131F"/>
    <w:rsid w:val="4F403730"/>
    <w:rsid w:val="4F48CAAB"/>
    <w:rsid w:val="4F5D1E33"/>
    <w:rsid w:val="4F6380FC"/>
    <w:rsid w:val="4F7F4EB8"/>
    <w:rsid w:val="4F83342E"/>
    <w:rsid w:val="4F86BF88"/>
    <w:rsid w:val="4F957E89"/>
    <w:rsid w:val="4F99C79B"/>
    <w:rsid w:val="4FA68455"/>
    <w:rsid w:val="4FA9DD40"/>
    <w:rsid w:val="4FAB4C64"/>
    <w:rsid w:val="4FB2F436"/>
    <w:rsid w:val="4FB4239C"/>
    <w:rsid w:val="4FB7DE8E"/>
    <w:rsid w:val="4FFF7437"/>
    <w:rsid w:val="4FFF9E43"/>
    <w:rsid w:val="50031AC4"/>
    <w:rsid w:val="5005C097"/>
    <w:rsid w:val="50097EDB"/>
    <w:rsid w:val="500E4A30"/>
    <w:rsid w:val="501CA56A"/>
    <w:rsid w:val="501EFE3A"/>
    <w:rsid w:val="5032EF78"/>
    <w:rsid w:val="5051BF64"/>
    <w:rsid w:val="505964A3"/>
    <w:rsid w:val="506FFF81"/>
    <w:rsid w:val="507D62FB"/>
    <w:rsid w:val="50812C8E"/>
    <w:rsid w:val="50825C77"/>
    <w:rsid w:val="508500A7"/>
    <w:rsid w:val="50AAAF74"/>
    <w:rsid w:val="50B7D024"/>
    <w:rsid w:val="50BBE790"/>
    <w:rsid w:val="50C24B6F"/>
    <w:rsid w:val="50E1DD79"/>
    <w:rsid w:val="50E54210"/>
    <w:rsid w:val="50EB4194"/>
    <w:rsid w:val="50F880C8"/>
    <w:rsid w:val="50FA030F"/>
    <w:rsid w:val="50FF8DA3"/>
    <w:rsid w:val="510A6810"/>
    <w:rsid w:val="5112E2D0"/>
    <w:rsid w:val="5119CA9C"/>
    <w:rsid w:val="5119EA6D"/>
    <w:rsid w:val="511CE8B5"/>
    <w:rsid w:val="51355A50"/>
    <w:rsid w:val="5139542B"/>
    <w:rsid w:val="513E8E3B"/>
    <w:rsid w:val="5140632B"/>
    <w:rsid w:val="514358E0"/>
    <w:rsid w:val="5151BA65"/>
    <w:rsid w:val="5163C5E7"/>
    <w:rsid w:val="5165B417"/>
    <w:rsid w:val="518CFACA"/>
    <w:rsid w:val="51D9E51B"/>
    <w:rsid w:val="51DC968D"/>
    <w:rsid w:val="51E5A0BE"/>
    <w:rsid w:val="51F55C85"/>
    <w:rsid w:val="51FD2529"/>
    <w:rsid w:val="5215E166"/>
    <w:rsid w:val="52230E0C"/>
    <w:rsid w:val="522A1ADF"/>
    <w:rsid w:val="5234E8F4"/>
    <w:rsid w:val="5241DDAA"/>
    <w:rsid w:val="52482128"/>
    <w:rsid w:val="524B50E2"/>
    <w:rsid w:val="5265045C"/>
    <w:rsid w:val="52A8196D"/>
    <w:rsid w:val="52A887B6"/>
    <w:rsid w:val="52EA31E7"/>
    <w:rsid w:val="52EE211C"/>
    <w:rsid w:val="52FE06A4"/>
    <w:rsid w:val="531F5D58"/>
    <w:rsid w:val="53292A02"/>
    <w:rsid w:val="532B12D7"/>
    <w:rsid w:val="5335BC70"/>
    <w:rsid w:val="5339B770"/>
    <w:rsid w:val="5341FECD"/>
    <w:rsid w:val="535396CD"/>
    <w:rsid w:val="5368D18A"/>
    <w:rsid w:val="53714153"/>
    <w:rsid w:val="53785FED"/>
    <w:rsid w:val="538726CF"/>
    <w:rsid w:val="5387D647"/>
    <w:rsid w:val="538F936C"/>
    <w:rsid w:val="539F86DD"/>
    <w:rsid w:val="53AD6837"/>
    <w:rsid w:val="53CE1776"/>
    <w:rsid w:val="53D49322"/>
    <w:rsid w:val="53DB0C4A"/>
    <w:rsid w:val="53F9F1B9"/>
    <w:rsid w:val="541B2AEC"/>
    <w:rsid w:val="54286C4D"/>
    <w:rsid w:val="542939E7"/>
    <w:rsid w:val="542EE56D"/>
    <w:rsid w:val="54363BCF"/>
    <w:rsid w:val="543A0F65"/>
    <w:rsid w:val="54403ED0"/>
    <w:rsid w:val="54418815"/>
    <w:rsid w:val="544737A5"/>
    <w:rsid w:val="54647DF7"/>
    <w:rsid w:val="54699949"/>
    <w:rsid w:val="54727288"/>
    <w:rsid w:val="54807819"/>
    <w:rsid w:val="54830529"/>
    <w:rsid w:val="549C1F40"/>
    <w:rsid w:val="54A35DA7"/>
    <w:rsid w:val="54A3CA37"/>
    <w:rsid w:val="54B9CE42"/>
    <w:rsid w:val="54C24D7E"/>
    <w:rsid w:val="54C59F1C"/>
    <w:rsid w:val="54C6A109"/>
    <w:rsid w:val="54CA13A2"/>
    <w:rsid w:val="54CFD676"/>
    <w:rsid w:val="54D9C238"/>
    <w:rsid w:val="54DDBEBC"/>
    <w:rsid w:val="54E849CF"/>
    <w:rsid w:val="5517C2A7"/>
    <w:rsid w:val="552FE72D"/>
    <w:rsid w:val="5565E5F3"/>
    <w:rsid w:val="5589410F"/>
    <w:rsid w:val="5596DFC2"/>
    <w:rsid w:val="55A29B45"/>
    <w:rsid w:val="55A6E4F3"/>
    <w:rsid w:val="55ABCE41"/>
    <w:rsid w:val="55AD01B4"/>
    <w:rsid w:val="55AF08EF"/>
    <w:rsid w:val="55C9A617"/>
    <w:rsid w:val="55F04087"/>
    <w:rsid w:val="55F50695"/>
    <w:rsid w:val="55FB0011"/>
    <w:rsid w:val="55FBCE4C"/>
    <w:rsid w:val="55FD8382"/>
    <w:rsid w:val="56000110"/>
    <w:rsid w:val="5623EDEC"/>
    <w:rsid w:val="5629F5DE"/>
    <w:rsid w:val="5630BC98"/>
    <w:rsid w:val="5644FE95"/>
    <w:rsid w:val="56611544"/>
    <w:rsid w:val="567B8207"/>
    <w:rsid w:val="56A5CAD7"/>
    <w:rsid w:val="56B516AB"/>
    <w:rsid w:val="56B79B7E"/>
    <w:rsid w:val="56BCEA84"/>
    <w:rsid w:val="56CD7B00"/>
    <w:rsid w:val="56CF913B"/>
    <w:rsid w:val="56E522B3"/>
    <w:rsid w:val="56F045D9"/>
    <w:rsid w:val="572A0C7E"/>
    <w:rsid w:val="575C21B3"/>
    <w:rsid w:val="576079D8"/>
    <w:rsid w:val="5777FE10"/>
    <w:rsid w:val="5778F01D"/>
    <w:rsid w:val="577F1728"/>
    <w:rsid w:val="5791E65E"/>
    <w:rsid w:val="579254E8"/>
    <w:rsid w:val="57977507"/>
    <w:rsid w:val="5799440D"/>
    <w:rsid w:val="579FA8EB"/>
    <w:rsid w:val="57A8DB81"/>
    <w:rsid w:val="57B0D657"/>
    <w:rsid w:val="57C1A5B5"/>
    <w:rsid w:val="57E072CC"/>
    <w:rsid w:val="57F33ED6"/>
    <w:rsid w:val="58017B1E"/>
    <w:rsid w:val="581423CC"/>
    <w:rsid w:val="58371202"/>
    <w:rsid w:val="5837BBF2"/>
    <w:rsid w:val="583E09B4"/>
    <w:rsid w:val="5845FB6D"/>
    <w:rsid w:val="584F5F6B"/>
    <w:rsid w:val="586E29BE"/>
    <w:rsid w:val="5873002E"/>
    <w:rsid w:val="588767A4"/>
    <w:rsid w:val="588DB676"/>
    <w:rsid w:val="58976B37"/>
    <w:rsid w:val="58AF8ADE"/>
    <w:rsid w:val="58B76655"/>
    <w:rsid w:val="58BCB68F"/>
    <w:rsid w:val="58C28E37"/>
    <w:rsid w:val="58C697E9"/>
    <w:rsid w:val="58DF490B"/>
    <w:rsid w:val="58F01E5C"/>
    <w:rsid w:val="59086724"/>
    <w:rsid w:val="5919E651"/>
    <w:rsid w:val="591F94A3"/>
    <w:rsid w:val="594027E5"/>
    <w:rsid w:val="596DF3BB"/>
    <w:rsid w:val="596F8BD7"/>
    <w:rsid w:val="597D1301"/>
    <w:rsid w:val="598233A6"/>
    <w:rsid w:val="598D8805"/>
    <w:rsid w:val="599217F0"/>
    <w:rsid w:val="59ACD056"/>
    <w:rsid w:val="59B6F648"/>
    <w:rsid w:val="59D20F27"/>
    <w:rsid w:val="59E5CF1C"/>
    <w:rsid w:val="59FCD702"/>
    <w:rsid w:val="5A0B5EFC"/>
    <w:rsid w:val="5A0BAE4B"/>
    <w:rsid w:val="5A142CFD"/>
    <w:rsid w:val="5A19D354"/>
    <w:rsid w:val="5A32B097"/>
    <w:rsid w:val="5A37A812"/>
    <w:rsid w:val="5A4A68E2"/>
    <w:rsid w:val="5A4DF16F"/>
    <w:rsid w:val="5A517008"/>
    <w:rsid w:val="5A55DEE3"/>
    <w:rsid w:val="5A59C78E"/>
    <w:rsid w:val="5A667037"/>
    <w:rsid w:val="5A6CDFF8"/>
    <w:rsid w:val="5A6DC747"/>
    <w:rsid w:val="5A6F1BFE"/>
    <w:rsid w:val="5A731F61"/>
    <w:rsid w:val="5A93AC53"/>
    <w:rsid w:val="5A9CD78F"/>
    <w:rsid w:val="5AA0DA5F"/>
    <w:rsid w:val="5AB03607"/>
    <w:rsid w:val="5ACAA2C7"/>
    <w:rsid w:val="5AD60BC8"/>
    <w:rsid w:val="5AD751DD"/>
    <w:rsid w:val="5ADBA96E"/>
    <w:rsid w:val="5AE6BB35"/>
    <w:rsid w:val="5AEC8851"/>
    <w:rsid w:val="5AF14999"/>
    <w:rsid w:val="5B1BC677"/>
    <w:rsid w:val="5B263919"/>
    <w:rsid w:val="5B2F7DE9"/>
    <w:rsid w:val="5B3166F0"/>
    <w:rsid w:val="5B3267DD"/>
    <w:rsid w:val="5B429FCF"/>
    <w:rsid w:val="5B4689B2"/>
    <w:rsid w:val="5B48986C"/>
    <w:rsid w:val="5B51CE64"/>
    <w:rsid w:val="5B5B86ED"/>
    <w:rsid w:val="5B8533FA"/>
    <w:rsid w:val="5B87209B"/>
    <w:rsid w:val="5B89B484"/>
    <w:rsid w:val="5BA930D6"/>
    <w:rsid w:val="5BB2D3CB"/>
    <w:rsid w:val="5BC02B6A"/>
    <w:rsid w:val="5BC6B17C"/>
    <w:rsid w:val="5BDC4A6C"/>
    <w:rsid w:val="5BE036E0"/>
    <w:rsid w:val="5C381051"/>
    <w:rsid w:val="5C506761"/>
    <w:rsid w:val="5C56251F"/>
    <w:rsid w:val="5C81A952"/>
    <w:rsid w:val="5C868FCE"/>
    <w:rsid w:val="5C942498"/>
    <w:rsid w:val="5C9F7330"/>
    <w:rsid w:val="5CA115F1"/>
    <w:rsid w:val="5CA21447"/>
    <w:rsid w:val="5CA2DE5B"/>
    <w:rsid w:val="5CA7A4DD"/>
    <w:rsid w:val="5CAB06A9"/>
    <w:rsid w:val="5CB13BC9"/>
    <w:rsid w:val="5CB56EFB"/>
    <w:rsid w:val="5CBFBBBF"/>
    <w:rsid w:val="5CD5E2BE"/>
    <w:rsid w:val="5CDF0BFE"/>
    <w:rsid w:val="5CED12B1"/>
    <w:rsid w:val="5D2DFE53"/>
    <w:rsid w:val="5D304B8E"/>
    <w:rsid w:val="5D31D654"/>
    <w:rsid w:val="5D46392D"/>
    <w:rsid w:val="5D4F3E93"/>
    <w:rsid w:val="5D98F429"/>
    <w:rsid w:val="5DA5C83C"/>
    <w:rsid w:val="5DA6E049"/>
    <w:rsid w:val="5DA70AAE"/>
    <w:rsid w:val="5DAAB5E6"/>
    <w:rsid w:val="5DB4893D"/>
    <w:rsid w:val="5DB874D6"/>
    <w:rsid w:val="5DBA0D73"/>
    <w:rsid w:val="5DBDEEC6"/>
    <w:rsid w:val="5DCA84B1"/>
    <w:rsid w:val="5DDBA2D0"/>
    <w:rsid w:val="5DFE53AA"/>
    <w:rsid w:val="5E131F95"/>
    <w:rsid w:val="5E19F4B5"/>
    <w:rsid w:val="5E1AE09B"/>
    <w:rsid w:val="5E2F900D"/>
    <w:rsid w:val="5E35ED8F"/>
    <w:rsid w:val="5E37B2EF"/>
    <w:rsid w:val="5E4B918C"/>
    <w:rsid w:val="5E647F0B"/>
    <w:rsid w:val="5E7DF00A"/>
    <w:rsid w:val="5E9AEADB"/>
    <w:rsid w:val="5EA7086A"/>
    <w:rsid w:val="5EADDBDC"/>
    <w:rsid w:val="5EB54DD5"/>
    <w:rsid w:val="5EC3B829"/>
    <w:rsid w:val="5ED4A16D"/>
    <w:rsid w:val="5EE5C7BF"/>
    <w:rsid w:val="5EFD00D3"/>
    <w:rsid w:val="5F056E14"/>
    <w:rsid w:val="5F5A0187"/>
    <w:rsid w:val="5F663E70"/>
    <w:rsid w:val="5F6B900B"/>
    <w:rsid w:val="5F797A1B"/>
    <w:rsid w:val="5F7FC99C"/>
    <w:rsid w:val="5FA05C95"/>
    <w:rsid w:val="5FA35DCB"/>
    <w:rsid w:val="5FA3ECE3"/>
    <w:rsid w:val="5FB77AE9"/>
    <w:rsid w:val="5FC9387F"/>
    <w:rsid w:val="5FD1C8D5"/>
    <w:rsid w:val="5FE694C5"/>
    <w:rsid w:val="5FEFD7AB"/>
    <w:rsid w:val="5FF23747"/>
    <w:rsid w:val="5FFF18D9"/>
    <w:rsid w:val="60031EF5"/>
    <w:rsid w:val="600B2CD3"/>
    <w:rsid w:val="600C307C"/>
    <w:rsid w:val="600F92E2"/>
    <w:rsid w:val="6024CE97"/>
    <w:rsid w:val="6027ECAF"/>
    <w:rsid w:val="6030B8B3"/>
    <w:rsid w:val="6032B930"/>
    <w:rsid w:val="6040426D"/>
    <w:rsid w:val="6047D003"/>
    <w:rsid w:val="604CA12A"/>
    <w:rsid w:val="605B668E"/>
    <w:rsid w:val="60640E61"/>
    <w:rsid w:val="606B4510"/>
    <w:rsid w:val="607CD627"/>
    <w:rsid w:val="6095DBDC"/>
    <w:rsid w:val="60997F2B"/>
    <w:rsid w:val="609A895C"/>
    <w:rsid w:val="60AC254F"/>
    <w:rsid w:val="60BAADD2"/>
    <w:rsid w:val="60C2B669"/>
    <w:rsid w:val="60C51BA4"/>
    <w:rsid w:val="60C9A718"/>
    <w:rsid w:val="60D2610B"/>
    <w:rsid w:val="60D90641"/>
    <w:rsid w:val="60E9F034"/>
    <w:rsid w:val="61116CD7"/>
    <w:rsid w:val="61197455"/>
    <w:rsid w:val="611CAE03"/>
    <w:rsid w:val="612F82EF"/>
    <w:rsid w:val="615B27E2"/>
    <w:rsid w:val="615E67EE"/>
    <w:rsid w:val="6162E5BE"/>
    <w:rsid w:val="616AD698"/>
    <w:rsid w:val="616BA1F7"/>
    <w:rsid w:val="61882C66"/>
    <w:rsid w:val="61B271E7"/>
    <w:rsid w:val="61BED64E"/>
    <w:rsid w:val="61C25B16"/>
    <w:rsid w:val="61C8D1F5"/>
    <w:rsid w:val="61CBCC5F"/>
    <w:rsid w:val="61EE49AE"/>
    <w:rsid w:val="61F64520"/>
    <w:rsid w:val="61FB545A"/>
    <w:rsid w:val="61FDE8B4"/>
    <w:rsid w:val="620BE5DB"/>
    <w:rsid w:val="6211B205"/>
    <w:rsid w:val="62152705"/>
    <w:rsid w:val="622EF387"/>
    <w:rsid w:val="6230E70C"/>
    <w:rsid w:val="623F6EB0"/>
    <w:rsid w:val="624E43DB"/>
    <w:rsid w:val="625D0FAD"/>
    <w:rsid w:val="625EC037"/>
    <w:rsid w:val="627DF428"/>
    <w:rsid w:val="629EED2E"/>
    <w:rsid w:val="62E99D5D"/>
    <w:rsid w:val="62EF0C84"/>
    <w:rsid w:val="63082184"/>
    <w:rsid w:val="6326E3A4"/>
    <w:rsid w:val="632AB1A3"/>
    <w:rsid w:val="633D11F5"/>
    <w:rsid w:val="636D47B3"/>
    <w:rsid w:val="63741750"/>
    <w:rsid w:val="637EDB65"/>
    <w:rsid w:val="6385AD56"/>
    <w:rsid w:val="639BECE4"/>
    <w:rsid w:val="63A04BBF"/>
    <w:rsid w:val="63A6B938"/>
    <w:rsid w:val="63AE0370"/>
    <w:rsid w:val="63AEE2D4"/>
    <w:rsid w:val="63C8491E"/>
    <w:rsid w:val="63E1B3D8"/>
    <w:rsid w:val="63F1F61D"/>
    <w:rsid w:val="63FDE5CE"/>
    <w:rsid w:val="64074B7B"/>
    <w:rsid w:val="64322749"/>
    <w:rsid w:val="6433D0AF"/>
    <w:rsid w:val="64437584"/>
    <w:rsid w:val="6443D1F1"/>
    <w:rsid w:val="6446A0E8"/>
    <w:rsid w:val="645BC57C"/>
    <w:rsid w:val="6475C0FA"/>
    <w:rsid w:val="647BB9D6"/>
    <w:rsid w:val="647F3C09"/>
    <w:rsid w:val="6493F58A"/>
    <w:rsid w:val="64989C46"/>
    <w:rsid w:val="649FCEAB"/>
    <w:rsid w:val="64B21297"/>
    <w:rsid w:val="64C21D4F"/>
    <w:rsid w:val="64DC92F9"/>
    <w:rsid w:val="64EE3915"/>
    <w:rsid w:val="64EE60B7"/>
    <w:rsid w:val="64F2CC3A"/>
    <w:rsid w:val="6515D5F5"/>
    <w:rsid w:val="65253A18"/>
    <w:rsid w:val="6534FCE1"/>
    <w:rsid w:val="656053AF"/>
    <w:rsid w:val="6594591A"/>
    <w:rsid w:val="659F2FC0"/>
    <w:rsid w:val="65BDA41D"/>
    <w:rsid w:val="65D63744"/>
    <w:rsid w:val="65D9F3A8"/>
    <w:rsid w:val="65DAAE76"/>
    <w:rsid w:val="65E2FCEE"/>
    <w:rsid w:val="65E37DED"/>
    <w:rsid w:val="65E47F2F"/>
    <w:rsid w:val="65ED09D4"/>
    <w:rsid w:val="65FA0F6C"/>
    <w:rsid w:val="66095DDB"/>
    <w:rsid w:val="661789AE"/>
    <w:rsid w:val="661A661F"/>
    <w:rsid w:val="663E43FC"/>
    <w:rsid w:val="6641C19E"/>
    <w:rsid w:val="6661DEF1"/>
    <w:rsid w:val="66642158"/>
    <w:rsid w:val="6673795C"/>
    <w:rsid w:val="6681C05F"/>
    <w:rsid w:val="668744F8"/>
    <w:rsid w:val="668EA204"/>
    <w:rsid w:val="66A981F6"/>
    <w:rsid w:val="66AAA297"/>
    <w:rsid w:val="66BE01D7"/>
    <w:rsid w:val="66E05525"/>
    <w:rsid w:val="66E3A0A4"/>
    <w:rsid w:val="66EDC66D"/>
    <w:rsid w:val="66F4FBB2"/>
    <w:rsid w:val="67118558"/>
    <w:rsid w:val="6716984C"/>
    <w:rsid w:val="6719F8BB"/>
    <w:rsid w:val="6728779F"/>
    <w:rsid w:val="673D2902"/>
    <w:rsid w:val="673F97AF"/>
    <w:rsid w:val="6743AAFD"/>
    <w:rsid w:val="6744D606"/>
    <w:rsid w:val="674627F0"/>
    <w:rsid w:val="6747ECC3"/>
    <w:rsid w:val="674FAC18"/>
    <w:rsid w:val="6751FAFB"/>
    <w:rsid w:val="6753F729"/>
    <w:rsid w:val="67544ABD"/>
    <w:rsid w:val="6782FD1B"/>
    <w:rsid w:val="678302D1"/>
    <w:rsid w:val="678971AD"/>
    <w:rsid w:val="678CEB49"/>
    <w:rsid w:val="67977223"/>
    <w:rsid w:val="679868DE"/>
    <w:rsid w:val="67B232E3"/>
    <w:rsid w:val="67C18ECB"/>
    <w:rsid w:val="67C9F1FE"/>
    <w:rsid w:val="67D1A24B"/>
    <w:rsid w:val="67DD839E"/>
    <w:rsid w:val="67E12C72"/>
    <w:rsid w:val="6801E78E"/>
    <w:rsid w:val="6832D1F8"/>
    <w:rsid w:val="684443D6"/>
    <w:rsid w:val="685A6538"/>
    <w:rsid w:val="686A290C"/>
    <w:rsid w:val="687EE080"/>
    <w:rsid w:val="68854DC5"/>
    <w:rsid w:val="68B5B0AC"/>
    <w:rsid w:val="68C4F313"/>
    <w:rsid w:val="68CF7C71"/>
    <w:rsid w:val="68E08C09"/>
    <w:rsid w:val="68E5F7AE"/>
    <w:rsid w:val="68F31CE8"/>
    <w:rsid w:val="6903ACB1"/>
    <w:rsid w:val="6904C24B"/>
    <w:rsid w:val="690E4CA6"/>
    <w:rsid w:val="6910C6D3"/>
    <w:rsid w:val="69112027"/>
    <w:rsid w:val="693EE821"/>
    <w:rsid w:val="6941AD24"/>
    <w:rsid w:val="696398BB"/>
    <w:rsid w:val="6977BC8B"/>
    <w:rsid w:val="697B1281"/>
    <w:rsid w:val="69813B5E"/>
    <w:rsid w:val="6992F7B1"/>
    <w:rsid w:val="69CECBF8"/>
    <w:rsid w:val="69F83416"/>
    <w:rsid w:val="6A00E22A"/>
    <w:rsid w:val="6A2009D9"/>
    <w:rsid w:val="6A2B37B0"/>
    <w:rsid w:val="6A65BB35"/>
    <w:rsid w:val="6A843262"/>
    <w:rsid w:val="6AA44252"/>
    <w:rsid w:val="6AA6E515"/>
    <w:rsid w:val="6AAC8CC5"/>
    <w:rsid w:val="6ABE7D4D"/>
    <w:rsid w:val="6AEB9B95"/>
    <w:rsid w:val="6AF96B0C"/>
    <w:rsid w:val="6B105C35"/>
    <w:rsid w:val="6B20826F"/>
    <w:rsid w:val="6B227615"/>
    <w:rsid w:val="6B2C3BBE"/>
    <w:rsid w:val="6B442A05"/>
    <w:rsid w:val="6B49FD83"/>
    <w:rsid w:val="6B4EBAD6"/>
    <w:rsid w:val="6B4F5964"/>
    <w:rsid w:val="6B51C300"/>
    <w:rsid w:val="6B68CFAE"/>
    <w:rsid w:val="6B6F2586"/>
    <w:rsid w:val="6B6FC1B3"/>
    <w:rsid w:val="6B881454"/>
    <w:rsid w:val="6B91F0E5"/>
    <w:rsid w:val="6BA90ACF"/>
    <w:rsid w:val="6BADF130"/>
    <w:rsid w:val="6BBA33F4"/>
    <w:rsid w:val="6BC7C277"/>
    <w:rsid w:val="6BC95549"/>
    <w:rsid w:val="6BD540E0"/>
    <w:rsid w:val="6BFB3307"/>
    <w:rsid w:val="6C021615"/>
    <w:rsid w:val="6C08906B"/>
    <w:rsid w:val="6C0F8C66"/>
    <w:rsid w:val="6C203DE4"/>
    <w:rsid w:val="6C36F0F4"/>
    <w:rsid w:val="6C54E38A"/>
    <w:rsid w:val="6C595F77"/>
    <w:rsid w:val="6C76A135"/>
    <w:rsid w:val="6C7FFE9D"/>
    <w:rsid w:val="6C87C1E8"/>
    <w:rsid w:val="6C982E1B"/>
    <w:rsid w:val="6C999D07"/>
    <w:rsid w:val="6CB72B8C"/>
    <w:rsid w:val="6CB7BA2B"/>
    <w:rsid w:val="6CB85CC1"/>
    <w:rsid w:val="6CC2A65C"/>
    <w:rsid w:val="6CCADCF2"/>
    <w:rsid w:val="6CDDAEAF"/>
    <w:rsid w:val="6CE7DA8F"/>
    <w:rsid w:val="6CEE995B"/>
    <w:rsid w:val="6CF7F59D"/>
    <w:rsid w:val="6D0870E1"/>
    <w:rsid w:val="6D4144C2"/>
    <w:rsid w:val="6D4694AE"/>
    <w:rsid w:val="6D4FABC6"/>
    <w:rsid w:val="6D669AAF"/>
    <w:rsid w:val="6D67C51A"/>
    <w:rsid w:val="6D708D10"/>
    <w:rsid w:val="6D7B0D87"/>
    <w:rsid w:val="6D800168"/>
    <w:rsid w:val="6D81FB9E"/>
    <w:rsid w:val="6D8625E3"/>
    <w:rsid w:val="6D88605F"/>
    <w:rsid w:val="6D8F6765"/>
    <w:rsid w:val="6D9FD6B6"/>
    <w:rsid w:val="6DCA91F9"/>
    <w:rsid w:val="6DDA2558"/>
    <w:rsid w:val="6DDD57CE"/>
    <w:rsid w:val="6DDE1C4F"/>
    <w:rsid w:val="6DEEB4BB"/>
    <w:rsid w:val="6DF88F07"/>
    <w:rsid w:val="6E0B2E23"/>
    <w:rsid w:val="6E0C4526"/>
    <w:rsid w:val="6E142343"/>
    <w:rsid w:val="6E158F86"/>
    <w:rsid w:val="6E17099E"/>
    <w:rsid w:val="6E176694"/>
    <w:rsid w:val="6E1AE9BA"/>
    <w:rsid w:val="6E2FE1E8"/>
    <w:rsid w:val="6E361432"/>
    <w:rsid w:val="6E4185D2"/>
    <w:rsid w:val="6E5F08A1"/>
    <w:rsid w:val="6E6B428A"/>
    <w:rsid w:val="6E871486"/>
    <w:rsid w:val="6E8C6A73"/>
    <w:rsid w:val="6EA37B16"/>
    <w:rsid w:val="6EA50862"/>
    <w:rsid w:val="6EA550BC"/>
    <w:rsid w:val="6EAE5480"/>
    <w:rsid w:val="6EB34728"/>
    <w:rsid w:val="6EB5E7DA"/>
    <w:rsid w:val="6EBCAC09"/>
    <w:rsid w:val="6ECE7149"/>
    <w:rsid w:val="6ED9FD36"/>
    <w:rsid w:val="6EF14E88"/>
    <w:rsid w:val="6EF5F1BA"/>
    <w:rsid w:val="6F139C72"/>
    <w:rsid w:val="6F168387"/>
    <w:rsid w:val="6F316F31"/>
    <w:rsid w:val="6F39BF40"/>
    <w:rsid w:val="6F3D6830"/>
    <w:rsid w:val="6F460A82"/>
    <w:rsid w:val="6F4DAED9"/>
    <w:rsid w:val="6F53DC03"/>
    <w:rsid w:val="6F53ED43"/>
    <w:rsid w:val="6F5E661C"/>
    <w:rsid w:val="6F702AD9"/>
    <w:rsid w:val="6F74E3B5"/>
    <w:rsid w:val="6FA26EF4"/>
    <w:rsid w:val="6FC72C25"/>
    <w:rsid w:val="6FDDE5EB"/>
    <w:rsid w:val="6FEB0647"/>
    <w:rsid w:val="6FED0E83"/>
    <w:rsid w:val="6FF5BF02"/>
    <w:rsid w:val="70155314"/>
    <w:rsid w:val="7015A471"/>
    <w:rsid w:val="701FBD8C"/>
    <w:rsid w:val="70233D56"/>
    <w:rsid w:val="70416C77"/>
    <w:rsid w:val="705670DE"/>
    <w:rsid w:val="70778964"/>
    <w:rsid w:val="707C1524"/>
    <w:rsid w:val="708B9FC0"/>
    <w:rsid w:val="70A545A8"/>
    <w:rsid w:val="70C13DE9"/>
    <w:rsid w:val="70C22813"/>
    <w:rsid w:val="70C8B198"/>
    <w:rsid w:val="7121A9E0"/>
    <w:rsid w:val="713CB01B"/>
    <w:rsid w:val="7165325F"/>
    <w:rsid w:val="717D4300"/>
    <w:rsid w:val="718A9BCE"/>
    <w:rsid w:val="719044B2"/>
    <w:rsid w:val="71923228"/>
    <w:rsid w:val="71C1A4BC"/>
    <w:rsid w:val="71CCB8B9"/>
    <w:rsid w:val="71E8054E"/>
    <w:rsid w:val="71EE9C62"/>
    <w:rsid w:val="71FF90E4"/>
    <w:rsid w:val="7222066C"/>
    <w:rsid w:val="7249B9D3"/>
    <w:rsid w:val="724C0304"/>
    <w:rsid w:val="724E5175"/>
    <w:rsid w:val="725BB968"/>
    <w:rsid w:val="725EBB44"/>
    <w:rsid w:val="72611991"/>
    <w:rsid w:val="726C358D"/>
    <w:rsid w:val="727A30BF"/>
    <w:rsid w:val="727DBD81"/>
    <w:rsid w:val="728C8BDF"/>
    <w:rsid w:val="72919E82"/>
    <w:rsid w:val="72BB14D4"/>
    <w:rsid w:val="72DEDFAD"/>
    <w:rsid w:val="72E01407"/>
    <w:rsid w:val="72E3BADB"/>
    <w:rsid w:val="72E9539C"/>
    <w:rsid w:val="72FB0F3B"/>
    <w:rsid w:val="72FD8A45"/>
    <w:rsid w:val="73050102"/>
    <w:rsid w:val="731F2D70"/>
    <w:rsid w:val="7327E6CD"/>
    <w:rsid w:val="733C9617"/>
    <w:rsid w:val="73475C79"/>
    <w:rsid w:val="735071D3"/>
    <w:rsid w:val="73570FFA"/>
    <w:rsid w:val="7368883F"/>
    <w:rsid w:val="737228B4"/>
    <w:rsid w:val="7380D8EB"/>
    <w:rsid w:val="73881D04"/>
    <w:rsid w:val="738B2F10"/>
    <w:rsid w:val="739198F0"/>
    <w:rsid w:val="7397800C"/>
    <w:rsid w:val="739E4A7E"/>
    <w:rsid w:val="73A3A756"/>
    <w:rsid w:val="73B8F40F"/>
    <w:rsid w:val="73C54C05"/>
    <w:rsid w:val="73CE4E25"/>
    <w:rsid w:val="73E3F859"/>
    <w:rsid w:val="73FECFBE"/>
    <w:rsid w:val="740486F5"/>
    <w:rsid w:val="7427E0C0"/>
    <w:rsid w:val="7431A772"/>
    <w:rsid w:val="7433EB2B"/>
    <w:rsid w:val="743B216E"/>
    <w:rsid w:val="744571CE"/>
    <w:rsid w:val="744E59F2"/>
    <w:rsid w:val="745261A7"/>
    <w:rsid w:val="746FDE8B"/>
    <w:rsid w:val="747343EE"/>
    <w:rsid w:val="74824A5A"/>
    <w:rsid w:val="74A739EF"/>
    <w:rsid w:val="74C4534F"/>
    <w:rsid w:val="74C93782"/>
    <w:rsid w:val="74CEAA85"/>
    <w:rsid w:val="74D3F952"/>
    <w:rsid w:val="74D4D768"/>
    <w:rsid w:val="74D50C62"/>
    <w:rsid w:val="74EBAB74"/>
    <w:rsid w:val="74F1EEAA"/>
    <w:rsid w:val="74FF5799"/>
    <w:rsid w:val="75028B1E"/>
    <w:rsid w:val="75082F33"/>
    <w:rsid w:val="75108F89"/>
    <w:rsid w:val="75220DCB"/>
    <w:rsid w:val="75308D7E"/>
    <w:rsid w:val="75374136"/>
    <w:rsid w:val="75578FF1"/>
    <w:rsid w:val="75793B7C"/>
    <w:rsid w:val="7598C223"/>
    <w:rsid w:val="75B387E0"/>
    <w:rsid w:val="75B91310"/>
    <w:rsid w:val="75D7E733"/>
    <w:rsid w:val="760C53CD"/>
    <w:rsid w:val="760FE64F"/>
    <w:rsid w:val="76158E8F"/>
    <w:rsid w:val="7636AC3B"/>
    <w:rsid w:val="7643433F"/>
    <w:rsid w:val="764C755F"/>
    <w:rsid w:val="76547DA4"/>
    <w:rsid w:val="76597116"/>
    <w:rsid w:val="7667D5B5"/>
    <w:rsid w:val="766C304C"/>
    <w:rsid w:val="766E5DE0"/>
    <w:rsid w:val="76725443"/>
    <w:rsid w:val="76871553"/>
    <w:rsid w:val="768D1776"/>
    <w:rsid w:val="7699951E"/>
    <w:rsid w:val="76A5644A"/>
    <w:rsid w:val="76A66F2C"/>
    <w:rsid w:val="76BF086C"/>
    <w:rsid w:val="76C022C9"/>
    <w:rsid w:val="76D69C49"/>
    <w:rsid w:val="76E0279A"/>
    <w:rsid w:val="76F735E0"/>
    <w:rsid w:val="770A068F"/>
    <w:rsid w:val="7720FEB5"/>
    <w:rsid w:val="773087C0"/>
    <w:rsid w:val="7730907D"/>
    <w:rsid w:val="7730A3C4"/>
    <w:rsid w:val="7754A3DC"/>
    <w:rsid w:val="775F546A"/>
    <w:rsid w:val="777521E2"/>
    <w:rsid w:val="777A414A"/>
    <w:rsid w:val="7783EE26"/>
    <w:rsid w:val="778C48D0"/>
    <w:rsid w:val="77A13822"/>
    <w:rsid w:val="77A97E3F"/>
    <w:rsid w:val="77A99B9C"/>
    <w:rsid w:val="77D917C3"/>
    <w:rsid w:val="77DD7B7A"/>
    <w:rsid w:val="77E01B5A"/>
    <w:rsid w:val="780159E1"/>
    <w:rsid w:val="78097BBC"/>
    <w:rsid w:val="781CF1BE"/>
    <w:rsid w:val="7835B47C"/>
    <w:rsid w:val="78559C35"/>
    <w:rsid w:val="7868703F"/>
    <w:rsid w:val="78761684"/>
    <w:rsid w:val="7882342B"/>
    <w:rsid w:val="7887AD9E"/>
    <w:rsid w:val="78978E78"/>
    <w:rsid w:val="78A2BDE4"/>
    <w:rsid w:val="78A842B8"/>
    <w:rsid w:val="78BC6C9E"/>
    <w:rsid w:val="78C36642"/>
    <w:rsid w:val="78DD302E"/>
    <w:rsid w:val="78E52D82"/>
    <w:rsid w:val="78E6B2BC"/>
    <w:rsid w:val="792E56CC"/>
    <w:rsid w:val="792E95FB"/>
    <w:rsid w:val="792F6868"/>
    <w:rsid w:val="79567797"/>
    <w:rsid w:val="7962F707"/>
    <w:rsid w:val="7986D842"/>
    <w:rsid w:val="79951536"/>
    <w:rsid w:val="799B9568"/>
    <w:rsid w:val="79A8FFC9"/>
    <w:rsid w:val="79BB8807"/>
    <w:rsid w:val="79DB34D5"/>
    <w:rsid w:val="79ED43D6"/>
    <w:rsid w:val="79F05659"/>
    <w:rsid w:val="79FA6467"/>
    <w:rsid w:val="7A05A535"/>
    <w:rsid w:val="7A176D0A"/>
    <w:rsid w:val="7A298F59"/>
    <w:rsid w:val="7A53152F"/>
    <w:rsid w:val="7A73EDD5"/>
    <w:rsid w:val="7A81F3BF"/>
    <w:rsid w:val="7A81FAA6"/>
    <w:rsid w:val="7AA36C7E"/>
    <w:rsid w:val="7AE15D1F"/>
    <w:rsid w:val="7AEAAAAC"/>
    <w:rsid w:val="7AFA4596"/>
    <w:rsid w:val="7AFFDFA7"/>
    <w:rsid w:val="7B1B95F3"/>
    <w:rsid w:val="7B503375"/>
    <w:rsid w:val="7B664161"/>
    <w:rsid w:val="7B6B8E16"/>
    <w:rsid w:val="7B81CC21"/>
    <w:rsid w:val="7B8743AB"/>
    <w:rsid w:val="7B87F1D2"/>
    <w:rsid w:val="7B96D682"/>
    <w:rsid w:val="7BA7F521"/>
    <w:rsid w:val="7BA83D72"/>
    <w:rsid w:val="7BAC86BB"/>
    <w:rsid w:val="7BBD612F"/>
    <w:rsid w:val="7BC04D77"/>
    <w:rsid w:val="7BCC97A1"/>
    <w:rsid w:val="7BCE9984"/>
    <w:rsid w:val="7BD0719B"/>
    <w:rsid w:val="7BDC04AB"/>
    <w:rsid w:val="7BE0B7A6"/>
    <w:rsid w:val="7BEB5B48"/>
    <w:rsid w:val="7BEEE7FF"/>
    <w:rsid w:val="7C03E7E1"/>
    <w:rsid w:val="7C158B2A"/>
    <w:rsid w:val="7C17E839"/>
    <w:rsid w:val="7C3E10FA"/>
    <w:rsid w:val="7C543FAA"/>
    <w:rsid w:val="7C5BD998"/>
    <w:rsid w:val="7C5E78E1"/>
    <w:rsid w:val="7C61A6FB"/>
    <w:rsid w:val="7C63D2F8"/>
    <w:rsid w:val="7CB84D00"/>
    <w:rsid w:val="7CC308C8"/>
    <w:rsid w:val="7CD298FD"/>
    <w:rsid w:val="7CDC941E"/>
    <w:rsid w:val="7CE694EC"/>
    <w:rsid w:val="7CF75ECA"/>
    <w:rsid w:val="7CF85659"/>
    <w:rsid w:val="7D0A8B6A"/>
    <w:rsid w:val="7D0FD0EE"/>
    <w:rsid w:val="7D12A488"/>
    <w:rsid w:val="7D43FA13"/>
    <w:rsid w:val="7D454E21"/>
    <w:rsid w:val="7D49C348"/>
    <w:rsid w:val="7D514444"/>
    <w:rsid w:val="7D5A7D85"/>
    <w:rsid w:val="7D5D87BC"/>
    <w:rsid w:val="7D68EC06"/>
    <w:rsid w:val="7D7AE9D7"/>
    <w:rsid w:val="7DA801D5"/>
    <w:rsid w:val="7DA8CDFA"/>
    <w:rsid w:val="7DB0CBF1"/>
    <w:rsid w:val="7DB93CAD"/>
    <w:rsid w:val="7DBE7F10"/>
    <w:rsid w:val="7DC467E6"/>
    <w:rsid w:val="7DCBC058"/>
    <w:rsid w:val="7DCBFC7D"/>
    <w:rsid w:val="7DCE5383"/>
    <w:rsid w:val="7DD29273"/>
    <w:rsid w:val="7DD49514"/>
    <w:rsid w:val="7DD49ECE"/>
    <w:rsid w:val="7DE8033D"/>
    <w:rsid w:val="7DFEA37D"/>
    <w:rsid w:val="7E1055A5"/>
    <w:rsid w:val="7E1E005E"/>
    <w:rsid w:val="7E210269"/>
    <w:rsid w:val="7E28A5D4"/>
    <w:rsid w:val="7E2CBF4C"/>
    <w:rsid w:val="7E411A7E"/>
    <w:rsid w:val="7E45E1CD"/>
    <w:rsid w:val="7E4DC1B6"/>
    <w:rsid w:val="7E5A71B5"/>
    <w:rsid w:val="7E65B125"/>
    <w:rsid w:val="7E6C37D4"/>
    <w:rsid w:val="7E72F073"/>
    <w:rsid w:val="7E7584E5"/>
    <w:rsid w:val="7E79D769"/>
    <w:rsid w:val="7E9E8995"/>
    <w:rsid w:val="7EA27E9D"/>
    <w:rsid w:val="7EB83E2B"/>
    <w:rsid w:val="7EBA846A"/>
    <w:rsid w:val="7EBD273D"/>
    <w:rsid w:val="7EC4E007"/>
    <w:rsid w:val="7EDA1816"/>
    <w:rsid w:val="7EDB3ED3"/>
    <w:rsid w:val="7EDD9F0E"/>
    <w:rsid w:val="7EF7CB62"/>
    <w:rsid w:val="7EF7EA80"/>
    <w:rsid w:val="7F01D0A0"/>
    <w:rsid w:val="7F051084"/>
    <w:rsid w:val="7F4B3FC3"/>
    <w:rsid w:val="7F4D2E72"/>
    <w:rsid w:val="7F558D65"/>
    <w:rsid w:val="7F5CEC52"/>
    <w:rsid w:val="7F7549EB"/>
    <w:rsid w:val="7F75EF25"/>
    <w:rsid w:val="7F96AA41"/>
    <w:rsid w:val="7FAD2298"/>
    <w:rsid w:val="7FBE2B53"/>
    <w:rsid w:val="7FC023D4"/>
    <w:rsid w:val="7FC8AA40"/>
    <w:rsid w:val="7FD984C8"/>
    <w:rsid w:val="7FE59972"/>
    <w:rsid w:val="7FEE1AD7"/>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2D1F86"/>
  <w15:docId w15:val="{D51C3C77-3706-4434-B955-BBBFCC4EE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2215"/>
    <w:pPr>
      <w:jc w:val="both"/>
    </w:pPr>
    <w:rPr>
      <w:rFonts w:ascii="Calibri" w:hAnsi="Calibri"/>
    </w:rPr>
  </w:style>
  <w:style w:type="paragraph" w:styleId="Heading1">
    <w:name w:val="heading 1"/>
    <w:basedOn w:val="Normal"/>
    <w:next w:val="Normal"/>
    <w:link w:val="Heading1Char"/>
    <w:uiPriority w:val="9"/>
    <w:qFormat/>
    <w:rsid w:val="00BB1B56"/>
    <w:pPr>
      <w:keepNext/>
      <w:keepLines/>
      <w:pageBreakBefore/>
      <w:numPr>
        <w:numId w:val="3"/>
      </w:numPr>
      <w:spacing w:before="240" w:after="0" w:line="360" w:lineRule="auto"/>
      <w:outlineLvl w:val="0"/>
    </w:pPr>
    <w:rPr>
      <w:rFonts w:ascii="Garamond" w:eastAsiaTheme="majorEastAsia" w:hAnsi="Garamond" w:cstheme="majorBidi"/>
      <w:b/>
      <w:color w:val="034FA3" w:themeColor="accent1"/>
      <w:sz w:val="32"/>
      <w:szCs w:val="32"/>
      <w:lang w:val="en-GB"/>
    </w:rPr>
  </w:style>
  <w:style w:type="paragraph" w:styleId="Heading2">
    <w:name w:val="heading 2"/>
    <w:basedOn w:val="Heading1"/>
    <w:next w:val="Normal"/>
    <w:link w:val="Heading2Char"/>
    <w:uiPriority w:val="9"/>
    <w:unhideWhenUsed/>
    <w:qFormat/>
    <w:rsid w:val="00BB1B56"/>
    <w:pPr>
      <w:pageBreakBefore w:val="0"/>
      <w:numPr>
        <w:ilvl w:val="1"/>
      </w:numPr>
      <w:ind w:left="792"/>
      <w:outlineLvl w:val="1"/>
    </w:pPr>
    <w:rPr>
      <w:bCs/>
      <w:sz w:val="28"/>
      <w:szCs w:val="28"/>
    </w:rPr>
  </w:style>
  <w:style w:type="paragraph" w:styleId="Heading3">
    <w:name w:val="heading 3"/>
    <w:basedOn w:val="Heading2"/>
    <w:next w:val="Normal"/>
    <w:link w:val="Heading3Char"/>
    <w:uiPriority w:val="9"/>
    <w:unhideWhenUsed/>
    <w:qFormat/>
    <w:rsid w:val="00BB1B56"/>
    <w:pPr>
      <w:numPr>
        <w:ilvl w:val="2"/>
      </w:numPr>
      <w:outlineLvl w:val="2"/>
    </w:pPr>
    <w:rPr>
      <w:sz w:val="24"/>
      <w:szCs w:val="24"/>
    </w:rPr>
  </w:style>
  <w:style w:type="paragraph" w:styleId="Heading4">
    <w:name w:val="heading 4"/>
    <w:basedOn w:val="Normal"/>
    <w:next w:val="Normal"/>
    <w:link w:val="Heading4Char"/>
    <w:uiPriority w:val="9"/>
    <w:unhideWhenUsed/>
    <w:qFormat/>
    <w:rsid w:val="00542215"/>
    <w:pPr>
      <w:keepNext/>
      <w:keepLines/>
      <w:spacing w:before="40" w:after="0"/>
      <w:outlineLvl w:val="3"/>
    </w:pPr>
    <w:rPr>
      <w:rFonts w:eastAsiaTheme="majorEastAsia" w:cstheme="majorBidi"/>
      <w:b/>
      <w:iCs/>
      <w:color w:val="023B7A" w:themeColor="accent1" w:themeShade="BF"/>
    </w:rPr>
  </w:style>
  <w:style w:type="paragraph" w:styleId="Heading5">
    <w:name w:val="heading 5"/>
    <w:basedOn w:val="Normal"/>
    <w:next w:val="Normal"/>
    <w:link w:val="Heading5Char"/>
    <w:uiPriority w:val="9"/>
    <w:unhideWhenUsed/>
    <w:qFormat/>
    <w:rsid w:val="00663813"/>
    <w:pPr>
      <w:keepNext/>
      <w:keepLines/>
      <w:spacing w:before="40" w:after="0"/>
      <w:outlineLvl w:val="4"/>
    </w:pPr>
    <w:rPr>
      <w:rFonts w:asciiTheme="majorHAnsi" w:eastAsiaTheme="majorEastAsia" w:hAnsiTheme="majorHAnsi" w:cstheme="majorBidi"/>
      <w:color w:val="023B7A" w:themeColor="accent1" w:themeShade="BF"/>
    </w:rPr>
  </w:style>
  <w:style w:type="paragraph" w:styleId="Heading8">
    <w:name w:val="heading 8"/>
    <w:basedOn w:val="Normal"/>
    <w:next w:val="Normal"/>
    <w:link w:val="Heading8Char"/>
    <w:uiPriority w:val="99"/>
    <w:qFormat/>
    <w:rsid w:val="00EC59FF"/>
    <w:pPr>
      <w:spacing w:before="240" w:after="60" w:line="240" w:lineRule="auto"/>
      <w:outlineLvl w:val="7"/>
    </w:pPr>
    <w:rPr>
      <w:rFonts w:eastAsia="Times New Roman" w:cs="Times New Roman"/>
      <w:i/>
      <w:iCs/>
      <w:sz w:val="24"/>
      <w:szCs w:val="24"/>
      <w:lang w:val="hu-HU" w:eastAsia="hu-H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1B56"/>
    <w:rPr>
      <w:rFonts w:ascii="Garamond" w:eastAsiaTheme="majorEastAsia" w:hAnsi="Garamond" w:cstheme="majorBidi"/>
      <w:b/>
      <w:color w:val="034FA3" w:themeColor="accent1"/>
      <w:sz w:val="32"/>
      <w:szCs w:val="32"/>
      <w:lang w:val="en-GB"/>
    </w:rPr>
  </w:style>
  <w:style w:type="character" w:customStyle="1" w:styleId="Heading2Char">
    <w:name w:val="Heading 2 Char"/>
    <w:basedOn w:val="DefaultParagraphFont"/>
    <w:link w:val="Heading2"/>
    <w:uiPriority w:val="9"/>
    <w:rsid w:val="00BB1B56"/>
    <w:rPr>
      <w:rFonts w:ascii="Garamond" w:eastAsiaTheme="majorEastAsia" w:hAnsi="Garamond" w:cstheme="majorBidi"/>
      <w:b/>
      <w:bCs/>
      <w:color w:val="034FA3" w:themeColor="accent1"/>
      <w:sz w:val="28"/>
      <w:szCs w:val="28"/>
      <w:lang w:val="en-GB"/>
    </w:rPr>
  </w:style>
  <w:style w:type="character" w:customStyle="1" w:styleId="Heading3Char">
    <w:name w:val="Heading 3 Char"/>
    <w:basedOn w:val="DefaultParagraphFont"/>
    <w:link w:val="Heading3"/>
    <w:uiPriority w:val="9"/>
    <w:rsid w:val="00BB1B56"/>
    <w:rPr>
      <w:rFonts w:ascii="Garamond" w:eastAsiaTheme="majorEastAsia" w:hAnsi="Garamond" w:cstheme="majorBidi"/>
      <w:b/>
      <w:bCs/>
      <w:color w:val="034FA3" w:themeColor="accent1"/>
      <w:sz w:val="24"/>
      <w:szCs w:val="24"/>
      <w:lang w:val="en-GB"/>
    </w:rPr>
  </w:style>
  <w:style w:type="character" w:customStyle="1" w:styleId="Heading4Char">
    <w:name w:val="Heading 4 Char"/>
    <w:basedOn w:val="DefaultParagraphFont"/>
    <w:link w:val="Heading4"/>
    <w:uiPriority w:val="9"/>
    <w:rsid w:val="00542215"/>
    <w:rPr>
      <w:rFonts w:ascii="Calibri" w:eastAsiaTheme="majorEastAsia" w:hAnsi="Calibri" w:cstheme="majorBidi"/>
      <w:b/>
      <w:iCs/>
      <w:color w:val="023B7A" w:themeColor="accent1" w:themeShade="BF"/>
    </w:rPr>
  </w:style>
  <w:style w:type="character" w:customStyle="1" w:styleId="Heading8Char">
    <w:name w:val="Heading 8 Char"/>
    <w:basedOn w:val="DefaultParagraphFont"/>
    <w:link w:val="Heading8"/>
    <w:uiPriority w:val="99"/>
    <w:rsid w:val="00EC59FF"/>
    <w:rPr>
      <w:rFonts w:ascii="Calibri" w:eastAsia="Times New Roman" w:hAnsi="Calibri" w:cs="Times New Roman"/>
      <w:i/>
      <w:iCs/>
      <w:sz w:val="24"/>
      <w:szCs w:val="24"/>
      <w:lang w:val="hu-HU" w:eastAsia="hu-HU"/>
    </w:rPr>
  </w:style>
  <w:style w:type="paragraph" w:styleId="Header">
    <w:name w:val="header"/>
    <w:basedOn w:val="Normal"/>
    <w:link w:val="HeaderChar"/>
    <w:uiPriority w:val="99"/>
    <w:unhideWhenUsed/>
    <w:rsid w:val="00453026"/>
    <w:pPr>
      <w:tabs>
        <w:tab w:val="center" w:pos="4819"/>
        <w:tab w:val="right" w:pos="9638"/>
      </w:tabs>
      <w:spacing w:after="0" w:line="240" w:lineRule="auto"/>
    </w:pPr>
  </w:style>
  <w:style w:type="character" w:customStyle="1" w:styleId="HeaderChar">
    <w:name w:val="Header Char"/>
    <w:basedOn w:val="DefaultParagraphFont"/>
    <w:link w:val="Header"/>
    <w:uiPriority w:val="99"/>
    <w:rsid w:val="00453026"/>
  </w:style>
  <w:style w:type="paragraph" w:styleId="Footer">
    <w:name w:val="footer"/>
    <w:basedOn w:val="Normal"/>
    <w:link w:val="FooterChar"/>
    <w:uiPriority w:val="99"/>
    <w:unhideWhenUsed/>
    <w:rsid w:val="00453026"/>
    <w:pPr>
      <w:tabs>
        <w:tab w:val="center" w:pos="4819"/>
        <w:tab w:val="right" w:pos="9638"/>
      </w:tabs>
      <w:spacing w:after="0" w:line="240" w:lineRule="auto"/>
    </w:pPr>
  </w:style>
  <w:style w:type="character" w:customStyle="1" w:styleId="FooterChar">
    <w:name w:val="Footer Char"/>
    <w:basedOn w:val="DefaultParagraphFont"/>
    <w:link w:val="Footer"/>
    <w:uiPriority w:val="99"/>
    <w:rsid w:val="00453026"/>
  </w:style>
  <w:style w:type="paragraph" w:styleId="TOCHeading">
    <w:name w:val="TOC Heading"/>
    <w:basedOn w:val="Heading1"/>
    <w:next w:val="Normal"/>
    <w:uiPriority w:val="39"/>
    <w:unhideWhenUsed/>
    <w:qFormat/>
    <w:rsid w:val="008727F2"/>
    <w:pPr>
      <w:outlineLvl w:val="9"/>
    </w:pPr>
    <w:rPr>
      <w:lang w:eastAsia="it-IT"/>
    </w:rPr>
  </w:style>
  <w:style w:type="paragraph" w:styleId="TOC1">
    <w:name w:val="toc 1"/>
    <w:basedOn w:val="Normal"/>
    <w:next w:val="Normal"/>
    <w:autoRedefine/>
    <w:uiPriority w:val="39"/>
    <w:unhideWhenUsed/>
    <w:rsid w:val="00286861"/>
    <w:pPr>
      <w:tabs>
        <w:tab w:val="left" w:pos="440"/>
        <w:tab w:val="right" w:leader="dot" w:pos="9016"/>
      </w:tabs>
      <w:spacing w:after="100"/>
    </w:pPr>
    <w:rPr>
      <w:b/>
      <w:bCs/>
      <w:noProof/>
      <w14:scene3d>
        <w14:camera w14:prst="orthographicFront"/>
        <w14:lightRig w14:rig="threePt" w14:dir="t">
          <w14:rot w14:lat="0" w14:lon="0" w14:rev="0"/>
        </w14:lightRig>
      </w14:scene3d>
    </w:rPr>
  </w:style>
  <w:style w:type="paragraph" w:styleId="TOC2">
    <w:name w:val="toc 2"/>
    <w:basedOn w:val="Normal"/>
    <w:next w:val="Normal"/>
    <w:autoRedefine/>
    <w:uiPriority w:val="39"/>
    <w:unhideWhenUsed/>
    <w:rsid w:val="009027CD"/>
    <w:pPr>
      <w:tabs>
        <w:tab w:val="left" w:pos="880"/>
        <w:tab w:val="right" w:leader="dot" w:pos="9016"/>
      </w:tabs>
      <w:spacing w:after="100"/>
      <w:ind w:left="220"/>
    </w:pPr>
    <w:rPr>
      <w:b/>
      <w:bCs/>
      <w:noProof/>
    </w:rPr>
  </w:style>
  <w:style w:type="character" w:styleId="Hyperlink">
    <w:name w:val="Hyperlink"/>
    <w:basedOn w:val="DefaultParagraphFont"/>
    <w:uiPriority w:val="99"/>
    <w:unhideWhenUsed/>
    <w:rsid w:val="008727F2"/>
    <w:rPr>
      <w:color w:val="023B7A" w:themeColor="hyperlink"/>
      <w:u w:val="single"/>
    </w:rPr>
  </w:style>
  <w:style w:type="table" w:styleId="TableGrid">
    <w:name w:val="Table Grid"/>
    <w:basedOn w:val="TableNormal"/>
    <w:uiPriority w:val="39"/>
    <w:rsid w:val="00B661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ormal bullet 2,List Paragraph1,Akapit z listą BS,Outlines a.b.c.,List_Paragraph,Multilevel para_II,Akapit z lista BS,body 2,Dot pt,No Spacing1,List Paragraph Char Char Char,Indicator Text,Numbered Para 1,List Paragraph à moi,LISTA"/>
    <w:basedOn w:val="Normal"/>
    <w:link w:val="ListParagraphChar"/>
    <w:uiPriority w:val="99"/>
    <w:qFormat/>
    <w:rsid w:val="00D058EA"/>
    <w:pPr>
      <w:spacing w:after="200" w:line="276" w:lineRule="auto"/>
      <w:ind w:left="720"/>
    </w:pPr>
    <w:rPr>
      <w:rFonts w:eastAsia="Calibri" w:cs="Times New Roman"/>
      <w:lang w:val="ro-RO"/>
    </w:rPr>
  </w:style>
  <w:style w:type="character" w:customStyle="1" w:styleId="ListParagraphChar">
    <w:name w:val="List Paragraph Char"/>
    <w:aliases w:val="Normal bullet 2 Char,List Paragraph1 Char,Akapit z listą BS Char,Outlines a.b.c. Char,List_Paragraph Char,Multilevel para_II Char,Akapit z lista BS Char,body 2 Char,Dot pt Char,No Spacing1 Char,List Paragraph Char Char Char Char"/>
    <w:link w:val="ListParagraph"/>
    <w:uiPriority w:val="99"/>
    <w:qFormat/>
    <w:rsid w:val="00D058EA"/>
    <w:rPr>
      <w:rFonts w:ascii="Calibri" w:eastAsia="Calibri" w:hAnsi="Calibri" w:cs="Times New Roman"/>
      <w:lang w:val="ro-RO"/>
    </w:rPr>
  </w:style>
  <w:style w:type="character" w:customStyle="1" w:styleId="Normal2">
    <w:name w:val="Normal2"/>
    <w:rsid w:val="00BE008C"/>
    <w:rPr>
      <w:rFonts w:ascii="Times New Roman" w:hAnsi="Times New Roman" w:cs="Times New Roman"/>
      <w:sz w:val="16"/>
      <w:szCs w:val="16"/>
    </w:rPr>
  </w:style>
  <w:style w:type="paragraph" w:styleId="FootnoteText">
    <w:name w:val="footnote text"/>
    <w:aliases w:val="Char1,Footnote Text Char3 Char,Footnote Text Char1 Char1 Char,Footnote Text Char2 Char Char Char,Footnote Text Char1 Char1 Char Char Char,Footnote Text Char2 Char Char Char Char Char,Footnote Text Char3,fn Char,Podrozdzi,Znak"/>
    <w:basedOn w:val="Normal"/>
    <w:link w:val="FootnoteTextChar"/>
    <w:unhideWhenUsed/>
    <w:rsid w:val="00B75357"/>
    <w:pPr>
      <w:spacing w:after="0" w:line="240" w:lineRule="auto"/>
    </w:pPr>
    <w:rPr>
      <w:sz w:val="20"/>
      <w:szCs w:val="20"/>
    </w:rPr>
  </w:style>
  <w:style w:type="character" w:customStyle="1" w:styleId="FootnoteTextChar">
    <w:name w:val="Footnote Text Char"/>
    <w:aliases w:val="Char1 Char,Footnote Text Char3 Char Char,Footnote Text Char1 Char1 Char Char,Footnote Text Char2 Char Char Char Char,Footnote Text Char1 Char1 Char Char Char Char,Footnote Text Char2 Char Char Char Char Char Char,fn Char Char"/>
    <w:basedOn w:val="DefaultParagraphFont"/>
    <w:link w:val="FootnoteText"/>
    <w:uiPriority w:val="99"/>
    <w:rsid w:val="00B75357"/>
    <w:rPr>
      <w:sz w:val="20"/>
      <w:szCs w:val="20"/>
    </w:rPr>
  </w:style>
  <w:style w:type="character" w:styleId="FootnoteReference">
    <w:name w:val="footnote reference"/>
    <w:aliases w:val="16 Point,Superscript 6 Point,ftref,Знак сноски-FN,Footnote Reference Number,Estilo de nota al pie de Africa,Footnote Reference_LVL6,Footnote Reference_LVL61,Footnote Reference_LVL62,Footnote Reference_LVL63,f,Footnote,fr,o"/>
    <w:basedOn w:val="DefaultParagraphFont"/>
    <w:link w:val="numberCharCar"/>
    <w:unhideWhenUsed/>
    <w:qFormat/>
    <w:rsid w:val="00B75357"/>
    <w:rPr>
      <w:vertAlign w:val="superscript"/>
    </w:rPr>
  </w:style>
  <w:style w:type="paragraph" w:customStyle="1" w:styleId="numberCharCar">
    <w:name w:val="number Char Car"/>
    <w:aliases w:val="BVI fnr Char1 Car,Footnote symbol Char1 Car,EN Footnote Reference Char Car,Times 10 Point Char Car,Exposant 3 Point Char Car,Footnote reference number Char Car,note TESI Char Car"/>
    <w:basedOn w:val="Normal"/>
    <w:next w:val="Normal"/>
    <w:link w:val="FootnoteReference"/>
    <w:uiPriority w:val="99"/>
    <w:rsid w:val="001F3B6F"/>
    <w:pPr>
      <w:spacing w:before="120" w:line="240" w:lineRule="exact"/>
    </w:pPr>
    <w:rPr>
      <w:vertAlign w:val="superscript"/>
    </w:rPr>
  </w:style>
  <w:style w:type="paragraph" w:customStyle="1" w:styleId="Default">
    <w:name w:val="Default"/>
    <w:rsid w:val="004478F3"/>
    <w:pPr>
      <w:autoSpaceDE w:val="0"/>
      <w:autoSpaceDN w:val="0"/>
      <w:adjustRightInd w:val="0"/>
      <w:spacing w:after="0" w:line="240" w:lineRule="auto"/>
    </w:pPr>
    <w:rPr>
      <w:rFonts w:ascii="Trebuchet MS" w:hAnsi="Trebuchet MS" w:cs="Trebuchet MS"/>
      <w:color w:val="000000"/>
      <w:sz w:val="24"/>
      <w:szCs w:val="24"/>
    </w:rPr>
  </w:style>
  <w:style w:type="character" w:customStyle="1" w:styleId="Menzionenonrisolta1">
    <w:name w:val="Menzione non risolta1"/>
    <w:basedOn w:val="DefaultParagraphFont"/>
    <w:uiPriority w:val="99"/>
    <w:semiHidden/>
    <w:unhideWhenUsed/>
    <w:rsid w:val="009225CD"/>
    <w:rPr>
      <w:color w:val="605E5C"/>
      <w:shd w:val="clear" w:color="auto" w:fill="E1DFDD"/>
    </w:rPr>
  </w:style>
  <w:style w:type="paragraph" w:styleId="TOC3">
    <w:name w:val="toc 3"/>
    <w:basedOn w:val="Normal"/>
    <w:next w:val="Normal"/>
    <w:autoRedefine/>
    <w:uiPriority w:val="39"/>
    <w:unhideWhenUsed/>
    <w:rsid w:val="00CA4D96"/>
    <w:pPr>
      <w:tabs>
        <w:tab w:val="left" w:pos="1320"/>
        <w:tab w:val="right" w:leader="dot" w:pos="9016"/>
      </w:tabs>
      <w:spacing w:after="100"/>
      <w:ind w:left="440"/>
    </w:pPr>
  </w:style>
  <w:style w:type="character" w:customStyle="1" w:styleId="A8">
    <w:name w:val="A8"/>
    <w:uiPriority w:val="99"/>
    <w:rsid w:val="00AD64A3"/>
    <w:rPr>
      <w:color w:val="000000"/>
      <w:sz w:val="22"/>
      <w:szCs w:val="22"/>
    </w:rPr>
  </w:style>
  <w:style w:type="paragraph" w:styleId="BalloonText">
    <w:name w:val="Balloon Text"/>
    <w:basedOn w:val="Normal"/>
    <w:link w:val="BalloonTextChar"/>
    <w:uiPriority w:val="99"/>
    <w:semiHidden/>
    <w:unhideWhenUsed/>
    <w:rsid w:val="00404F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F04"/>
    <w:rPr>
      <w:rFonts w:ascii="Segoe UI" w:hAnsi="Segoe UI" w:cs="Segoe UI"/>
      <w:sz w:val="18"/>
      <w:szCs w:val="18"/>
    </w:rPr>
  </w:style>
  <w:style w:type="character" w:styleId="CommentReference">
    <w:name w:val="annotation reference"/>
    <w:basedOn w:val="DefaultParagraphFont"/>
    <w:uiPriority w:val="99"/>
    <w:semiHidden/>
    <w:unhideWhenUsed/>
    <w:rsid w:val="00020939"/>
    <w:rPr>
      <w:sz w:val="16"/>
      <w:szCs w:val="16"/>
    </w:rPr>
  </w:style>
  <w:style w:type="paragraph" w:styleId="CommentText">
    <w:name w:val="annotation text"/>
    <w:basedOn w:val="Normal"/>
    <w:link w:val="CommentTextChar"/>
    <w:uiPriority w:val="99"/>
    <w:unhideWhenUsed/>
    <w:rsid w:val="00020939"/>
    <w:pPr>
      <w:spacing w:line="240" w:lineRule="auto"/>
    </w:pPr>
    <w:rPr>
      <w:sz w:val="20"/>
      <w:szCs w:val="20"/>
    </w:rPr>
  </w:style>
  <w:style w:type="character" w:customStyle="1" w:styleId="CommentTextChar">
    <w:name w:val="Comment Text Char"/>
    <w:basedOn w:val="DefaultParagraphFont"/>
    <w:link w:val="CommentText"/>
    <w:uiPriority w:val="99"/>
    <w:rsid w:val="00020939"/>
    <w:rPr>
      <w:sz w:val="20"/>
      <w:szCs w:val="20"/>
    </w:rPr>
  </w:style>
  <w:style w:type="paragraph" w:styleId="CommentSubject">
    <w:name w:val="annotation subject"/>
    <w:basedOn w:val="CommentText"/>
    <w:next w:val="CommentText"/>
    <w:link w:val="CommentSubjectChar"/>
    <w:uiPriority w:val="99"/>
    <w:semiHidden/>
    <w:unhideWhenUsed/>
    <w:rsid w:val="00020939"/>
    <w:rPr>
      <w:b/>
      <w:bCs/>
    </w:rPr>
  </w:style>
  <w:style w:type="character" w:customStyle="1" w:styleId="CommentSubjectChar">
    <w:name w:val="Comment Subject Char"/>
    <w:basedOn w:val="CommentTextChar"/>
    <w:link w:val="CommentSubject"/>
    <w:uiPriority w:val="99"/>
    <w:semiHidden/>
    <w:rsid w:val="00020939"/>
    <w:rPr>
      <w:b/>
      <w:bCs/>
      <w:sz w:val="20"/>
      <w:szCs w:val="20"/>
    </w:rPr>
  </w:style>
  <w:style w:type="paragraph" w:styleId="BodyTextIndent2">
    <w:name w:val="Body Text Indent 2"/>
    <w:basedOn w:val="Normal"/>
    <w:link w:val="BodyTextIndent2Char"/>
    <w:uiPriority w:val="99"/>
    <w:rsid w:val="00EC59FF"/>
    <w:pPr>
      <w:spacing w:after="120" w:line="240" w:lineRule="auto"/>
      <w:ind w:left="561" w:hanging="561"/>
    </w:pPr>
    <w:rPr>
      <w:rFonts w:ascii="Times New Roman" w:eastAsia="Times New Roman" w:hAnsi="Times New Roman" w:cs="Times New Roman"/>
      <w:szCs w:val="24"/>
      <w:lang w:val="hu-HU" w:eastAsia="hu-HU"/>
    </w:rPr>
  </w:style>
  <w:style w:type="character" w:customStyle="1" w:styleId="BodyTextIndent2Char">
    <w:name w:val="Body Text Indent 2 Char"/>
    <w:basedOn w:val="DefaultParagraphFont"/>
    <w:link w:val="BodyTextIndent2"/>
    <w:uiPriority w:val="99"/>
    <w:rsid w:val="00EC59FF"/>
    <w:rPr>
      <w:rFonts w:ascii="Times New Roman" w:eastAsia="Times New Roman" w:hAnsi="Times New Roman" w:cs="Times New Roman"/>
      <w:szCs w:val="24"/>
      <w:lang w:val="hu-HU" w:eastAsia="hu-HU"/>
    </w:rPr>
  </w:style>
  <w:style w:type="paragraph" w:styleId="BodyTextIndent3">
    <w:name w:val="Body Text Indent 3"/>
    <w:basedOn w:val="Normal"/>
    <w:link w:val="BodyTextIndent3Char"/>
    <w:uiPriority w:val="99"/>
    <w:rsid w:val="00EC59FF"/>
    <w:pPr>
      <w:shd w:val="clear" w:color="auto" w:fill="C0C0C0"/>
      <w:spacing w:after="120" w:line="240" w:lineRule="auto"/>
      <w:ind w:left="684" w:hanging="684"/>
    </w:pPr>
    <w:rPr>
      <w:rFonts w:ascii="Times New Roman" w:eastAsia="Times New Roman" w:hAnsi="Times New Roman" w:cs="Times New Roman"/>
      <w:sz w:val="20"/>
      <w:szCs w:val="24"/>
      <w:lang w:val="hu-HU" w:eastAsia="hu-HU"/>
    </w:rPr>
  </w:style>
  <w:style w:type="character" w:customStyle="1" w:styleId="BodyTextIndent3Char">
    <w:name w:val="Body Text Indent 3 Char"/>
    <w:basedOn w:val="DefaultParagraphFont"/>
    <w:link w:val="BodyTextIndent3"/>
    <w:uiPriority w:val="99"/>
    <w:rsid w:val="00EC59FF"/>
    <w:rPr>
      <w:rFonts w:ascii="Times New Roman" w:eastAsia="Times New Roman" w:hAnsi="Times New Roman" w:cs="Times New Roman"/>
      <w:sz w:val="20"/>
      <w:szCs w:val="24"/>
      <w:shd w:val="clear" w:color="auto" w:fill="C0C0C0"/>
      <w:lang w:val="hu-HU" w:eastAsia="hu-HU"/>
    </w:rPr>
  </w:style>
  <w:style w:type="paragraph" w:styleId="Title">
    <w:name w:val="Title"/>
    <w:basedOn w:val="Normal"/>
    <w:next w:val="Normal"/>
    <w:link w:val="TitleChar"/>
    <w:uiPriority w:val="10"/>
    <w:qFormat/>
    <w:rsid w:val="009E4103"/>
    <w:pPr>
      <w:jc w:val="center"/>
    </w:pPr>
    <w:rPr>
      <w:rFonts w:ascii="Garamond" w:hAnsi="Garamond"/>
      <w:b/>
      <w:bCs/>
      <w:i/>
      <w:iCs/>
      <w:sz w:val="52"/>
      <w:szCs w:val="52"/>
      <w:lang w:val="en-GB"/>
    </w:rPr>
  </w:style>
  <w:style w:type="character" w:customStyle="1" w:styleId="TitleChar">
    <w:name w:val="Title Char"/>
    <w:basedOn w:val="DefaultParagraphFont"/>
    <w:link w:val="Title"/>
    <w:uiPriority w:val="10"/>
    <w:rsid w:val="009E4103"/>
    <w:rPr>
      <w:rFonts w:ascii="Garamond" w:hAnsi="Garamond"/>
      <w:b/>
      <w:bCs/>
      <w:i/>
      <w:iCs/>
      <w:sz w:val="52"/>
      <w:szCs w:val="52"/>
      <w:lang w:val="en-GB"/>
    </w:rPr>
  </w:style>
  <w:style w:type="paragraph" w:styleId="Subtitle">
    <w:name w:val="Subtitle"/>
    <w:basedOn w:val="Normal"/>
    <w:next w:val="Normal"/>
    <w:link w:val="SubtitleChar"/>
    <w:uiPriority w:val="11"/>
    <w:qFormat/>
    <w:rsid w:val="009E4103"/>
    <w:pPr>
      <w:jc w:val="center"/>
    </w:pPr>
    <w:rPr>
      <w:rFonts w:ascii="Garamond" w:hAnsi="Garamond"/>
      <w:b/>
      <w:bCs/>
      <w:sz w:val="32"/>
      <w:szCs w:val="32"/>
      <w:lang w:val="en-GB"/>
    </w:rPr>
  </w:style>
  <w:style w:type="character" w:customStyle="1" w:styleId="SubtitleChar">
    <w:name w:val="Subtitle Char"/>
    <w:basedOn w:val="DefaultParagraphFont"/>
    <w:link w:val="Subtitle"/>
    <w:uiPriority w:val="11"/>
    <w:rsid w:val="009E4103"/>
    <w:rPr>
      <w:rFonts w:ascii="Garamond" w:hAnsi="Garamond"/>
      <w:b/>
      <w:bCs/>
      <w:sz w:val="32"/>
      <w:szCs w:val="32"/>
      <w:lang w:val="en-GB"/>
    </w:rPr>
  </w:style>
  <w:style w:type="table" w:customStyle="1" w:styleId="GridTable4-Accent11">
    <w:name w:val="Grid Table 4 - Accent 11"/>
    <w:basedOn w:val="TableNormal"/>
    <w:uiPriority w:val="49"/>
    <w:rsid w:val="007970BB"/>
    <w:pPr>
      <w:spacing w:after="0" w:line="240" w:lineRule="auto"/>
    </w:pPr>
    <w:tblPr>
      <w:tblStyleRowBandSize w:val="1"/>
      <w:tblStyleColBandSize w:val="1"/>
      <w:tblBorders>
        <w:top w:val="single" w:sz="4" w:space="0" w:color="3492FB" w:themeColor="accent1" w:themeTint="99"/>
        <w:left w:val="single" w:sz="4" w:space="0" w:color="3492FB" w:themeColor="accent1" w:themeTint="99"/>
        <w:bottom w:val="single" w:sz="4" w:space="0" w:color="3492FB" w:themeColor="accent1" w:themeTint="99"/>
        <w:right w:val="single" w:sz="4" w:space="0" w:color="3492FB" w:themeColor="accent1" w:themeTint="99"/>
        <w:insideH w:val="single" w:sz="4" w:space="0" w:color="3492FB" w:themeColor="accent1" w:themeTint="99"/>
        <w:insideV w:val="single" w:sz="4" w:space="0" w:color="3492FB" w:themeColor="accent1" w:themeTint="99"/>
      </w:tblBorders>
    </w:tblPr>
    <w:tblStylePr w:type="firstRow">
      <w:rPr>
        <w:b/>
        <w:bCs/>
        <w:color w:val="FFFFFF" w:themeColor="background1"/>
      </w:rPr>
      <w:tblPr/>
      <w:tcPr>
        <w:tcBorders>
          <w:top w:val="single" w:sz="4" w:space="0" w:color="034FA3" w:themeColor="accent1"/>
          <w:left w:val="single" w:sz="4" w:space="0" w:color="034FA3" w:themeColor="accent1"/>
          <w:bottom w:val="single" w:sz="4" w:space="0" w:color="034FA3" w:themeColor="accent1"/>
          <w:right w:val="single" w:sz="4" w:space="0" w:color="034FA3" w:themeColor="accent1"/>
          <w:insideH w:val="nil"/>
          <w:insideV w:val="nil"/>
        </w:tcBorders>
        <w:shd w:val="clear" w:color="auto" w:fill="034FA3" w:themeFill="accent1"/>
      </w:tcPr>
    </w:tblStylePr>
    <w:tblStylePr w:type="lastRow">
      <w:rPr>
        <w:b/>
        <w:bCs/>
      </w:rPr>
      <w:tblPr/>
      <w:tcPr>
        <w:tcBorders>
          <w:top w:val="double" w:sz="4" w:space="0" w:color="034FA3" w:themeColor="accent1"/>
        </w:tcBorders>
      </w:tcPr>
    </w:tblStylePr>
    <w:tblStylePr w:type="firstCol">
      <w:rPr>
        <w:b/>
        <w:bCs/>
      </w:rPr>
    </w:tblStylePr>
    <w:tblStylePr w:type="lastCol">
      <w:rPr>
        <w:b/>
        <w:bCs/>
      </w:rPr>
    </w:tblStylePr>
    <w:tblStylePr w:type="band1Vert">
      <w:tblPr/>
      <w:tcPr>
        <w:shd w:val="clear" w:color="auto" w:fill="BBDAFD" w:themeFill="accent1" w:themeFillTint="33"/>
      </w:tcPr>
    </w:tblStylePr>
    <w:tblStylePr w:type="band1Horz">
      <w:tblPr/>
      <w:tcPr>
        <w:shd w:val="clear" w:color="auto" w:fill="BBDAFD" w:themeFill="accent1" w:themeFillTint="33"/>
      </w:tcPr>
    </w:tblStylePr>
  </w:style>
  <w:style w:type="paragraph" w:customStyle="1" w:styleId="nova-e-listitem">
    <w:name w:val="nova-e-list__item"/>
    <w:basedOn w:val="Normal"/>
    <w:uiPriority w:val="99"/>
    <w:rsid w:val="00EE7F7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InterregROHUBullet1">
    <w:name w:val="InterregROHU_Bullet1"/>
    <w:basedOn w:val="Normal"/>
    <w:link w:val="InterregROHUBullet1Char"/>
    <w:qFormat/>
    <w:rsid w:val="00BB1B56"/>
    <w:pPr>
      <w:numPr>
        <w:numId w:val="1"/>
      </w:numPr>
      <w:spacing w:after="240" w:line="240" w:lineRule="auto"/>
    </w:pPr>
    <w:rPr>
      <w:rFonts w:cstheme="minorHAnsi"/>
      <w:bCs/>
      <w:lang w:val="en-GB"/>
    </w:rPr>
  </w:style>
  <w:style w:type="character" w:customStyle="1" w:styleId="InterregROHUBullet1Char">
    <w:name w:val="InterregROHU_Bullet1 Char"/>
    <w:basedOn w:val="DefaultParagraphFont"/>
    <w:link w:val="InterregROHUBullet1"/>
    <w:rsid w:val="00BB1B56"/>
    <w:rPr>
      <w:rFonts w:ascii="Calibri" w:hAnsi="Calibri" w:cstheme="minorHAnsi"/>
      <w:bCs/>
      <w:lang w:val="en-GB"/>
    </w:rPr>
  </w:style>
  <w:style w:type="character" w:customStyle="1" w:styleId="UnresolvedMention1">
    <w:name w:val="Unresolved Mention1"/>
    <w:basedOn w:val="DefaultParagraphFont"/>
    <w:uiPriority w:val="99"/>
    <w:semiHidden/>
    <w:unhideWhenUsed/>
    <w:rsid w:val="006C7299"/>
    <w:rPr>
      <w:color w:val="605E5C"/>
      <w:shd w:val="clear" w:color="auto" w:fill="E1DFDD"/>
    </w:rPr>
  </w:style>
  <w:style w:type="table" w:customStyle="1" w:styleId="TableGridLight1">
    <w:name w:val="Table Grid Light1"/>
    <w:basedOn w:val="TableNormal"/>
    <w:uiPriority w:val="40"/>
    <w:rsid w:val="00E77A5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E77A5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B768EA"/>
    <w:pPr>
      <w:spacing w:before="100" w:beforeAutospacing="1" w:after="100" w:afterAutospacing="1" w:line="240" w:lineRule="auto"/>
    </w:pPr>
    <w:rPr>
      <w:rFonts w:ascii="Times New Roman" w:eastAsiaTheme="minorEastAsia" w:hAnsi="Times New Roman" w:cs="Times New Roman"/>
      <w:sz w:val="24"/>
      <w:szCs w:val="24"/>
      <w:lang w:val="hu-HU"/>
    </w:rPr>
  </w:style>
  <w:style w:type="character" w:styleId="FollowedHyperlink">
    <w:name w:val="FollowedHyperlink"/>
    <w:basedOn w:val="DefaultParagraphFont"/>
    <w:uiPriority w:val="99"/>
    <w:semiHidden/>
    <w:unhideWhenUsed/>
    <w:rsid w:val="008B0080"/>
    <w:rPr>
      <w:color w:val="595959" w:themeColor="followedHyperlink"/>
      <w:u w:val="single"/>
    </w:rPr>
  </w:style>
  <w:style w:type="character" w:styleId="IntenseReference">
    <w:name w:val="Intense Reference"/>
    <w:basedOn w:val="DefaultParagraphFont"/>
    <w:uiPriority w:val="32"/>
    <w:qFormat/>
    <w:rsid w:val="002046DE"/>
    <w:rPr>
      <w:b/>
      <w:bCs/>
      <w:smallCaps/>
      <w:color w:val="034FA3" w:themeColor="accent1"/>
      <w:spacing w:val="5"/>
    </w:rPr>
  </w:style>
  <w:style w:type="paragraph" w:customStyle="1" w:styleId="SubtitlenoToC">
    <w:name w:val="Subtitle no ToC"/>
    <w:basedOn w:val="Normal"/>
    <w:link w:val="SubtitlenoToCChar"/>
    <w:qFormat/>
    <w:rsid w:val="00542215"/>
    <w:pPr>
      <w:spacing w:before="120" w:after="280"/>
    </w:pPr>
    <w:rPr>
      <w:rFonts w:ascii="Garamond" w:hAnsi="Garamond"/>
      <w:b/>
      <w:bCs/>
      <w:color w:val="034FA3" w:themeColor="accent1"/>
      <w:sz w:val="28"/>
    </w:rPr>
  </w:style>
  <w:style w:type="character" w:customStyle="1" w:styleId="SubtitlenoToCChar">
    <w:name w:val="Subtitle no ToC Char"/>
    <w:basedOn w:val="Heading2Char"/>
    <w:link w:val="SubtitlenoToC"/>
    <w:rsid w:val="00542215"/>
    <w:rPr>
      <w:rFonts w:ascii="Garamond" w:eastAsiaTheme="majorEastAsia" w:hAnsi="Garamond" w:cstheme="majorBidi"/>
      <w:b w:val="0"/>
      <w:bCs w:val="0"/>
      <w:color w:val="034FA3" w:themeColor="accent1"/>
      <w:sz w:val="28"/>
      <w:szCs w:val="26"/>
      <w:lang w:val="en-GB"/>
    </w:rPr>
  </w:style>
  <w:style w:type="paragraph" w:styleId="HTMLPreformatted">
    <w:name w:val="HTML Preformatted"/>
    <w:basedOn w:val="Normal"/>
    <w:link w:val="HTMLPreformattedChar"/>
    <w:uiPriority w:val="99"/>
    <w:semiHidden/>
    <w:unhideWhenUsed/>
    <w:rsid w:val="00542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542215"/>
    <w:rPr>
      <w:rFonts w:ascii="Courier New" w:eastAsia="Times New Roman" w:hAnsi="Courier New" w:cs="Courier New"/>
      <w:sz w:val="20"/>
      <w:szCs w:val="20"/>
      <w:lang w:val="en-US"/>
    </w:rPr>
  </w:style>
  <w:style w:type="paragraph" w:styleId="Caption">
    <w:name w:val="caption"/>
    <w:basedOn w:val="Normal"/>
    <w:next w:val="Normal"/>
    <w:uiPriority w:val="35"/>
    <w:unhideWhenUsed/>
    <w:qFormat/>
    <w:rsid w:val="00094FD3"/>
    <w:pPr>
      <w:spacing w:after="0" w:line="240" w:lineRule="auto"/>
      <w:jc w:val="center"/>
    </w:pPr>
    <w:rPr>
      <w:i/>
      <w:iCs/>
      <w:color w:val="012751" w:themeColor="text2"/>
      <w:sz w:val="18"/>
      <w:szCs w:val="18"/>
    </w:rPr>
  </w:style>
  <w:style w:type="table" w:customStyle="1" w:styleId="GridTable5Dark-Accent11">
    <w:name w:val="Grid Table 5 Dark - Accent 11"/>
    <w:basedOn w:val="TableNormal"/>
    <w:uiPriority w:val="50"/>
    <w:rsid w:val="0070201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DAF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4FA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4FA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4FA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4FA3" w:themeFill="accent1"/>
      </w:tcPr>
    </w:tblStylePr>
    <w:tblStylePr w:type="band1Vert">
      <w:tblPr/>
      <w:tcPr>
        <w:shd w:val="clear" w:color="auto" w:fill="77B6FC" w:themeFill="accent1" w:themeFillTint="66"/>
      </w:tcPr>
    </w:tblStylePr>
    <w:tblStylePr w:type="band1Horz">
      <w:tblPr/>
      <w:tcPr>
        <w:shd w:val="clear" w:color="auto" w:fill="77B6FC" w:themeFill="accent1" w:themeFillTint="66"/>
      </w:tcPr>
    </w:tblStylePr>
  </w:style>
  <w:style w:type="table" w:customStyle="1" w:styleId="GridTable5Dark-Accent21">
    <w:name w:val="Grid Table 5 Dark - Accent 21"/>
    <w:basedOn w:val="TableNormal"/>
    <w:uiPriority w:val="50"/>
    <w:rsid w:val="0070201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D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8A7D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8A7D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8A7D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8A7D5" w:themeFill="accent2"/>
      </w:tcPr>
    </w:tblStylePr>
    <w:tblStylePr w:type="band1Vert">
      <w:tblPr/>
      <w:tcPr>
        <w:shd w:val="clear" w:color="auto" w:fill="D5DBEE" w:themeFill="accent2" w:themeFillTint="66"/>
      </w:tcPr>
    </w:tblStylePr>
    <w:tblStylePr w:type="band1Horz">
      <w:tblPr/>
      <w:tcPr>
        <w:shd w:val="clear" w:color="auto" w:fill="D5DBEE" w:themeFill="accent2" w:themeFillTint="66"/>
      </w:tcPr>
    </w:tblStylePr>
  </w:style>
  <w:style w:type="table" w:customStyle="1" w:styleId="PlainTable31">
    <w:name w:val="Plain Table 31"/>
    <w:basedOn w:val="TableNormal"/>
    <w:uiPriority w:val="43"/>
    <w:rsid w:val="0070201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nlmyear">
    <w:name w:val="nlm_year"/>
    <w:basedOn w:val="DefaultParagraphFont"/>
    <w:rsid w:val="00E16864"/>
  </w:style>
  <w:style w:type="character" w:customStyle="1" w:styleId="nlmarticle-title">
    <w:name w:val="nlm_article-title"/>
    <w:basedOn w:val="DefaultParagraphFont"/>
    <w:rsid w:val="00E16864"/>
  </w:style>
  <w:style w:type="character" w:customStyle="1" w:styleId="nlmfpage">
    <w:name w:val="nlm_fpage"/>
    <w:basedOn w:val="DefaultParagraphFont"/>
    <w:rsid w:val="00E16864"/>
  </w:style>
  <w:style w:type="character" w:customStyle="1" w:styleId="nlmlpage">
    <w:name w:val="nlm_lpage"/>
    <w:basedOn w:val="DefaultParagraphFont"/>
    <w:rsid w:val="00E16864"/>
  </w:style>
  <w:style w:type="table" w:customStyle="1" w:styleId="PlainTable41">
    <w:name w:val="Plain Table 41"/>
    <w:basedOn w:val="TableNormal"/>
    <w:uiPriority w:val="44"/>
    <w:rsid w:val="005421D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21">
    <w:name w:val="Grid Table 4 - Accent 21"/>
    <w:basedOn w:val="TableNormal"/>
    <w:uiPriority w:val="49"/>
    <w:rsid w:val="002D06AA"/>
    <w:pPr>
      <w:spacing w:after="0" w:line="240" w:lineRule="auto"/>
    </w:pPr>
    <w:tblPr>
      <w:tblStyleRowBandSize w:val="1"/>
      <w:tblStyleColBandSize w:val="1"/>
      <w:tblBorders>
        <w:top w:val="single" w:sz="4" w:space="0" w:color="C1CAE5" w:themeColor="accent2" w:themeTint="99"/>
        <w:left w:val="single" w:sz="4" w:space="0" w:color="C1CAE5" w:themeColor="accent2" w:themeTint="99"/>
        <w:bottom w:val="single" w:sz="4" w:space="0" w:color="C1CAE5" w:themeColor="accent2" w:themeTint="99"/>
        <w:right w:val="single" w:sz="4" w:space="0" w:color="C1CAE5" w:themeColor="accent2" w:themeTint="99"/>
        <w:insideH w:val="single" w:sz="4" w:space="0" w:color="C1CAE5" w:themeColor="accent2" w:themeTint="99"/>
        <w:insideV w:val="single" w:sz="4" w:space="0" w:color="C1CAE5" w:themeColor="accent2" w:themeTint="99"/>
      </w:tblBorders>
    </w:tblPr>
    <w:tblStylePr w:type="firstRow">
      <w:rPr>
        <w:b/>
        <w:bCs/>
        <w:color w:val="FFFFFF" w:themeColor="background1"/>
      </w:rPr>
      <w:tblPr/>
      <w:tcPr>
        <w:tcBorders>
          <w:top w:val="single" w:sz="4" w:space="0" w:color="98A7D5" w:themeColor="accent2"/>
          <w:left w:val="single" w:sz="4" w:space="0" w:color="98A7D5" w:themeColor="accent2"/>
          <w:bottom w:val="single" w:sz="4" w:space="0" w:color="98A7D5" w:themeColor="accent2"/>
          <w:right w:val="single" w:sz="4" w:space="0" w:color="98A7D5" w:themeColor="accent2"/>
          <w:insideH w:val="nil"/>
          <w:insideV w:val="nil"/>
        </w:tcBorders>
        <w:shd w:val="clear" w:color="auto" w:fill="98A7D5" w:themeFill="accent2"/>
      </w:tcPr>
    </w:tblStylePr>
    <w:tblStylePr w:type="lastRow">
      <w:rPr>
        <w:b/>
        <w:bCs/>
      </w:rPr>
      <w:tblPr/>
      <w:tcPr>
        <w:tcBorders>
          <w:top w:val="double" w:sz="4" w:space="0" w:color="98A7D5" w:themeColor="accent2"/>
        </w:tcBorders>
      </w:tcPr>
    </w:tblStylePr>
    <w:tblStylePr w:type="firstCol">
      <w:rPr>
        <w:b/>
        <w:bCs/>
      </w:rPr>
    </w:tblStylePr>
    <w:tblStylePr w:type="lastCol">
      <w:rPr>
        <w:b/>
        <w:bCs/>
      </w:rPr>
    </w:tblStylePr>
    <w:tblStylePr w:type="band1Vert">
      <w:tblPr/>
      <w:tcPr>
        <w:shd w:val="clear" w:color="auto" w:fill="EAEDF6" w:themeFill="accent2" w:themeFillTint="33"/>
      </w:tcPr>
    </w:tblStylePr>
    <w:tblStylePr w:type="band1Horz">
      <w:tblPr/>
      <w:tcPr>
        <w:shd w:val="clear" w:color="auto" w:fill="EAEDF6" w:themeFill="accent2" w:themeFillTint="33"/>
      </w:tcPr>
    </w:tblStylePr>
  </w:style>
  <w:style w:type="table" w:customStyle="1" w:styleId="PlainTable21">
    <w:name w:val="Plain Table 21"/>
    <w:basedOn w:val="TableNormal"/>
    <w:uiPriority w:val="42"/>
    <w:rsid w:val="002D06A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3-Accent11">
    <w:name w:val="List Table 3 - Accent 11"/>
    <w:basedOn w:val="TableNormal"/>
    <w:uiPriority w:val="48"/>
    <w:rsid w:val="00D82B0E"/>
    <w:pPr>
      <w:spacing w:after="0" w:line="240" w:lineRule="auto"/>
    </w:pPr>
    <w:tblPr>
      <w:tblStyleRowBandSize w:val="1"/>
      <w:tblStyleColBandSize w:val="1"/>
      <w:tblBorders>
        <w:top w:val="single" w:sz="4" w:space="0" w:color="034FA3" w:themeColor="accent1"/>
        <w:left w:val="single" w:sz="4" w:space="0" w:color="034FA3" w:themeColor="accent1"/>
        <w:bottom w:val="single" w:sz="4" w:space="0" w:color="034FA3" w:themeColor="accent1"/>
        <w:right w:val="single" w:sz="4" w:space="0" w:color="034FA3" w:themeColor="accent1"/>
      </w:tblBorders>
    </w:tblPr>
    <w:tblStylePr w:type="firstRow">
      <w:rPr>
        <w:b/>
        <w:bCs/>
        <w:color w:val="FFFFFF" w:themeColor="background1"/>
      </w:rPr>
      <w:tblPr/>
      <w:tcPr>
        <w:shd w:val="clear" w:color="auto" w:fill="034FA3" w:themeFill="accent1"/>
      </w:tcPr>
    </w:tblStylePr>
    <w:tblStylePr w:type="lastRow">
      <w:rPr>
        <w:b/>
        <w:bCs/>
      </w:rPr>
      <w:tblPr/>
      <w:tcPr>
        <w:tcBorders>
          <w:top w:val="double" w:sz="4" w:space="0" w:color="034FA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4FA3" w:themeColor="accent1"/>
          <w:right w:val="single" w:sz="4" w:space="0" w:color="034FA3" w:themeColor="accent1"/>
        </w:tcBorders>
      </w:tcPr>
    </w:tblStylePr>
    <w:tblStylePr w:type="band1Horz">
      <w:tblPr/>
      <w:tcPr>
        <w:tcBorders>
          <w:top w:val="single" w:sz="4" w:space="0" w:color="034FA3" w:themeColor="accent1"/>
          <w:bottom w:val="single" w:sz="4" w:space="0" w:color="034FA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4FA3" w:themeColor="accent1"/>
          <w:left w:val="nil"/>
        </w:tcBorders>
      </w:tcPr>
    </w:tblStylePr>
    <w:tblStylePr w:type="swCell">
      <w:tblPr/>
      <w:tcPr>
        <w:tcBorders>
          <w:top w:val="double" w:sz="4" w:space="0" w:color="034FA3" w:themeColor="accent1"/>
          <w:right w:val="nil"/>
        </w:tcBorders>
      </w:tcPr>
    </w:tblStylePr>
  </w:style>
  <w:style w:type="paragraph" w:styleId="TableofFigures">
    <w:name w:val="table of figures"/>
    <w:basedOn w:val="Normal"/>
    <w:next w:val="Normal"/>
    <w:uiPriority w:val="99"/>
    <w:unhideWhenUsed/>
    <w:rsid w:val="00E136EC"/>
    <w:pPr>
      <w:spacing w:after="0"/>
    </w:pPr>
  </w:style>
  <w:style w:type="paragraph" w:styleId="Revision">
    <w:name w:val="Revision"/>
    <w:hidden/>
    <w:uiPriority w:val="99"/>
    <w:semiHidden/>
    <w:rsid w:val="00605997"/>
    <w:pPr>
      <w:spacing w:after="0" w:line="240" w:lineRule="auto"/>
    </w:pPr>
    <w:rPr>
      <w:rFonts w:ascii="Calibri" w:hAnsi="Calibri"/>
    </w:rPr>
  </w:style>
  <w:style w:type="table" w:styleId="ListTable3-Accent1">
    <w:name w:val="List Table 3 Accent 1"/>
    <w:basedOn w:val="TableNormal"/>
    <w:uiPriority w:val="48"/>
    <w:rsid w:val="00A0707B"/>
    <w:pPr>
      <w:spacing w:after="0" w:line="240" w:lineRule="auto"/>
    </w:pPr>
    <w:tblPr>
      <w:tblStyleRowBandSize w:val="1"/>
      <w:tblStyleColBandSize w:val="1"/>
      <w:tblBorders>
        <w:top w:val="single" w:sz="4" w:space="0" w:color="034FA3" w:themeColor="accent1"/>
        <w:left w:val="single" w:sz="4" w:space="0" w:color="034FA3" w:themeColor="accent1"/>
        <w:bottom w:val="single" w:sz="4" w:space="0" w:color="034FA3" w:themeColor="accent1"/>
        <w:right w:val="single" w:sz="4" w:space="0" w:color="034FA3" w:themeColor="accent1"/>
      </w:tblBorders>
    </w:tblPr>
    <w:tblStylePr w:type="firstRow">
      <w:rPr>
        <w:b/>
        <w:bCs/>
        <w:color w:val="FFFFFF" w:themeColor="background1"/>
      </w:rPr>
      <w:tblPr/>
      <w:tcPr>
        <w:shd w:val="clear" w:color="auto" w:fill="034FA3" w:themeFill="accent1"/>
      </w:tcPr>
    </w:tblStylePr>
    <w:tblStylePr w:type="lastRow">
      <w:rPr>
        <w:b/>
        <w:bCs/>
      </w:rPr>
      <w:tblPr/>
      <w:tcPr>
        <w:tcBorders>
          <w:top w:val="double" w:sz="4" w:space="0" w:color="034FA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4FA3" w:themeColor="accent1"/>
          <w:right w:val="single" w:sz="4" w:space="0" w:color="034FA3" w:themeColor="accent1"/>
        </w:tcBorders>
      </w:tcPr>
    </w:tblStylePr>
    <w:tblStylePr w:type="band1Horz">
      <w:tblPr/>
      <w:tcPr>
        <w:tcBorders>
          <w:top w:val="single" w:sz="4" w:space="0" w:color="034FA3" w:themeColor="accent1"/>
          <w:bottom w:val="single" w:sz="4" w:space="0" w:color="034FA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4FA3" w:themeColor="accent1"/>
          <w:left w:val="nil"/>
        </w:tcBorders>
      </w:tcPr>
    </w:tblStylePr>
    <w:tblStylePr w:type="swCell">
      <w:tblPr/>
      <w:tcPr>
        <w:tcBorders>
          <w:top w:val="double" w:sz="4" w:space="0" w:color="034FA3" w:themeColor="accent1"/>
          <w:right w:val="nil"/>
        </w:tcBorders>
      </w:tcPr>
    </w:tblStylePr>
  </w:style>
  <w:style w:type="character" w:customStyle="1" w:styleId="UnresolvedMention2">
    <w:name w:val="Unresolved Mention2"/>
    <w:basedOn w:val="DefaultParagraphFont"/>
    <w:uiPriority w:val="99"/>
    <w:semiHidden/>
    <w:unhideWhenUsed/>
    <w:rsid w:val="00A86A35"/>
    <w:rPr>
      <w:color w:val="605E5C"/>
      <w:shd w:val="clear" w:color="auto" w:fill="E1DFDD"/>
    </w:rPr>
  </w:style>
  <w:style w:type="character" w:customStyle="1" w:styleId="UnresolvedMention20">
    <w:name w:val="Unresolved Mention20"/>
    <w:basedOn w:val="DefaultParagraphFont"/>
    <w:uiPriority w:val="99"/>
    <w:semiHidden/>
    <w:unhideWhenUsed/>
    <w:rsid w:val="00373186"/>
    <w:rPr>
      <w:color w:val="605E5C"/>
      <w:shd w:val="clear" w:color="auto" w:fill="E1DFDD"/>
    </w:rPr>
  </w:style>
  <w:style w:type="character" w:styleId="Strong">
    <w:name w:val="Strong"/>
    <w:basedOn w:val="DefaultParagraphFont"/>
    <w:uiPriority w:val="22"/>
    <w:qFormat/>
    <w:rsid w:val="00FB0745"/>
    <w:rPr>
      <w:b/>
      <w:bCs/>
    </w:rPr>
  </w:style>
  <w:style w:type="character" w:customStyle="1" w:styleId="apple-converted-space">
    <w:name w:val="apple-converted-space"/>
    <w:basedOn w:val="DefaultParagraphFont"/>
    <w:rsid w:val="00FB0745"/>
  </w:style>
  <w:style w:type="paragraph" w:customStyle="1" w:styleId="ManualNumPar1">
    <w:name w:val="Manual NumPar 1"/>
    <w:basedOn w:val="Normal"/>
    <w:next w:val="Normal"/>
    <w:pPr>
      <w:spacing w:before="120" w:after="120" w:line="240" w:lineRule="auto"/>
      <w:ind w:left="850" w:hanging="850"/>
    </w:pPr>
    <w:rPr>
      <w:rFonts w:ascii="Times New Roman" w:hAnsi="Times New Roman" w:cs="Times New Roman"/>
      <w:sz w:val="24"/>
      <w:lang w:val="en-GB"/>
    </w:rPr>
  </w:style>
  <w:style w:type="paragraph" w:customStyle="1" w:styleId="Titrearticle">
    <w:name w:val="Titre article"/>
    <w:basedOn w:val="Normal"/>
    <w:next w:val="Normal"/>
    <w:pPr>
      <w:keepNext/>
      <w:spacing w:before="360" w:after="120" w:line="240" w:lineRule="auto"/>
      <w:jc w:val="center"/>
    </w:pPr>
    <w:rPr>
      <w:rFonts w:ascii="Times New Roman" w:hAnsi="Times New Roman" w:cs="Times New Roman"/>
      <w:i/>
      <w:sz w:val="24"/>
      <w:lang w:val="en-GB"/>
    </w:rPr>
  </w:style>
  <w:style w:type="character" w:customStyle="1" w:styleId="apple-tab-span">
    <w:name w:val="apple-tab-span"/>
    <w:basedOn w:val="DefaultParagraphFont"/>
    <w:rsid w:val="00405B6F"/>
  </w:style>
  <w:style w:type="character" w:customStyle="1" w:styleId="Menzionenonrisolta2">
    <w:name w:val="Menzione non risolta2"/>
    <w:basedOn w:val="DefaultParagraphFont"/>
    <w:uiPriority w:val="99"/>
    <w:semiHidden/>
    <w:unhideWhenUsed/>
    <w:rsid w:val="000965EC"/>
    <w:rPr>
      <w:color w:val="605E5C"/>
      <w:shd w:val="clear" w:color="auto" w:fill="E1DFDD"/>
    </w:rPr>
  </w:style>
  <w:style w:type="character" w:customStyle="1" w:styleId="Heading5Char">
    <w:name w:val="Heading 5 Char"/>
    <w:basedOn w:val="DefaultParagraphFont"/>
    <w:link w:val="Heading5"/>
    <w:uiPriority w:val="9"/>
    <w:rsid w:val="00663813"/>
    <w:rPr>
      <w:rFonts w:asciiTheme="majorHAnsi" w:eastAsiaTheme="majorEastAsia" w:hAnsiTheme="majorHAnsi" w:cstheme="majorBidi"/>
      <w:color w:val="023B7A" w:themeColor="accent1" w:themeShade="BF"/>
    </w:rPr>
  </w:style>
  <w:style w:type="table" w:styleId="GridTable4-Accent1">
    <w:name w:val="Grid Table 4 Accent 1"/>
    <w:basedOn w:val="TableNormal"/>
    <w:uiPriority w:val="49"/>
    <w:rsid w:val="00B27BDC"/>
    <w:pPr>
      <w:spacing w:after="0" w:line="240" w:lineRule="auto"/>
    </w:pPr>
    <w:tblPr>
      <w:tblStyleRowBandSize w:val="1"/>
      <w:tblStyleColBandSize w:val="1"/>
      <w:tblBorders>
        <w:top w:val="single" w:sz="4" w:space="0" w:color="3492FB" w:themeColor="accent1" w:themeTint="99"/>
        <w:left w:val="single" w:sz="4" w:space="0" w:color="3492FB" w:themeColor="accent1" w:themeTint="99"/>
        <w:bottom w:val="single" w:sz="4" w:space="0" w:color="3492FB" w:themeColor="accent1" w:themeTint="99"/>
        <w:right w:val="single" w:sz="4" w:space="0" w:color="3492FB" w:themeColor="accent1" w:themeTint="99"/>
        <w:insideH w:val="single" w:sz="4" w:space="0" w:color="3492FB" w:themeColor="accent1" w:themeTint="99"/>
        <w:insideV w:val="single" w:sz="4" w:space="0" w:color="3492FB" w:themeColor="accent1" w:themeTint="99"/>
      </w:tblBorders>
    </w:tblPr>
    <w:tblStylePr w:type="firstRow">
      <w:rPr>
        <w:b/>
        <w:bCs/>
        <w:color w:val="FFFFFF" w:themeColor="background1"/>
      </w:rPr>
      <w:tblPr/>
      <w:tcPr>
        <w:tcBorders>
          <w:top w:val="single" w:sz="4" w:space="0" w:color="034FA3" w:themeColor="accent1"/>
          <w:left w:val="single" w:sz="4" w:space="0" w:color="034FA3" w:themeColor="accent1"/>
          <w:bottom w:val="single" w:sz="4" w:space="0" w:color="034FA3" w:themeColor="accent1"/>
          <w:right w:val="single" w:sz="4" w:space="0" w:color="034FA3" w:themeColor="accent1"/>
          <w:insideH w:val="nil"/>
          <w:insideV w:val="nil"/>
        </w:tcBorders>
        <w:shd w:val="clear" w:color="auto" w:fill="034FA3" w:themeFill="accent1"/>
      </w:tcPr>
    </w:tblStylePr>
    <w:tblStylePr w:type="lastRow">
      <w:rPr>
        <w:b/>
        <w:bCs/>
      </w:rPr>
      <w:tblPr/>
      <w:tcPr>
        <w:tcBorders>
          <w:top w:val="double" w:sz="4" w:space="0" w:color="034FA3" w:themeColor="accent1"/>
        </w:tcBorders>
      </w:tcPr>
    </w:tblStylePr>
    <w:tblStylePr w:type="firstCol">
      <w:rPr>
        <w:b/>
        <w:bCs/>
      </w:rPr>
    </w:tblStylePr>
    <w:tblStylePr w:type="lastCol">
      <w:rPr>
        <w:b/>
        <w:bCs/>
      </w:rPr>
    </w:tblStylePr>
    <w:tblStylePr w:type="band1Vert">
      <w:tblPr/>
      <w:tcPr>
        <w:shd w:val="clear" w:color="auto" w:fill="BBDAFD" w:themeFill="accent1" w:themeFillTint="33"/>
      </w:tcPr>
    </w:tblStylePr>
    <w:tblStylePr w:type="band1Horz">
      <w:tblPr/>
      <w:tcPr>
        <w:shd w:val="clear" w:color="auto" w:fill="BBDAFD" w:themeFill="accent1" w:themeFillTint="33"/>
      </w:tcPr>
    </w:tblStylePr>
  </w:style>
  <w:style w:type="paragraph" w:customStyle="1" w:styleId="Heading">
    <w:name w:val="Heading"/>
    <w:next w:val="Body"/>
    <w:rsid w:val="000C5A56"/>
    <w:pPr>
      <w:keepNext/>
      <w:pBdr>
        <w:top w:val="nil"/>
        <w:left w:val="nil"/>
        <w:bottom w:val="nil"/>
        <w:right w:val="nil"/>
        <w:between w:val="nil"/>
        <w:bar w:val="nil"/>
      </w:pBdr>
      <w:spacing w:after="0" w:line="240" w:lineRule="auto"/>
      <w:outlineLvl w:val="0"/>
    </w:pPr>
    <w:rPr>
      <w:rFonts w:ascii="Helvetica Neue" w:eastAsia="Arial Unicode MS" w:hAnsi="Helvetica Neue" w:cs="Arial Unicode MS"/>
      <w:b/>
      <w:bCs/>
      <w:color w:val="000000"/>
      <w:sz w:val="36"/>
      <w:szCs w:val="36"/>
      <w:bdr w:val="nil"/>
      <w:lang w:val="en-US" w:eastAsia="it-IT"/>
      <w14:textOutline w14:w="0" w14:cap="flat" w14:cmpd="sng" w14:algn="ctr">
        <w14:noFill/>
        <w14:prstDash w14:val="solid"/>
        <w14:bevel/>
      </w14:textOutline>
    </w:rPr>
  </w:style>
  <w:style w:type="paragraph" w:customStyle="1" w:styleId="Body">
    <w:name w:val="Body"/>
    <w:rsid w:val="000C5A5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it-IT"/>
      <w14:textOutline w14:w="0" w14:cap="flat" w14:cmpd="sng" w14:algn="ctr">
        <w14:noFill/>
        <w14:prstDash w14:val="solid"/>
        <w14:bevel/>
      </w14:textOutline>
    </w:rPr>
  </w:style>
  <w:style w:type="numbering" w:customStyle="1" w:styleId="ImportedStyle1">
    <w:name w:val="Imported Style 1"/>
    <w:rsid w:val="000C5A56"/>
    <w:pPr>
      <w:numPr>
        <w:numId w:val="19"/>
      </w:numPr>
    </w:pPr>
  </w:style>
  <w:style w:type="paragraph" w:customStyle="1" w:styleId="Pa4">
    <w:name w:val="Pa4"/>
    <w:basedOn w:val="Default"/>
    <w:next w:val="Default"/>
    <w:uiPriority w:val="99"/>
    <w:rsid w:val="00CB2E70"/>
    <w:pPr>
      <w:spacing w:line="161" w:lineRule="atLeast"/>
    </w:pPr>
    <w:rPr>
      <w:rFonts w:ascii="Fedra Sans Pro" w:hAnsi="Fedra Sans Pro" w:cstheme="minorBidi"/>
      <w:color w:val="auto"/>
      <w:lang w:val="en-US"/>
    </w:rPr>
  </w:style>
  <w:style w:type="character" w:customStyle="1" w:styleId="UnresolvedMention3">
    <w:name w:val="Unresolved Mention3"/>
    <w:basedOn w:val="DefaultParagraphFont"/>
    <w:uiPriority w:val="99"/>
    <w:semiHidden/>
    <w:unhideWhenUsed/>
    <w:rsid w:val="009332E5"/>
    <w:rPr>
      <w:color w:val="605E5C"/>
      <w:shd w:val="clear" w:color="auto" w:fill="E1DFDD"/>
    </w:rPr>
  </w:style>
  <w:style w:type="character" w:customStyle="1" w:styleId="Menzionenonrisolta3">
    <w:name w:val="Menzione non risolta3"/>
    <w:basedOn w:val="DefaultParagraphFont"/>
    <w:uiPriority w:val="99"/>
    <w:semiHidden/>
    <w:unhideWhenUsed/>
    <w:rsid w:val="00A633B8"/>
    <w:rPr>
      <w:color w:val="605E5C"/>
      <w:shd w:val="clear" w:color="auto" w:fill="E1DFDD"/>
    </w:rPr>
  </w:style>
  <w:style w:type="character" w:customStyle="1" w:styleId="UnresolvedMention">
    <w:name w:val="Unresolved Mention"/>
    <w:basedOn w:val="DefaultParagraphFont"/>
    <w:uiPriority w:val="99"/>
    <w:semiHidden/>
    <w:unhideWhenUsed/>
    <w:rsid w:val="00835623"/>
    <w:rPr>
      <w:color w:val="605E5C"/>
      <w:shd w:val="clear" w:color="auto" w:fill="E1DFDD"/>
    </w:rPr>
  </w:style>
  <w:style w:type="character" w:customStyle="1" w:styleId="hgkelc">
    <w:name w:val="hgkelc"/>
    <w:basedOn w:val="DefaultParagraphFont"/>
    <w:rsid w:val="009113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66291">
      <w:bodyDiv w:val="1"/>
      <w:marLeft w:val="0"/>
      <w:marRight w:val="0"/>
      <w:marTop w:val="0"/>
      <w:marBottom w:val="0"/>
      <w:divBdr>
        <w:top w:val="none" w:sz="0" w:space="0" w:color="auto"/>
        <w:left w:val="none" w:sz="0" w:space="0" w:color="auto"/>
        <w:bottom w:val="none" w:sz="0" w:space="0" w:color="auto"/>
        <w:right w:val="none" w:sz="0" w:space="0" w:color="auto"/>
      </w:divBdr>
    </w:div>
    <w:div w:id="14774504">
      <w:bodyDiv w:val="1"/>
      <w:marLeft w:val="0"/>
      <w:marRight w:val="0"/>
      <w:marTop w:val="0"/>
      <w:marBottom w:val="0"/>
      <w:divBdr>
        <w:top w:val="none" w:sz="0" w:space="0" w:color="auto"/>
        <w:left w:val="none" w:sz="0" w:space="0" w:color="auto"/>
        <w:bottom w:val="none" w:sz="0" w:space="0" w:color="auto"/>
        <w:right w:val="none" w:sz="0" w:space="0" w:color="auto"/>
      </w:divBdr>
    </w:div>
    <w:div w:id="36780123">
      <w:bodyDiv w:val="1"/>
      <w:marLeft w:val="0"/>
      <w:marRight w:val="0"/>
      <w:marTop w:val="0"/>
      <w:marBottom w:val="0"/>
      <w:divBdr>
        <w:top w:val="none" w:sz="0" w:space="0" w:color="auto"/>
        <w:left w:val="none" w:sz="0" w:space="0" w:color="auto"/>
        <w:bottom w:val="none" w:sz="0" w:space="0" w:color="auto"/>
        <w:right w:val="none" w:sz="0" w:space="0" w:color="auto"/>
      </w:divBdr>
    </w:div>
    <w:div w:id="38020851">
      <w:bodyDiv w:val="1"/>
      <w:marLeft w:val="0"/>
      <w:marRight w:val="0"/>
      <w:marTop w:val="0"/>
      <w:marBottom w:val="0"/>
      <w:divBdr>
        <w:top w:val="none" w:sz="0" w:space="0" w:color="auto"/>
        <w:left w:val="none" w:sz="0" w:space="0" w:color="auto"/>
        <w:bottom w:val="none" w:sz="0" w:space="0" w:color="auto"/>
        <w:right w:val="none" w:sz="0" w:space="0" w:color="auto"/>
      </w:divBdr>
      <w:divsChild>
        <w:div w:id="1386905147">
          <w:marLeft w:val="547"/>
          <w:marRight w:val="0"/>
          <w:marTop w:val="200"/>
          <w:marBottom w:val="0"/>
          <w:divBdr>
            <w:top w:val="none" w:sz="0" w:space="0" w:color="auto"/>
            <w:left w:val="none" w:sz="0" w:space="0" w:color="auto"/>
            <w:bottom w:val="none" w:sz="0" w:space="0" w:color="auto"/>
            <w:right w:val="none" w:sz="0" w:space="0" w:color="auto"/>
          </w:divBdr>
        </w:div>
        <w:div w:id="224412495">
          <w:marLeft w:val="547"/>
          <w:marRight w:val="0"/>
          <w:marTop w:val="200"/>
          <w:marBottom w:val="0"/>
          <w:divBdr>
            <w:top w:val="none" w:sz="0" w:space="0" w:color="auto"/>
            <w:left w:val="none" w:sz="0" w:space="0" w:color="auto"/>
            <w:bottom w:val="none" w:sz="0" w:space="0" w:color="auto"/>
            <w:right w:val="none" w:sz="0" w:space="0" w:color="auto"/>
          </w:divBdr>
        </w:div>
        <w:div w:id="66458179">
          <w:marLeft w:val="547"/>
          <w:marRight w:val="0"/>
          <w:marTop w:val="200"/>
          <w:marBottom w:val="0"/>
          <w:divBdr>
            <w:top w:val="none" w:sz="0" w:space="0" w:color="auto"/>
            <w:left w:val="none" w:sz="0" w:space="0" w:color="auto"/>
            <w:bottom w:val="none" w:sz="0" w:space="0" w:color="auto"/>
            <w:right w:val="none" w:sz="0" w:space="0" w:color="auto"/>
          </w:divBdr>
        </w:div>
        <w:div w:id="563806750">
          <w:marLeft w:val="547"/>
          <w:marRight w:val="0"/>
          <w:marTop w:val="200"/>
          <w:marBottom w:val="0"/>
          <w:divBdr>
            <w:top w:val="none" w:sz="0" w:space="0" w:color="auto"/>
            <w:left w:val="none" w:sz="0" w:space="0" w:color="auto"/>
            <w:bottom w:val="none" w:sz="0" w:space="0" w:color="auto"/>
            <w:right w:val="none" w:sz="0" w:space="0" w:color="auto"/>
          </w:divBdr>
        </w:div>
        <w:div w:id="1635867059">
          <w:marLeft w:val="547"/>
          <w:marRight w:val="0"/>
          <w:marTop w:val="200"/>
          <w:marBottom w:val="0"/>
          <w:divBdr>
            <w:top w:val="none" w:sz="0" w:space="0" w:color="auto"/>
            <w:left w:val="none" w:sz="0" w:space="0" w:color="auto"/>
            <w:bottom w:val="none" w:sz="0" w:space="0" w:color="auto"/>
            <w:right w:val="none" w:sz="0" w:space="0" w:color="auto"/>
          </w:divBdr>
        </w:div>
        <w:div w:id="390736996">
          <w:marLeft w:val="547"/>
          <w:marRight w:val="0"/>
          <w:marTop w:val="200"/>
          <w:marBottom w:val="0"/>
          <w:divBdr>
            <w:top w:val="none" w:sz="0" w:space="0" w:color="auto"/>
            <w:left w:val="none" w:sz="0" w:space="0" w:color="auto"/>
            <w:bottom w:val="none" w:sz="0" w:space="0" w:color="auto"/>
            <w:right w:val="none" w:sz="0" w:space="0" w:color="auto"/>
          </w:divBdr>
        </w:div>
        <w:div w:id="239145645">
          <w:marLeft w:val="547"/>
          <w:marRight w:val="0"/>
          <w:marTop w:val="200"/>
          <w:marBottom w:val="0"/>
          <w:divBdr>
            <w:top w:val="none" w:sz="0" w:space="0" w:color="auto"/>
            <w:left w:val="none" w:sz="0" w:space="0" w:color="auto"/>
            <w:bottom w:val="none" w:sz="0" w:space="0" w:color="auto"/>
            <w:right w:val="none" w:sz="0" w:space="0" w:color="auto"/>
          </w:divBdr>
        </w:div>
      </w:divsChild>
    </w:div>
    <w:div w:id="39522938">
      <w:bodyDiv w:val="1"/>
      <w:marLeft w:val="0"/>
      <w:marRight w:val="0"/>
      <w:marTop w:val="0"/>
      <w:marBottom w:val="0"/>
      <w:divBdr>
        <w:top w:val="none" w:sz="0" w:space="0" w:color="auto"/>
        <w:left w:val="none" w:sz="0" w:space="0" w:color="auto"/>
        <w:bottom w:val="none" w:sz="0" w:space="0" w:color="auto"/>
        <w:right w:val="none" w:sz="0" w:space="0" w:color="auto"/>
      </w:divBdr>
    </w:div>
    <w:div w:id="60490802">
      <w:bodyDiv w:val="1"/>
      <w:marLeft w:val="0"/>
      <w:marRight w:val="0"/>
      <w:marTop w:val="0"/>
      <w:marBottom w:val="0"/>
      <w:divBdr>
        <w:top w:val="none" w:sz="0" w:space="0" w:color="auto"/>
        <w:left w:val="none" w:sz="0" w:space="0" w:color="auto"/>
        <w:bottom w:val="none" w:sz="0" w:space="0" w:color="auto"/>
        <w:right w:val="none" w:sz="0" w:space="0" w:color="auto"/>
      </w:divBdr>
    </w:div>
    <w:div w:id="61560338">
      <w:bodyDiv w:val="1"/>
      <w:marLeft w:val="0"/>
      <w:marRight w:val="0"/>
      <w:marTop w:val="0"/>
      <w:marBottom w:val="0"/>
      <w:divBdr>
        <w:top w:val="none" w:sz="0" w:space="0" w:color="auto"/>
        <w:left w:val="none" w:sz="0" w:space="0" w:color="auto"/>
        <w:bottom w:val="none" w:sz="0" w:space="0" w:color="auto"/>
        <w:right w:val="none" w:sz="0" w:space="0" w:color="auto"/>
      </w:divBdr>
    </w:div>
    <w:div w:id="66540534">
      <w:bodyDiv w:val="1"/>
      <w:marLeft w:val="0"/>
      <w:marRight w:val="0"/>
      <w:marTop w:val="0"/>
      <w:marBottom w:val="0"/>
      <w:divBdr>
        <w:top w:val="none" w:sz="0" w:space="0" w:color="auto"/>
        <w:left w:val="none" w:sz="0" w:space="0" w:color="auto"/>
        <w:bottom w:val="none" w:sz="0" w:space="0" w:color="auto"/>
        <w:right w:val="none" w:sz="0" w:space="0" w:color="auto"/>
      </w:divBdr>
    </w:div>
    <w:div w:id="103694971">
      <w:bodyDiv w:val="1"/>
      <w:marLeft w:val="0"/>
      <w:marRight w:val="0"/>
      <w:marTop w:val="0"/>
      <w:marBottom w:val="0"/>
      <w:divBdr>
        <w:top w:val="none" w:sz="0" w:space="0" w:color="auto"/>
        <w:left w:val="none" w:sz="0" w:space="0" w:color="auto"/>
        <w:bottom w:val="none" w:sz="0" w:space="0" w:color="auto"/>
        <w:right w:val="none" w:sz="0" w:space="0" w:color="auto"/>
      </w:divBdr>
    </w:div>
    <w:div w:id="112869040">
      <w:bodyDiv w:val="1"/>
      <w:marLeft w:val="0"/>
      <w:marRight w:val="0"/>
      <w:marTop w:val="0"/>
      <w:marBottom w:val="0"/>
      <w:divBdr>
        <w:top w:val="none" w:sz="0" w:space="0" w:color="auto"/>
        <w:left w:val="none" w:sz="0" w:space="0" w:color="auto"/>
        <w:bottom w:val="none" w:sz="0" w:space="0" w:color="auto"/>
        <w:right w:val="none" w:sz="0" w:space="0" w:color="auto"/>
      </w:divBdr>
    </w:div>
    <w:div w:id="127288823">
      <w:bodyDiv w:val="1"/>
      <w:marLeft w:val="0"/>
      <w:marRight w:val="0"/>
      <w:marTop w:val="0"/>
      <w:marBottom w:val="0"/>
      <w:divBdr>
        <w:top w:val="none" w:sz="0" w:space="0" w:color="auto"/>
        <w:left w:val="none" w:sz="0" w:space="0" w:color="auto"/>
        <w:bottom w:val="none" w:sz="0" w:space="0" w:color="auto"/>
        <w:right w:val="none" w:sz="0" w:space="0" w:color="auto"/>
      </w:divBdr>
    </w:div>
    <w:div w:id="132330100">
      <w:bodyDiv w:val="1"/>
      <w:marLeft w:val="0"/>
      <w:marRight w:val="0"/>
      <w:marTop w:val="0"/>
      <w:marBottom w:val="0"/>
      <w:divBdr>
        <w:top w:val="none" w:sz="0" w:space="0" w:color="auto"/>
        <w:left w:val="none" w:sz="0" w:space="0" w:color="auto"/>
        <w:bottom w:val="none" w:sz="0" w:space="0" w:color="auto"/>
        <w:right w:val="none" w:sz="0" w:space="0" w:color="auto"/>
      </w:divBdr>
    </w:div>
    <w:div w:id="133571825">
      <w:bodyDiv w:val="1"/>
      <w:marLeft w:val="0"/>
      <w:marRight w:val="0"/>
      <w:marTop w:val="0"/>
      <w:marBottom w:val="0"/>
      <w:divBdr>
        <w:top w:val="none" w:sz="0" w:space="0" w:color="auto"/>
        <w:left w:val="none" w:sz="0" w:space="0" w:color="auto"/>
        <w:bottom w:val="none" w:sz="0" w:space="0" w:color="auto"/>
        <w:right w:val="none" w:sz="0" w:space="0" w:color="auto"/>
      </w:divBdr>
    </w:div>
    <w:div w:id="137961003">
      <w:bodyDiv w:val="1"/>
      <w:marLeft w:val="0"/>
      <w:marRight w:val="0"/>
      <w:marTop w:val="0"/>
      <w:marBottom w:val="0"/>
      <w:divBdr>
        <w:top w:val="none" w:sz="0" w:space="0" w:color="auto"/>
        <w:left w:val="none" w:sz="0" w:space="0" w:color="auto"/>
        <w:bottom w:val="none" w:sz="0" w:space="0" w:color="auto"/>
        <w:right w:val="none" w:sz="0" w:space="0" w:color="auto"/>
      </w:divBdr>
    </w:div>
    <w:div w:id="161481028">
      <w:bodyDiv w:val="1"/>
      <w:marLeft w:val="0"/>
      <w:marRight w:val="0"/>
      <w:marTop w:val="0"/>
      <w:marBottom w:val="0"/>
      <w:divBdr>
        <w:top w:val="none" w:sz="0" w:space="0" w:color="auto"/>
        <w:left w:val="none" w:sz="0" w:space="0" w:color="auto"/>
        <w:bottom w:val="none" w:sz="0" w:space="0" w:color="auto"/>
        <w:right w:val="none" w:sz="0" w:space="0" w:color="auto"/>
      </w:divBdr>
    </w:div>
    <w:div w:id="167796486">
      <w:bodyDiv w:val="1"/>
      <w:marLeft w:val="0"/>
      <w:marRight w:val="0"/>
      <w:marTop w:val="0"/>
      <w:marBottom w:val="0"/>
      <w:divBdr>
        <w:top w:val="none" w:sz="0" w:space="0" w:color="auto"/>
        <w:left w:val="none" w:sz="0" w:space="0" w:color="auto"/>
        <w:bottom w:val="none" w:sz="0" w:space="0" w:color="auto"/>
        <w:right w:val="none" w:sz="0" w:space="0" w:color="auto"/>
      </w:divBdr>
    </w:div>
    <w:div w:id="201284434">
      <w:bodyDiv w:val="1"/>
      <w:marLeft w:val="0"/>
      <w:marRight w:val="0"/>
      <w:marTop w:val="0"/>
      <w:marBottom w:val="0"/>
      <w:divBdr>
        <w:top w:val="none" w:sz="0" w:space="0" w:color="auto"/>
        <w:left w:val="none" w:sz="0" w:space="0" w:color="auto"/>
        <w:bottom w:val="none" w:sz="0" w:space="0" w:color="auto"/>
        <w:right w:val="none" w:sz="0" w:space="0" w:color="auto"/>
      </w:divBdr>
    </w:div>
    <w:div w:id="211310024">
      <w:bodyDiv w:val="1"/>
      <w:marLeft w:val="0"/>
      <w:marRight w:val="0"/>
      <w:marTop w:val="0"/>
      <w:marBottom w:val="0"/>
      <w:divBdr>
        <w:top w:val="none" w:sz="0" w:space="0" w:color="auto"/>
        <w:left w:val="none" w:sz="0" w:space="0" w:color="auto"/>
        <w:bottom w:val="none" w:sz="0" w:space="0" w:color="auto"/>
        <w:right w:val="none" w:sz="0" w:space="0" w:color="auto"/>
      </w:divBdr>
    </w:div>
    <w:div w:id="229923777">
      <w:bodyDiv w:val="1"/>
      <w:marLeft w:val="0"/>
      <w:marRight w:val="0"/>
      <w:marTop w:val="0"/>
      <w:marBottom w:val="0"/>
      <w:divBdr>
        <w:top w:val="none" w:sz="0" w:space="0" w:color="auto"/>
        <w:left w:val="none" w:sz="0" w:space="0" w:color="auto"/>
        <w:bottom w:val="none" w:sz="0" w:space="0" w:color="auto"/>
        <w:right w:val="none" w:sz="0" w:space="0" w:color="auto"/>
      </w:divBdr>
    </w:div>
    <w:div w:id="237978167">
      <w:bodyDiv w:val="1"/>
      <w:marLeft w:val="0"/>
      <w:marRight w:val="0"/>
      <w:marTop w:val="0"/>
      <w:marBottom w:val="0"/>
      <w:divBdr>
        <w:top w:val="none" w:sz="0" w:space="0" w:color="auto"/>
        <w:left w:val="none" w:sz="0" w:space="0" w:color="auto"/>
        <w:bottom w:val="none" w:sz="0" w:space="0" w:color="auto"/>
        <w:right w:val="none" w:sz="0" w:space="0" w:color="auto"/>
      </w:divBdr>
    </w:div>
    <w:div w:id="258225197">
      <w:bodyDiv w:val="1"/>
      <w:marLeft w:val="0"/>
      <w:marRight w:val="0"/>
      <w:marTop w:val="0"/>
      <w:marBottom w:val="0"/>
      <w:divBdr>
        <w:top w:val="none" w:sz="0" w:space="0" w:color="auto"/>
        <w:left w:val="none" w:sz="0" w:space="0" w:color="auto"/>
        <w:bottom w:val="none" w:sz="0" w:space="0" w:color="auto"/>
        <w:right w:val="none" w:sz="0" w:space="0" w:color="auto"/>
      </w:divBdr>
    </w:div>
    <w:div w:id="280576907">
      <w:bodyDiv w:val="1"/>
      <w:marLeft w:val="0"/>
      <w:marRight w:val="0"/>
      <w:marTop w:val="0"/>
      <w:marBottom w:val="0"/>
      <w:divBdr>
        <w:top w:val="none" w:sz="0" w:space="0" w:color="auto"/>
        <w:left w:val="none" w:sz="0" w:space="0" w:color="auto"/>
        <w:bottom w:val="none" w:sz="0" w:space="0" w:color="auto"/>
        <w:right w:val="none" w:sz="0" w:space="0" w:color="auto"/>
      </w:divBdr>
    </w:div>
    <w:div w:id="347104686">
      <w:bodyDiv w:val="1"/>
      <w:marLeft w:val="0"/>
      <w:marRight w:val="0"/>
      <w:marTop w:val="0"/>
      <w:marBottom w:val="0"/>
      <w:divBdr>
        <w:top w:val="none" w:sz="0" w:space="0" w:color="auto"/>
        <w:left w:val="none" w:sz="0" w:space="0" w:color="auto"/>
        <w:bottom w:val="none" w:sz="0" w:space="0" w:color="auto"/>
        <w:right w:val="none" w:sz="0" w:space="0" w:color="auto"/>
      </w:divBdr>
    </w:div>
    <w:div w:id="351802469">
      <w:bodyDiv w:val="1"/>
      <w:marLeft w:val="0"/>
      <w:marRight w:val="0"/>
      <w:marTop w:val="0"/>
      <w:marBottom w:val="0"/>
      <w:divBdr>
        <w:top w:val="none" w:sz="0" w:space="0" w:color="auto"/>
        <w:left w:val="none" w:sz="0" w:space="0" w:color="auto"/>
        <w:bottom w:val="none" w:sz="0" w:space="0" w:color="auto"/>
        <w:right w:val="none" w:sz="0" w:space="0" w:color="auto"/>
      </w:divBdr>
    </w:div>
    <w:div w:id="365760950">
      <w:bodyDiv w:val="1"/>
      <w:marLeft w:val="0"/>
      <w:marRight w:val="0"/>
      <w:marTop w:val="0"/>
      <w:marBottom w:val="0"/>
      <w:divBdr>
        <w:top w:val="none" w:sz="0" w:space="0" w:color="auto"/>
        <w:left w:val="none" w:sz="0" w:space="0" w:color="auto"/>
        <w:bottom w:val="none" w:sz="0" w:space="0" w:color="auto"/>
        <w:right w:val="none" w:sz="0" w:space="0" w:color="auto"/>
      </w:divBdr>
    </w:div>
    <w:div w:id="391927068">
      <w:bodyDiv w:val="1"/>
      <w:marLeft w:val="0"/>
      <w:marRight w:val="0"/>
      <w:marTop w:val="0"/>
      <w:marBottom w:val="0"/>
      <w:divBdr>
        <w:top w:val="none" w:sz="0" w:space="0" w:color="auto"/>
        <w:left w:val="none" w:sz="0" w:space="0" w:color="auto"/>
        <w:bottom w:val="none" w:sz="0" w:space="0" w:color="auto"/>
        <w:right w:val="none" w:sz="0" w:space="0" w:color="auto"/>
      </w:divBdr>
    </w:div>
    <w:div w:id="431900115">
      <w:bodyDiv w:val="1"/>
      <w:marLeft w:val="0"/>
      <w:marRight w:val="0"/>
      <w:marTop w:val="0"/>
      <w:marBottom w:val="0"/>
      <w:divBdr>
        <w:top w:val="none" w:sz="0" w:space="0" w:color="auto"/>
        <w:left w:val="none" w:sz="0" w:space="0" w:color="auto"/>
        <w:bottom w:val="none" w:sz="0" w:space="0" w:color="auto"/>
        <w:right w:val="none" w:sz="0" w:space="0" w:color="auto"/>
      </w:divBdr>
    </w:div>
    <w:div w:id="434059332">
      <w:bodyDiv w:val="1"/>
      <w:marLeft w:val="0"/>
      <w:marRight w:val="0"/>
      <w:marTop w:val="0"/>
      <w:marBottom w:val="0"/>
      <w:divBdr>
        <w:top w:val="none" w:sz="0" w:space="0" w:color="auto"/>
        <w:left w:val="none" w:sz="0" w:space="0" w:color="auto"/>
        <w:bottom w:val="none" w:sz="0" w:space="0" w:color="auto"/>
        <w:right w:val="none" w:sz="0" w:space="0" w:color="auto"/>
      </w:divBdr>
    </w:div>
    <w:div w:id="460729581">
      <w:bodyDiv w:val="1"/>
      <w:marLeft w:val="0"/>
      <w:marRight w:val="0"/>
      <w:marTop w:val="0"/>
      <w:marBottom w:val="0"/>
      <w:divBdr>
        <w:top w:val="none" w:sz="0" w:space="0" w:color="auto"/>
        <w:left w:val="none" w:sz="0" w:space="0" w:color="auto"/>
        <w:bottom w:val="none" w:sz="0" w:space="0" w:color="auto"/>
        <w:right w:val="none" w:sz="0" w:space="0" w:color="auto"/>
      </w:divBdr>
    </w:div>
    <w:div w:id="473180242">
      <w:bodyDiv w:val="1"/>
      <w:marLeft w:val="0"/>
      <w:marRight w:val="0"/>
      <w:marTop w:val="0"/>
      <w:marBottom w:val="0"/>
      <w:divBdr>
        <w:top w:val="none" w:sz="0" w:space="0" w:color="auto"/>
        <w:left w:val="none" w:sz="0" w:space="0" w:color="auto"/>
        <w:bottom w:val="none" w:sz="0" w:space="0" w:color="auto"/>
        <w:right w:val="none" w:sz="0" w:space="0" w:color="auto"/>
      </w:divBdr>
    </w:div>
    <w:div w:id="483395459">
      <w:bodyDiv w:val="1"/>
      <w:marLeft w:val="0"/>
      <w:marRight w:val="0"/>
      <w:marTop w:val="0"/>
      <w:marBottom w:val="0"/>
      <w:divBdr>
        <w:top w:val="none" w:sz="0" w:space="0" w:color="auto"/>
        <w:left w:val="none" w:sz="0" w:space="0" w:color="auto"/>
        <w:bottom w:val="none" w:sz="0" w:space="0" w:color="auto"/>
        <w:right w:val="none" w:sz="0" w:space="0" w:color="auto"/>
      </w:divBdr>
    </w:div>
    <w:div w:id="516316283">
      <w:bodyDiv w:val="1"/>
      <w:marLeft w:val="0"/>
      <w:marRight w:val="0"/>
      <w:marTop w:val="0"/>
      <w:marBottom w:val="0"/>
      <w:divBdr>
        <w:top w:val="none" w:sz="0" w:space="0" w:color="auto"/>
        <w:left w:val="none" w:sz="0" w:space="0" w:color="auto"/>
        <w:bottom w:val="none" w:sz="0" w:space="0" w:color="auto"/>
        <w:right w:val="none" w:sz="0" w:space="0" w:color="auto"/>
      </w:divBdr>
    </w:div>
    <w:div w:id="528103379">
      <w:bodyDiv w:val="1"/>
      <w:marLeft w:val="0"/>
      <w:marRight w:val="0"/>
      <w:marTop w:val="0"/>
      <w:marBottom w:val="0"/>
      <w:divBdr>
        <w:top w:val="none" w:sz="0" w:space="0" w:color="auto"/>
        <w:left w:val="none" w:sz="0" w:space="0" w:color="auto"/>
        <w:bottom w:val="none" w:sz="0" w:space="0" w:color="auto"/>
        <w:right w:val="none" w:sz="0" w:space="0" w:color="auto"/>
      </w:divBdr>
      <w:divsChild>
        <w:div w:id="450364926">
          <w:marLeft w:val="0"/>
          <w:marRight w:val="0"/>
          <w:marTop w:val="0"/>
          <w:marBottom w:val="0"/>
          <w:divBdr>
            <w:top w:val="none" w:sz="0" w:space="0" w:color="auto"/>
            <w:left w:val="none" w:sz="0" w:space="0" w:color="auto"/>
            <w:bottom w:val="none" w:sz="0" w:space="0" w:color="auto"/>
            <w:right w:val="none" w:sz="0" w:space="0" w:color="auto"/>
          </w:divBdr>
        </w:div>
        <w:div w:id="2043168836">
          <w:marLeft w:val="0"/>
          <w:marRight w:val="0"/>
          <w:marTop w:val="0"/>
          <w:marBottom w:val="0"/>
          <w:divBdr>
            <w:top w:val="none" w:sz="0" w:space="0" w:color="auto"/>
            <w:left w:val="none" w:sz="0" w:space="0" w:color="auto"/>
            <w:bottom w:val="none" w:sz="0" w:space="0" w:color="auto"/>
            <w:right w:val="none" w:sz="0" w:space="0" w:color="auto"/>
          </w:divBdr>
        </w:div>
        <w:div w:id="1942762762">
          <w:marLeft w:val="0"/>
          <w:marRight w:val="0"/>
          <w:marTop w:val="0"/>
          <w:marBottom w:val="0"/>
          <w:divBdr>
            <w:top w:val="none" w:sz="0" w:space="0" w:color="auto"/>
            <w:left w:val="none" w:sz="0" w:space="0" w:color="auto"/>
            <w:bottom w:val="none" w:sz="0" w:space="0" w:color="auto"/>
            <w:right w:val="none" w:sz="0" w:space="0" w:color="auto"/>
          </w:divBdr>
        </w:div>
        <w:div w:id="1511068399">
          <w:marLeft w:val="0"/>
          <w:marRight w:val="0"/>
          <w:marTop w:val="0"/>
          <w:marBottom w:val="0"/>
          <w:divBdr>
            <w:top w:val="none" w:sz="0" w:space="0" w:color="auto"/>
            <w:left w:val="none" w:sz="0" w:space="0" w:color="auto"/>
            <w:bottom w:val="none" w:sz="0" w:space="0" w:color="auto"/>
            <w:right w:val="none" w:sz="0" w:space="0" w:color="auto"/>
          </w:divBdr>
        </w:div>
        <w:div w:id="1706439231">
          <w:marLeft w:val="0"/>
          <w:marRight w:val="0"/>
          <w:marTop w:val="0"/>
          <w:marBottom w:val="0"/>
          <w:divBdr>
            <w:top w:val="none" w:sz="0" w:space="0" w:color="auto"/>
            <w:left w:val="none" w:sz="0" w:space="0" w:color="auto"/>
            <w:bottom w:val="none" w:sz="0" w:space="0" w:color="auto"/>
            <w:right w:val="none" w:sz="0" w:space="0" w:color="auto"/>
          </w:divBdr>
        </w:div>
        <w:div w:id="961691327">
          <w:marLeft w:val="0"/>
          <w:marRight w:val="0"/>
          <w:marTop w:val="0"/>
          <w:marBottom w:val="0"/>
          <w:divBdr>
            <w:top w:val="none" w:sz="0" w:space="0" w:color="auto"/>
            <w:left w:val="none" w:sz="0" w:space="0" w:color="auto"/>
            <w:bottom w:val="none" w:sz="0" w:space="0" w:color="auto"/>
            <w:right w:val="none" w:sz="0" w:space="0" w:color="auto"/>
          </w:divBdr>
        </w:div>
        <w:div w:id="914050408">
          <w:marLeft w:val="0"/>
          <w:marRight w:val="0"/>
          <w:marTop w:val="0"/>
          <w:marBottom w:val="0"/>
          <w:divBdr>
            <w:top w:val="none" w:sz="0" w:space="0" w:color="auto"/>
            <w:left w:val="none" w:sz="0" w:space="0" w:color="auto"/>
            <w:bottom w:val="none" w:sz="0" w:space="0" w:color="auto"/>
            <w:right w:val="none" w:sz="0" w:space="0" w:color="auto"/>
          </w:divBdr>
        </w:div>
      </w:divsChild>
    </w:div>
    <w:div w:id="536938690">
      <w:bodyDiv w:val="1"/>
      <w:marLeft w:val="0"/>
      <w:marRight w:val="0"/>
      <w:marTop w:val="0"/>
      <w:marBottom w:val="0"/>
      <w:divBdr>
        <w:top w:val="none" w:sz="0" w:space="0" w:color="auto"/>
        <w:left w:val="none" w:sz="0" w:space="0" w:color="auto"/>
        <w:bottom w:val="none" w:sz="0" w:space="0" w:color="auto"/>
        <w:right w:val="none" w:sz="0" w:space="0" w:color="auto"/>
      </w:divBdr>
    </w:div>
    <w:div w:id="538012618">
      <w:bodyDiv w:val="1"/>
      <w:marLeft w:val="0"/>
      <w:marRight w:val="0"/>
      <w:marTop w:val="0"/>
      <w:marBottom w:val="0"/>
      <w:divBdr>
        <w:top w:val="none" w:sz="0" w:space="0" w:color="auto"/>
        <w:left w:val="none" w:sz="0" w:space="0" w:color="auto"/>
        <w:bottom w:val="none" w:sz="0" w:space="0" w:color="auto"/>
        <w:right w:val="none" w:sz="0" w:space="0" w:color="auto"/>
      </w:divBdr>
    </w:div>
    <w:div w:id="621812178">
      <w:bodyDiv w:val="1"/>
      <w:marLeft w:val="0"/>
      <w:marRight w:val="0"/>
      <w:marTop w:val="0"/>
      <w:marBottom w:val="0"/>
      <w:divBdr>
        <w:top w:val="none" w:sz="0" w:space="0" w:color="auto"/>
        <w:left w:val="none" w:sz="0" w:space="0" w:color="auto"/>
        <w:bottom w:val="none" w:sz="0" w:space="0" w:color="auto"/>
        <w:right w:val="none" w:sz="0" w:space="0" w:color="auto"/>
      </w:divBdr>
    </w:div>
    <w:div w:id="628970955">
      <w:bodyDiv w:val="1"/>
      <w:marLeft w:val="0"/>
      <w:marRight w:val="0"/>
      <w:marTop w:val="0"/>
      <w:marBottom w:val="0"/>
      <w:divBdr>
        <w:top w:val="none" w:sz="0" w:space="0" w:color="auto"/>
        <w:left w:val="none" w:sz="0" w:space="0" w:color="auto"/>
        <w:bottom w:val="none" w:sz="0" w:space="0" w:color="auto"/>
        <w:right w:val="none" w:sz="0" w:space="0" w:color="auto"/>
      </w:divBdr>
    </w:div>
    <w:div w:id="635992448">
      <w:bodyDiv w:val="1"/>
      <w:marLeft w:val="0"/>
      <w:marRight w:val="0"/>
      <w:marTop w:val="0"/>
      <w:marBottom w:val="0"/>
      <w:divBdr>
        <w:top w:val="none" w:sz="0" w:space="0" w:color="auto"/>
        <w:left w:val="none" w:sz="0" w:space="0" w:color="auto"/>
        <w:bottom w:val="none" w:sz="0" w:space="0" w:color="auto"/>
        <w:right w:val="none" w:sz="0" w:space="0" w:color="auto"/>
      </w:divBdr>
    </w:div>
    <w:div w:id="696203158">
      <w:bodyDiv w:val="1"/>
      <w:marLeft w:val="0"/>
      <w:marRight w:val="0"/>
      <w:marTop w:val="0"/>
      <w:marBottom w:val="0"/>
      <w:divBdr>
        <w:top w:val="none" w:sz="0" w:space="0" w:color="auto"/>
        <w:left w:val="none" w:sz="0" w:space="0" w:color="auto"/>
        <w:bottom w:val="none" w:sz="0" w:space="0" w:color="auto"/>
        <w:right w:val="none" w:sz="0" w:space="0" w:color="auto"/>
      </w:divBdr>
    </w:div>
    <w:div w:id="699168026">
      <w:bodyDiv w:val="1"/>
      <w:marLeft w:val="0"/>
      <w:marRight w:val="0"/>
      <w:marTop w:val="0"/>
      <w:marBottom w:val="0"/>
      <w:divBdr>
        <w:top w:val="none" w:sz="0" w:space="0" w:color="auto"/>
        <w:left w:val="none" w:sz="0" w:space="0" w:color="auto"/>
        <w:bottom w:val="none" w:sz="0" w:space="0" w:color="auto"/>
        <w:right w:val="none" w:sz="0" w:space="0" w:color="auto"/>
      </w:divBdr>
    </w:div>
    <w:div w:id="699622964">
      <w:bodyDiv w:val="1"/>
      <w:marLeft w:val="0"/>
      <w:marRight w:val="0"/>
      <w:marTop w:val="0"/>
      <w:marBottom w:val="0"/>
      <w:divBdr>
        <w:top w:val="none" w:sz="0" w:space="0" w:color="auto"/>
        <w:left w:val="none" w:sz="0" w:space="0" w:color="auto"/>
        <w:bottom w:val="none" w:sz="0" w:space="0" w:color="auto"/>
        <w:right w:val="none" w:sz="0" w:space="0" w:color="auto"/>
      </w:divBdr>
    </w:div>
    <w:div w:id="704596579">
      <w:bodyDiv w:val="1"/>
      <w:marLeft w:val="0"/>
      <w:marRight w:val="0"/>
      <w:marTop w:val="0"/>
      <w:marBottom w:val="0"/>
      <w:divBdr>
        <w:top w:val="none" w:sz="0" w:space="0" w:color="auto"/>
        <w:left w:val="none" w:sz="0" w:space="0" w:color="auto"/>
        <w:bottom w:val="none" w:sz="0" w:space="0" w:color="auto"/>
        <w:right w:val="none" w:sz="0" w:space="0" w:color="auto"/>
      </w:divBdr>
    </w:div>
    <w:div w:id="796066829">
      <w:bodyDiv w:val="1"/>
      <w:marLeft w:val="0"/>
      <w:marRight w:val="0"/>
      <w:marTop w:val="0"/>
      <w:marBottom w:val="0"/>
      <w:divBdr>
        <w:top w:val="none" w:sz="0" w:space="0" w:color="auto"/>
        <w:left w:val="none" w:sz="0" w:space="0" w:color="auto"/>
        <w:bottom w:val="none" w:sz="0" w:space="0" w:color="auto"/>
        <w:right w:val="none" w:sz="0" w:space="0" w:color="auto"/>
      </w:divBdr>
    </w:div>
    <w:div w:id="809321041">
      <w:bodyDiv w:val="1"/>
      <w:marLeft w:val="0"/>
      <w:marRight w:val="0"/>
      <w:marTop w:val="0"/>
      <w:marBottom w:val="0"/>
      <w:divBdr>
        <w:top w:val="none" w:sz="0" w:space="0" w:color="auto"/>
        <w:left w:val="none" w:sz="0" w:space="0" w:color="auto"/>
        <w:bottom w:val="none" w:sz="0" w:space="0" w:color="auto"/>
        <w:right w:val="none" w:sz="0" w:space="0" w:color="auto"/>
      </w:divBdr>
    </w:div>
    <w:div w:id="826940222">
      <w:bodyDiv w:val="1"/>
      <w:marLeft w:val="0"/>
      <w:marRight w:val="0"/>
      <w:marTop w:val="0"/>
      <w:marBottom w:val="0"/>
      <w:divBdr>
        <w:top w:val="none" w:sz="0" w:space="0" w:color="auto"/>
        <w:left w:val="none" w:sz="0" w:space="0" w:color="auto"/>
        <w:bottom w:val="none" w:sz="0" w:space="0" w:color="auto"/>
        <w:right w:val="none" w:sz="0" w:space="0" w:color="auto"/>
      </w:divBdr>
    </w:div>
    <w:div w:id="836847433">
      <w:bodyDiv w:val="1"/>
      <w:marLeft w:val="0"/>
      <w:marRight w:val="0"/>
      <w:marTop w:val="0"/>
      <w:marBottom w:val="0"/>
      <w:divBdr>
        <w:top w:val="none" w:sz="0" w:space="0" w:color="auto"/>
        <w:left w:val="none" w:sz="0" w:space="0" w:color="auto"/>
        <w:bottom w:val="none" w:sz="0" w:space="0" w:color="auto"/>
        <w:right w:val="none" w:sz="0" w:space="0" w:color="auto"/>
      </w:divBdr>
    </w:div>
    <w:div w:id="843710995">
      <w:bodyDiv w:val="1"/>
      <w:marLeft w:val="0"/>
      <w:marRight w:val="0"/>
      <w:marTop w:val="0"/>
      <w:marBottom w:val="0"/>
      <w:divBdr>
        <w:top w:val="none" w:sz="0" w:space="0" w:color="auto"/>
        <w:left w:val="none" w:sz="0" w:space="0" w:color="auto"/>
        <w:bottom w:val="none" w:sz="0" w:space="0" w:color="auto"/>
        <w:right w:val="none" w:sz="0" w:space="0" w:color="auto"/>
      </w:divBdr>
    </w:div>
    <w:div w:id="852454518">
      <w:bodyDiv w:val="1"/>
      <w:marLeft w:val="0"/>
      <w:marRight w:val="0"/>
      <w:marTop w:val="0"/>
      <w:marBottom w:val="0"/>
      <w:divBdr>
        <w:top w:val="none" w:sz="0" w:space="0" w:color="auto"/>
        <w:left w:val="none" w:sz="0" w:space="0" w:color="auto"/>
        <w:bottom w:val="none" w:sz="0" w:space="0" w:color="auto"/>
        <w:right w:val="none" w:sz="0" w:space="0" w:color="auto"/>
      </w:divBdr>
    </w:div>
    <w:div w:id="860823499">
      <w:bodyDiv w:val="1"/>
      <w:marLeft w:val="0"/>
      <w:marRight w:val="0"/>
      <w:marTop w:val="0"/>
      <w:marBottom w:val="0"/>
      <w:divBdr>
        <w:top w:val="none" w:sz="0" w:space="0" w:color="auto"/>
        <w:left w:val="none" w:sz="0" w:space="0" w:color="auto"/>
        <w:bottom w:val="none" w:sz="0" w:space="0" w:color="auto"/>
        <w:right w:val="none" w:sz="0" w:space="0" w:color="auto"/>
      </w:divBdr>
    </w:div>
    <w:div w:id="872697050">
      <w:bodyDiv w:val="1"/>
      <w:marLeft w:val="0"/>
      <w:marRight w:val="0"/>
      <w:marTop w:val="0"/>
      <w:marBottom w:val="0"/>
      <w:divBdr>
        <w:top w:val="none" w:sz="0" w:space="0" w:color="auto"/>
        <w:left w:val="none" w:sz="0" w:space="0" w:color="auto"/>
        <w:bottom w:val="none" w:sz="0" w:space="0" w:color="auto"/>
        <w:right w:val="none" w:sz="0" w:space="0" w:color="auto"/>
      </w:divBdr>
    </w:div>
    <w:div w:id="937713871">
      <w:bodyDiv w:val="1"/>
      <w:marLeft w:val="0"/>
      <w:marRight w:val="0"/>
      <w:marTop w:val="0"/>
      <w:marBottom w:val="0"/>
      <w:divBdr>
        <w:top w:val="none" w:sz="0" w:space="0" w:color="auto"/>
        <w:left w:val="none" w:sz="0" w:space="0" w:color="auto"/>
        <w:bottom w:val="none" w:sz="0" w:space="0" w:color="auto"/>
        <w:right w:val="none" w:sz="0" w:space="0" w:color="auto"/>
      </w:divBdr>
    </w:div>
    <w:div w:id="947734998">
      <w:bodyDiv w:val="1"/>
      <w:marLeft w:val="0"/>
      <w:marRight w:val="0"/>
      <w:marTop w:val="0"/>
      <w:marBottom w:val="0"/>
      <w:divBdr>
        <w:top w:val="none" w:sz="0" w:space="0" w:color="auto"/>
        <w:left w:val="none" w:sz="0" w:space="0" w:color="auto"/>
        <w:bottom w:val="none" w:sz="0" w:space="0" w:color="auto"/>
        <w:right w:val="none" w:sz="0" w:space="0" w:color="auto"/>
      </w:divBdr>
    </w:div>
    <w:div w:id="957565821">
      <w:bodyDiv w:val="1"/>
      <w:marLeft w:val="0"/>
      <w:marRight w:val="0"/>
      <w:marTop w:val="0"/>
      <w:marBottom w:val="0"/>
      <w:divBdr>
        <w:top w:val="none" w:sz="0" w:space="0" w:color="auto"/>
        <w:left w:val="none" w:sz="0" w:space="0" w:color="auto"/>
        <w:bottom w:val="none" w:sz="0" w:space="0" w:color="auto"/>
        <w:right w:val="none" w:sz="0" w:space="0" w:color="auto"/>
      </w:divBdr>
    </w:div>
    <w:div w:id="970867825">
      <w:bodyDiv w:val="1"/>
      <w:marLeft w:val="0"/>
      <w:marRight w:val="0"/>
      <w:marTop w:val="0"/>
      <w:marBottom w:val="0"/>
      <w:divBdr>
        <w:top w:val="none" w:sz="0" w:space="0" w:color="auto"/>
        <w:left w:val="none" w:sz="0" w:space="0" w:color="auto"/>
        <w:bottom w:val="none" w:sz="0" w:space="0" w:color="auto"/>
        <w:right w:val="none" w:sz="0" w:space="0" w:color="auto"/>
      </w:divBdr>
    </w:div>
    <w:div w:id="1013186680">
      <w:bodyDiv w:val="1"/>
      <w:marLeft w:val="0"/>
      <w:marRight w:val="0"/>
      <w:marTop w:val="0"/>
      <w:marBottom w:val="0"/>
      <w:divBdr>
        <w:top w:val="none" w:sz="0" w:space="0" w:color="auto"/>
        <w:left w:val="none" w:sz="0" w:space="0" w:color="auto"/>
        <w:bottom w:val="none" w:sz="0" w:space="0" w:color="auto"/>
        <w:right w:val="none" w:sz="0" w:space="0" w:color="auto"/>
      </w:divBdr>
    </w:div>
    <w:div w:id="1018390365">
      <w:bodyDiv w:val="1"/>
      <w:marLeft w:val="0"/>
      <w:marRight w:val="0"/>
      <w:marTop w:val="0"/>
      <w:marBottom w:val="0"/>
      <w:divBdr>
        <w:top w:val="none" w:sz="0" w:space="0" w:color="auto"/>
        <w:left w:val="none" w:sz="0" w:space="0" w:color="auto"/>
        <w:bottom w:val="none" w:sz="0" w:space="0" w:color="auto"/>
        <w:right w:val="none" w:sz="0" w:space="0" w:color="auto"/>
      </w:divBdr>
    </w:div>
    <w:div w:id="1023022630">
      <w:bodyDiv w:val="1"/>
      <w:marLeft w:val="0"/>
      <w:marRight w:val="0"/>
      <w:marTop w:val="0"/>
      <w:marBottom w:val="0"/>
      <w:divBdr>
        <w:top w:val="none" w:sz="0" w:space="0" w:color="auto"/>
        <w:left w:val="none" w:sz="0" w:space="0" w:color="auto"/>
        <w:bottom w:val="none" w:sz="0" w:space="0" w:color="auto"/>
        <w:right w:val="none" w:sz="0" w:space="0" w:color="auto"/>
      </w:divBdr>
    </w:div>
    <w:div w:id="1037464884">
      <w:bodyDiv w:val="1"/>
      <w:marLeft w:val="0"/>
      <w:marRight w:val="0"/>
      <w:marTop w:val="0"/>
      <w:marBottom w:val="0"/>
      <w:divBdr>
        <w:top w:val="none" w:sz="0" w:space="0" w:color="auto"/>
        <w:left w:val="none" w:sz="0" w:space="0" w:color="auto"/>
        <w:bottom w:val="none" w:sz="0" w:space="0" w:color="auto"/>
        <w:right w:val="none" w:sz="0" w:space="0" w:color="auto"/>
      </w:divBdr>
    </w:div>
    <w:div w:id="1048720109">
      <w:bodyDiv w:val="1"/>
      <w:marLeft w:val="0"/>
      <w:marRight w:val="0"/>
      <w:marTop w:val="0"/>
      <w:marBottom w:val="0"/>
      <w:divBdr>
        <w:top w:val="none" w:sz="0" w:space="0" w:color="auto"/>
        <w:left w:val="none" w:sz="0" w:space="0" w:color="auto"/>
        <w:bottom w:val="none" w:sz="0" w:space="0" w:color="auto"/>
        <w:right w:val="none" w:sz="0" w:space="0" w:color="auto"/>
      </w:divBdr>
    </w:div>
    <w:div w:id="1063018653">
      <w:bodyDiv w:val="1"/>
      <w:marLeft w:val="0"/>
      <w:marRight w:val="0"/>
      <w:marTop w:val="0"/>
      <w:marBottom w:val="0"/>
      <w:divBdr>
        <w:top w:val="none" w:sz="0" w:space="0" w:color="auto"/>
        <w:left w:val="none" w:sz="0" w:space="0" w:color="auto"/>
        <w:bottom w:val="none" w:sz="0" w:space="0" w:color="auto"/>
        <w:right w:val="none" w:sz="0" w:space="0" w:color="auto"/>
      </w:divBdr>
      <w:divsChild>
        <w:div w:id="243877191">
          <w:marLeft w:val="28"/>
          <w:marRight w:val="0"/>
          <w:marTop w:val="0"/>
          <w:marBottom w:val="0"/>
          <w:divBdr>
            <w:top w:val="none" w:sz="0" w:space="0" w:color="auto"/>
            <w:left w:val="none" w:sz="0" w:space="0" w:color="auto"/>
            <w:bottom w:val="none" w:sz="0" w:space="0" w:color="auto"/>
            <w:right w:val="none" w:sz="0" w:space="0" w:color="auto"/>
          </w:divBdr>
        </w:div>
      </w:divsChild>
    </w:div>
    <w:div w:id="1065954422">
      <w:bodyDiv w:val="1"/>
      <w:marLeft w:val="0"/>
      <w:marRight w:val="0"/>
      <w:marTop w:val="0"/>
      <w:marBottom w:val="0"/>
      <w:divBdr>
        <w:top w:val="none" w:sz="0" w:space="0" w:color="auto"/>
        <w:left w:val="none" w:sz="0" w:space="0" w:color="auto"/>
        <w:bottom w:val="none" w:sz="0" w:space="0" w:color="auto"/>
        <w:right w:val="none" w:sz="0" w:space="0" w:color="auto"/>
      </w:divBdr>
    </w:div>
    <w:div w:id="1077479737">
      <w:bodyDiv w:val="1"/>
      <w:marLeft w:val="0"/>
      <w:marRight w:val="0"/>
      <w:marTop w:val="0"/>
      <w:marBottom w:val="0"/>
      <w:divBdr>
        <w:top w:val="none" w:sz="0" w:space="0" w:color="auto"/>
        <w:left w:val="none" w:sz="0" w:space="0" w:color="auto"/>
        <w:bottom w:val="none" w:sz="0" w:space="0" w:color="auto"/>
        <w:right w:val="none" w:sz="0" w:space="0" w:color="auto"/>
      </w:divBdr>
    </w:div>
    <w:div w:id="1080907196">
      <w:bodyDiv w:val="1"/>
      <w:marLeft w:val="0"/>
      <w:marRight w:val="0"/>
      <w:marTop w:val="0"/>
      <w:marBottom w:val="0"/>
      <w:divBdr>
        <w:top w:val="none" w:sz="0" w:space="0" w:color="auto"/>
        <w:left w:val="none" w:sz="0" w:space="0" w:color="auto"/>
        <w:bottom w:val="none" w:sz="0" w:space="0" w:color="auto"/>
        <w:right w:val="none" w:sz="0" w:space="0" w:color="auto"/>
      </w:divBdr>
      <w:divsChild>
        <w:div w:id="807671456">
          <w:marLeft w:val="547"/>
          <w:marRight w:val="0"/>
          <w:marTop w:val="200"/>
          <w:marBottom w:val="0"/>
          <w:divBdr>
            <w:top w:val="none" w:sz="0" w:space="0" w:color="auto"/>
            <w:left w:val="none" w:sz="0" w:space="0" w:color="auto"/>
            <w:bottom w:val="none" w:sz="0" w:space="0" w:color="auto"/>
            <w:right w:val="none" w:sz="0" w:space="0" w:color="auto"/>
          </w:divBdr>
        </w:div>
        <w:div w:id="239951339">
          <w:marLeft w:val="547"/>
          <w:marRight w:val="0"/>
          <w:marTop w:val="200"/>
          <w:marBottom w:val="0"/>
          <w:divBdr>
            <w:top w:val="none" w:sz="0" w:space="0" w:color="auto"/>
            <w:left w:val="none" w:sz="0" w:space="0" w:color="auto"/>
            <w:bottom w:val="none" w:sz="0" w:space="0" w:color="auto"/>
            <w:right w:val="none" w:sz="0" w:space="0" w:color="auto"/>
          </w:divBdr>
        </w:div>
        <w:div w:id="1919250351">
          <w:marLeft w:val="547"/>
          <w:marRight w:val="0"/>
          <w:marTop w:val="200"/>
          <w:marBottom w:val="0"/>
          <w:divBdr>
            <w:top w:val="none" w:sz="0" w:space="0" w:color="auto"/>
            <w:left w:val="none" w:sz="0" w:space="0" w:color="auto"/>
            <w:bottom w:val="none" w:sz="0" w:space="0" w:color="auto"/>
            <w:right w:val="none" w:sz="0" w:space="0" w:color="auto"/>
          </w:divBdr>
        </w:div>
      </w:divsChild>
    </w:div>
    <w:div w:id="1101294862">
      <w:bodyDiv w:val="1"/>
      <w:marLeft w:val="0"/>
      <w:marRight w:val="0"/>
      <w:marTop w:val="0"/>
      <w:marBottom w:val="0"/>
      <w:divBdr>
        <w:top w:val="none" w:sz="0" w:space="0" w:color="auto"/>
        <w:left w:val="none" w:sz="0" w:space="0" w:color="auto"/>
        <w:bottom w:val="none" w:sz="0" w:space="0" w:color="auto"/>
        <w:right w:val="none" w:sz="0" w:space="0" w:color="auto"/>
      </w:divBdr>
    </w:div>
    <w:div w:id="1107627042">
      <w:bodyDiv w:val="1"/>
      <w:marLeft w:val="0"/>
      <w:marRight w:val="0"/>
      <w:marTop w:val="0"/>
      <w:marBottom w:val="0"/>
      <w:divBdr>
        <w:top w:val="none" w:sz="0" w:space="0" w:color="auto"/>
        <w:left w:val="none" w:sz="0" w:space="0" w:color="auto"/>
        <w:bottom w:val="none" w:sz="0" w:space="0" w:color="auto"/>
        <w:right w:val="none" w:sz="0" w:space="0" w:color="auto"/>
      </w:divBdr>
    </w:div>
    <w:div w:id="1155102722">
      <w:bodyDiv w:val="1"/>
      <w:marLeft w:val="0"/>
      <w:marRight w:val="0"/>
      <w:marTop w:val="0"/>
      <w:marBottom w:val="0"/>
      <w:divBdr>
        <w:top w:val="none" w:sz="0" w:space="0" w:color="auto"/>
        <w:left w:val="none" w:sz="0" w:space="0" w:color="auto"/>
        <w:bottom w:val="none" w:sz="0" w:space="0" w:color="auto"/>
        <w:right w:val="none" w:sz="0" w:space="0" w:color="auto"/>
      </w:divBdr>
    </w:div>
    <w:div w:id="1160390124">
      <w:bodyDiv w:val="1"/>
      <w:marLeft w:val="0"/>
      <w:marRight w:val="0"/>
      <w:marTop w:val="0"/>
      <w:marBottom w:val="0"/>
      <w:divBdr>
        <w:top w:val="none" w:sz="0" w:space="0" w:color="auto"/>
        <w:left w:val="none" w:sz="0" w:space="0" w:color="auto"/>
        <w:bottom w:val="none" w:sz="0" w:space="0" w:color="auto"/>
        <w:right w:val="none" w:sz="0" w:space="0" w:color="auto"/>
      </w:divBdr>
      <w:divsChild>
        <w:div w:id="1752654485">
          <w:marLeft w:val="0"/>
          <w:marRight w:val="0"/>
          <w:marTop w:val="0"/>
          <w:marBottom w:val="0"/>
          <w:divBdr>
            <w:top w:val="none" w:sz="0" w:space="0" w:color="auto"/>
            <w:left w:val="none" w:sz="0" w:space="0" w:color="auto"/>
            <w:bottom w:val="none" w:sz="0" w:space="0" w:color="auto"/>
            <w:right w:val="none" w:sz="0" w:space="0" w:color="auto"/>
          </w:divBdr>
        </w:div>
        <w:div w:id="21126554">
          <w:marLeft w:val="0"/>
          <w:marRight w:val="0"/>
          <w:marTop w:val="0"/>
          <w:marBottom w:val="0"/>
          <w:divBdr>
            <w:top w:val="none" w:sz="0" w:space="0" w:color="auto"/>
            <w:left w:val="none" w:sz="0" w:space="0" w:color="auto"/>
            <w:bottom w:val="none" w:sz="0" w:space="0" w:color="auto"/>
            <w:right w:val="none" w:sz="0" w:space="0" w:color="auto"/>
          </w:divBdr>
        </w:div>
        <w:div w:id="1923441052">
          <w:marLeft w:val="0"/>
          <w:marRight w:val="0"/>
          <w:marTop w:val="0"/>
          <w:marBottom w:val="0"/>
          <w:divBdr>
            <w:top w:val="none" w:sz="0" w:space="0" w:color="auto"/>
            <w:left w:val="none" w:sz="0" w:space="0" w:color="auto"/>
            <w:bottom w:val="none" w:sz="0" w:space="0" w:color="auto"/>
            <w:right w:val="none" w:sz="0" w:space="0" w:color="auto"/>
          </w:divBdr>
        </w:div>
        <w:div w:id="1250044379">
          <w:marLeft w:val="0"/>
          <w:marRight w:val="0"/>
          <w:marTop w:val="0"/>
          <w:marBottom w:val="0"/>
          <w:divBdr>
            <w:top w:val="none" w:sz="0" w:space="0" w:color="auto"/>
            <w:left w:val="none" w:sz="0" w:space="0" w:color="auto"/>
            <w:bottom w:val="none" w:sz="0" w:space="0" w:color="auto"/>
            <w:right w:val="none" w:sz="0" w:space="0" w:color="auto"/>
          </w:divBdr>
        </w:div>
      </w:divsChild>
    </w:div>
    <w:div w:id="1169296863">
      <w:bodyDiv w:val="1"/>
      <w:marLeft w:val="0"/>
      <w:marRight w:val="0"/>
      <w:marTop w:val="0"/>
      <w:marBottom w:val="0"/>
      <w:divBdr>
        <w:top w:val="none" w:sz="0" w:space="0" w:color="auto"/>
        <w:left w:val="none" w:sz="0" w:space="0" w:color="auto"/>
        <w:bottom w:val="none" w:sz="0" w:space="0" w:color="auto"/>
        <w:right w:val="none" w:sz="0" w:space="0" w:color="auto"/>
      </w:divBdr>
    </w:div>
    <w:div w:id="1211304800">
      <w:bodyDiv w:val="1"/>
      <w:marLeft w:val="0"/>
      <w:marRight w:val="0"/>
      <w:marTop w:val="0"/>
      <w:marBottom w:val="0"/>
      <w:divBdr>
        <w:top w:val="none" w:sz="0" w:space="0" w:color="auto"/>
        <w:left w:val="none" w:sz="0" w:space="0" w:color="auto"/>
        <w:bottom w:val="none" w:sz="0" w:space="0" w:color="auto"/>
        <w:right w:val="none" w:sz="0" w:space="0" w:color="auto"/>
      </w:divBdr>
    </w:div>
    <w:div w:id="1214000513">
      <w:bodyDiv w:val="1"/>
      <w:marLeft w:val="0"/>
      <w:marRight w:val="0"/>
      <w:marTop w:val="0"/>
      <w:marBottom w:val="0"/>
      <w:divBdr>
        <w:top w:val="none" w:sz="0" w:space="0" w:color="auto"/>
        <w:left w:val="none" w:sz="0" w:space="0" w:color="auto"/>
        <w:bottom w:val="none" w:sz="0" w:space="0" w:color="auto"/>
        <w:right w:val="none" w:sz="0" w:space="0" w:color="auto"/>
      </w:divBdr>
      <w:divsChild>
        <w:div w:id="103310855">
          <w:marLeft w:val="28"/>
          <w:marRight w:val="0"/>
          <w:marTop w:val="0"/>
          <w:marBottom w:val="0"/>
          <w:divBdr>
            <w:top w:val="none" w:sz="0" w:space="0" w:color="auto"/>
            <w:left w:val="none" w:sz="0" w:space="0" w:color="auto"/>
            <w:bottom w:val="none" w:sz="0" w:space="0" w:color="auto"/>
            <w:right w:val="none" w:sz="0" w:space="0" w:color="auto"/>
          </w:divBdr>
        </w:div>
      </w:divsChild>
    </w:div>
    <w:div w:id="1229224475">
      <w:bodyDiv w:val="1"/>
      <w:marLeft w:val="0"/>
      <w:marRight w:val="0"/>
      <w:marTop w:val="0"/>
      <w:marBottom w:val="0"/>
      <w:divBdr>
        <w:top w:val="none" w:sz="0" w:space="0" w:color="auto"/>
        <w:left w:val="none" w:sz="0" w:space="0" w:color="auto"/>
        <w:bottom w:val="none" w:sz="0" w:space="0" w:color="auto"/>
        <w:right w:val="none" w:sz="0" w:space="0" w:color="auto"/>
      </w:divBdr>
      <w:divsChild>
        <w:div w:id="459886013">
          <w:marLeft w:val="0"/>
          <w:marRight w:val="0"/>
          <w:marTop w:val="0"/>
          <w:marBottom w:val="0"/>
          <w:divBdr>
            <w:top w:val="none" w:sz="0" w:space="0" w:color="auto"/>
            <w:left w:val="none" w:sz="0" w:space="0" w:color="auto"/>
            <w:bottom w:val="none" w:sz="0" w:space="0" w:color="auto"/>
            <w:right w:val="none" w:sz="0" w:space="0" w:color="auto"/>
          </w:divBdr>
        </w:div>
        <w:div w:id="2110152191">
          <w:marLeft w:val="0"/>
          <w:marRight w:val="0"/>
          <w:marTop w:val="0"/>
          <w:marBottom w:val="0"/>
          <w:divBdr>
            <w:top w:val="none" w:sz="0" w:space="0" w:color="auto"/>
            <w:left w:val="none" w:sz="0" w:space="0" w:color="auto"/>
            <w:bottom w:val="none" w:sz="0" w:space="0" w:color="auto"/>
            <w:right w:val="none" w:sz="0" w:space="0" w:color="auto"/>
          </w:divBdr>
        </w:div>
      </w:divsChild>
    </w:div>
    <w:div w:id="1232815050">
      <w:bodyDiv w:val="1"/>
      <w:marLeft w:val="0"/>
      <w:marRight w:val="0"/>
      <w:marTop w:val="0"/>
      <w:marBottom w:val="0"/>
      <w:divBdr>
        <w:top w:val="none" w:sz="0" w:space="0" w:color="auto"/>
        <w:left w:val="none" w:sz="0" w:space="0" w:color="auto"/>
        <w:bottom w:val="none" w:sz="0" w:space="0" w:color="auto"/>
        <w:right w:val="none" w:sz="0" w:space="0" w:color="auto"/>
      </w:divBdr>
    </w:div>
    <w:div w:id="1234505202">
      <w:bodyDiv w:val="1"/>
      <w:marLeft w:val="0"/>
      <w:marRight w:val="0"/>
      <w:marTop w:val="0"/>
      <w:marBottom w:val="0"/>
      <w:divBdr>
        <w:top w:val="none" w:sz="0" w:space="0" w:color="auto"/>
        <w:left w:val="none" w:sz="0" w:space="0" w:color="auto"/>
        <w:bottom w:val="none" w:sz="0" w:space="0" w:color="auto"/>
        <w:right w:val="none" w:sz="0" w:space="0" w:color="auto"/>
      </w:divBdr>
    </w:div>
    <w:div w:id="1259827646">
      <w:bodyDiv w:val="1"/>
      <w:marLeft w:val="0"/>
      <w:marRight w:val="0"/>
      <w:marTop w:val="0"/>
      <w:marBottom w:val="0"/>
      <w:divBdr>
        <w:top w:val="none" w:sz="0" w:space="0" w:color="auto"/>
        <w:left w:val="none" w:sz="0" w:space="0" w:color="auto"/>
        <w:bottom w:val="none" w:sz="0" w:space="0" w:color="auto"/>
        <w:right w:val="none" w:sz="0" w:space="0" w:color="auto"/>
      </w:divBdr>
    </w:div>
    <w:div w:id="1305624870">
      <w:bodyDiv w:val="1"/>
      <w:marLeft w:val="0"/>
      <w:marRight w:val="0"/>
      <w:marTop w:val="0"/>
      <w:marBottom w:val="0"/>
      <w:divBdr>
        <w:top w:val="none" w:sz="0" w:space="0" w:color="auto"/>
        <w:left w:val="none" w:sz="0" w:space="0" w:color="auto"/>
        <w:bottom w:val="none" w:sz="0" w:space="0" w:color="auto"/>
        <w:right w:val="none" w:sz="0" w:space="0" w:color="auto"/>
      </w:divBdr>
    </w:div>
    <w:div w:id="1315991295">
      <w:bodyDiv w:val="1"/>
      <w:marLeft w:val="0"/>
      <w:marRight w:val="0"/>
      <w:marTop w:val="0"/>
      <w:marBottom w:val="0"/>
      <w:divBdr>
        <w:top w:val="none" w:sz="0" w:space="0" w:color="auto"/>
        <w:left w:val="none" w:sz="0" w:space="0" w:color="auto"/>
        <w:bottom w:val="none" w:sz="0" w:space="0" w:color="auto"/>
        <w:right w:val="none" w:sz="0" w:space="0" w:color="auto"/>
      </w:divBdr>
    </w:div>
    <w:div w:id="1346857790">
      <w:bodyDiv w:val="1"/>
      <w:marLeft w:val="0"/>
      <w:marRight w:val="0"/>
      <w:marTop w:val="0"/>
      <w:marBottom w:val="0"/>
      <w:divBdr>
        <w:top w:val="none" w:sz="0" w:space="0" w:color="auto"/>
        <w:left w:val="none" w:sz="0" w:space="0" w:color="auto"/>
        <w:bottom w:val="none" w:sz="0" w:space="0" w:color="auto"/>
        <w:right w:val="none" w:sz="0" w:space="0" w:color="auto"/>
      </w:divBdr>
    </w:div>
    <w:div w:id="1362393315">
      <w:bodyDiv w:val="1"/>
      <w:marLeft w:val="0"/>
      <w:marRight w:val="0"/>
      <w:marTop w:val="0"/>
      <w:marBottom w:val="0"/>
      <w:divBdr>
        <w:top w:val="none" w:sz="0" w:space="0" w:color="auto"/>
        <w:left w:val="none" w:sz="0" w:space="0" w:color="auto"/>
        <w:bottom w:val="none" w:sz="0" w:space="0" w:color="auto"/>
        <w:right w:val="none" w:sz="0" w:space="0" w:color="auto"/>
      </w:divBdr>
    </w:div>
    <w:div w:id="1398092525">
      <w:bodyDiv w:val="1"/>
      <w:marLeft w:val="0"/>
      <w:marRight w:val="0"/>
      <w:marTop w:val="0"/>
      <w:marBottom w:val="0"/>
      <w:divBdr>
        <w:top w:val="none" w:sz="0" w:space="0" w:color="auto"/>
        <w:left w:val="none" w:sz="0" w:space="0" w:color="auto"/>
        <w:bottom w:val="none" w:sz="0" w:space="0" w:color="auto"/>
        <w:right w:val="none" w:sz="0" w:space="0" w:color="auto"/>
      </w:divBdr>
    </w:div>
    <w:div w:id="1413237027">
      <w:bodyDiv w:val="1"/>
      <w:marLeft w:val="0"/>
      <w:marRight w:val="0"/>
      <w:marTop w:val="0"/>
      <w:marBottom w:val="0"/>
      <w:divBdr>
        <w:top w:val="none" w:sz="0" w:space="0" w:color="auto"/>
        <w:left w:val="none" w:sz="0" w:space="0" w:color="auto"/>
        <w:bottom w:val="none" w:sz="0" w:space="0" w:color="auto"/>
        <w:right w:val="none" w:sz="0" w:space="0" w:color="auto"/>
      </w:divBdr>
      <w:divsChild>
        <w:div w:id="401491675">
          <w:marLeft w:val="0"/>
          <w:marRight w:val="0"/>
          <w:marTop w:val="0"/>
          <w:marBottom w:val="0"/>
          <w:divBdr>
            <w:top w:val="none" w:sz="0" w:space="0" w:color="auto"/>
            <w:left w:val="none" w:sz="0" w:space="0" w:color="auto"/>
            <w:bottom w:val="none" w:sz="0" w:space="0" w:color="auto"/>
            <w:right w:val="none" w:sz="0" w:space="0" w:color="auto"/>
          </w:divBdr>
        </w:div>
      </w:divsChild>
    </w:div>
    <w:div w:id="1415473125">
      <w:bodyDiv w:val="1"/>
      <w:marLeft w:val="0"/>
      <w:marRight w:val="0"/>
      <w:marTop w:val="0"/>
      <w:marBottom w:val="0"/>
      <w:divBdr>
        <w:top w:val="none" w:sz="0" w:space="0" w:color="auto"/>
        <w:left w:val="none" w:sz="0" w:space="0" w:color="auto"/>
        <w:bottom w:val="none" w:sz="0" w:space="0" w:color="auto"/>
        <w:right w:val="none" w:sz="0" w:space="0" w:color="auto"/>
      </w:divBdr>
    </w:div>
    <w:div w:id="1417823946">
      <w:bodyDiv w:val="1"/>
      <w:marLeft w:val="0"/>
      <w:marRight w:val="0"/>
      <w:marTop w:val="0"/>
      <w:marBottom w:val="0"/>
      <w:divBdr>
        <w:top w:val="none" w:sz="0" w:space="0" w:color="auto"/>
        <w:left w:val="none" w:sz="0" w:space="0" w:color="auto"/>
        <w:bottom w:val="none" w:sz="0" w:space="0" w:color="auto"/>
        <w:right w:val="none" w:sz="0" w:space="0" w:color="auto"/>
      </w:divBdr>
    </w:div>
    <w:div w:id="1418939062">
      <w:bodyDiv w:val="1"/>
      <w:marLeft w:val="0"/>
      <w:marRight w:val="0"/>
      <w:marTop w:val="0"/>
      <w:marBottom w:val="0"/>
      <w:divBdr>
        <w:top w:val="none" w:sz="0" w:space="0" w:color="auto"/>
        <w:left w:val="none" w:sz="0" w:space="0" w:color="auto"/>
        <w:bottom w:val="none" w:sz="0" w:space="0" w:color="auto"/>
        <w:right w:val="none" w:sz="0" w:space="0" w:color="auto"/>
      </w:divBdr>
    </w:div>
    <w:div w:id="1428035980">
      <w:bodyDiv w:val="1"/>
      <w:marLeft w:val="0"/>
      <w:marRight w:val="0"/>
      <w:marTop w:val="0"/>
      <w:marBottom w:val="0"/>
      <w:divBdr>
        <w:top w:val="none" w:sz="0" w:space="0" w:color="auto"/>
        <w:left w:val="none" w:sz="0" w:space="0" w:color="auto"/>
        <w:bottom w:val="none" w:sz="0" w:space="0" w:color="auto"/>
        <w:right w:val="none" w:sz="0" w:space="0" w:color="auto"/>
      </w:divBdr>
    </w:div>
    <w:div w:id="1437821857">
      <w:bodyDiv w:val="1"/>
      <w:marLeft w:val="0"/>
      <w:marRight w:val="0"/>
      <w:marTop w:val="0"/>
      <w:marBottom w:val="0"/>
      <w:divBdr>
        <w:top w:val="none" w:sz="0" w:space="0" w:color="auto"/>
        <w:left w:val="none" w:sz="0" w:space="0" w:color="auto"/>
        <w:bottom w:val="none" w:sz="0" w:space="0" w:color="auto"/>
        <w:right w:val="none" w:sz="0" w:space="0" w:color="auto"/>
      </w:divBdr>
    </w:div>
    <w:div w:id="1440368714">
      <w:bodyDiv w:val="1"/>
      <w:marLeft w:val="0"/>
      <w:marRight w:val="0"/>
      <w:marTop w:val="0"/>
      <w:marBottom w:val="0"/>
      <w:divBdr>
        <w:top w:val="none" w:sz="0" w:space="0" w:color="auto"/>
        <w:left w:val="none" w:sz="0" w:space="0" w:color="auto"/>
        <w:bottom w:val="none" w:sz="0" w:space="0" w:color="auto"/>
        <w:right w:val="none" w:sz="0" w:space="0" w:color="auto"/>
      </w:divBdr>
    </w:div>
    <w:div w:id="1447308540">
      <w:bodyDiv w:val="1"/>
      <w:marLeft w:val="0"/>
      <w:marRight w:val="0"/>
      <w:marTop w:val="0"/>
      <w:marBottom w:val="0"/>
      <w:divBdr>
        <w:top w:val="none" w:sz="0" w:space="0" w:color="auto"/>
        <w:left w:val="none" w:sz="0" w:space="0" w:color="auto"/>
        <w:bottom w:val="none" w:sz="0" w:space="0" w:color="auto"/>
        <w:right w:val="none" w:sz="0" w:space="0" w:color="auto"/>
      </w:divBdr>
    </w:div>
    <w:div w:id="1462920213">
      <w:bodyDiv w:val="1"/>
      <w:marLeft w:val="0"/>
      <w:marRight w:val="0"/>
      <w:marTop w:val="0"/>
      <w:marBottom w:val="0"/>
      <w:divBdr>
        <w:top w:val="none" w:sz="0" w:space="0" w:color="auto"/>
        <w:left w:val="none" w:sz="0" w:space="0" w:color="auto"/>
        <w:bottom w:val="none" w:sz="0" w:space="0" w:color="auto"/>
        <w:right w:val="none" w:sz="0" w:space="0" w:color="auto"/>
      </w:divBdr>
    </w:div>
    <w:div w:id="1467888626">
      <w:bodyDiv w:val="1"/>
      <w:marLeft w:val="0"/>
      <w:marRight w:val="0"/>
      <w:marTop w:val="0"/>
      <w:marBottom w:val="0"/>
      <w:divBdr>
        <w:top w:val="none" w:sz="0" w:space="0" w:color="auto"/>
        <w:left w:val="none" w:sz="0" w:space="0" w:color="auto"/>
        <w:bottom w:val="none" w:sz="0" w:space="0" w:color="auto"/>
        <w:right w:val="none" w:sz="0" w:space="0" w:color="auto"/>
      </w:divBdr>
    </w:div>
    <w:div w:id="1488941366">
      <w:bodyDiv w:val="1"/>
      <w:marLeft w:val="0"/>
      <w:marRight w:val="0"/>
      <w:marTop w:val="0"/>
      <w:marBottom w:val="0"/>
      <w:divBdr>
        <w:top w:val="none" w:sz="0" w:space="0" w:color="auto"/>
        <w:left w:val="none" w:sz="0" w:space="0" w:color="auto"/>
        <w:bottom w:val="none" w:sz="0" w:space="0" w:color="auto"/>
        <w:right w:val="none" w:sz="0" w:space="0" w:color="auto"/>
      </w:divBdr>
    </w:div>
    <w:div w:id="1490828012">
      <w:bodyDiv w:val="1"/>
      <w:marLeft w:val="0"/>
      <w:marRight w:val="0"/>
      <w:marTop w:val="0"/>
      <w:marBottom w:val="0"/>
      <w:divBdr>
        <w:top w:val="none" w:sz="0" w:space="0" w:color="auto"/>
        <w:left w:val="none" w:sz="0" w:space="0" w:color="auto"/>
        <w:bottom w:val="none" w:sz="0" w:space="0" w:color="auto"/>
        <w:right w:val="none" w:sz="0" w:space="0" w:color="auto"/>
      </w:divBdr>
    </w:div>
    <w:div w:id="1515652080">
      <w:bodyDiv w:val="1"/>
      <w:marLeft w:val="0"/>
      <w:marRight w:val="0"/>
      <w:marTop w:val="0"/>
      <w:marBottom w:val="0"/>
      <w:divBdr>
        <w:top w:val="none" w:sz="0" w:space="0" w:color="auto"/>
        <w:left w:val="none" w:sz="0" w:space="0" w:color="auto"/>
        <w:bottom w:val="none" w:sz="0" w:space="0" w:color="auto"/>
        <w:right w:val="none" w:sz="0" w:space="0" w:color="auto"/>
      </w:divBdr>
    </w:div>
    <w:div w:id="1529756157">
      <w:bodyDiv w:val="1"/>
      <w:marLeft w:val="0"/>
      <w:marRight w:val="0"/>
      <w:marTop w:val="0"/>
      <w:marBottom w:val="0"/>
      <w:divBdr>
        <w:top w:val="none" w:sz="0" w:space="0" w:color="auto"/>
        <w:left w:val="none" w:sz="0" w:space="0" w:color="auto"/>
        <w:bottom w:val="none" w:sz="0" w:space="0" w:color="auto"/>
        <w:right w:val="none" w:sz="0" w:space="0" w:color="auto"/>
      </w:divBdr>
    </w:div>
    <w:div w:id="1536886438">
      <w:bodyDiv w:val="1"/>
      <w:marLeft w:val="0"/>
      <w:marRight w:val="0"/>
      <w:marTop w:val="0"/>
      <w:marBottom w:val="0"/>
      <w:divBdr>
        <w:top w:val="none" w:sz="0" w:space="0" w:color="auto"/>
        <w:left w:val="none" w:sz="0" w:space="0" w:color="auto"/>
        <w:bottom w:val="none" w:sz="0" w:space="0" w:color="auto"/>
        <w:right w:val="none" w:sz="0" w:space="0" w:color="auto"/>
      </w:divBdr>
    </w:div>
    <w:div w:id="1542203260">
      <w:bodyDiv w:val="1"/>
      <w:marLeft w:val="0"/>
      <w:marRight w:val="0"/>
      <w:marTop w:val="0"/>
      <w:marBottom w:val="0"/>
      <w:divBdr>
        <w:top w:val="none" w:sz="0" w:space="0" w:color="auto"/>
        <w:left w:val="none" w:sz="0" w:space="0" w:color="auto"/>
        <w:bottom w:val="none" w:sz="0" w:space="0" w:color="auto"/>
        <w:right w:val="none" w:sz="0" w:space="0" w:color="auto"/>
      </w:divBdr>
    </w:div>
    <w:div w:id="1544294684">
      <w:bodyDiv w:val="1"/>
      <w:marLeft w:val="0"/>
      <w:marRight w:val="0"/>
      <w:marTop w:val="0"/>
      <w:marBottom w:val="0"/>
      <w:divBdr>
        <w:top w:val="none" w:sz="0" w:space="0" w:color="auto"/>
        <w:left w:val="none" w:sz="0" w:space="0" w:color="auto"/>
        <w:bottom w:val="none" w:sz="0" w:space="0" w:color="auto"/>
        <w:right w:val="none" w:sz="0" w:space="0" w:color="auto"/>
      </w:divBdr>
    </w:div>
    <w:div w:id="1572230387">
      <w:bodyDiv w:val="1"/>
      <w:marLeft w:val="0"/>
      <w:marRight w:val="0"/>
      <w:marTop w:val="0"/>
      <w:marBottom w:val="0"/>
      <w:divBdr>
        <w:top w:val="none" w:sz="0" w:space="0" w:color="auto"/>
        <w:left w:val="none" w:sz="0" w:space="0" w:color="auto"/>
        <w:bottom w:val="none" w:sz="0" w:space="0" w:color="auto"/>
        <w:right w:val="none" w:sz="0" w:space="0" w:color="auto"/>
      </w:divBdr>
    </w:div>
    <w:div w:id="1573075208">
      <w:bodyDiv w:val="1"/>
      <w:marLeft w:val="0"/>
      <w:marRight w:val="0"/>
      <w:marTop w:val="0"/>
      <w:marBottom w:val="0"/>
      <w:divBdr>
        <w:top w:val="none" w:sz="0" w:space="0" w:color="auto"/>
        <w:left w:val="none" w:sz="0" w:space="0" w:color="auto"/>
        <w:bottom w:val="none" w:sz="0" w:space="0" w:color="auto"/>
        <w:right w:val="none" w:sz="0" w:space="0" w:color="auto"/>
      </w:divBdr>
    </w:div>
    <w:div w:id="1579051943">
      <w:bodyDiv w:val="1"/>
      <w:marLeft w:val="0"/>
      <w:marRight w:val="0"/>
      <w:marTop w:val="0"/>
      <w:marBottom w:val="0"/>
      <w:divBdr>
        <w:top w:val="none" w:sz="0" w:space="0" w:color="auto"/>
        <w:left w:val="none" w:sz="0" w:space="0" w:color="auto"/>
        <w:bottom w:val="none" w:sz="0" w:space="0" w:color="auto"/>
        <w:right w:val="none" w:sz="0" w:space="0" w:color="auto"/>
      </w:divBdr>
    </w:div>
    <w:div w:id="1592884190">
      <w:bodyDiv w:val="1"/>
      <w:marLeft w:val="0"/>
      <w:marRight w:val="0"/>
      <w:marTop w:val="0"/>
      <w:marBottom w:val="0"/>
      <w:divBdr>
        <w:top w:val="none" w:sz="0" w:space="0" w:color="auto"/>
        <w:left w:val="none" w:sz="0" w:space="0" w:color="auto"/>
        <w:bottom w:val="none" w:sz="0" w:space="0" w:color="auto"/>
        <w:right w:val="none" w:sz="0" w:space="0" w:color="auto"/>
      </w:divBdr>
    </w:div>
    <w:div w:id="1599942296">
      <w:bodyDiv w:val="1"/>
      <w:marLeft w:val="0"/>
      <w:marRight w:val="0"/>
      <w:marTop w:val="0"/>
      <w:marBottom w:val="0"/>
      <w:divBdr>
        <w:top w:val="none" w:sz="0" w:space="0" w:color="auto"/>
        <w:left w:val="none" w:sz="0" w:space="0" w:color="auto"/>
        <w:bottom w:val="none" w:sz="0" w:space="0" w:color="auto"/>
        <w:right w:val="none" w:sz="0" w:space="0" w:color="auto"/>
      </w:divBdr>
    </w:div>
    <w:div w:id="1615357854">
      <w:bodyDiv w:val="1"/>
      <w:marLeft w:val="0"/>
      <w:marRight w:val="0"/>
      <w:marTop w:val="0"/>
      <w:marBottom w:val="0"/>
      <w:divBdr>
        <w:top w:val="none" w:sz="0" w:space="0" w:color="auto"/>
        <w:left w:val="none" w:sz="0" w:space="0" w:color="auto"/>
        <w:bottom w:val="none" w:sz="0" w:space="0" w:color="auto"/>
        <w:right w:val="none" w:sz="0" w:space="0" w:color="auto"/>
      </w:divBdr>
    </w:div>
    <w:div w:id="1620604816">
      <w:bodyDiv w:val="1"/>
      <w:marLeft w:val="0"/>
      <w:marRight w:val="0"/>
      <w:marTop w:val="0"/>
      <w:marBottom w:val="0"/>
      <w:divBdr>
        <w:top w:val="none" w:sz="0" w:space="0" w:color="auto"/>
        <w:left w:val="none" w:sz="0" w:space="0" w:color="auto"/>
        <w:bottom w:val="none" w:sz="0" w:space="0" w:color="auto"/>
        <w:right w:val="none" w:sz="0" w:space="0" w:color="auto"/>
      </w:divBdr>
    </w:div>
    <w:div w:id="1647975529">
      <w:bodyDiv w:val="1"/>
      <w:marLeft w:val="0"/>
      <w:marRight w:val="0"/>
      <w:marTop w:val="0"/>
      <w:marBottom w:val="0"/>
      <w:divBdr>
        <w:top w:val="none" w:sz="0" w:space="0" w:color="auto"/>
        <w:left w:val="none" w:sz="0" w:space="0" w:color="auto"/>
        <w:bottom w:val="none" w:sz="0" w:space="0" w:color="auto"/>
        <w:right w:val="none" w:sz="0" w:space="0" w:color="auto"/>
      </w:divBdr>
    </w:div>
    <w:div w:id="1649285396">
      <w:bodyDiv w:val="1"/>
      <w:marLeft w:val="0"/>
      <w:marRight w:val="0"/>
      <w:marTop w:val="0"/>
      <w:marBottom w:val="0"/>
      <w:divBdr>
        <w:top w:val="none" w:sz="0" w:space="0" w:color="auto"/>
        <w:left w:val="none" w:sz="0" w:space="0" w:color="auto"/>
        <w:bottom w:val="none" w:sz="0" w:space="0" w:color="auto"/>
        <w:right w:val="none" w:sz="0" w:space="0" w:color="auto"/>
      </w:divBdr>
    </w:div>
    <w:div w:id="1654481218">
      <w:bodyDiv w:val="1"/>
      <w:marLeft w:val="0"/>
      <w:marRight w:val="0"/>
      <w:marTop w:val="0"/>
      <w:marBottom w:val="0"/>
      <w:divBdr>
        <w:top w:val="none" w:sz="0" w:space="0" w:color="auto"/>
        <w:left w:val="none" w:sz="0" w:space="0" w:color="auto"/>
        <w:bottom w:val="none" w:sz="0" w:space="0" w:color="auto"/>
        <w:right w:val="none" w:sz="0" w:space="0" w:color="auto"/>
      </w:divBdr>
    </w:div>
    <w:div w:id="1656108034">
      <w:bodyDiv w:val="1"/>
      <w:marLeft w:val="0"/>
      <w:marRight w:val="0"/>
      <w:marTop w:val="0"/>
      <w:marBottom w:val="0"/>
      <w:divBdr>
        <w:top w:val="none" w:sz="0" w:space="0" w:color="auto"/>
        <w:left w:val="none" w:sz="0" w:space="0" w:color="auto"/>
        <w:bottom w:val="none" w:sz="0" w:space="0" w:color="auto"/>
        <w:right w:val="none" w:sz="0" w:space="0" w:color="auto"/>
      </w:divBdr>
    </w:div>
    <w:div w:id="1676615778">
      <w:bodyDiv w:val="1"/>
      <w:marLeft w:val="0"/>
      <w:marRight w:val="0"/>
      <w:marTop w:val="0"/>
      <w:marBottom w:val="0"/>
      <w:divBdr>
        <w:top w:val="none" w:sz="0" w:space="0" w:color="auto"/>
        <w:left w:val="none" w:sz="0" w:space="0" w:color="auto"/>
        <w:bottom w:val="none" w:sz="0" w:space="0" w:color="auto"/>
        <w:right w:val="none" w:sz="0" w:space="0" w:color="auto"/>
      </w:divBdr>
    </w:div>
    <w:div w:id="1679036446">
      <w:bodyDiv w:val="1"/>
      <w:marLeft w:val="0"/>
      <w:marRight w:val="0"/>
      <w:marTop w:val="0"/>
      <w:marBottom w:val="0"/>
      <w:divBdr>
        <w:top w:val="none" w:sz="0" w:space="0" w:color="auto"/>
        <w:left w:val="none" w:sz="0" w:space="0" w:color="auto"/>
        <w:bottom w:val="none" w:sz="0" w:space="0" w:color="auto"/>
        <w:right w:val="none" w:sz="0" w:space="0" w:color="auto"/>
      </w:divBdr>
    </w:div>
    <w:div w:id="1692338235">
      <w:bodyDiv w:val="1"/>
      <w:marLeft w:val="0"/>
      <w:marRight w:val="0"/>
      <w:marTop w:val="0"/>
      <w:marBottom w:val="0"/>
      <w:divBdr>
        <w:top w:val="none" w:sz="0" w:space="0" w:color="auto"/>
        <w:left w:val="none" w:sz="0" w:space="0" w:color="auto"/>
        <w:bottom w:val="none" w:sz="0" w:space="0" w:color="auto"/>
        <w:right w:val="none" w:sz="0" w:space="0" w:color="auto"/>
      </w:divBdr>
    </w:div>
    <w:div w:id="1693146215">
      <w:bodyDiv w:val="1"/>
      <w:marLeft w:val="0"/>
      <w:marRight w:val="0"/>
      <w:marTop w:val="0"/>
      <w:marBottom w:val="0"/>
      <w:divBdr>
        <w:top w:val="none" w:sz="0" w:space="0" w:color="auto"/>
        <w:left w:val="none" w:sz="0" w:space="0" w:color="auto"/>
        <w:bottom w:val="none" w:sz="0" w:space="0" w:color="auto"/>
        <w:right w:val="none" w:sz="0" w:space="0" w:color="auto"/>
      </w:divBdr>
    </w:div>
    <w:div w:id="1705789890">
      <w:bodyDiv w:val="1"/>
      <w:marLeft w:val="0"/>
      <w:marRight w:val="0"/>
      <w:marTop w:val="0"/>
      <w:marBottom w:val="0"/>
      <w:divBdr>
        <w:top w:val="none" w:sz="0" w:space="0" w:color="auto"/>
        <w:left w:val="none" w:sz="0" w:space="0" w:color="auto"/>
        <w:bottom w:val="none" w:sz="0" w:space="0" w:color="auto"/>
        <w:right w:val="none" w:sz="0" w:space="0" w:color="auto"/>
      </w:divBdr>
    </w:div>
    <w:div w:id="1712729610">
      <w:bodyDiv w:val="1"/>
      <w:marLeft w:val="0"/>
      <w:marRight w:val="0"/>
      <w:marTop w:val="0"/>
      <w:marBottom w:val="0"/>
      <w:divBdr>
        <w:top w:val="none" w:sz="0" w:space="0" w:color="auto"/>
        <w:left w:val="none" w:sz="0" w:space="0" w:color="auto"/>
        <w:bottom w:val="none" w:sz="0" w:space="0" w:color="auto"/>
        <w:right w:val="none" w:sz="0" w:space="0" w:color="auto"/>
      </w:divBdr>
    </w:div>
    <w:div w:id="1723559608">
      <w:bodyDiv w:val="1"/>
      <w:marLeft w:val="0"/>
      <w:marRight w:val="0"/>
      <w:marTop w:val="0"/>
      <w:marBottom w:val="0"/>
      <w:divBdr>
        <w:top w:val="none" w:sz="0" w:space="0" w:color="auto"/>
        <w:left w:val="none" w:sz="0" w:space="0" w:color="auto"/>
        <w:bottom w:val="none" w:sz="0" w:space="0" w:color="auto"/>
        <w:right w:val="none" w:sz="0" w:space="0" w:color="auto"/>
      </w:divBdr>
    </w:div>
    <w:div w:id="1745452131">
      <w:bodyDiv w:val="1"/>
      <w:marLeft w:val="0"/>
      <w:marRight w:val="0"/>
      <w:marTop w:val="0"/>
      <w:marBottom w:val="0"/>
      <w:divBdr>
        <w:top w:val="none" w:sz="0" w:space="0" w:color="auto"/>
        <w:left w:val="none" w:sz="0" w:space="0" w:color="auto"/>
        <w:bottom w:val="none" w:sz="0" w:space="0" w:color="auto"/>
        <w:right w:val="none" w:sz="0" w:space="0" w:color="auto"/>
      </w:divBdr>
    </w:div>
    <w:div w:id="1745762371">
      <w:bodyDiv w:val="1"/>
      <w:marLeft w:val="0"/>
      <w:marRight w:val="0"/>
      <w:marTop w:val="0"/>
      <w:marBottom w:val="0"/>
      <w:divBdr>
        <w:top w:val="none" w:sz="0" w:space="0" w:color="auto"/>
        <w:left w:val="none" w:sz="0" w:space="0" w:color="auto"/>
        <w:bottom w:val="none" w:sz="0" w:space="0" w:color="auto"/>
        <w:right w:val="none" w:sz="0" w:space="0" w:color="auto"/>
      </w:divBdr>
    </w:div>
    <w:div w:id="1753236101">
      <w:bodyDiv w:val="1"/>
      <w:marLeft w:val="0"/>
      <w:marRight w:val="0"/>
      <w:marTop w:val="0"/>
      <w:marBottom w:val="0"/>
      <w:divBdr>
        <w:top w:val="none" w:sz="0" w:space="0" w:color="auto"/>
        <w:left w:val="none" w:sz="0" w:space="0" w:color="auto"/>
        <w:bottom w:val="none" w:sz="0" w:space="0" w:color="auto"/>
        <w:right w:val="none" w:sz="0" w:space="0" w:color="auto"/>
      </w:divBdr>
    </w:div>
    <w:div w:id="1764497176">
      <w:bodyDiv w:val="1"/>
      <w:marLeft w:val="0"/>
      <w:marRight w:val="0"/>
      <w:marTop w:val="0"/>
      <w:marBottom w:val="0"/>
      <w:divBdr>
        <w:top w:val="none" w:sz="0" w:space="0" w:color="auto"/>
        <w:left w:val="none" w:sz="0" w:space="0" w:color="auto"/>
        <w:bottom w:val="none" w:sz="0" w:space="0" w:color="auto"/>
        <w:right w:val="none" w:sz="0" w:space="0" w:color="auto"/>
      </w:divBdr>
    </w:div>
    <w:div w:id="1765101945">
      <w:bodyDiv w:val="1"/>
      <w:marLeft w:val="0"/>
      <w:marRight w:val="0"/>
      <w:marTop w:val="0"/>
      <w:marBottom w:val="0"/>
      <w:divBdr>
        <w:top w:val="none" w:sz="0" w:space="0" w:color="auto"/>
        <w:left w:val="none" w:sz="0" w:space="0" w:color="auto"/>
        <w:bottom w:val="none" w:sz="0" w:space="0" w:color="auto"/>
        <w:right w:val="none" w:sz="0" w:space="0" w:color="auto"/>
      </w:divBdr>
    </w:div>
    <w:div w:id="1770738480">
      <w:bodyDiv w:val="1"/>
      <w:marLeft w:val="0"/>
      <w:marRight w:val="0"/>
      <w:marTop w:val="0"/>
      <w:marBottom w:val="0"/>
      <w:divBdr>
        <w:top w:val="none" w:sz="0" w:space="0" w:color="auto"/>
        <w:left w:val="none" w:sz="0" w:space="0" w:color="auto"/>
        <w:bottom w:val="none" w:sz="0" w:space="0" w:color="auto"/>
        <w:right w:val="none" w:sz="0" w:space="0" w:color="auto"/>
      </w:divBdr>
    </w:div>
    <w:div w:id="1785886668">
      <w:bodyDiv w:val="1"/>
      <w:marLeft w:val="0"/>
      <w:marRight w:val="0"/>
      <w:marTop w:val="0"/>
      <w:marBottom w:val="0"/>
      <w:divBdr>
        <w:top w:val="none" w:sz="0" w:space="0" w:color="auto"/>
        <w:left w:val="none" w:sz="0" w:space="0" w:color="auto"/>
        <w:bottom w:val="none" w:sz="0" w:space="0" w:color="auto"/>
        <w:right w:val="none" w:sz="0" w:space="0" w:color="auto"/>
      </w:divBdr>
    </w:div>
    <w:div w:id="1801653113">
      <w:bodyDiv w:val="1"/>
      <w:marLeft w:val="0"/>
      <w:marRight w:val="0"/>
      <w:marTop w:val="0"/>
      <w:marBottom w:val="0"/>
      <w:divBdr>
        <w:top w:val="none" w:sz="0" w:space="0" w:color="auto"/>
        <w:left w:val="none" w:sz="0" w:space="0" w:color="auto"/>
        <w:bottom w:val="none" w:sz="0" w:space="0" w:color="auto"/>
        <w:right w:val="none" w:sz="0" w:space="0" w:color="auto"/>
      </w:divBdr>
      <w:divsChild>
        <w:div w:id="1263807615">
          <w:marLeft w:val="0"/>
          <w:marRight w:val="0"/>
          <w:marTop w:val="0"/>
          <w:marBottom w:val="0"/>
          <w:divBdr>
            <w:top w:val="none" w:sz="0" w:space="0" w:color="auto"/>
            <w:left w:val="none" w:sz="0" w:space="0" w:color="auto"/>
            <w:bottom w:val="none" w:sz="0" w:space="0" w:color="auto"/>
            <w:right w:val="none" w:sz="0" w:space="0" w:color="auto"/>
          </w:divBdr>
          <w:divsChild>
            <w:div w:id="406659300">
              <w:marLeft w:val="0"/>
              <w:marRight w:val="0"/>
              <w:marTop w:val="0"/>
              <w:marBottom w:val="0"/>
              <w:divBdr>
                <w:top w:val="none" w:sz="0" w:space="0" w:color="auto"/>
                <w:left w:val="none" w:sz="0" w:space="0" w:color="auto"/>
                <w:bottom w:val="none" w:sz="0" w:space="0" w:color="auto"/>
                <w:right w:val="none" w:sz="0" w:space="0" w:color="auto"/>
              </w:divBdr>
              <w:divsChild>
                <w:div w:id="337927479">
                  <w:marLeft w:val="0"/>
                  <w:marRight w:val="0"/>
                  <w:marTop w:val="0"/>
                  <w:marBottom w:val="0"/>
                  <w:divBdr>
                    <w:top w:val="none" w:sz="0" w:space="0" w:color="auto"/>
                    <w:left w:val="none" w:sz="0" w:space="0" w:color="auto"/>
                    <w:bottom w:val="none" w:sz="0" w:space="0" w:color="auto"/>
                    <w:right w:val="none" w:sz="0" w:space="0" w:color="auto"/>
                  </w:divBdr>
                  <w:divsChild>
                    <w:div w:id="1914048133">
                      <w:marLeft w:val="0"/>
                      <w:marRight w:val="0"/>
                      <w:marTop w:val="0"/>
                      <w:marBottom w:val="0"/>
                      <w:divBdr>
                        <w:top w:val="none" w:sz="0" w:space="0" w:color="auto"/>
                        <w:left w:val="none" w:sz="0" w:space="0" w:color="auto"/>
                        <w:bottom w:val="none" w:sz="0" w:space="0" w:color="auto"/>
                        <w:right w:val="none" w:sz="0" w:space="0" w:color="auto"/>
                      </w:divBdr>
                      <w:divsChild>
                        <w:div w:id="890389278">
                          <w:marLeft w:val="0"/>
                          <w:marRight w:val="0"/>
                          <w:marTop w:val="0"/>
                          <w:marBottom w:val="0"/>
                          <w:divBdr>
                            <w:top w:val="none" w:sz="0" w:space="0" w:color="auto"/>
                            <w:left w:val="none" w:sz="0" w:space="0" w:color="auto"/>
                            <w:bottom w:val="none" w:sz="0" w:space="0" w:color="auto"/>
                            <w:right w:val="none" w:sz="0" w:space="0" w:color="auto"/>
                          </w:divBdr>
                          <w:divsChild>
                            <w:div w:id="1210217968">
                              <w:marLeft w:val="0"/>
                              <w:marRight w:val="300"/>
                              <w:marTop w:val="180"/>
                              <w:marBottom w:val="0"/>
                              <w:divBdr>
                                <w:top w:val="none" w:sz="0" w:space="0" w:color="auto"/>
                                <w:left w:val="none" w:sz="0" w:space="0" w:color="auto"/>
                                <w:bottom w:val="none" w:sz="0" w:space="0" w:color="auto"/>
                                <w:right w:val="none" w:sz="0" w:space="0" w:color="auto"/>
                              </w:divBdr>
                              <w:divsChild>
                                <w:div w:id="33554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275588">
          <w:marLeft w:val="0"/>
          <w:marRight w:val="0"/>
          <w:marTop w:val="0"/>
          <w:marBottom w:val="0"/>
          <w:divBdr>
            <w:top w:val="none" w:sz="0" w:space="0" w:color="auto"/>
            <w:left w:val="none" w:sz="0" w:space="0" w:color="auto"/>
            <w:bottom w:val="none" w:sz="0" w:space="0" w:color="auto"/>
            <w:right w:val="none" w:sz="0" w:space="0" w:color="auto"/>
          </w:divBdr>
          <w:divsChild>
            <w:div w:id="1674144464">
              <w:marLeft w:val="0"/>
              <w:marRight w:val="0"/>
              <w:marTop w:val="0"/>
              <w:marBottom w:val="0"/>
              <w:divBdr>
                <w:top w:val="none" w:sz="0" w:space="0" w:color="auto"/>
                <w:left w:val="none" w:sz="0" w:space="0" w:color="auto"/>
                <w:bottom w:val="none" w:sz="0" w:space="0" w:color="auto"/>
                <w:right w:val="none" w:sz="0" w:space="0" w:color="auto"/>
              </w:divBdr>
              <w:divsChild>
                <w:div w:id="241990350">
                  <w:marLeft w:val="0"/>
                  <w:marRight w:val="0"/>
                  <w:marTop w:val="0"/>
                  <w:marBottom w:val="0"/>
                  <w:divBdr>
                    <w:top w:val="none" w:sz="0" w:space="0" w:color="auto"/>
                    <w:left w:val="none" w:sz="0" w:space="0" w:color="auto"/>
                    <w:bottom w:val="none" w:sz="0" w:space="0" w:color="auto"/>
                    <w:right w:val="none" w:sz="0" w:space="0" w:color="auto"/>
                  </w:divBdr>
                  <w:divsChild>
                    <w:div w:id="51005742">
                      <w:marLeft w:val="0"/>
                      <w:marRight w:val="0"/>
                      <w:marTop w:val="0"/>
                      <w:marBottom w:val="0"/>
                      <w:divBdr>
                        <w:top w:val="none" w:sz="0" w:space="0" w:color="auto"/>
                        <w:left w:val="none" w:sz="0" w:space="0" w:color="auto"/>
                        <w:bottom w:val="none" w:sz="0" w:space="0" w:color="auto"/>
                        <w:right w:val="none" w:sz="0" w:space="0" w:color="auto"/>
                      </w:divBdr>
                      <w:divsChild>
                        <w:div w:id="36668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153024">
      <w:bodyDiv w:val="1"/>
      <w:marLeft w:val="0"/>
      <w:marRight w:val="0"/>
      <w:marTop w:val="0"/>
      <w:marBottom w:val="0"/>
      <w:divBdr>
        <w:top w:val="none" w:sz="0" w:space="0" w:color="auto"/>
        <w:left w:val="none" w:sz="0" w:space="0" w:color="auto"/>
        <w:bottom w:val="none" w:sz="0" w:space="0" w:color="auto"/>
        <w:right w:val="none" w:sz="0" w:space="0" w:color="auto"/>
      </w:divBdr>
    </w:div>
    <w:div w:id="1811628411">
      <w:bodyDiv w:val="1"/>
      <w:marLeft w:val="0"/>
      <w:marRight w:val="0"/>
      <w:marTop w:val="0"/>
      <w:marBottom w:val="0"/>
      <w:divBdr>
        <w:top w:val="none" w:sz="0" w:space="0" w:color="auto"/>
        <w:left w:val="none" w:sz="0" w:space="0" w:color="auto"/>
        <w:bottom w:val="none" w:sz="0" w:space="0" w:color="auto"/>
        <w:right w:val="none" w:sz="0" w:space="0" w:color="auto"/>
      </w:divBdr>
    </w:div>
    <w:div w:id="1813521286">
      <w:bodyDiv w:val="1"/>
      <w:marLeft w:val="0"/>
      <w:marRight w:val="0"/>
      <w:marTop w:val="0"/>
      <w:marBottom w:val="0"/>
      <w:divBdr>
        <w:top w:val="none" w:sz="0" w:space="0" w:color="auto"/>
        <w:left w:val="none" w:sz="0" w:space="0" w:color="auto"/>
        <w:bottom w:val="none" w:sz="0" w:space="0" w:color="auto"/>
        <w:right w:val="none" w:sz="0" w:space="0" w:color="auto"/>
      </w:divBdr>
    </w:div>
    <w:div w:id="1830555436">
      <w:bodyDiv w:val="1"/>
      <w:marLeft w:val="0"/>
      <w:marRight w:val="0"/>
      <w:marTop w:val="0"/>
      <w:marBottom w:val="0"/>
      <w:divBdr>
        <w:top w:val="none" w:sz="0" w:space="0" w:color="auto"/>
        <w:left w:val="none" w:sz="0" w:space="0" w:color="auto"/>
        <w:bottom w:val="none" w:sz="0" w:space="0" w:color="auto"/>
        <w:right w:val="none" w:sz="0" w:space="0" w:color="auto"/>
      </w:divBdr>
    </w:div>
    <w:div w:id="1834490724">
      <w:bodyDiv w:val="1"/>
      <w:marLeft w:val="0"/>
      <w:marRight w:val="0"/>
      <w:marTop w:val="0"/>
      <w:marBottom w:val="0"/>
      <w:divBdr>
        <w:top w:val="none" w:sz="0" w:space="0" w:color="auto"/>
        <w:left w:val="none" w:sz="0" w:space="0" w:color="auto"/>
        <w:bottom w:val="none" w:sz="0" w:space="0" w:color="auto"/>
        <w:right w:val="none" w:sz="0" w:space="0" w:color="auto"/>
      </w:divBdr>
    </w:div>
    <w:div w:id="1845975349">
      <w:bodyDiv w:val="1"/>
      <w:marLeft w:val="0"/>
      <w:marRight w:val="0"/>
      <w:marTop w:val="0"/>
      <w:marBottom w:val="0"/>
      <w:divBdr>
        <w:top w:val="none" w:sz="0" w:space="0" w:color="auto"/>
        <w:left w:val="none" w:sz="0" w:space="0" w:color="auto"/>
        <w:bottom w:val="none" w:sz="0" w:space="0" w:color="auto"/>
        <w:right w:val="none" w:sz="0" w:space="0" w:color="auto"/>
      </w:divBdr>
    </w:div>
    <w:div w:id="1874801118">
      <w:bodyDiv w:val="1"/>
      <w:marLeft w:val="0"/>
      <w:marRight w:val="0"/>
      <w:marTop w:val="0"/>
      <w:marBottom w:val="0"/>
      <w:divBdr>
        <w:top w:val="none" w:sz="0" w:space="0" w:color="auto"/>
        <w:left w:val="none" w:sz="0" w:space="0" w:color="auto"/>
        <w:bottom w:val="none" w:sz="0" w:space="0" w:color="auto"/>
        <w:right w:val="none" w:sz="0" w:space="0" w:color="auto"/>
      </w:divBdr>
    </w:div>
    <w:div w:id="1891304419">
      <w:bodyDiv w:val="1"/>
      <w:marLeft w:val="0"/>
      <w:marRight w:val="0"/>
      <w:marTop w:val="0"/>
      <w:marBottom w:val="0"/>
      <w:divBdr>
        <w:top w:val="none" w:sz="0" w:space="0" w:color="auto"/>
        <w:left w:val="none" w:sz="0" w:space="0" w:color="auto"/>
        <w:bottom w:val="none" w:sz="0" w:space="0" w:color="auto"/>
        <w:right w:val="none" w:sz="0" w:space="0" w:color="auto"/>
      </w:divBdr>
    </w:div>
    <w:div w:id="1891914747">
      <w:bodyDiv w:val="1"/>
      <w:marLeft w:val="0"/>
      <w:marRight w:val="0"/>
      <w:marTop w:val="0"/>
      <w:marBottom w:val="0"/>
      <w:divBdr>
        <w:top w:val="none" w:sz="0" w:space="0" w:color="auto"/>
        <w:left w:val="none" w:sz="0" w:space="0" w:color="auto"/>
        <w:bottom w:val="none" w:sz="0" w:space="0" w:color="auto"/>
        <w:right w:val="none" w:sz="0" w:space="0" w:color="auto"/>
      </w:divBdr>
    </w:div>
    <w:div w:id="1917086836">
      <w:bodyDiv w:val="1"/>
      <w:marLeft w:val="0"/>
      <w:marRight w:val="0"/>
      <w:marTop w:val="0"/>
      <w:marBottom w:val="0"/>
      <w:divBdr>
        <w:top w:val="none" w:sz="0" w:space="0" w:color="auto"/>
        <w:left w:val="none" w:sz="0" w:space="0" w:color="auto"/>
        <w:bottom w:val="none" w:sz="0" w:space="0" w:color="auto"/>
        <w:right w:val="none" w:sz="0" w:space="0" w:color="auto"/>
      </w:divBdr>
    </w:div>
    <w:div w:id="1935480769">
      <w:bodyDiv w:val="1"/>
      <w:marLeft w:val="0"/>
      <w:marRight w:val="0"/>
      <w:marTop w:val="0"/>
      <w:marBottom w:val="0"/>
      <w:divBdr>
        <w:top w:val="none" w:sz="0" w:space="0" w:color="auto"/>
        <w:left w:val="none" w:sz="0" w:space="0" w:color="auto"/>
        <w:bottom w:val="none" w:sz="0" w:space="0" w:color="auto"/>
        <w:right w:val="none" w:sz="0" w:space="0" w:color="auto"/>
      </w:divBdr>
    </w:div>
    <w:div w:id="1936554267">
      <w:bodyDiv w:val="1"/>
      <w:marLeft w:val="0"/>
      <w:marRight w:val="0"/>
      <w:marTop w:val="0"/>
      <w:marBottom w:val="0"/>
      <w:divBdr>
        <w:top w:val="none" w:sz="0" w:space="0" w:color="auto"/>
        <w:left w:val="none" w:sz="0" w:space="0" w:color="auto"/>
        <w:bottom w:val="none" w:sz="0" w:space="0" w:color="auto"/>
        <w:right w:val="none" w:sz="0" w:space="0" w:color="auto"/>
      </w:divBdr>
    </w:div>
    <w:div w:id="1943688448">
      <w:bodyDiv w:val="1"/>
      <w:marLeft w:val="0"/>
      <w:marRight w:val="0"/>
      <w:marTop w:val="0"/>
      <w:marBottom w:val="0"/>
      <w:divBdr>
        <w:top w:val="none" w:sz="0" w:space="0" w:color="auto"/>
        <w:left w:val="none" w:sz="0" w:space="0" w:color="auto"/>
        <w:bottom w:val="none" w:sz="0" w:space="0" w:color="auto"/>
        <w:right w:val="none" w:sz="0" w:space="0" w:color="auto"/>
      </w:divBdr>
    </w:div>
    <w:div w:id="1958828598">
      <w:bodyDiv w:val="1"/>
      <w:marLeft w:val="0"/>
      <w:marRight w:val="0"/>
      <w:marTop w:val="0"/>
      <w:marBottom w:val="0"/>
      <w:divBdr>
        <w:top w:val="none" w:sz="0" w:space="0" w:color="auto"/>
        <w:left w:val="none" w:sz="0" w:space="0" w:color="auto"/>
        <w:bottom w:val="none" w:sz="0" w:space="0" w:color="auto"/>
        <w:right w:val="none" w:sz="0" w:space="0" w:color="auto"/>
      </w:divBdr>
    </w:div>
    <w:div w:id="1979802230">
      <w:bodyDiv w:val="1"/>
      <w:marLeft w:val="0"/>
      <w:marRight w:val="0"/>
      <w:marTop w:val="0"/>
      <w:marBottom w:val="0"/>
      <w:divBdr>
        <w:top w:val="none" w:sz="0" w:space="0" w:color="auto"/>
        <w:left w:val="none" w:sz="0" w:space="0" w:color="auto"/>
        <w:bottom w:val="none" w:sz="0" w:space="0" w:color="auto"/>
        <w:right w:val="none" w:sz="0" w:space="0" w:color="auto"/>
      </w:divBdr>
    </w:div>
    <w:div w:id="2007589645">
      <w:bodyDiv w:val="1"/>
      <w:marLeft w:val="0"/>
      <w:marRight w:val="0"/>
      <w:marTop w:val="0"/>
      <w:marBottom w:val="0"/>
      <w:divBdr>
        <w:top w:val="none" w:sz="0" w:space="0" w:color="auto"/>
        <w:left w:val="none" w:sz="0" w:space="0" w:color="auto"/>
        <w:bottom w:val="none" w:sz="0" w:space="0" w:color="auto"/>
        <w:right w:val="none" w:sz="0" w:space="0" w:color="auto"/>
      </w:divBdr>
    </w:div>
    <w:div w:id="2045514966">
      <w:bodyDiv w:val="1"/>
      <w:marLeft w:val="0"/>
      <w:marRight w:val="0"/>
      <w:marTop w:val="0"/>
      <w:marBottom w:val="0"/>
      <w:divBdr>
        <w:top w:val="none" w:sz="0" w:space="0" w:color="auto"/>
        <w:left w:val="none" w:sz="0" w:space="0" w:color="auto"/>
        <w:bottom w:val="none" w:sz="0" w:space="0" w:color="auto"/>
        <w:right w:val="none" w:sz="0" w:space="0" w:color="auto"/>
      </w:divBdr>
    </w:div>
    <w:div w:id="2079210854">
      <w:bodyDiv w:val="1"/>
      <w:marLeft w:val="0"/>
      <w:marRight w:val="0"/>
      <w:marTop w:val="0"/>
      <w:marBottom w:val="0"/>
      <w:divBdr>
        <w:top w:val="none" w:sz="0" w:space="0" w:color="auto"/>
        <w:left w:val="none" w:sz="0" w:space="0" w:color="auto"/>
        <w:bottom w:val="none" w:sz="0" w:space="0" w:color="auto"/>
        <w:right w:val="none" w:sz="0" w:space="0" w:color="auto"/>
      </w:divBdr>
      <w:divsChild>
        <w:div w:id="793250891">
          <w:marLeft w:val="0"/>
          <w:marRight w:val="0"/>
          <w:marTop w:val="0"/>
          <w:marBottom w:val="0"/>
          <w:divBdr>
            <w:top w:val="none" w:sz="0" w:space="0" w:color="auto"/>
            <w:left w:val="none" w:sz="0" w:space="0" w:color="auto"/>
            <w:bottom w:val="none" w:sz="0" w:space="0" w:color="auto"/>
            <w:right w:val="none" w:sz="0" w:space="0" w:color="auto"/>
          </w:divBdr>
        </w:div>
        <w:div w:id="560603562">
          <w:marLeft w:val="0"/>
          <w:marRight w:val="0"/>
          <w:marTop w:val="0"/>
          <w:marBottom w:val="0"/>
          <w:divBdr>
            <w:top w:val="none" w:sz="0" w:space="0" w:color="auto"/>
            <w:left w:val="none" w:sz="0" w:space="0" w:color="auto"/>
            <w:bottom w:val="none" w:sz="0" w:space="0" w:color="auto"/>
            <w:right w:val="none" w:sz="0" w:space="0" w:color="auto"/>
          </w:divBdr>
        </w:div>
      </w:divsChild>
    </w:div>
    <w:div w:id="2080325584">
      <w:bodyDiv w:val="1"/>
      <w:marLeft w:val="0"/>
      <w:marRight w:val="0"/>
      <w:marTop w:val="0"/>
      <w:marBottom w:val="0"/>
      <w:divBdr>
        <w:top w:val="none" w:sz="0" w:space="0" w:color="auto"/>
        <w:left w:val="none" w:sz="0" w:space="0" w:color="auto"/>
        <w:bottom w:val="none" w:sz="0" w:space="0" w:color="auto"/>
        <w:right w:val="none" w:sz="0" w:space="0" w:color="auto"/>
      </w:divBdr>
    </w:div>
    <w:div w:id="2097676828">
      <w:bodyDiv w:val="1"/>
      <w:marLeft w:val="0"/>
      <w:marRight w:val="0"/>
      <w:marTop w:val="0"/>
      <w:marBottom w:val="0"/>
      <w:divBdr>
        <w:top w:val="none" w:sz="0" w:space="0" w:color="auto"/>
        <w:left w:val="none" w:sz="0" w:space="0" w:color="auto"/>
        <w:bottom w:val="none" w:sz="0" w:space="0" w:color="auto"/>
        <w:right w:val="none" w:sz="0" w:space="0" w:color="auto"/>
      </w:divBdr>
    </w:div>
    <w:div w:id="2113238790">
      <w:bodyDiv w:val="1"/>
      <w:marLeft w:val="0"/>
      <w:marRight w:val="0"/>
      <w:marTop w:val="0"/>
      <w:marBottom w:val="0"/>
      <w:divBdr>
        <w:top w:val="none" w:sz="0" w:space="0" w:color="auto"/>
        <w:left w:val="none" w:sz="0" w:space="0" w:color="auto"/>
        <w:bottom w:val="none" w:sz="0" w:space="0" w:color="auto"/>
        <w:right w:val="none" w:sz="0" w:space="0" w:color="auto"/>
      </w:divBdr>
    </w:div>
    <w:div w:id="2117018839">
      <w:bodyDiv w:val="1"/>
      <w:marLeft w:val="0"/>
      <w:marRight w:val="0"/>
      <w:marTop w:val="0"/>
      <w:marBottom w:val="0"/>
      <w:divBdr>
        <w:top w:val="none" w:sz="0" w:space="0" w:color="auto"/>
        <w:left w:val="none" w:sz="0" w:space="0" w:color="auto"/>
        <w:bottom w:val="none" w:sz="0" w:space="0" w:color="auto"/>
        <w:right w:val="none" w:sz="0" w:space="0" w:color="auto"/>
      </w:divBdr>
    </w:div>
    <w:div w:id="2134249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9.xml"/><Relationship Id="rId299" Type="http://schemas.openxmlformats.org/officeDocument/2006/relationships/image" Target="media/image146.jpeg"/><Relationship Id="rId303" Type="http://schemas.openxmlformats.org/officeDocument/2006/relationships/image" Target="media/image150.jpg"/><Relationship Id="rId21" Type="http://schemas.openxmlformats.org/officeDocument/2006/relationships/hyperlink" Target="file:///C:\documenti\Urbasofia\licitatie%20interreg\implementare\Analysis%203rd%20delivery\20210219-Interreg-RO-HU-Territorial-Analysis.docx" TargetMode="External"/><Relationship Id="rId42" Type="http://schemas.openxmlformats.org/officeDocument/2006/relationships/image" Target="media/image12.png"/><Relationship Id="rId63" Type="http://schemas.openxmlformats.org/officeDocument/2006/relationships/image" Target="media/image22.png"/><Relationship Id="rId138" Type="http://schemas.openxmlformats.org/officeDocument/2006/relationships/chart" Target="charts/chart35.xml"/><Relationship Id="rId159" Type="http://schemas.openxmlformats.org/officeDocument/2006/relationships/image" Target="media/image62.jpeg"/><Relationship Id="rId324" Type="http://schemas.openxmlformats.org/officeDocument/2006/relationships/hyperlink" Target="https://www.espon.eu/paper-cross-border-public-services" TargetMode="External"/><Relationship Id="rId345" Type="http://schemas.openxmlformats.org/officeDocument/2006/relationships/hyperlink" Target="https://ec.europa.eu/eurostat/statistical-atlas/gis/viewer/?ch=BKG,INT,C06,C02,CTF&amp;mids=BKGCNT,CNTOVL&amp;o=1,0.7&amp;center=46.88466,22.36974,6&amp;" TargetMode="External"/><Relationship Id="rId170" Type="http://schemas.openxmlformats.org/officeDocument/2006/relationships/hyperlink" Target="https://gwis.jrc.ec.europa.eu/static/gwis_current_situation/public/index.html" TargetMode="External"/><Relationship Id="rId191" Type="http://schemas.openxmlformats.org/officeDocument/2006/relationships/image" Target="media/image81.png"/><Relationship Id="rId205" Type="http://schemas.openxmlformats.org/officeDocument/2006/relationships/image" Target="media/image92.jpeg"/><Relationship Id="rId226" Type="http://schemas.openxmlformats.org/officeDocument/2006/relationships/hyperlink" Target="https://www.unenvironment.org/news-and-stories/speech/carpathian-convention-push-implementation" TargetMode="External"/><Relationship Id="rId247" Type="http://schemas.openxmlformats.org/officeDocument/2006/relationships/chart" Target="charts/chart45.xml"/><Relationship Id="rId107" Type="http://schemas.openxmlformats.org/officeDocument/2006/relationships/image" Target="media/image37.jpeg"/><Relationship Id="rId268" Type="http://schemas.openxmlformats.org/officeDocument/2006/relationships/image" Target="media/image127.jpeg"/><Relationship Id="rId289" Type="http://schemas.openxmlformats.org/officeDocument/2006/relationships/image" Target="media/image136.jpg"/><Relationship Id="rId11" Type="http://schemas.openxmlformats.org/officeDocument/2006/relationships/header" Target="header3.xml"/><Relationship Id="rId32" Type="http://schemas.openxmlformats.org/officeDocument/2006/relationships/image" Target="media/image5.png"/><Relationship Id="rId53" Type="http://schemas.openxmlformats.org/officeDocument/2006/relationships/chart" Target="charts/chart9.xml"/><Relationship Id="rId74" Type="http://schemas.openxmlformats.org/officeDocument/2006/relationships/image" Target="media/image30.jpeg"/><Relationship Id="rId128" Type="http://schemas.openxmlformats.org/officeDocument/2006/relationships/chart" Target="charts/chart32.xml"/><Relationship Id="rId149" Type="http://schemas.openxmlformats.org/officeDocument/2006/relationships/header" Target="header11.xml"/><Relationship Id="rId314" Type="http://schemas.openxmlformats.org/officeDocument/2006/relationships/hyperlink" Target="https://ec.europa.eu/futurium/en/system/files/ged/recot_crii_catalogue_0.pdf" TargetMode="External"/><Relationship Id="rId335" Type="http://schemas.openxmlformats.org/officeDocument/2006/relationships/hyperlink" Target="https://www.nord-vest.ro/wp-content/uploads/2020/10/PDR-Nord-Vest-2021-2027-1.pdf" TargetMode="External"/><Relationship Id="rId356" Type="http://schemas.openxmlformats.org/officeDocument/2006/relationships/hyperlink" Target="http://www.fomterv.hu/" TargetMode="External"/><Relationship Id="rId5" Type="http://schemas.openxmlformats.org/officeDocument/2006/relationships/webSettings" Target="webSettings.xml"/><Relationship Id="rId95" Type="http://schemas.openxmlformats.org/officeDocument/2006/relationships/chart" Target="charts/chart17.xml"/><Relationship Id="rId160" Type="http://schemas.openxmlformats.org/officeDocument/2006/relationships/image" Target="media/image63.png"/><Relationship Id="rId181" Type="http://schemas.openxmlformats.org/officeDocument/2006/relationships/image" Target="media/image76.jpg"/><Relationship Id="rId216" Type="http://schemas.openxmlformats.org/officeDocument/2006/relationships/hyperlink" Target="https://www.unenvironment.org/news-and-stories/speech/carpathian-convention-push-implementation" TargetMode="External"/><Relationship Id="rId237" Type="http://schemas.openxmlformats.org/officeDocument/2006/relationships/image" Target="media/image1070.png"/><Relationship Id="rId258" Type="http://schemas.openxmlformats.org/officeDocument/2006/relationships/hyperlink" Target="https://hu.wikipedia.org/wiki/Rom%C3%A1nia" TargetMode="External"/><Relationship Id="rId279" Type="http://schemas.openxmlformats.org/officeDocument/2006/relationships/image" Target="media/image139.jpeg"/><Relationship Id="rId22" Type="http://schemas.openxmlformats.org/officeDocument/2006/relationships/hyperlink" Target="file:///C:\documenti\Urbasofia\licitatie%20interreg\implementare\Analysis%203rd%20delivery\20210219-Interreg-RO-HU-Territorial-Analysis.docx" TargetMode="External"/><Relationship Id="rId43" Type="http://schemas.openxmlformats.org/officeDocument/2006/relationships/chart" Target="charts/chart3.xml"/><Relationship Id="rId64" Type="http://schemas.openxmlformats.org/officeDocument/2006/relationships/image" Target="media/image23.png"/><Relationship Id="rId118" Type="http://schemas.openxmlformats.org/officeDocument/2006/relationships/footer" Target="footer7.xml"/><Relationship Id="rId139" Type="http://schemas.openxmlformats.org/officeDocument/2006/relationships/image" Target="media/image51.jpeg"/><Relationship Id="rId290" Type="http://schemas.openxmlformats.org/officeDocument/2006/relationships/header" Target="header18.xml"/><Relationship Id="rId304" Type="http://schemas.openxmlformats.org/officeDocument/2006/relationships/image" Target="media/image151.jpg"/><Relationship Id="rId325" Type="http://schemas.openxmlformats.org/officeDocument/2006/relationships/hyperlink" Target="https://www.espon.eu/planning-systems" TargetMode="External"/><Relationship Id="rId346" Type="http://schemas.openxmlformats.org/officeDocument/2006/relationships/hyperlink" Target="https://natura2000.eea.europa.eu/" TargetMode="External"/><Relationship Id="rId85" Type="http://schemas.openxmlformats.org/officeDocument/2006/relationships/image" Target="media/image300.png"/><Relationship Id="rId150" Type="http://schemas.openxmlformats.org/officeDocument/2006/relationships/footer" Target="footer9.xml"/><Relationship Id="rId171" Type="http://schemas.openxmlformats.org/officeDocument/2006/relationships/image" Target="media/image68.png"/><Relationship Id="rId192" Type="http://schemas.openxmlformats.org/officeDocument/2006/relationships/image" Target="media/image82.png"/><Relationship Id="rId206" Type="http://schemas.openxmlformats.org/officeDocument/2006/relationships/image" Target="media/image93.jpeg"/><Relationship Id="rId227" Type="http://schemas.openxmlformats.org/officeDocument/2006/relationships/image" Target="media/image109.jpg"/><Relationship Id="rId248" Type="http://schemas.openxmlformats.org/officeDocument/2006/relationships/chart" Target="charts/chart46.xml"/><Relationship Id="rId269" Type="http://schemas.openxmlformats.org/officeDocument/2006/relationships/image" Target="media/image128.png"/><Relationship Id="rId12" Type="http://schemas.openxmlformats.org/officeDocument/2006/relationships/footer" Target="footer2.xml"/><Relationship Id="rId33" Type="http://schemas.openxmlformats.org/officeDocument/2006/relationships/image" Target="media/image6.png"/><Relationship Id="rId108" Type="http://schemas.openxmlformats.org/officeDocument/2006/relationships/chart" Target="charts/chart22.xml"/><Relationship Id="rId129" Type="http://schemas.openxmlformats.org/officeDocument/2006/relationships/image" Target="media/image45.png"/><Relationship Id="rId280" Type="http://schemas.openxmlformats.org/officeDocument/2006/relationships/hyperlink" Target="https://keep.eu/countries-and-regions/" TargetMode="External"/><Relationship Id="rId315" Type="http://schemas.openxmlformats.org/officeDocument/2006/relationships/hyperlink" Target="http://publications.jrc.ec.europa.eu/repository/handle/JRC120383" TargetMode="External"/><Relationship Id="rId336" Type="http://schemas.openxmlformats.org/officeDocument/2006/relationships/hyperlink" Target="https://www.ardld.ro/plugins/biblioteca/files/ARAD%20-%20STRATEGIA%20vers%20finala%20%20sedinta%20250816.pdf" TargetMode="External"/><Relationship Id="rId357" Type="http://schemas.openxmlformats.org/officeDocument/2006/relationships/hyperlink" Target="https://keep.eu/countries-and-regions/" TargetMode="External"/><Relationship Id="rId54" Type="http://schemas.openxmlformats.org/officeDocument/2006/relationships/chart" Target="charts/chart10.xml"/><Relationship Id="rId75" Type="http://schemas.openxmlformats.org/officeDocument/2006/relationships/image" Target="media/image31.png"/><Relationship Id="rId96" Type="http://schemas.openxmlformats.org/officeDocument/2006/relationships/header" Target="header8.xml"/><Relationship Id="rId140" Type="http://schemas.openxmlformats.org/officeDocument/2006/relationships/chart" Target="charts/chart36.xml"/><Relationship Id="rId161" Type="http://schemas.openxmlformats.org/officeDocument/2006/relationships/image" Target="media/image65.png"/><Relationship Id="rId182" Type="http://schemas.openxmlformats.org/officeDocument/2006/relationships/hyperlink" Target="https://eea.maps.arcgis.com/apps/MapJournal/index.html?appid=e7e93bfd95ab44e28cae733b5a4ff54b%20" TargetMode="External"/><Relationship Id="rId217" Type="http://schemas.openxmlformats.org/officeDocument/2006/relationships/image" Target="media/image100.jpg"/><Relationship Id="rId6" Type="http://schemas.openxmlformats.org/officeDocument/2006/relationships/footnotes" Target="footnotes.xml"/><Relationship Id="rId238" Type="http://schemas.openxmlformats.org/officeDocument/2006/relationships/image" Target="media/image1080.png"/><Relationship Id="rId259" Type="http://schemas.openxmlformats.org/officeDocument/2006/relationships/header" Target="header15.xml"/><Relationship Id="rId23" Type="http://schemas.openxmlformats.org/officeDocument/2006/relationships/hyperlink" Target="file:///C:\documenti\Urbasofia\licitatie%20interreg\implementare\Analysis%203rd%20delivery\20210219-Interreg-RO-HU-Territorial-Analysis.docx" TargetMode="External"/><Relationship Id="rId119" Type="http://schemas.openxmlformats.org/officeDocument/2006/relationships/image" Target="media/image40.jpg"/><Relationship Id="rId270" Type="http://schemas.openxmlformats.org/officeDocument/2006/relationships/chart" Target="charts/chart51.xml"/><Relationship Id="rId291" Type="http://schemas.openxmlformats.org/officeDocument/2006/relationships/footer" Target="footer16.xml"/><Relationship Id="rId305" Type="http://schemas.openxmlformats.org/officeDocument/2006/relationships/image" Target="media/image152.jpg"/><Relationship Id="rId326" Type="http://schemas.openxmlformats.org/officeDocument/2006/relationships/hyperlink" Target="https://www.espon.eu/etrf" TargetMode="External"/><Relationship Id="rId347" Type="http://schemas.openxmlformats.org/officeDocument/2006/relationships/hyperlink" Target="https://eea.maps.arcgis.com/apps/MapJournal/index.html?appid=e7e93bfd95ab44e28cae733b5a4ff54b%20&amp;embed=true" TargetMode="External"/><Relationship Id="rId44" Type="http://schemas.openxmlformats.org/officeDocument/2006/relationships/image" Target="media/image13.jpeg"/><Relationship Id="rId65" Type="http://schemas.openxmlformats.org/officeDocument/2006/relationships/image" Target="media/image24.png"/><Relationship Id="rId86" Type="http://schemas.openxmlformats.org/officeDocument/2006/relationships/image" Target="media/image310.png"/><Relationship Id="rId130" Type="http://schemas.openxmlformats.org/officeDocument/2006/relationships/image" Target="media/image46.png"/><Relationship Id="rId151" Type="http://schemas.openxmlformats.org/officeDocument/2006/relationships/image" Target="media/image57.png"/><Relationship Id="rId172" Type="http://schemas.openxmlformats.org/officeDocument/2006/relationships/hyperlink" Target="https://www.eea.europa.eu/data-and-maps/figures/european-map-estimating-the-level/european-map-estimating-the-level" TargetMode="External"/><Relationship Id="rId193" Type="http://schemas.openxmlformats.org/officeDocument/2006/relationships/hyperlink" Target="https://www.eea.europa.eu/publications/managing-municipal-solid-waste/romania-municipal-waste-management/view" TargetMode="External"/><Relationship Id="rId207" Type="http://schemas.openxmlformats.org/officeDocument/2006/relationships/image" Target="media/image94.jpeg"/><Relationship Id="rId228" Type="http://schemas.openxmlformats.org/officeDocument/2006/relationships/image" Target="media/image110.jpeg"/><Relationship Id="rId249" Type="http://schemas.openxmlformats.org/officeDocument/2006/relationships/chart" Target="charts/chart47.xml"/><Relationship Id="rId13" Type="http://schemas.openxmlformats.org/officeDocument/2006/relationships/hyperlink" Target="file:///C:\documenti\Urbasofia\licitatie%20interreg\implementare\Analysis%203rd%20delivery\20210219-Interreg-RO-HU-Territorial-Analysis.docx" TargetMode="External"/><Relationship Id="rId109" Type="http://schemas.openxmlformats.org/officeDocument/2006/relationships/chart" Target="charts/chart23.xml"/><Relationship Id="rId260" Type="http://schemas.openxmlformats.org/officeDocument/2006/relationships/footer" Target="footer13.xml"/><Relationship Id="rId281" Type="http://schemas.openxmlformats.org/officeDocument/2006/relationships/image" Target="media/image134.png"/><Relationship Id="rId316" Type="http://schemas.openxmlformats.org/officeDocument/2006/relationships/hyperlink" Target="https://www.europarl.europa.eu/RegData/etudes/etudes/join/2014/529066/IPOL-REGI_ET(2014)529066_EN.pdf" TargetMode="External"/><Relationship Id="rId337" Type="http://schemas.openxmlformats.org/officeDocument/2006/relationships/hyperlink" Target="https://www.ardld.ro/plugins/biblioteca/files/BIHOR%20-%20h203.pdf" TargetMode="External"/><Relationship Id="rId34" Type="http://schemas.openxmlformats.org/officeDocument/2006/relationships/image" Target="media/image7.png"/><Relationship Id="rId55" Type="http://schemas.openxmlformats.org/officeDocument/2006/relationships/chart" Target="charts/chart11.xml"/><Relationship Id="rId76" Type="http://schemas.openxmlformats.org/officeDocument/2006/relationships/image" Target="media/image32.png"/><Relationship Id="rId97" Type="http://schemas.openxmlformats.org/officeDocument/2006/relationships/footer" Target="footer6.xml"/><Relationship Id="rId120" Type="http://schemas.openxmlformats.org/officeDocument/2006/relationships/hyperlink" Target="https://ec.europa.eu/regional_policy/en/information/maps/regional_competitiveness/" TargetMode="External"/><Relationship Id="rId141" Type="http://schemas.openxmlformats.org/officeDocument/2006/relationships/image" Target="media/image52.jpeg"/><Relationship Id="rId358" Type="http://schemas.openxmlformats.org/officeDocument/2006/relationships/footer" Target="footer18.xml"/><Relationship Id="rId7" Type="http://schemas.openxmlformats.org/officeDocument/2006/relationships/endnotes" Target="endnotes.xml"/><Relationship Id="rId162" Type="http://schemas.openxmlformats.org/officeDocument/2006/relationships/image" Target="media/image64.jpeg"/><Relationship Id="rId183" Type="http://schemas.openxmlformats.org/officeDocument/2006/relationships/image" Target="media/image77.png"/><Relationship Id="rId218" Type="http://schemas.openxmlformats.org/officeDocument/2006/relationships/image" Target="media/image101.png"/><Relationship Id="rId239" Type="http://schemas.openxmlformats.org/officeDocument/2006/relationships/image" Target="media/image113.jpeg"/><Relationship Id="rId250" Type="http://schemas.openxmlformats.org/officeDocument/2006/relationships/image" Target="media/image117.emf"/><Relationship Id="rId271" Type="http://schemas.openxmlformats.org/officeDocument/2006/relationships/image" Target="media/image129.png"/><Relationship Id="rId292" Type="http://schemas.openxmlformats.org/officeDocument/2006/relationships/image" Target="media/image137.jpeg"/><Relationship Id="rId306" Type="http://schemas.openxmlformats.org/officeDocument/2006/relationships/image" Target="media/image153.png"/><Relationship Id="rId24" Type="http://schemas.openxmlformats.org/officeDocument/2006/relationships/hyperlink" Target="file:///C:\documenti\Urbasofia\licitatie%20interreg\implementare\Analysis%203rd%20delivery\20210219-Interreg-RO-HU-Territorial-Analysis.docx" TargetMode="External"/><Relationship Id="rId45" Type="http://schemas.openxmlformats.org/officeDocument/2006/relationships/image" Target="media/image14.jpg"/><Relationship Id="rId66" Type="http://schemas.openxmlformats.org/officeDocument/2006/relationships/image" Target="media/image25.png"/><Relationship Id="rId87" Type="http://schemas.openxmlformats.org/officeDocument/2006/relationships/image" Target="media/image320.png"/><Relationship Id="rId110" Type="http://schemas.openxmlformats.org/officeDocument/2006/relationships/chart" Target="charts/chart24.xml"/><Relationship Id="rId131" Type="http://schemas.openxmlformats.org/officeDocument/2006/relationships/image" Target="media/image42.png"/><Relationship Id="rId327" Type="http://schemas.openxmlformats.org/officeDocument/2006/relationships/hyperlink" Target="https://www.espon.eu/geographical-specifities" TargetMode="External"/><Relationship Id="rId348" Type="http://schemas.openxmlformats.org/officeDocument/2006/relationships/hyperlink" Target="https://www.eea.europa.eu/themes/air/air-quality-index/index" TargetMode="External"/><Relationship Id="rId152" Type="http://schemas.openxmlformats.org/officeDocument/2006/relationships/image" Target="media/image58.png"/><Relationship Id="rId173" Type="http://schemas.openxmlformats.org/officeDocument/2006/relationships/image" Target="media/image69.png"/><Relationship Id="rId194" Type="http://schemas.openxmlformats.org/officeDocument/2006/relationships/image" Target="media/image83.png"/><Relationship Id="rId208" Type="http://schemas.openxmlformats.org/officeDocument/2006/relationships/image" Target="media/image95.jpeg"/><Relationship Id="rId229" Type="http://schemas.openxmlformats.org/officeDocument/2006/relationships/header" Target="header13.xml"/><Relationship Id="rId240" Type="http://schemas.openxmlformats.org/officeDocument/2006/relationships/image" Target="media/image114.png"/><Relationship Id="rId261" Type="http://schemas.openxmlformats.org/officeDocument/2006/relationships/image" Target="media/image119.jpeg"/><Relationship Id="rId14" Type="http://schemas.openxmlformats.org/officeDocument/2006/relationships/hyperlink" Target="file:///C:\documenti\Urbasofia\licitatie%20interreg\implementare\Analysis%203rd%20delivery\20210219-Interreg-RO-HU-Territorial-Analysis.docx" TargetMode="External"/><Relationship Id="rId35" Type="http://schemas.openxmlformats.org/officeDocument/2006/relationships/image" Target="media/image8.png"/><Relationship Id="rId56" Type="http://schemas.openxmlformats.org/officeDocument/2006/relationships/image" Target="media/image17.jpeg"/><Relationship Id="rId77" Type="http://schemas.openxmlformats.org/officeDocument/2006/relationships/image" Target="media/image33.png"/><Relationship Id="rId100" Type="http://schemas.openxmlformats.org/officeDocument/2006/relationships/chart" Target="charts/chart20.xml"/><Relationship Id="rId282" Type="http://schemas.openxmlformats.org/officeDocument/2006/relationships/image" Target="media/image135.jpeg"/><Relationship Id="rId317" Type="http://schemas.openxmlformats.org/officeDocument/2006/relationships/hyperlink" Target="http://publications.jrc.ec.europa.eu/repository/handle/JRC94956" TargetMode="External"/><Relationship Id="rId338" Type="http://schemas.openxmlformats.org/officeDocument/2006/relationships/hyperlink" Target="https://www.ardld.ro/plugins/biblioteca/files/TIMIS%20Anunt%20si%20%20Strategie%20Jud%20Timis_1.pdf" TargetMode="External"/><Relationship Id="rId359" Type="http://schemas.openxmlformats.org/officeDocument/2006/relationships/fontTable" Target="fontTable.xml"/><Relationship Id="rId8" Type="http://schemas.openxmlformats.org/officeDocument/2006/relationships/header" Target="header1.xml"/><Relationship Id="rId98" Type="http://schemas.openxmlformats.org/officeDocument/2006/relationships/chart" Target="charts/chart18.xml"/><Relationship Id="rId121" Type="http://schemas.openxmlformats.org/officeDocument/2006/relationships/image" Target="media/image41.jpg"/><Relationship Id="rId142" Type="http://schemas.openxmlformats.org/officeDocument/2006/relationships/image" Target="media/image53.jpg"/><Relationship Id="rId163" Type="http://schemas.openxmlformats.org/officeDocument/2006/relationships/image" Target="media/image65.jpeg"/><Relationship Id="rId184" Type="http://schemas.openxmlformats.org/officeDocument/2006/relationships/image" Target="media/image78.png"/><Relationship Id="rId219" Type="http://schemas.openxmlformats.org/officeDocument/2006/relationships/image" Target="media/image102.png"/><Relationship Id="rId230" Type="http://schemas.openxmlformats.org/officeDocument/2006/relationships/footer" Target="footer11.xml"/><Relationship Id="rId251" Type="http://schemas.openxmlformats.org/officeDocument/2006/relationships/image" Target="media/image118.png"/><Relationship Id="rId25" Type="http://schemas.openxmlformats.org/officeDocument/2006/relationships/hyperlink" Target="file:///C:\documenti\Urbasofia\licitatie%20interreg\implementare\Analysis%203rd%20delivery\20210219-Interreg-RO-HU-Territorial-Analysis.docx" TargetMode="External"/><Relationship Id="rId46" Type="http://schemas.openxmlformats.org/officeDocument/2006/relationships/chart" Target="charts/chart4.xml"/><Relationship Id="rId67" Type="http://schemas.openxmlformats.org/officeDocument/2006/relationships/image" Target="media/image26.png"/><Relationship Id="rId272" Type="http://schemas.openxmlformats.org/officeDocument/2006/relationships/image" Target="media/image130.png"/><Relationship Id="rId293" Type="http://schemas.openxmlformats.org/officeDocument/2006/relationships/image" Target="media/image140.jpeg"/><Relationship Id="rId307" Type="http://schemas.openxmlformats.org/officeDocument/2006/relationships/image" Target="media/image154.png"/><Relationship Id="rId328" Type="http://schemas.openxmlformats.org/officeDocument/2006/relationships/hyperlink" Target="https://www.espon.eu/escape" TargetMode="External"/><Relationship Id="rId349" Type="http://schemas.openxmlformats.org/officeDocument/2006/relationships/hyperlink" Target="https://ec.europa.eu/transport/infrastructure/tentec/tentec-portal/map/maps.html" TargetMode="External"/><Relationship Id="rId20" Type="http://schemas.openxmlformats.org/officeDocument/2006/relationships/hyperlink" Target="file:///C:\documenti\Urbasofia\licitatie%20interreg\implementare\Analysis%203rd%20delivery\20210219-Interreg-RO-HU-Territorial-Analysis.docx" TargetMode="External"/><Relationship Id="rId41" Type="http://schemas.openxmlformats.org/officeDocument/2006/relationships/chart" Target="charts/chart2.xml"/><Relationship Id="rId62" Type="http://schemas.openxmlformats.org/officeDocument/2006/relationships/image" Target="media/image21.png"/><Relationship Id="rId88" Type="http://schemas.openxmlformats.org/officeDocument/2006/relationships/header" Target="header4.xml"/><Relationship Id="rId111" Type="http://schemas.openxmlformats.org/officeDocument/2006/relationships/chart" Target="charts/chart25.xml"/><Relationship Id="rId132" Type="http://schemas.openxmlformats.org/officeDocument/2006/relationships/image" Target="media/image47.png"/><Relationship Id="rId153" Type="http://schemas.openxmlformats.org/officeDocument/2006/relationships/hyperlink" Target="http://ebedszu.net/zsolt/szakdoli/tajbeosztas.html" TargetMode="External"/><Relationship Id="rId174" Type="http://schemas.openxmlformats.org/officeDocument/2006/relationships/image" Target="media/image70.png"/><Relationship Id="rId179" Type="http://schemas.openxmlformats.org/officeDocument/2006/relationships/image" Target="media/image75.png"/><Relationship Id="rId195" Type="http://schemas.openxmlformats.org/officeDocument/2006/relationships/image" Target="media/image84.png"/><Relationship Id="rId209" Type="http://schemas.openxmlformats.org/officeDocument/2006/relationships/image" Target="media/image96.png"/><Relationship Id="rId360" Type="http://schemas.openxmlformats.org/officeDocument/2006/relationships/glossaryDocument" Target="glossary/document.xml"/><Relationship Id="rId190" Type="http://schemas.openxmlformats.org/officeDocument/2006/relationships/image" Target="media/image80.png"/><Relationship Id="rId204" Type="http://schemas.openxmlformats.org/officeDocument/2006/relationships/image" Target="media/image91.jpg"/><Relationship Id="rId220" Type="http://schemas.openxmlformats.org/officeDocument/2006/relationships/image" Target="media/image103.png"/><Relationship Id="rId225" Type="http://schemas.openxmlformats.org/officeDocument/2006/relationships/image" Target="media/image108.png"/><Relationship Id="rId241" Type="http://schemas.openxmlformats.org/officeDocument/2006/relationships/header" Target="header14.xml"/><Relationship Id="rId246" Type="http://schemas.openxmlformats.org/officeDocument/2006/relationships/chart" Target="charts/chart44.xml"/><Relationship Id="rId267" Type="http://schemas.openxmlformats.org/officeDocument/2006/relationships/hyperlink" Target="https://ec.europa.eu/" TargetMode="External"/><Relationship Id="rId288" Type="http://schemas.openxmlformats.org/officeDocument/2006/relationships/footer" Target="footer15.xml"/><Relationship Id="rId15" Type="http://schemas.openxmlformats.org/officeDocument/2006/relationships/hyperlink" Target="file:///C:\documenti\Urbasofia\licitatie%20interreg\implementare\Analysis%203rd%20delivery\20210219-Interreg-RO-HU-Territorial-Analysis.docx" TargetMode="External"/><Relationship Id="rId36" Type="http://schemas.openxmlformats.org/officeDocument/2006/relationships/image" Target="media/image9.png"/><Relationship Id="rId57" Type="http://schemas.openxmlformats.org/officeDocument/2006/relationships/image" Target="media/image18.jpg"/><Relationship Id="rId106" Type="http://schemas.openxmlformats.org/officeDocument/2006/relationships/image" Target="media/image36.jpeg"/><Relationship Id="rId127" Type="http://schemas.openxmlformats.org/officeDocument/2006/relationships/chart" Target="charts/chart31.xml"/><Relationship Id="rId262" Type="http://schemas.openxmlformats.org/officeDocument/2006/relationships/image" Target="media/image120.png"/><Relationship Id="rId283" Type="http://schemas.openxmlformats.org/officeDocument/2006/relationships/image" Target="media/image142.jpeg"/><Relationship Id="rId313" Type="http://schemas.openxmlformats.org/officeDocument/2006/relationships/hyperlink" Target="https://www.researchgate.net/publication/265145281_The_Evolution_of_the_Socio-economical_Profile_and_Cross-border_Cooperation_in_Bihor-Hajdu_Bihar_Euroregion" TargetMode="External"/><Relationship Id="rId318" Type="http://schemas.openxmlformats.org/officeDocument/2006/relationships/hyperlink" Target="https://www.unenvironment.org/news-and-stories/speech/carpathian-convention-push-implementation" TargetMode="External"/><Relationship Id="rId339" Type="http://schemas.openxmlformats.org/officeDocument/2006/relationships/hyperlink" Target="https://www.google.com/url?sa=t&amp;rct=j&amp;q=&amp;esrc=s&amp;source=web&amp;cd=&amp;ved=2ahUKEwjEuqimgfXsAhWKXsAKHQatBkoQFjADegQIBhAC&amp;url=https%3A%2F%2Fwww.cjsm.ro%2Fdownload%2FStrategia-judetului-SM-pana-in-2020-.pdf&amp;usg=AOvVaw0eKRFo-VNuNeMyiHoKw4ZY" TargetMode="External"/><Relationship Id="rId10" Type="http://schemas.openxmlformats.org/officeDocument/2006/relationships/footer" Target="footer1.xml"/><Relationship Id="rId31" Type="http://schemas.openxmlformats.org/officeDocument/2006/relationships/image" Target="media/image4.emf"/><Relationship Id="rId52" Type="http://schemas.openxmlformats.org/officeDocument/2006/relationships/chart" Target="charts/chart8.xml"/><Relationship Id="rId73" Type="http://schemas.openxmlformats.org/officeDocument/2006/relationships/chart" Target="charts/chart16.xml"/><Relationship Id="rId94" Type="http://schemas.openxmlformats.org/officeDocument/2006/relationships/footer" Target="footer5.xml"/><Relationship Id="rId99" Type="http://schemas.openxmlformats.org/officeDocument/2006/relationships/chart" Target="charts/chart19.xml"/><Relationship Id="rId101" Type="http://schemas.openxmlformats.org/officeDocument/2006/relationships/image" Target="media/image34.png"/><Relationship Id="rId122" Type="http://schemas.openxmlformats.org/officeDocument/2006/relationships/hyperlink" Target="https://ec.europa.eu/regional_policy/en/information/maps/regional_competitiveness/" TargetMode="External"/><Relationship Id="rId143" Type="http://schemas.openxmlformats.org/officeDocument/2006/relationships/image" Target="media/image54.jpeg"/><Relationship Id="rId148" Type="http://schemas.openxmlformats.org/officeDocument/2006/relationships/footer" Target="footer8.xml"/><Relationship Id="rId164" Type="http://schemas.openxmlformats.org/officeDocument/2006/relationships/image" Target="media/image66.jpeg"/><Relationship Id="rId169" Type="http://schemas.openxmlformats.org/officeDocument/2006/relationships/image" Target="media/image67.jpeg"/><Relationship Id="rId185" Type="http://schemas.openxmlformats.org/officeDocument/2006/relationships/chart" Target="charts/chart39.xml"/><Relationship Id="rId334" Type="http://schemas.openxmlformats.org/officeDocument/2006/relationships/hyperlink" Target="https://adrvest.ro/wp-content/uploads/2020/07/Analiza-socio-economica-si-SWOT-Planul-de-Dezvoltare-Regionala-PDR-Vest-2021-2027.pdf" TargetMode="External"/><Relationship Id="rId350" Type="http://schemas.openxmlformats.org/officeDocument/2006/relationships/hyperlink" Target="https://www.eswd.eu/" TargetMode="External"/><Relationship Id="rId355" Type="http://schemas.openxmlformats.org/officeDocument/2006/relationships/hyperlink" Target="https://anker-report.com/"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www.eea.europa.eu/themes/industry/industrial-pollution/industrial-pollution-country-profiles-2020/" TargetMode="External"/><Relationship Id="rId210" Type="http://schemas.openxmlformats.org/officeDocument/2006/relationships/image" Target="media/image97.jpg"/><Relationship Id="rId215" Type="http://schemas.openxmlformats.org/officeDocument/2006/relationships/image" Target="media/image99.jpeg"/><Relationship Id="rId236" Type="http://schemas.openxmlformats.org/officeDocument/2006/relationships/chart" Target="charts/chart42.xml"/><Relationship Id="rId257" Type="http://schemas.openxmlformats.org/officeDocument/2006/relationships/hyperlink" Target="https://hu.wikipedia.org/wiki/Gyula_(telep%C3%BCl%C3%A9s)" TargetMode="External"/><Relationship Id="rId278" Type="http://schemas.openxmlformats.org/officeDocument/2006/relationships/image" Target="media/image138.jpeg"/><Relationship Id="rId26" Type="http://schemas.openxmlformats.org/officeDocument/2006/relationships/hyperlink" Target="file:///C:\documenti\Urbasofia\licitatie%20interreg\implementare\Analysis%203rd%20delivery\20210219-Interreg-RO-HU-Territorial-Analysis.docx" TargetMode="External"/><Relationship Id="rId231" Type="http://schemas.openxmlformats.org/officeDocument/2006/relationships/image" Target="media/image111.png"/><Relationship Id="rId252" Type="http://schemas.openxmlformats.org/officeDocument/2006/relationships/chart" Target="charts/chart48.xml"/><Relationship Id="rId273" Type="http://schemas.openxmlformats.org/officeDocument/2006/relationships/hyperlink" Target="http://www.balkan-noborder.com/" TargetMode="External"/><Relationship Id="rId294" Type="http://schemas.openxmlformats.org/officeDocument/2006/relationships/image" Target="media/image141.jpeg"/><Relationship Id="rId308" Type="http://schemas.openxmlformats.org/officeDocument/2006/relationships/image" Target="media/image155.png"/><Relationship Id="rId329" Type="http://schemas.openxmlformats.org/officeDocument/2006/relationships/hyperlink" Target="https://doi.org/10.2800/822355" TargetMode="External"/><Relationship Id="rId47" Type="http://schemas.openxmlformats.org/officeDocument/2006/relationships/image" Target="media/image15.jpeg"/><Relationship Id="rId68" Type="http://schemas.openxmlformats.org/officeDocument/2006/relationships/image" Target="media/image27.png"/><Relationship Id="rId89" Type="http://schemas.openxmlformats.org/officeDocument/2006/relationships/header" Target="header5.xml"/><Relationship Id="rId112" Type="http://schemas.openxmlformats.org/officeDocument/2006/relationships/chart" Target="charts/chart26.xml"/><Relationship Id="rId133" Type="http://schemas.openxmlformats.org/officeDocument/2006/relationships/chart" Target="charts/chart33.xml"/><Relationship Id="rId154" Type="http://schemas.openxmlformats.org/officeDocument/2006/relationships/image" Target="media/image59.jpg"/><Relationship Id="rId175" Type="http://schemas.openxmlformats.org/officeDocument/2006/relationships/image" Target="media/image71.png"/><Relationship Id="rId340" Type="http://schemas.openxmlformats.org/officeDocument/2006/relationships/hyperlink" Target="https://urban.jrc.ec.europa.eu/strat-board/" TargetMode="External"/><Relationship Id="rId361" Type="http://schemas.openxmlformats.org/officeDocument/2006/relationships/theme" Target="theme/theme1.xml"/><Relationship Id="rId196" Type="http://schemas.openxmlformats.org/officeDocument/2006/relationships/image" Target="media/image85.png"/><Relationship Id="rId200" Type="http://schemas.openxmlformats.org/officeDocument/2006/relationships/hyperlink" Target="https://ec.europa.eu/environment/eir/pdf/report_hu_en.pdf" TargetMode="External"/><Relationship Id="rId16" Type="http://schemas.openxmlformats.org/officeDocument/2006/relationships/hyperlink" Target="file:///C:\documenti\Urbasofia\licitatie%20interreg\implementare\Analysis%203rd%20delivery\20210219-Interreg-RO-HU-Territorial-Analysis.docx" TargetMode="External"/><Relationship Id="rId221" Type="http://schemas.openxmlformats.org/officeDocument/2006/relationships/image" Target="media/image104.png"/><Relationship Id="rId242" Type="http://schemas.openxmlformats.org/officeDocument/2006/relationships/footer" Target="footer12.xml"/><Relationship Id="rId263" Type="http://schemas.openxmlformats.org/officeDocument/2006/relationships/image" Target="media/image121.png"/><Relationship Id="rId284" Type="http://schemas.openxmlformats.org/officeDocument/2006/relationships/image" Target="media/image143.jpeg"/><Relationship Id="rId319" Type="http://schemas.openxmlformats.org/officeDocument/2006/relationships/hyperlink" Target="http://eur-lex.europa.eu/legal-content/en/TXT/?uri=CELEX:52017DC0376" TargetMode="External"/><Relationship Id="rId37" Type="http://schemas.openxmlformats.org/officeDocument/2006/relationships/image" Target="media/image10.png"/><Relationship Id="rId58" Type="http://schemas.openxmlformats.org/officeDocument/2006/relationships/chart" Target="charts/chart12.xml"/><Relationship Id="rId102" Type="http://schemas.openxmlformats.org/officeDocument/2006/relationships/image" Target="media/image35.png"/><Relationship Id="rId123" Type="http://schemas.openxmlformats.org/officeDocument/2006/relationships/chart" Target="charts/chart29.xml"/><Relationship Id="rId144" Type="http://schemas.openxmlformats.org/officeDocument/2006/relationships/image" Target="media/image55.jpg"/><Relationship Id="rId330" Type="http://schemas.openxmlformats.org/officeDocument/2006/relationships/hyperlink" Target="https://frontex.europa.eu/publications/frontex-releases-risk-analysis-for-2020-vp0TZ7" TargetMode="External"/><Relationship Id="rId90" Type="http://schemas.openxmlformats.org/officeDocument/2006/relationships/footer" Target="footer3.xml"/><Relationship Id="rId165" Type="http://schemas.openxmlformats.org/officeDocument/2006/relationships/image" Target="media/image69.jpeg"/><Relationship Id="rId186" Type="http://schemas.openxmlformats.org/officeDocument/2006/relationships/chart" Target="charts/chart40.xml"/><Relationship Id="rId351" Type="http://schemas.openxmlformats.org/officeDocument/2006/relationships/hyperlink" Target="https://www.mlpda.ro/uploads/articole/attachments/5db936a209d4f762288270.pdf" TargetMode="External"/><Relationship Id="rId211" Type="http://schemas.openxmlformats.org/officeDocument/2006/relationships/hyperlink" Target="https://ec.europa.eu/environment/nature/natura2000/index_en.htm" TargetMode="External"/><Relationship Id="rId232" Type="http://schemas.openxmlformats.org/officeDocument/2006/relationships/hyperlink" Target="https://ec.europa.eu/transport/infrastructure/tentec/tentec-portal/map/maps.html?corridor=4&amp;layer=8,9" TargetMode="External"/><Relationship Id="rId253" Type="http://schemas.openxmlformats.org/officeDocument/2006/relationships/chart" Target="charts/chart49.xml"/><Relationship Id="rId274" Type="http://schemas.openxmlformats.org/officeDocument/2006/relationships/hyperlink" Target="http://www.balkan-noborder.com/" TargetMode="External"/><Relationship Id="rId295" Type="http://schemas.openxmlformats.org/officeDocument/2006/relationships/image" Target="media/image142.jpg"/><Relationship Id="rId309" Type="http://schemas.openxmlformats.org/officeDocument/2006/relationships/image" Target="media/image156.emf"/><Relationship Id="rId27" Type="http://schemas.openxmlformats.org/officeDocument/2006/relationships/hyperlink" Target="file:///C:\documenti\Urbasofia\licitatie%20interreg\implementare\Analysis%203rd%20delivery\20210219-Interreg-RO-HU-Territorial-Analysis.docx" TargetMode="External"/><Relationship Id="rId48" Type="http://schemas.openxmlformats.org/officeDocument/2006/relationships/chart" Target="charts/chart5.xml"/><Relationship Id="rId69" Type="http://schemas.openxmlformats.org/officeDocument/2006/relationships/image" Target="media/image28.jpeg"/><Relationship Id="rId113" Type="http://schemas.openxmlformats.org/officeDocument/2006/relationships/chart" Target="charts/chart27.xml"/><Relationship Id="rId134" Type="http://schemas.openxmlformats.org/officeDocument/2006/relationships/image" Target="media/image48.png"/><Relationship Id="rId320" Type="http://schemas.openxmlformats.org/officeDocument/2006/relationships/hyperlink" Target="https://ec.europa.eu/environment/eir/pdf/report_ro_en.pdf" TargetMode="External"/><Relationship Id="rId155" Type="http://schemas.openxmlformats.org/officeDocument/2006/relationships/image" Target="media/image60.jpg"/><Relationship Id="rId176" Type="http://schemas.openxmlformats.org/officeDocument/2006/relationships/image" Target="media/image72.jpg"/><Relationship Id="rId197" Type="http://schemas.openxmlformats.org/officeDocument/2006/relationships/image" Target="media/image86.png"/><Relationship Id="rId341" Type="http://schemas.openxmlformats.org/officeDocument/2006/relationships/hyperlink" Target="https://interactivetool.eu/" TargetMode="External"/><Relationship Id="rId201" Type="http://schemas.openxmlformats.org/officeDocument/2006/relationships/image" Target="media/image88.png"/><Relationship Id="rId222" Type="http://schemas.openxmlformats.org/officeDocument/2006/relationships/image" Target="media/image105.png"/><Relationship Id="rId243" Type="http://schemas.openxmlformats.org/officeDocument/2006/relationships/image" Target="media/image115.png"/><Relationship Id="rId264" Type="http://schemas.openxmlformats.org/officeDocument/2006/relationships/image" Target="media/image122.png"/><Relationship Id="rId285" Type="http://schemas.openxmlformats.org/officeDocument/2006/relationships/header" Target="header16.xml"/><Relationship Id="rId17" Type="http://schemas.openxmlformats.org/officeDocument/2006/relationships/hyperlink" Target="file:///C:\documenti\Urbasofia\licitatie%20interreg\implementare\Analysis%203rd%20delivery\20210219-Interreg-RO-HU-Territorial-Analysis.docx" TargetMode="External"/><Relationship Id="rId38" Type="http://schemas.microsoft.com/office/2007/relationships/hdphoto" Target="media/hdphoto1.wdp"/><Relationship Id="rId59" Type="http://schemas.openxmlformats.org/officeDocument/2006/relationships/chart" Target="charts/chart13.xml"/><Relationship Id="rId103" Type="http://schemas.openxmlformats.org/officeDocument/2006/relationships/chart" Target="charts/chart21.xml"/><Relationship Id="rId124" Type="http://schemas.openxmlformats.org/officeDocument/2006/relationships/chart" Target="charts/chart30.xml"/><Relationship Id="rId310" Type="http://schemas.openxmlformats.org/officeDocument/2006/relationships/image" Target="media/image157.png"/><Relationship Id="rId70" Type="http://schemas.openxmlformats.org/officeDocument/2006/relationships/image" Target="media/image29.jpg"/><Relationship Id="rId91" Type="http://schemas.openxmlformats.org/officeDocument/2006/relationships/header" Target="header6.xml"/><Relationship Id="rId145" Type="http://schemas.openxmlformats.org/officeDocument/2006/relationships/chart" Target="charts/chart37.xml"/><Relationship Id="rId166" Type="http://schemas.openxmlformats.org/officeDocument/2006/relationships/image" Target="media/image70.jpeg"/><Relationship Id="rId187" Type="http://schemas.openxmlformats.org/officeDocument/2006/relationships/hyperlink" Target="https://urban.jrc.ec.europa.eu/" TargetMode="External"/><Relationship Id="rId331" Type="http://schemas.openxmlformats.org/officeDocument/2006/relationships/hyperlink" Target="https://ec.europa.eu/energy/sites/ener/files/documents/ro_final_necp_main_en.pdf" TargetMode="External"/><Relationship Id="rId352" Type="http://schemas.openxmlformats.org/officeDocument/2006/relationships/hyperlink" Target="https://www.airportaar.ro/en/" TargetMode="External"/><Relationship Id="rId1" Type="http://schemas.openxmlformats.org/officeDocument/2006/relationships/customXml" Target="../customXml/item1.xml"/><Relationship Id="rId212" Type="http://schemas.openxmlformats.org/officeDocument/2006/relationships/hyperlink" Target="https://biodiversitate.mmediu.ro/rio/natura2000/stats?type=spa&amp;compute=protected_area" TargetMode="External"/><Relationship Id="rId233" Type="http://schemas.openxmlformats.org/officeDocument/2006/relationships/image" Target="media/image112.png"/><Relationship Id="rId254" Type="http://schemas.openxmlformats.org/officeDocument/2006/relationships/chart" Target="charts/chart50.xml"/><Relationship Id="rId28" Type="http://schemas.openxmlformats.org/officeDocument/2006/relationships/hyperlink" Target="file:///C:\documenti\Urbasofia\licitatie%20interreg\implementare\Analysis%203rd%20delivery\20210219-Interreg-RO-HU-Territorial-Analysis.docx" TargetMode="External"/><Relationship Id="rId49" Type="http://schemas.openxmlformats.org/officeDocument/2006/relationships/chart" Target="charts/chart6.xml"/><Relationship Id="rId114" Type="http://schemas.openxmlformats.org/officeDocument/2006/relationships/image" Target="media/image38.png"/><Relationship Id="rId275" Type="http://schemas.openxmlformats.org/officeDocument/2006/relationships/image" Target="media/image131.jpeg"/><Relationship Id="rId296" Type="http://schemas.openxmlformats.org/officeDocument/2006/relationships/image" Target="media/image143.jpg"/><Relationship Id="rId300" Type="http://schemas.openxmlformats.org/officeDocument/2006/relationships/image" Target="media/image147.jpeg"/><Relationship Id="rId60" Type="http://schemas.openxmlformats.org/officeDocument/2006/relationships/image" Target="media/image19.jpeg"/><Relationship Id="rId135" Type="http://schemas.openxmlformats.org/officeDocument/2006/relationships/image" Target="media/image49.jpeg"/><Relationship Id="rId156" Type="http://schemas.openxmlformats.org/officeDocument/2006/relationships/image" Target="media/image61.jpeg"/><Relationship Id="rId177" Type="http://schemas.openxmlformats.org/officeDocument/2006/relationships/image" Target="media/image73.png"/><Relationship Id="rId198" Type="http://schemas.openxmlformats.org/officeDocument/2006/relationships/image" Target="media/image87.png"/><Relationship Id="rId321" Type="http://schemas.openxmlformats.org/officeDocument/2006/relationships/hyperlink" Target="https://ec.europa.eu/environment/eir/pdf/report_hu_en.pdf" TargetMode="External"/><Relationship Id="rId342" Type="http://schemas.openxmlformats.org/officeDocument/2006/relationships/hyperlink" Target="https://ec.europa.eu/regional_policy/en/information/maps/quality_of_governance" TargetMode="External"/><Relationship Id="rId202" Type="http://schemas.openxmlformats.org/officeDocument/2006/relationships/image" Target="media/image89.jpg"/><Relationship Id="rId223" Type="http://schemas.openxmlformats.org/officeDocument/2006/relationships/image" Target="media/image106.png"/><Relationship Id="rId244" Type="http://schemas.openxmlformats.org/officeDocument/2006/relationships/image" Target="media/image116.png"/><Relationship Id="rId18" Type="http://schemas.openxmlformats.org/officeDocument/2006/relationships/hyperlink" Target="file:///C:\documenti\Urbasofia\licitatie%20interreg\implementare\Analysis%203rd%20delivery\20210219-Interreg-RO-HU-Territorial-Analysis.docx" TargetMode="External"/><Relationship Id="rId39" Type="http://schemas.openxmlformats.org/officeDocument/2006/relationships/chart" Target="charts/chart1.xml"/><Relationship Id="rId265" Type="http://schemas.openxmlformats.org/officeDocument/2006/relationships/image" Target="media/image125.png"/><Relationship Id="rId286" Type="http://schemas.openxmlformats.org/officeDocument/2006/relationships/footer" Target="footer14.xml"/><Relationship Id="rId50" Type="http://schemas.openxmlformats.org/officeDocument/2006/relationships/chart" Target="charts/chart7.xml"/><Relationship Id="rId104" Type="http://schemas.openxmlformats.org/officeDocument/2006/relationships/image" Target="media/image34.jpeg"/><Relationship Id="rId125" Type="http://schemas.openxmlformats.org/officeDocument/2006/relationships/image" Target="media/image43.png"/><Relationship Id="rId146" Type="http://schemas.openxmlformats.org/officeDocument/2006/relationships/image" Target="media/image56.jpeg"/><Relationship Id="rId167" Type="http://schemas.openxmlformats.org/officeDocument/2006/relationships/image" Target="media/image71.jpeg"/><Relationship Id="rId188" Type="http://schemas.openxmlformats.org/officeDocument/2006/relationships/hyperlink" Target="https://urban.jrc.ec.europa.eu/" TargetMode="External"/><Relationship Id="rId311" Type="http://schemas.openxmlformats.org/officeDocument/2006/relationships/footer" Target="footer17.xml"/><Relationship Id="rId332" Type="http://schemas.openxmlformats.org/officeDocument/2006/relationships/hyperlink" Target="https://ec.europa.eu/energy/sites/ener/files/documents/hu_final_necp_main_en.pdf" TargetMode="External"/><Relationship Id="rId353" Type="http://schemas.openxmlformats.org/officeDocument/2006/relationships/hyperlink" Target="http://www.airportszeged.hu/" TargetMode="External"/><Relationship Id="rId71" Type="http://schemas.openxmlformats.org/officeDocument/2006/relationships/chart" Target="charts/chart14.xml"/><Relationship Id="rId92" Type="http://schemas.openxmlformats.org/officeDocument/2006/relationships/footer" Target="footer4.xml"/><Relationship Id="rId213" Type="http://schemas.openxmlformats.org/officeDocument/2006/relationships/image" Target="media/image98.jpg"/><Relationship Id="rId234" Type="http://schemas.openxmlformats.org/officeDocument/2006/relationships/hyperlink" Target="https://ec.europa.eu/transport/infrastructure/tentec/tentec-portal/map/maps.html?corridor=4&amp;layer=8,9" TargetMode="External"/><Relationship Id="rId2" Type="http://schemas.openxmlformats.org/officeDocument/2006/relationships/numbering" Target="numbering.xml"/><Relationship Id="rId29" Type="http://schemas.openxmlformats.org/officeDocument/2006/relationships/hyperlink" Target="file:///C:\documenti\Urbasofia\licitatie%20interreg\implementare\Analysis%203rd%20delivery\20210219-Interreg-RO-HU-Territorial-Analysis.docx" TargetMode="External"/><Relationship Id="rId255" Type="http://schemas.openxmlformats.org/officeDocument/2006/relationships/image" Target="media/image123.png"/><Relationship Id="rId276" Type="http://schemas.openxmlformats.org/officeDocument/2006/relationships/image" Target="media/image132.jpeg"/><Relationship Id="rId297" Type="http://schemas.openxmlformats.org/officeDocument/2006/relationships/image" Target="media/image144.jpg"/><Relationship Id="rId40" Type="http://schemas.openxmlformats.org/officeDocument/2006/relationships/image" Target="media/image11.jpeg"/><Relationship Id="rId115" Type="http://schemas.openxmlformats.org/officeDocument/2006/relationships/image" Target="media/image39.png"/><Relationship Id="rId136" Type="http://schemas.openxmlformats.org/officeDocument/2006/relationships/chart" Target="charts/chart34.xml"/><Relationship Id="rId157" Type="http://schemas.openxmlformats.org/officeDocument/2006/relationships/header" Target="header12.xml"/><Relationship Id="rId178" Type="http://schemas.openxmlformats.org/officeDocument/2006/relationships/image" Target="media/image74.png"/><Relationship Id="rId301" Type="http://schemas.openxmlformats.org/officeDocument/2006/relationships/image" Target="media/image148.jpeg"/><Relationship Id="rId322" Type="http://schemas.openxmlformats.org/officeDocument/2006/relationships/hyperlink" Target="https://www.espon.eu/programme/projects/espon-2013/applied-research/geospecs-geographic-specificities-and-development" TargetMode="External"/><Relationship Id="rId343" Type="http://schemas.openxmlformats.org/officeDocument/2006/relationships/hyperlink" Target="https://land.copernicus.eu/pan-european" TargetMode="External"/><Relationship Id="rId61" Type="http://schemas.openxmlformats.org/officeDocument/2006/relationships/image" Target="media/image20.png"/><Relationship Id="rId199" Type="http://schemas.openxmlformats.org/officeDocument/2006/relationships/hyperlink" Target="https://ec.europa.eu/environment/eir/pdf/report_ro_en.pdf" TargetMode="External"/><Relationship Id="rId203" Type="http://schemas.openxmlformats.org/officeDocument/2006/relationships/image" Target="media/image90.jpeg"/><Relationship Id="rId19" Type="http://schemas.openxmlformats.org/officeDocument/2006/relationships/hyperlink" Target="file:///C:\documenti\Urbasofia\licitatie%20interreg\implementare\Analysis%203rd%20delivery\20210219-Interreg-RO-HU-Territorial-Analysis.docx" TargetMode="External"/><Relationship Id="rId224" Type="http://schemas.openxmlformats.org/officeDocument/2006/relationships/image" Target="media/image107.png"/><Relationship Id="rId245" Type="http://schemas.openxmlformats.org/officeDocument/2006/relationships/chart" Target="charts/chart43.xml"/><Relationship Id="rId266" Type="http://schemas.openxmlformats.org/officeDocument/2006/relationships/image" Target="media/image126.png"/><Relationship Id="rId287" Type="http://schemas.openxmlformats.org/officeDocument/2006/relationships/header" Target="header17.xml"/><Relationship Id="rId30" Type="http://schemas.openxmlformats.org/officeDocument/2006/relationships/hyperlink" Target="file:///C:\documenti\Urbasofia\licitatie%20interreg\implementare\Analysis%203rd%20delivery\20210219-Interreg-RO-HU-Territorial-Analysis.docx" TargetMode="External"/><Relationship Id="rId105" Type="http://schemas.openxmlformats.org/officeDocument/2006/relationships/image" Target="media/image35.jpeg"/><Relationship Id="rId126" Type="http://schemas.openxmlformats.org/officeDocument/2006/relationships/image" Target="media/image44.png"/><Relationship Id="rId147" Type="http://schemas.openxmlformats.org/officeDocument/2006/relationships/header" Target="header10.xml"/><Relationship Id="rId168" Type="http://schemas.openxmlformats.org/officeDocument/2006/relationships/chart" Target="charts/chart38.xml"/><Relationship Id="rId312" Type="http://schemas.openxmlformats.org/officeDocument/2006/relationships/hyperlink" Target="https://www.researchgate.net/publication/273773721_Enhancing_Cross-Border_Cooperation_through_Local_Actors'_Involvement_The_Case_of_Tourism_Cooperation_in_Bihor_Romania_-_Hajdu-Bihar_Hungary_Euroregion" TargetMode="External"/><Relationship Id="rId333" Type="http://schemas.openxmlformats.org/officeDocument/2006/relationships/hyperlink" Target="https://www.unece.org/fileadmin/DAM/env/water/publications/WAT_51_report_on_the_Implementation/ece_mp.wat_51_web.pdf" TargetMode="External"/><Relationship Id="rId354" Type="http://schemas.openxmlformats.org/officeDocument/2006/relationships/hyperlink" Target="https://bileteinternationale.cfrcalatori.ro/ro/booking/search" TargetMode="External"/><Relationship Id="rId51" Type="http://schemas.openxmlformats.org/officeDocument/2006/relationships/image" Target="media/image16.jpeg"/><Relationship Id="rId72" Type="http://schemas.openxmlformats.org/officeDocument/2006/relationships/chart" Target="charts/chart15.xml"/><Relationship Id="rId93" Type="http://schemas.openxmlformats.org/officeDocument/2006/relationships/header" Target="header7.xml"/><Relationship Id="rId189" Type="http://schemas.openxmlformats.org/officeDocument/2006/relationships/image" Target="media/image79.png"/><Relationship Id="rId3" Type="http://schemas.openxmlformats.org/officeDocument/2006/relationships/styles" Target="styles.xml"/><Relationship Id="rId214" Type="http://schemas.openxmlformats.org/officeDocument/2006/relationships/hyperlink" Target="https://www.eea.europa.eu/data-and-maps/explore-interactive-maps/european-protected-areas-1" TargetMode="External"/><Relationship Id="rId235" Type="http://schemas.openxmlformats.org/officeDocument/2006/relationships/chart" Target="charts/chart41.xml"/><Relationship Id="rId256" Type="http://schemas.openxmlformats.org/officeDocument/2006/relationships/image" Target="media/image124.png"/><Relationship Id="rId277" Type="http://schemas.openxmlformats.org/officeDocument/2006/relationships/image" Target="media/image133.jpeg"/><Relationship Id="rId298" Type="http://schemas.openxmlformats.org/officeDocument/2006/relationships/image" Target="media/image145.jpg"/><Relationship Id="rId116" Type="http://schemas.openxmlformats.org/officeDocument/2006/relationships/chart" Target="charts/chart28.xml"/><Relationship Id="rId137" Type="http://schemas.openxmlformats.org/officeDocument/2006/relationships/image" Target="media/image50.jpg"/><Relationship Id="rId158" Type="http://schemas.openxmlformats.org/officeDocument/2006/relationships/footer" Target="footer10.xml"/><Relationship Id="rId302" Type="http://schemas.openxmlformats.org/officeDocument/2006/relationships/image" Target="media/image149.jpg"/><Relationship Id="rId323" Type="http://schemas.openxmlformats.org/officeDocument/2006/relationships/hyperlink" Target="https://www.espon.eu/tracc" TargetMode="External"/><Relationship Id="rId344" Type="http://schemas.openxmlformats.org/officeDocument/2006/relationships/hyperlink" Target="https://www.eea.europa.eu/data-and-maps/explore-interactive-maps/water-framework-directive-quality-element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eurofound.europa.eu/data/covid-19" TargetMode="External"/><Relationship Id="rId13" Type="http://schemas.openxmlformats.org/officeDocument/2006/relationships/hyperlink" Target="https://nyiregyhaza.info.hu/en/latnivalok/sostogyogyfurdo/" TargetMode="External"/><Relationship Id="rId3" Type="http://schemas.openxmlformats.org/officeDocument/2006/relationships/hyperlink" Target="https://ec.europa.eu/info/sites/info/files/2020-european-semester-csr-comm-recommendation-hungary_en.pdf" TargetMode="External"/><Relationship Id="rId7" Type="http://schemas.openxmlformats.org/officeDocument/2006/relationships/hyperlink" Target="https://ec.europa.eu/eurostat/statistics-explained/index.php?title=Impact_of_COVID-19_on_main_GDP_aggregates_including_employment" TargetMode="External"/><Relationship Id="rId12" Type="http://schemas.openxmlformats.org/officeDocument/2006/relationships/hyperlink" Target="https://www.eea.europa.eu/data-and-maps/indicators/invasive-alien-species-in-europe/invasive-alien-species-in-europe" TargetMode="External"/><Relationship Id="rId2" Type="http://schemas.openxmlformats.org/officeDocument/2006/relationships/hyperlink" Target="https://ec.europa.eu/regional_policy/sources/docoffic/2014/boosting_growth/com_boosting_borders.pdf" TargetMode="External"/><Relationship Id="rId1" Type="http://schemas.openxmlformats.org/officeDocument/2006/relationships/hyperlink" Target="https://ec.europa.eu/commission/sites/beta-political/files/budget-may2018-common-provisions_en.pdf" TargetMode="External"/><Relationship Id="rId6" Type="http://schemas.openxmlformats.org/officeDocument/2006/relationships/hyperlink" Target="https://www.ecb.europa.eu/pub/economic-bulletin/articles/2020/html/ecb.ebart202007_01~ef0a77a516.en.html" TargetMode="External"/><Relationship Id="rId11" Type="http://schemas.openxmlformats.org/officeDocument/2006/relationships/hyperlink" Target="https://www.doingbusiness.org/content/dam/doingBusiness/media/Special-Reports/DB17-EU-Report-ENG.PDF" TargetMode="External"/><Relationship Id="rId5" Type="http://schemas.openxmlformats.org/officeDocument/2006/relationships/hyperlink" Target="https://interreg-rohu.eu/wp-content/uploads/2019/10/BOP_CE_May_2019.pdf" TargetMode="External"/><Relationship Id="rId10" Type="http://schemas.openxmlformats.org/officeDocument/2006/relationships/hyperlink" Target="https://composite-indicators.jrc.ec.europa.eu/cultural-creative-cities-monitor/" TargetMode="External"/><Relationship Id="rId4" Type="http://schemas.openxmlformats.org/officeDocument/2006/relationships/hyperlink" Target="https://ec.europa.eu/info/sites/info/files/2020-european-semester-csr-comm-recommendation-romania_en.pdf" TargetMode="External"/><Relationship Id="rId9" Type="http://schemas.openxmlformats.org/officeDocument/2006/relationships/hyperlink" Target="https://ec.europa.eu/health/sites/health/files/expert_panel/docs/026_health_socialcare_covid19_en.pdf" TargetMode="External"/></Relationships>
</file>

<file path=word/_rels/header1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1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_rels/header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file:///E:\urba%201%20sept\URBASOFIA\INTEREG\_lucru%20codrut\lucru%20retea%20de%20loc.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claudia.petrescu\Desktop\ADUSE\demo_r_pjanind3.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claudia.petrescu\Desktop\ADUSE\demo_r_gind3%20(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C:\Users\sabin\AppData\Local\Microsoft\Windows\INetCache\Content.Outlook\D42LQRUC\Health%20infrastructure%20statistic%20PA%20RO%20HU.xlsx" TargetMode="External"/><Relationship Id="rId2" Type="http://schemas.microsoft.com/office/2011/relationships/chartColorStyle" Target="colors2.xml"/><Relationship Id="rId1" Type="http://schemas.microsoft.com/office/2011/relationships/chartStyle" Target="style2.xml"/></Relationships>
</file>

<file path=word/charts/_rels/chart18.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3.xml"/><Relationship Id="rId1" Type="http://schemas.microsoft.com/office/2011/relationships/chartStyle" Target="style3.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sabin\AppData\Local\Microsoft\Windows\INetCache\Content.Outlook\D42LQRUC\Health%20infrastructure%20statistic%20PA%20RO%20HU.xlsx" TargetMode="External"/><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oleObject" Target="file:///E:\urba%201%20sept\URBASOFIA\INTEREG\29%2008%20SABINA_excel%20cap%205\Interreg%20RO-HU%20Territorial%20analysis%20template%20+%20notes%20and%20data%20C5.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sabin\AppData\Local\Microsoft\Windows\INetCache\Content.Outlook\D42LQRUC\Health%20infrastructure%20statistic%20PA%20RO%20HU.xlsx" TargetMode="External"/><Relationship Id="rId2" Type="http://schemas.microsoft.com/office/2011/relationships/chartColorStyle" Target="colors5.xml"/><Relationship Id="rId1" Type="http://schemas.microsoft.com/office/2011/relationships/chartStyle" Target="style5.xml"/></Relationships>
</file>

<file path=word/charts/_rels/chart21.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6.xml"/><Relationship Id="rId1" Type="http://schemas.microsoft.com/office/2011/relationships/chartStyle" Target="style6.xml"/></Relationships>
</file>

<file path=word/charts/_rels/chart22.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7.xml"/><Relationship Id="rId1" Type="http://schemas.microsoft.com/office/2011/relationships/chartStyle" Target="style7.xml"/></Relationships>
</file>

<file path=word/charts/_rels/chart23.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8.xml"/><Relationship Id="rId1" Type="http://schemas.microsoft.com/office/2011/relationships/chartStyle" Target="style8.xml"/></Relationships>
</file>

<file path=word/charts/_rels/chart24.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9.xml"/><Relationship Id="rId1" Type="http://schemas.microsoft.com/office/2011/relationships/chartStyle" Target="style9.xml"/></Relationships>
</file>

<file path=word/charts/_rels/chart25.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10.xml"/><Relationship Id="rId1" Type="http://schemas.microsoft.com/office/2011/relationships/chartStyle" Target="style10.xml"/></Relationships>
</file>

<file path=word/charts/_rels/chart26.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11.xml"/><Relationship Id="rId1" Type="http://schemas.microsoft.com/office/2011/relationships/chartStyle" Target="style11.xml"/></Relationships>
</file>

<file path=word/charts/_rels/chart27.xml.rels><?xml version="1.0" encoding="UTF-8" standalone="yes"?>
<Relationships xmlns="http://schemas.openxmlformats.org/package/2006/relationships"><Relationship Id="rId3" Type="http://schemas.openxmlformats.org/officeDocument/2006/relationships/oleObject" Target="file:///C:\Claudia%20Documents\Urbasofia\RO-HU%20Interreg\Analiza%20date.xlsx" TargetMode="External"/><Relationship Id="rId2" Type="http://schemas.microsoft.com/office/2011/relationships/chartColorStyle" Target="colors12.xml"/><Relationship Id="rId1" Type="http://schemas.microsoft.com/office/2011/relationships/chartStyle" Target="style12.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sabin\AppData\Local\Microsoft\Windows\INetCache\Content.Outlook\D42LQRUC\statistici%20si%20calcule%2028082020.xlsx" TargetMode="External"/><Relationship Id="rId2" Type="http://schemas.microsoft.com/office/2011/relationships/chartColorStyle" Target="colors13.xml"/><Relationship Id="rId1" Type="http://schemas.microsoft.com/office/2011/relationships/chartStyle" Target="style13.xml"/></Relationships>
</file>

<file path=word/charts/_rels/chart29.xml.rels><?xml version="1.0" encoding="UTF-8" standalone="yes"?>
<Relationships xmlns="http://schemas.openxmlformats.org/package/2006/relationships"><Relationship Id="rId1" Type="http://schemas.openxmlformats.org/officeDocument/2006/relationships/oleObject" Target="file:///C:\Users\sabin\AppData\Local\Microsoft\Windows\INetCache\Content.Outlook\C5Y7ZD9J\statistici%20si%20calcule%2028082020.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urba%201%20sept\URBASOFIA\INTEREG\_lucru%20codrut\lucru%20retea%20de%20loc.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sabin\AppData\Local\Microsoft\Windows\INetCache\Content.Outlook\C5Y7ZD9J\statistici%20si%20calcule%2028082020.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sabin\AppData\Local\Microsoft\Windows\INetCache\Content.Outlook\C5Y7ZD9J\statistici%20si%20calcule%2028082020.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sabin\AppData\Local\Microsoft\Windows\INetCache\Content.Outlook\C5Y7ZD9J\statistici%20si%20calcule%2028082020.xlsx"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file:///C:\Users\sabin\Downloads\NAMA_10R_3EMPERS1602973891309.xlsx" TargetMode="External"/><Relationship Id="rId2" Type="http://schemas.microsoft.com/office/2011/relationships/chartColorStyle" Target="colors14.xml"/><Relationship Id="rId1" Type="http://schemas.microsoft.com/office/2011/relationships/chartStyle" Target="style14.xml"/></Relationships>
</file>

<file path=word/charts/_rels/chart34.xml.rels><?xml version="1.0" encoding="UTF-8" standalone="yes"?>
<Relationships xmlns="http://schemas.openxmlformats.org/package/2006/relationships"><Relationship Id="rId3" Type="http://schemas.openxmlformats.org/officeDocument/2006/relationships/oleObject" Target="file:///E:\urba%209sept\URBASOFIA\INTEREG\28%2008_marius%20stefanica_draft%20economie\statistici%20si%20calcule%2028082020.xlsx" TargetMode="External"/><Relationship Id="rId2" Type="http://schemas.microsoft.com/office/2011/relationships/chartColorStyle" Target="colors15.xml"/><Relationship Id="rId1" Type="http://schemas.microsoft.com/office/2011/relationships/chartStyle" Target="style15.xml"/></Relationships>
</file>

<file path=word/charts/_rels/chart35.xml.rels><?xml version="1.0" encoding="UTF-8" standalone="yes"?>
<Relationships xmlns="http://schemas.openxmlformats.org/package/2006/relationships"><Relationship Id="rId3" Type="http://schemas.openxmlformats.org/officeDocument/2006/relationships/oleObject" Target="file:///E:\urba%209sept\URBASOFIA\INTEREG\28%2008_marius%20stefanica_draft%20economie\statistici%20si%20calcule%2028082020.xlsx" TargetMode="External"/><Relationship Id="rId2" Type="http://schemas.microsoft.com/office/2011/relationships/chartColorStyle" Target="colors16.xml"/><Relationship Id="rId1" Type="http://schemas.microsoft.com/office/2011/relationships/chartStyle" Target="style16.xml"/></Relationships>
</file>

<file path=word/charts/_rels/chart36.xml.rels><?xml version="1.0" encoding="UTF-8" standalone="yes"?>
<Relationships xmlns="http://schemas.openxmlformats.org/package/2006/relationships"><Relationship Id="rId3" Type="http://schemas.openxmlformats.org/officeDocument/2006/relationships/oleObject" Target="file:///E:\urba%209sept\URBASOFIA\INTEREG\28%2008_marius%20stefanica_draft%20economie\statistici%20si%20calcule%2028082020.xlsx" TargetMode="External"/><Relationship Id="rId2" Type="http://schemas.microsoft.com/office/2011/relationships/chartColorStyle" Target="colors17.xml"/><Relationship Id="rId1" Type="http://schemas.microsoft.com/office/2011/relationships/chartStyle" Target="style17.xml"/></Relationships>
</file>

<file path=word/charts/_rels/chart37.xml.rels><?xml version="1.0" encoding="UTF-8" standalone="yes"?>
<Relationships xmlns="http://schemas.openxmlformats.org/package/2006/relationships"><Relationship Id="rId3" Type="http://schemas.openxmlformats.org/officeDocument/2006/relationships/oleObject" Target="file:///E:\urba%209sept\URBASOFIA\INTEREG\28%2008_marius%20stefanica_draft%20economie\statistici%20si%20calcule%2028082020.xlsx" TargetMode="External"/><Relationship Id="rId2" Type="http://schemas.microsoft.com/office/2011/relationships/chartColorStyle" Target="colors18.xml"/><Relationship Id="rId1" Type="http://schemas.microsoft.com/office/2011/relationships/chartStyle" Target="style18.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sabin\Downloads\effis-nf-2019.csv" TargetMode="External"/><Relationship Id="rId2" Type="http://schemas.microsoft.com/office/2011/relationships/chartColorStyle" Target="colors19.xml"/><Relationship Id="rId1" Type="http://schemas.microsoft.com/office/2011/relationships/chartStyle" Target="style19.xml"/></Relationships>
</file>

<file path=word/charts/_rels/chart3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0.xml"/><Relationship Id="rId1" Type="http://schemas.microsoft.com/office/2011/relationships/chartStyle" Target="style20.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URBASOFIA\INTEREG\_lucru%20codrut\lucru%20retea%20de%20loc(AutoRecovered).xlsx"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1.xml"/><Relationship Id="rId1" Type="http://schemas.microsoft.com/office/2011/relationships/chartStyle" Target="style21.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sabin\Desktop\No.%20accidents.xlsx" TargetMode="External"/><Relationship Id="rId2" Type="http://schemas.microsoft.com/office/2011/relationships/chartColorStyle" Target="colors22.xml"/><Relationship Id="rId1" Type="http://schemas.microsoft.com/office/2011/relationships/chartStyle" Target="style22.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sabin\Desktop\No.%20accidents.xlsx" TargetMode="External"/><Relationship Id="rId2" Type="http://schemas.microsoft.com/office/2011/relationships/chartColorStyle" Target="colors23.xml"/><Relationship Id="rId1" Type="http://schemas.microsoft.com/office/2011/relationships/chartStyle" Target="style23.xml"/></Relationships>
</file>

<file path=word/charts/_rels/chart4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4.xml"/><Relationship Id="rId1" Type="http://schemas.microsoft.com/office/2011/relationships/chartStyle" Target="style24.xml"/></Relationships>
</file>

<file path=word/charts/_rels/chart4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5.xml"/><Relationship Id="rId1" Type="http://schemas.microsoft.com/office/2011/relationships/chartStyle" Target="style25.xml"/></Relationships>
</file>

<file path=word/charts/_rels/chart4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6.xml"/><Relationship Id="rId1" Type="http://schemas.microsoft.com/office/2011/relationships/chartStyle" Target="style26.xml"/></Relationships>
</file>

<file path=word/charts/_rels/chart4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7.xml"/><Relationship Id="rId1" Type="http://schemas.microsoft.com/office/2011/relationships/chartStyle" Target="style27.xml"/></Relationships>
</file>

<file path=word/charts/_rels/chart47.xml.rels><?xml version="1.0" encoding="UTF-8" standalone="yes"?>
<Relationships xmlns="http://schemas.openxmlformats.org/package/2006/relationships"><Relationship Id="rId3" Type="http://schemas.openxmlformats.org/officeDocument/2006/relationships/oleObject" Target="file:///\\Users\oanaelenamoraru\Downloads\Interreg%20RO-HU%20Territorial%20analysis%20template.xlsx" TargetMode="External"/><Relationship Id="rId2" Type="http://schemas.microsoft.com/office/2011/relationships/chartColorStyle" Target="colors28.xml"/><Relationship Id="rId1" Type="http://schemas.microsoft.com/office/2011/relationships/chartStyle" Target="style28.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sabin\Downloads\ISOC_R_IUSE_I__custom_1705561604681819536.xlsx" TargetMode="External"/><Relationship Id="rId2" Type="http://schemas.microsoft.com/office/2011/relationships/chartColorStyle" Target="colors29.xml"/><Relationship Id="rId1" Type="http://schemas.microsoft.com/office/2011/relationships/chartStyle" Target="style29.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sabin\Downloads\ISOC_R_IUSE_I__custom_1705561604681819536.xlsx" TargetMode="External"/><Relationship Id="rId2" Type="http://schemas.microsoft.com/office/2011/relationships/chartColorStyle" Target="colors30.xml"/><Relationship Id="rId1" Type="http://schemas.microsoft.com/office/2011/relationships/chartStyle" Target="style30.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abin\AppData\Local\Microsoft\Windows\INetCache\Content.Outlook\D42LQRUC\Health%20infrastructure%20statistic%20PA%20RO%20HU.xlsx" TargetMode="External"/><Relationship Id="rId2" Type="http://schemas.microsoft.com/office/2011/relationships/chartColorStyle" Target="colors1.xml"/><Relationship Id="rId1" Type="http://schemas.microsoft.com/office/2011/relationships/chartStyle" Target="style1.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sabin\Downloads\ISOC_R_IUSE_I__custom_1705561604681819536.xlsx" TargetMode="External"/><Relationship Id="rId2" Type="http://schemas.microsoft.com/office/2011/relationships/chartColorStyle" Target="colors31.xml"/><Relationship Id="rId1" Type="http://schemas.microsoft.com/office/2011/relationships/chartStyle" Target="style31.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sabin\Downloads\isoc_bde15ei.xls" TargetMode="External"/><Relationship Id="rId2" Type="http://schemas.microsoft.com/office/2011/relationships/chartColorStyle" Target="colors32.xml"/><Relationship Id="rId1" Type="http://schemas.microsoft.com/office/2011/relationships/chartStyle" Target="style32.xml"/></Relationships>
</file>

<file path=word/charts/_rels/chart6.xml.rels><?xml version="1.0" encoding="UTF-8" standalone="yes"?>
<Relationships xmlns="http://schemas.openxmlformats.org/package/2006/relationships"><Relationship Id="rId1" Type="http://schemas.openxmlformats.org/officeDocument/2006/relationships/oleObject" Target="file:///E:\urba%201%20sept\URBASOFIA\INTEREG\_lucru%20codrut\lucru%20retea%20de%20loc.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urba%201%20sept\URBASOFIA\INTEREG\_lucru%20codrut\lucru%20retea%20de%20loc.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Claudia%20Documents\Urbasofia\RO-HU%20Interreg\Analiza%20dat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Administrative surface 2019, in km</a:t>
            </a:r>
            <a:r>
              <a:rPr lang="en-US" sz="1200" baseline="30000"/>
              <a:t>2</a:t>
            </a:r>
          </a:p>
        </c:rich>
      </c:tx>
      <c:layout>
        <c:manualLayout>
          <c:xMode val="edge"/>
          <c:yMode val="edge"/>
          <c:x val="0.2889706203077374"/>
          <c:y val="2.5974025974025976E-2"/>
        </c:manualLayout>
      </c:layout>
      <c:overlay val="0"/>
    </c:title>
    <c:autoTitleDeleted val="0"/>
    <c:plotArea>
      <c:layout/>
      <c:barChart>
        <c:barDir val="col"/>
        <c:grouping val="clustered"/>
        <c:varyColors val="0"/>
        <c:ser>
          <c:idx val="0"/>
          <c:order val="0"/>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3BA0-404E-AED3-11F70E89F623}"/>
              </c:ext>
            </c:extLst>
          </c:dPt>
          <c:dPt>
            <c:idx val="1"/>
            <c:invertIfNegative val="0"/>
            <c:bubble3D val="0"/>
            <c:spPr>
              <a:solidFill>
                <a:srgbClr val="0070C0"/>
              </a:solidFill>
            </c:spPr>
            <c:extLst xmlns:c16r2="http://schemas.microsoft.com/office/drawing/2015/06/chart">
              <c:ext xmlns:c16="http://schemas.microsoft.com/office/drawing/2014/chart" uri="{C3380CC4-5D6E-409C-BE32-E72D297353CC}">
                <c16:uniqueId val="{00000003-3BA0-404E-AED3-11F70E89F623}"/>
              </c:ext>
            </c:extLst>
          </c:dPt>
          <c:dPt>
            <c:idx val="2"/>
            <c:invertIfNegative val="0"/>
            <c:bubble3D val="0"/>
            <c:spPr>
              <a:solidFill>
                <a:srgbClr val="0070C0"/>
              </a:solidFill>
            </c:spPr>
            <c:extLst xmlns:c16r2="http://schemas.microsoft.com/office/drawing/2015/06/chart">
              <c:ext xmlns:c16="http://schemas.microsoft.com/office/drawing/2014/chart" uri="{C3380CC4-5D6E-409C-BE32-E72D297353CC}">
                <c16:uniqueId val="{00000005-3BA0-404E-AED3-11F70E89F623}"/>
              </c:ext>
            </c:extLst>
          </c:dPt>
          <c:dPt>
            <c:idx val="3"/>
            <c:invertIfNegative val="0"/>
            <c:bubble3D val="0"/>
            <c:spPr>
              <a:solidFill>
                <a:srgbClr val="C00000"/>
              </a:solidFill>
            </c:spPr>
            <c:extLst xmlns:c16r2="http://schemas.microsoft.com/office/drawing/2015/06/chart">
              <c:ext xmlns:c16="http://schemas.microsoft.com/office/drawing/2014/chart" uri="{C3380CC4-5D6E-409C-BE32-E72D297353CC}">
                <c16:uniqueId val="{00000007-3BA0-404E-AED3-11F70E89F623}"/>
              </c:ext>
            </c:extLst>
          </c:dPt>
          <c:dPt>
            <c:idx val="4"/>
            <c:invertIfNegative val="0"/>
            <c:bubble3D val="0"/>
            <c:spPr>
              <a:solidFill>
                <a:srgbClr val="C00000"/>
              </a:solidFill>
            </c:spPr>
            <c:extLst xmlns:c16r2="http://schemas.microsoft.com/office/drawing/2015/06/chart">
              <c:ext xmlns:c16="http://schemas.microsoft.com/office/drawing/2014/chart" uri="{C3380CC4-5D6E-409C-BE32-E72D297353CC}">
                <c16:uniqueId val="{00000009-3BA0-404E-AED3-11F70E89F623}"/>
              </c:ext>
            </c:extLst>
          </c:dPt>
          <c:dPt>
            <c:idx val="5"/>
            <c:invertIfNegative val="0"/>
            <c:bubble3D val="0"/>
            <c:spPr>
              <a:solidFill>
                <a:srgbClr val="C00000"/>
              </a:solidFill>
            </c:spPr>
            <c:extLst xmlns:c16r2="http://schemas.microsoft.com/office/drawing/2015/06/chart">
              <c:ext xmlns:c16="http://schemas.microsoft.com/office/drawing/2014/chart" uri="{C3380CC4-5D6E-409C-BE32-E72D297353CC}">
                <c16:uniqueId val="{0000000B-3BA0-404E-AED3-11F70E89F623}"/>
              </c:ext>
            </c:extLst>
          </c:dPt>
          <c:dPt>
            <c:idx val="7"/>
            <c:invertIfNegative val="0"/>
            <c:bubble3D val="0"/>
            <c:spPr>
              <a:solidFill>
                <a:srgbClr val="C00000"/>
              </a:solidFill>
            </c:spPr>
            <c:extLst xmlns:c16r2="http://schemas.microsoft.com/office/drawing/2015/06/chart">
              <c:ext xmlns:c16="http://schemas.microsoft.com/office/drawing/2014/chart" uri="{C3380CC4-5D6E-409C-BE32-E72D297353CC}">
                <c16:uniqueId val="{0000000D-3BA0-404E-AED3-11F70E89F623}"/>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Sheet2!$E$68:$E$75</c:f>
              <c:strCache>
                <c:ptCount val="8"/>
                <c:pt idx="0">
                  <c:v>Timis</c:v>
                </c:pt>
                <c:pt idx="1">
                  <c:v>Arad</c:v>
                </c:pt>
                <c:pt idx="2">
                  <c:v>Bihor</c:v>
                </c:pt>
                <c:pt idx="3">
                  <c:v>Hajdú-Bihar</c:v>
                </c:pt>
                <c:pt idx="4">
                  <c:v>Szabolcs-Szatmár-Bereg</c:v>
                </c:pt>
                <c:pt idx="5">
                  <c:v>Békés</c:v>
                </c:pt>
                <c:pt idx="6">
                  <c:v>Satu Mare</c:v>
                </c:pt>
                <c:pt idx="7">
                  <c:v>Csongrád</c:v>
                </c:pt>
              </c:strCache>
            </c:strRef>
          </c:cat>
          <c:val>
            <c:numRef>
              <c:f>Sheet2!$F$68:$F$75</c:f>
              <c:numCache>
                <c:formatCode>General</c:formatCode>
                <c:ptCount val="8"/>
                <c:pt idx="0">
                  <c:v>8691.5</c:v>
                </c:pt>
                <c:pt idx="1">
                  <c:v>7745.81</c:v>
                </c:pt>
                <c:pt idx="2">
                  <c:v>7539.3</c:v>
                </c:pt>
                <c:pt idx="3">
                  <c:v>6210.39</c:v>
                </c:pt>
                <c:pt idx="4">
                  <c:v>5935.92</c:v>
                </c:pt>
                <c:pt idx="5">
                  <c:v>5629.71</c:v>
                </c:pt>
                <c:pt idx="6">
                  <c:v>4419.8900000000003</c:v>
                </c:pt>
                <c:pt idx="7">
                  <c:v>4262.79</c:v>
                </c:pt>
              </c:numCache>
            </c:numRef>
          </c:val>
          <c:extLst xmlns:c16r2="http://schemas.microsoft.com/office/drawing/2015/06/chart">
            <c:ext xmlns:c16="http://schemas.microsoft.com/office/drawing/2014/chart" uri="{C3380CC4-5D6E-409C-BE32-E72D297353CC}">
              <c16:uniqueId val="{0000000E-3BA0-404E-AED3-11F70E89F623}"/>
            </c:ext>
          </c:extLst>
        </c:ser>
        <c:dLbls>
          <c:showLegendKey val="0"/>
          <c:showVal val="1"/>
          <c:showCatName val="0"/>
          <c:showSerName val="0"/>
          <c:showPercent val="0"/>
          <c:showBubbleSize val="0"/>
        </c:dLbls>
        <c:gapWidth val="150"/>
        <c:overlap val="-25"/>
        <c:axId val="320248072"/>
        <c:axId val="331181736"/>
      </c:barChart>
      <c:catAx>
        <c:axId val="320248072"/>
        <c:scaling>
          <c:orientation val="minMax"/>
        </c:scaling>
        <c:delete val="0"/>
        <c:axPos val="b"/>
        <c:numFmt formatCode="General" sourceLinked="0"/>
        <c:majorTickMark val="none"/>
        <c:minorTickMark val="none"/>
        <c:tickLblPos val="nextTo"/>
        <c:txPr>
          <a:bodyPr/>
          <a:lstStyle/>
          <a:p>
            <a:pPr>
              <a:defRPr sz="700" b="0"/>
            </a:pPr>
            <a:endParaRPr lang="ro-RO"/>
          </a:p>
        </c:txPr>
        <c:crossAx val="331181736"/>
        <c:crosses val="autoZero"/>
        <c:auto val="1"/>
        <c:lblAlgn val="ctr"/>
        <c:lblOffset val="100"/>
        <c:noMultiLvlLbl val="0"/>
      </c:catAx>
      <c:valAx>
        <c:axId val="331181736"/>
        <c:scaling>
          <c:orientation val="minMax"/>
        </c:scaling>
        <c:delete val="1"/>
        <c:axPos val="l"/>
        <c:numFmt formatCode="General" sourceLinked="1"/>
        <c:majorTickMark val="out"/>
        <c:minorTickMark val="none"/>
        <c:tickLblPos val="nextTo"/>
        <c:crossAx val="320248072"/>
        <c:crosses val="autoZero"/>
        <c:crossBetween val="between"/>
      </c:valAx>
    </c:plotArea>
    <c:plotVisOnly val="1"/>
    <c:dispBlanksAs val="gap"/>
    <c:showDLblsOverMax val="0"/>
  </c:chart>
  <c:spPr>
    <a:ln w="38100">
      <a:solidFill>
        <a:schemeClr val="bg2"/>
      </a:solidFill>
    </a:ln>
  </c:spPr>
  <c:txPr>
    <a:bodyPr/>
    <a:lstStyle/>
    <a:p>
      <a:pPr>
        <a:defRPr>
          <a:latin typeface="Calibri" panose="020F0502020204030204" pitchFamily="34" charset="0"/>
          <a:cs typeface="Calibri" panose="020F0502020204030204" pitchFamily="34" charset="0"/>
        </a:defRPr>
      </a:pPr>
      <a:endParaRPr lang="ro-R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528433945756778E-2"/>
          <c:y val="5.8488727016875845E-2"/>
          <c:w val="0.92326914581221897"/>
          <c:h val="0.65314350160894807"/>
        </c:manualLayout>
      </c:layout>
      <c:barChart>
        <c:barDir val="col"/>
        <c:grouping val="clustered"/>
        <c:varyColors val="0"/>
        <c:ser>
          <c:idx val="0"/>
          <c:order val="0"/>
          <c:tx>
            <c:strRef>
              <c:f>Sheet2!$B$133</c:f>
              <c:strCache>
                <c:ptCount val="1"/>
                <c:pt idx="0">
                  <c:v>Total population change rate 2009-2018</c:v>
                </c:pt>
              </c:strCache>
            </c:strRef>
          </c:tx>
          <c:spPr>
            <a:solidFill>
              <a:schemeClr val="accent1"/>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Sheet2!$A$134:$A$143</c:f>
              <c:strCache>
                <c:ptCount val="10"/>
                <c:pt idx="0">
                  <c:v>Hungary</c:v>
                </c:pt>
                <c:pt idx="1">
                  <c:v>Hajdú-Bihar</c:v>
                </c:pt>
                <c:pt idx="2">
                  <c:v>Szabolcs-Szatmár-Bereg</c:v>
                </c:pt>
                <c:pt idx="3">
                  <c:v>Békés</c:v>
                </c:pt>
                <c:pt idx="4">
                  <c:v>Csongrád</c:v>
                </c:pt>
                <c:pt idx="5">
                  <c:v>Romania</c:v>
                </c:pt>
                <c:pt idx="6">
                  <c:v>Bihor</c:v>
                </c:pt>
                <c:pt idx="7">
                  <c:v>Satu Mare</c:v>
                </c:pt>
                <c:pt idx="8">
                  <c:v>Arad</c:v>
                </c:pt>
                <c:pt idx="9">
                  <c:v>Timis</c:v>
                </c:pt>
              </c:strCache>
            </c:strRef>
          </c:cat>
          <c:val>
            <c:numRef>
              <c:f>Sheet2!$B$134:$B$143</c:f>
              <c:numCache>
                <c:formatCode>General</c:formatCode>
                <c:ptCount val="10"/>
                <c:pt idx="0">
                  <c:v>1.1000000000000001</c:v>
                </c:pt>
                <c:pt idx="1">
                  <c:v>-3</c:v>
                </c:pt>
                <c:pt idx="2">
                  <c:v>-1</c:v>
                </c:pt>
                <c:pt idx="3">
                  <c:v>1.7000000000000011</c:v>
                </c:pt>
                <c:pt idx="4">
                  <c:v>-1.7000000000000002</c:v>
                </c:pt>
                <c:pt idx="5">
                  <c:v>1.0999999999999996</c:v>
                </c:pt>
                <c:pt idx="6">
                  <c:v>-3.6999999999999997</c:v>
                </c:pt>
                <c:pt idx="7">
                  <c:v>-3.8</c:v>
                </c:pt>
                <c:pt idx="8">
                  <c:v>-0.59999999999999964</c:v>
                </c:pt>
                <c:pt idx="9">
                  <c:v>1.4999999999999996</c:v>
                </c:pt>
              </c:numCache>
            </c:numRef>
          </c:val>
          <c:extLst xmlns:c16r2="http://schemas.microsoft.com/office/drawing/2015/06/chart">
            <c:ext xmlns:c16="http://schemas.microsoft.com/office/drawing/2014/chart" uri="{C3380CC4-5D6E-409C-BE32-E72D297353CC}">
              <c16:uniqueId val="{00000000-D420-46E4-ACDF-48C3E2C3568D}"/>
            </c:ext>
          </c:extLst>
        </c:ser>
        <c:ser>
          <c:idx val="1"/>
          <c:order val="1"/>
          <c:tx>
            <c:strRef>
              <c:f>Sheet2!$C$133</c:f>
              <c:strCache>
                <c:ptCount val="1"/>
                <c:pt idx="0">
                  <c:v>Net migration rate 2009-2018</c:v>
                </c:pt>
              </c:strCache>
            </c:strRef>
          </c:tx>
          <c:spPr>
            <a:solidFill>
              <a:schemeClr val="accent2"/>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Sheet2!$A$134:$A$143</c:f>
              <c:strCache>
                <c:ptCount val="10"/>
                <c:pt idx="0">
                  <c:v>Hungary</c:v>
                </c:pt>
                <c:pt idx="1">
                  <c:v>Hajdú-Bihar</c:v>
                </c:pt>
                <c:pt idx="2">
                  <c:v>Szabolcs-Szatmár-Bereg</c:v>
                </c:pt>
                <c:pt idx="3">
                  <c:v>Békés</c:v>
                </c:pt>
                <c:pt idx="4">
                  <c:v>Csongrád</c:v>
                </c:pt>
                <c:pt idx="5">
                  <c:v>Romania</c:v>
                </c:pt>
                <c:pt idx="6">
                  <c:v>Bihor</c:v>
                </c:pt>
                <c:pt idx="7">
                  <c:v>Satu Mare</c:v>
                </c:pt>
                <c:pt idx="8">
                  <c:v>Arad</c:v>
                </c:pt>
                <c:pt idx="9">
                  <c:v>Timis</c:v>
                </c:pt>
              </c:strCache>
            </c:strRef>
          </c:cat>
          <c:val>
            <c:numRef>
              <c:f>Sheet2!$C$134:$C$143</c:f>
              <c:numCache>
                <c:formatCode>General</c:formatCode>
                <c:ptCount val="10"/>
                <c:pt idx="0">
                  <c:v>1.5999999999999999</c:v>
                </c:pt>
                <c:pt idx="1">
                  <c:v>-2.9</c:v>
                </c:pt>
                <c:pt idx="2">
                  <c:v>-0.60000000000000053</c:v>
                </c:pt>
                <c:pt idx="3">
                  <c:v>2.1000000000000005</c:v>
                </c:pt>
                <c:pt idx="4">
                  <c:v>-1</c:v>
                </c:pt>
                <c:pt idx="5">
                  <c:v>2.6000000000000005</c:v>
                </c:pt>
                <c:pt idx="6">
                  <c:v>-2.9</c:v>
                </c:pt>
                <c:pt idx="7">
                  <c:v>-3.2</c:v>
                </c:pt>
                <c:pt idx="8">
                  <c:v>-0.6</c:v>
                </c:pt>
                <c:pt idx="9">
                  <c:v>0.5</c:v>
                </c:pt>
              </c:numCache>
            </c:numRef>
          </c:val>
          <c:extLst xmlns:c16r2="http://schemas.microsoft.com/office/drawing/2015/06/chart">
            <c:ext xmlns:c16="http://schemas.microsoft.com/office/drawing/2014/chart" uri="{C3380CC4-5D6E-409C-BE32-E72D297353CC}">
              <c16:uniqueId val="{00000001-D420-46E4-ACDF-48C3E2C3568D}"/>
            </c:ext>
          </c:extLst>
        </c:ser>
        <c:ser>
          <c:idx val="2"/>
          <c:order val="2"/>
          <c:tx>
            <c:strRef>
              <c:f>Sheet2!$D$133</c:f>
              <c:strCache>
                <c:ptCount val="1"/>
                <c:pt idx="0">
                  <c:v>Natural population change rate 2009-2018</c:v>
                </c:pt>
              </c:strCache>
            </c:strRef>
          </c:tx>
          <c:spPr>
            <a:solidFill>
              <a:schemeClr val="accent3"/>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Sheet2!$A$134:$A$143</c:f>
              <c:strCache>
                <c:ptCount val="10"/>
                <c:pt idx="0">
                  <c:v>Hungary</c:v>
                </c:pt>
                <c:pt idx="1">
                  <c:v>Hajdú-Bihar</c:v>
                </c:pt>
                <c:pt idx="2">
                  <c:v>Szabolcs-Szatmár-Bereg</c:v>
                </c:pt>
                <c:pt idx="3">
                  <c:v>Békés</c:v>
                </c:pt>
                <c:pt idx="4">
                  <c:v>Csongrád</c:v>
                </c:pt>
                <c:pt idx="5">
                  <c:v>Romania</c:v>
                </c:pt>
                <c:pt idx="6">
                  <c:v>Bihor</c:v>
                </c:pt>
                <c:pt idx="7">
                  <c:v>Satu Mare</c:v>
                </c:pt>
                <c:pt idx="8">
                  <c:v>Arad</c:v>
                </c:pt>
                <c:pt idx="9">
                  <c:v>Timis</c:v>
                </c:pt>
              </c:strCache>
            </c:strRef>
          </c:cat>
          <c:val>
            <c:numRef>
              <c:f>Sheet2!$D$134:$D$143</c:f>
              <c:numCache>
                <c:formatCode>General</c:formatCode>
                <c:ptCount val="10"/>
                <c:pt idx="0">
                  <c:v>-0.5</c:v>
                </c:pt>
                <c:pt idx="1">
                  <c:v>-0.10000000000000009</c:v>
                </c:pt>
                <c:pt idx="2">
                  <c:v>-0.39999999999999991</c:v>
                </c:pt>
                <c:pt idx="3">
                  <c:v>-0.40000000000000036</c:v>
                </c:pt>
                <c:pt idx="4">
                  <c:v>-0.70000000000000018</c:v>
                </c:pt>
                <c:pt idx="5">
                  <c:v>-1.4000000000000001</c:v>
                </c:pt>
                <c:pt idx="6">
                  <c:v>-0.8</c:v>
                </c:pt>
                <c:pt idx="7">
                  <c:v>-0.60000000000000009</c:v>
                </c:pt>
                <c:pt idx="8">
                  <c:v>-0.10000000000000009</c:v>
                </c:pt>
                <c:pt idx="9">
                  <c:v>1.1000000000000001</c:v>
                </c:pt>
              </c:numCache>
            </c:numRef>
          </c:val>
          <c:extLst xmlns:c16r2="http://schemas.microsoft.com/office/drawing/2015/06/chart">
            <c:ext xmlns:c16="http://schemas.microsoft.com/office/drawing/2014/chart" uri="{C3380CC4-5D6E-409C-BE32-E72D297353CC}">
              <c16:uniqueId val="{00000002-D420-46E4-ACDF-48C3E2C3568D}"/>
            </c:ext>
          </c:extLst>
        </c:ser>
        <c:dLbls>
          <c:showLegendKey val="0"/>
          <c:showVal val="0"/>
          <c:showCatName val="0"/>
          <c:showSerName val="0"/>
          <c:showPercent val="0"/>
          <c:showBubbleSize val="0"/>
        </c:dLbls>
        <c:gapWidth val="219"/>
        <c:overlap val="-27"/>
        <c:axId val="707095664"/>
        <c:axId val="707092920"/>
      </c:barChart>
      <c:catAx>
        <c:axId val="7070956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o-RO"/>
          </a:p>
        </c:txPr>
        <c:crossAx val="707092920"/>
        <c:crosses val="autoZero"/>
        <c:auto val="1"/>
        <c:lblAlgn val="ctr"/>
        <c:lblOffset val="100"/>
        <c:noMultiLvlLbl val="0"/>
      </c:catAx>
      <c:valAx>
        <c:axId val="707092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o-RO"/>
          </a:p>
        </c:txPr>
        <c:crossAx val="707095664"/>
        <c:crosses val="autoZero"/>
        <c:crossBetween val="between"/>
      </c:valAx>
      <c:spPr>
        <a:noFill/>
        <a:ln>
          <a:noFill/>
        </a:ln>
        <a:effectLst/>
      </c:spPr>
    </c:plotArea>
    <c:legend>
      <c:legendPos val="b"/>
      <c:layout>
        <c:manualLayout>
          <c:xMode val="edge"/>
          <c:yMode val="edge"/>
          <c:x val="2.6620680679377888E-2"/>
          <c:y val="0.8599144952241794"/>
          <c:w val="0.96879703260232963"/>
          <c:h val="0.11946694807478962"/>
        </c:manualLayout>
      </c:layout>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ro-R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Sheet2!$A$123</c:f>
              <c:strCache>
                <c:ptCount val="1"/>
                <c:pt idx="0">
                  <c:v>Hajdú-Bihar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Sheet2!$B$123:$K$123</c:f>
              <c:numCache>
                <c:formatCode>#,##0.0</c:formatCode>
                <c:ptCount val="10"/>
                <c:pt idx="0">
                  <c:v>-1.7</c:v>
                </c:pt>
                <c:pt idx="1">
                  <c:v>-3</c:v>
                </c:pt>
                <c:pt idx="2">
                  <c:v>-3</c:v>
                </c:pt>
                <c:pt idx="3">
                  <c:v>-3.9</c:v>
                </c:pt>
                <c:pt idx="4">
                  <c:v>-3.4</c:v>
                </c:pt>
                <c:pt idx="5">
                  <c:v>-4.2</c:v>
                </c:pt>
                <c:pt idx="6">
                  <c:v>-4.3</c:v>
                </c:pt>
                <c:pt idx="7">
                  <c:v>-4.8</c:v>
                </c:pt>
                <c:pt idx="8">
                  <c:v>-3.6</c:v>
                </c:pt>
                <c:pt idx="9">
                  <c:v>-4.7</c:v>
                </c:pt>
              </c:numCache>
            </c:numRef>
          </c:val>
          <c:smooth val="0"/>
          <c:extLst xmlns:c16r2="http://schemas.microsoft.com/office/drawing/2015/06/chart">
            <c:ext xmlns:c16="http://schemas.microsoft.com/office/drawing/2014/chart" uri="{C3380CC4-5D6E-409C-BE32-E72D297353CC}">
              <c16:uniqueId val="{00000000-0627-4B6D-9AC0-4E82F0D37BFF}"/>
            </c:ext>
          </c:extLst>
        </c:ser>
        <c:ser>
          <c:idx val="2"/>
          <c:order val="2"/>
          <c:tx>
            <c:strRef>
              <c:f>Sheet2!$A$124</c:f>
              <c:strCache>
                <c:ptCount val="1"/>
                <c:pt idx="0">
                  <c:v>Szabolcs-Szatmár-Bereg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Sheet2!$B$124:$K$124</c:f>
              <c:numCache>
                <c:formatCode>#,##0.0</c:formatCode>
                <c:ptCount val="10"/>
                <c:pt idx="0">
                  <c:v>-8.6999999999999993</c:v>
                </c:pt>
                <c:pt idx="1">
                  <c:v>-8.8000000000000007</c:v>
                </c:pt>
                <c:pt idx="2">
                  <c:v>-6.5</c:v>
                </c:pt>
                <c:pt idx="3">
                  <c:v>-2.9</c:v>
                </c:pt>
                <c:pt idx="4">
                  <c:v>-4</c:v>
                </c:pt>
                <c:pt idx="5">
                  <c:v>1.7</c:v>
                </c:pt>
                <c:pt idx="6">
                  <c:v>1.3</c:v>
                </c:pt>
                <c:pt idx="7">
                  <c:v>-1.8</c:v>
                </c:pt>
                <c:pt idx="8">
                  <c:v>-6.6</c:v>
                </c:pt>
                <c:pt idx="9">
                  <c:v>-9.6999999999999993</c:v>
                </c:pt>
              </c:numCache>
            </c:numRef>
          </c:val>
          <c:smooth val="0"/>
          <c:extLst xmlns:c16r2="http://schemas.microsoft.com/office/drawing/2015/06/chart">
            <c:ext xmlns:c16="http://schemas.microsoft.com/office/drawing/2014/chart" uri="{C3380CC4-5D6E-409C-BE32-E72D297353CC}">
              <c16:uniqueId val="{00000001-0627-4B6D-9AC0-4E82F0D37BFF}"/>
            </c:ext>
          </c:extLst>
        </c:ser>
        <c:ser>
          <c:idx val="3"/>
          <c:order val="3"/>
          <c:tx>
            <c:strRef>
              <c:f>Sheet2!$A$125</c:f>
              <c:strCache>
                <c:ptCount val="1"/>
                <c:pt idx="0">
                  <c:v>Békés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Sheet2!$B$125:$K$125</c:f>
              <c:numCache>
                <c:formatCode>#,##0.0</c:formatCode>
                <c:ptCount val="10"/>
                <c:pt idx="0">
                  <c:v>-12.9</c:v>
                </c:pt>
                <c:pt idx="1">
                  <c:v>-13.1</c:v>
                </c:pt>
                <c:pt idx="2">
                  <c:v>-11.3</c:v>
                </c:pt>
                <c:pt idx="3">
                  <c:v>-9.6999999999999993</c:v>
                </c:pt>
                <c:pt idx="4">
                  <c:v>-11.1</c:v>
                </c:pt>
                <c:pt idx="5">
                  <c:v>-11.5</c:v>
                </c:pt>
                <c:pt idx="6">
                  <c:v>-11.7</c:v>
                </c:pt>
                <c:pt idx="7">
                  <c:v>-13.4</c:v>
                </c:pt>
                <c:pt idx="8">
                  <c:v>-13</c:v>
                </c:pt>
                <c:pt idx="9">
                  <c:v>-11.2</c:v>
                </c:pt>
              </c:numCache>
            </c:numRef>
          </c:val>
          <c:smooth val="0"/>
          <c:extLst xmlns:c16r2="http://schemas.microsoft.com/office/drawing/2015/06/chart">
            <c:ext xmlns:c16="http://schemas.microsoft.com/office/drawing/2014/chart" uri="{C3380CC4-5D6E-409C-BE32-E72D297353CC}">
              <c16:uniqueId val="{00000002-0627-4B6D-9AC0-4E82F0D37BFF}"/>
            </c:ext>
          </c:extLst>
        </c:ser>
        <c:ser>
          <c:idx val="4"/>
          <c:order val="4"/>
          <c:tx>
            <c:strRef>
              <c:f>Sheet2!$A$126</c:f>
              <c:strCache>
                <c:ptCount val="1"/>
                <c:pt idx="0">
                  <c:v>Csongrád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Sheet2!$B$126:$K$126</c:f>
              <c:numCache>
                <c:formatCode>#,##0.0</c:formatCode>
                <c:ptCount val="10"/>
                <c:pt idx="0">
                  <c:v>-1.4</c:v>
                </c:pt>
                <c:pt idx="1">
                  <c:v>-3.3</c:v>
                </c:pt>
                <c:pt idx="2">
                  <c:v>-5.9</c:v>
                </c:pt>
                <c:pt idx="3">
                  <c:v>-5.3</c:v>
                </c:pt>
                <c:pt idx="4">
                  <c:v>-5.3</c:v>
                </c:pt>
                <c:pt idx="5">
                  <c:v>-2.9</c:v>
                </c:pt>
                <c:pt idx="6">
                  <c:v>-4.3</c:v>
                </c:pt>
                <c:pt idx="7">
                  <c:v>-7.4</c:v>
                </c:pt>
                <c:pt idx="8">
                  <c:v>-3.1</c:v>
                </c:pt>
                <c:pt idx="9">
                  <c:v>-3.1</c:v>
                </c:pt>
              </c:numCache>
            </c:numRef>
          </c:val>
          <c:smooth val="0"/>
          <c:extLst xmlns:c16r2="http://schemas.microsoft.com/office/drawing/2015/06/chart">
            <c:ext xmlns:c16="http://schemas.microsoft.com/office/drawing/2014/chart" uri="{C3380CC4-5D6E-409C-BE32-E72D297353CC}">
              <c16:uniqueId val="{00000003-0627-4B6D-9AC0-4E82F0D37BFF}"/>
            </c:ext>
          </c:extLst>
        </c:ser>
        <c:ser>
          <c:idx val="6"/>
          <c:order val="6"/>
          <c:tx>
            <c:strRef>
              <c:f>Sheet2!$A$128</c:f>
              <c:strCache>
                <c:ptCount val="1"/>
                <c:pt idx="0">
                  <c:v>Bihor</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Sheet2!$B$128:$K$128</c:f>
              <c:numCache>
                <c:formatCode>#,##0.0</c:formatCode>
                <c:ptCount val="10"/>
                <c:pt idx="0">
                  <c:v>-1.1000000000000001</c:v>
                </c:pt>
                <c:pt idx="1">
                  <c:v>0.1</c:v>
                </c:pt>
                <c:pt idx="2">
                  <c:v>-1.7</c:v>
                </c:pt>
                <c:pt idx="3">
                  <c:v>-0.8</c:v>
                </c:pt>
                <c:pt idx="4">
                  <c:v>-2.7</c:v>
                </c:pt>
                <c:pt idx="5">
                  <c:v>-3</c:v>
                </c:pt>
                <c:pt idx="6">
                  <c:v>-5.2</c:v>
                </c:pt>
                <c:pt idx="7">
                  <c:v>-4.5</c:v>
                </c:pt>
                <c:pt idx="8">
                  <c:v>-4.0999999999999996</c:v>
                </c:pt>
                <c:pt idx="9">
                  <c:v>-4.8</c:v>
                </c:pt>
              </c:numCache>
            </c:numRef>
          </c:val>
          <c:smooth val="0"/>
          <c:extLst xmlns:c16r2="http://schemas.microsoft.com/office/drawing/2015/06/chart">
            <c:ext xmlns:c16="http://schemas.microsoft.com/office/drawing/2014/chart" uri="{C3380CC4-5D6E-409C-BE32-E72D297353CC}">
              <c16:uniqueId val="{00000004-0627-4B6D-9AC0-4E82F0D37BFF}"/>
            </c:ext>
          </c:extLst>
        </c:ser>
        <c:ser>
          <c:idx val="7"/>
          <c:order val="7"/>
          <c:tx>
            <c:strRef>
              <c:f>Sheet2!$A$129</c:f>
              <c:strCache>
                <c:ptCount val="1"/>
                <c:pt idx="0">
                  <c:v>Satu Mare</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Sheet2!$B$129:$K$129</c:f>
              <c:numCache>
                <c:formatCode>#,##0.0</c:formatCode>
                <c:ptCount val="10"/>
                <c:pt idx="0">
                  <c:v>-2.5</c:v>
                </c:pt>
                <c:pt idx="1">
                  <c:v>-3</c:v>
                </c:pt>
                <c:pt idx="2">
                  <c:v>-2.6</c:v>
                </c:pt>
                <c:pt idx="3">
                  <c:v>-4.0999999999999996</c:v>
                </c:pt>
                <c:pt idx="4">
                  <c:v>-3.3</c:v>
                </c:pt>
                <c:pt idx="5">
                  <c:v>-2.9</c:v>
                </c:pt>
                <c:pt idx="6">
                  <c:v>-5.4</c:v>
                </c:pt>
                <c:pt idx="7">
                  <c:v>-4.8</c:v>
                </c:pt>
                <c:pt idx="8">
                  <c:v>-5.6</c:v>
                </c:pt>
                <c:pt idx="9">
                  <c:v>-6.3</c:v>
                </c:pt>
              </c:numCache>
            </c:numRef>
          </c:val>
          <c:smooth val="0"/>
          <c:extLst xmlns:c16r2="http://schemas.microsoft.com/office/drawing/2015/06/chart">
            <c:ext xmlns:c16="http://schemas.microsoft.com/office/drawing/2014/chart" uri="{C3380CC4-5D6E-409C-BE32-E72D297353CC}">
              <c16:uniqueId val="{00000005-0627-4B6D-9AC0-4E82F0D37BFF}"/>
            </c:ext>
          </c:extLst>
        </c:ser>
        <c:ser>
          <c:idx val="8"/>
          <c:order val="8"/>
          <c:tx>
            <c:strRef>
              <c:f>Sheet2!$A$130</c:f>
              <c:strCache>
                <c:ptCount val="1"/>
                <c:pt idx="0">
                  <c:v>Arad</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Sheet2!$B$130:$K$130</c:f>
              <c:numCache>
                <c:formatCode>#,##0.0</c:formatCode>
                <c:ptCount val="10"/>
                <c:pt idx="0">
                  <c:v>-4</c:v>
                </c:pt>
                <c:pt idx="1">
                  <c:v>-0.8</c:v>
                </c:pt>
                <c:pt idx="2">
                  <c:v>-3</c:v>
                </c:pt>
                <c:pt idx="3">
                  <c:v>-2.5</c:v>
                </c:pt>
                <c:pt idx="4">
                  <c:v>-3.9</c:v>
                </c:pt>
                <c:pt idx="5">
                  <c:v>-3.5</c:v>
                </c:pt>
                <c:pt idx="6">
                  <c:v>-5.6</c:v>
                </c:pt>
                <c:pt idx="7">
                  <c:v>-4.8</c:v>
                </c:pt>
                <c:pt idx="8">
                  <c:v>-6.3</c:v>
                </c:pt>
                <c:pt idx="9">
                  <c:v>-4.5999999999999996</c:v>
                </c:pt>
              </c:numCache>
            </c:numRef>
          </c:val>
          <c:smooth val="0"/>
          <c:extLst xmlns:c16r2="http://schemas.microsoft.com/office/drawing/2015/06/chart">
            <c:ext xmlns:c16="http://schemas.microsoft.com/office/drawing/2014/chart" uri="{C3380CC4-5D6E-409C-BE32-E72D297353CC}">
              <c16:uniqueId val="{00000006-0627-4B6D-9AC0-4E82F0D37BFF}"/>
            </c:ext>
          </c:extLst>
        </c:ser>
        <c:ser>
          <c:idx val="9"/>
          <c:order val="9"/>
          <c:tx>
            <c:strRef>
              <c:f>Sheet2!$A$131</c:f>
              <c:strCache>
                <c:ptCount val="1"/>
                <c:pt idx="0">
                  <c:v>Timis</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Sheet2!$B$121:$K$121</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Sheet2!$B$131:$K$131</c:f>
              <c:numCache>
                <c:formatCode>#,##0.0</c:formatCode>
                <c:ptCount val="10"/>
                <c:pt idx="0">
                  <c:v>3.6</c:v>
                </c:pt>
                <c:pt idx="1">
                  <c:v>-0.7</c:v>
                </c:pt>
                <c:pt idx="2">
                  <c:v>2.5</c:v>
                </c:pt>
                <c:pt idx="3">
                  <c:v>7.2</c:v>
                </c:pt>
                <c:pt idx="4">
                  <c:v>3.4</c:v>
                </c:pt>
                <c:pt idx="5">
                  <c:v>3.6</c:v>
                </c:pt>
                <c:pt idx="6">
                  <c:v>1.6</c:v>
                </c:pt>
                <c:pt idx="7">
                  <c:v>2.1</c:v>
                </c:pt>
                <c:pt idx="8">
                  <c:v>4.7</c:v>
                </c:pt>
                <c:pt idx="9">
                  <c:v>5.0999999999999996</c:v>
                </c:pt>
              </c:numCache>
            </c:numRef>
          </c:val>
          <c:smooth val="0"/>
          <c:extLst xmlns:c16r2="http://schemas.microsoft.com/office/drawing/2015/06/chart">
            <c:ext xmlns:c16="http://schemas.microsoft.com/office/drawing/2014/chart" uri="{C3380CC4-5D6E-409C-BE32-E72D297353CC}">
              <c16:uniqueId val="{00000007-0627-4B6D-9AC0-4E82F0D37BFF}"/>
            </c:ext>
          </c:extLst>
        </c:ser>
        <c:dLbls>
          <c:showLegendKey val="0"/>
          <c:showVal val="0"/>
          <c:showCatName val="0"/>
          <c:showSerName val="0"/>
          <c:showPercent val="0"/>
          <c:showBubbleSize val="0"/>
        </c:dLbls>
        <c:marker val="1"/>
        <c:smooth val="0"/>
        <c:axId val="707095272"/>
        <c:axId val="707236304"/>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Sheet2!$A$122</c15:sqref>
                        </c15:formulaRef>
                      </c:ext>
                    </c:extLst>
                    <c:strCache>
                      <c:ptCount val="1"/>
                      <c:pt idx="0">
                        <c:v>Hungary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xmlns:c16r2="http://schemas.microsoft.com/office/drawing/2015/06/chart">
                      <c:ext uri="{02D57815-91ED-43cb-92C2-25804820EDAC}">
                        <c15:formulaRef>
                          <c15:sqref>Sheet2!$B$121:$K$121</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xmlns:c16r2="http://schemas.microsoft.com/office/drawing/2015/06/chart">
                      <c:ext uri="{02D57815-91ED-43cb-92C2-25804820EDAC}">
                        <c15:formulaRef>
                          <c15:sqref>Sheet2!$B$122:$K$122</c15:sqref>
                        </c15:formulaRef>
                      </c:ext>
                    </c:extLst>
                    <c:numCache>
                      <c:formatCode>#,##0.0</c:formatCode>
                      <c:ptCount val="10"/>
                      <c:pt idx="0">
                        <c:v>-1.7</c:v>
                      </c:pt>
                      <c:pt idx="1">
                        <c:v>-2.9</c:v>
                      </c:pt>
                      <c:pt idx="2">
                        <c:v>-2.8</c:v>
                      </c:pt>
                      <c:pt idx="3">
                        <c:v>-2.2999999999999998</c:v>
                      </c:pt>
                      <c:pt idx="4">
                        <c:v>-3.2</c:v>
                      </c:pt>
                      <c:pt idx="5">
                        <c:v>-2.2000000000000002</c:v>
                      </c:pt>
                      <c:pt idx="6">
                        <c:v>-2.5</c:v>
                      </c:pt>
                      <c:pt idx="7">
                        <c:v>-3.4</c:v>
                      </c:pt>
                      <c:pt idx="8">
                        <c:v>-2</c:v>
                      </c:pt>
                      <c:pt idx="9">
                        <c:v>-0.6</c:v>
                      </c:pt>
                    </c:numCache>
                  </c:numRef>
                </c:val>
                <c:smooth val="0"/>
                <c:extLst xmlns:c16r2="http://schemas.microsoft.com/office/drawing/2015/06/chart">
                  <c:ext xmlns:c16="http://schemas.microsoft.com/office/drawing/2014/chart" uri="{C3380CC4-5D6E-409C-BE32-E72D297353CC}">
                    <c16:uniqueId val="{00000008-0627-4B6D-9AC0-4E82F0D37BFF}"/>
                  </c:ext>
                </c:extLst>
              </c15:ser>
            </c15:filteredLineSeries>
            <c15:filteredLineSeries>
              <c15:ser>
                <c:idx val="5"/>
                <c:order val="5"/>
                <c:tx>
                  <c:strRef>
                    <c:extLst xmlns:c15="http://schemas.microsoft.com/office/drawing/2012/chart" xmlns:c16r2="http://schemas.microsoft.com/office/drawing/2015/06/chart">
                      <c:ext xmlns:c15="http://schemas.microsoft.com/office/drawing/2012/chart" uri="{02D57815-91ED-43cb-92C2-25804820EDAC}">
                        <c15:formulaRef>
                          <c15:sqref>Sheet2!$A$127</c15:sqref>
                        </c15:formulaRef>
                      </c:ext>
                    </c:extLst>
                    <c:strCache>
                      <c:ptCount val="1"/>
                      <c:pt idx="0">
                        <c:v>Romania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xmlns:c16r2="http://schemas.microsoft.com/office/drawing/2015/06/chart">
                      <c:ext xmlns:c15="http://schemas.microsoft.com/office/drawing/2012/chart" uri="{02D57815-91ED-43cb-92C2-25804820EDAC}">
                        <c15:formulaRef>
                          <c15:sqref>Sheet2!$B$121:$K$121</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Sheet2!$B$127:$K$127</c15:sqref>
                        </c15:formulaRef>
                      </c:ext>
                    </c:extLst>
                    <c:numCache>
                      <c:formatCode>#,##0.0</c:formatCode>
                      <c:ptCount val="10"/>
                      <c:pt idx="0">
                        <c:v>-7.1</c:v>
                      </c:pt>
                      <c:pt idx="1">
                        <c:v>-4.7</c:v>
                      </c:pt>
                      <c:pt idx="2">
                        <c:v>-5.0999999999999996</c:v>
                      </c:pt>
                      <c:pt idx="3">
                        <c:v>-3.8</c:v>
                      </c:pt>
                      <c:pt idx="4">
                        <c:v>-3.6</c:v>
                      </c:pt>
                      <c:pt idx="5">
                        <c:v>-3.9</c:v>
                      </c:pt>
                      <c:pt idx="6">
                        <c:v>-5.6</c:v>
                      </c:pt>
                      <c:pt idx="7">
                        <c:v>-5.9</c:v>
                      </c:pt>
                      <c:pt idx="8">
                        <c:v>-5.8</c:v>
                      </c:pt>
                      <c:pt idx="9">
                        <c:v>-6</c:v>
                      </c:pt>
                    </c:numCache>
                  </c:numRef>
                </c:val>
                <c:smooth val="0"/>
                <c:extLst xmlns:c15="http://schemas.microsoft.com/office/drawing/2012/chart" xmlns:c16r2="http://schemas.microsoft.com/office/drawing/2015/06/chart">
                  <c:ext xmlns:c16="http://schemas.microsoft.com/office/drawing/2014/chart" uri="{C3380CC4-5D6E-409C-BE32-E72D297353CC}">
                    <c16:uniqueId val="{00000009-0627-4B6D-9AC0-4E82F0D37BFF}"/>
                  </c:ext>
                </c:extLst>
              </c15:ser>
            </c15:filteredLineSeries>
          </c:ext>
        </c:extLst>
      </c:lineChart>
      <c:catAx>
        <c:axId val="7070952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o-RO"/>
          </a:p>
        </c:txPr>
        <c:crossAx val="707236304"/>
        <c:crosses val="autoZero"/>
        <c:auto val="1"/>
        <c:lblAlgn val="ctr"/>
        <c:lblOffset val="100"/>
        <c:noMultiLvlLbl val="0"/>
      </c:catAx>
      <c:valAx>
        <c:axId val="7072363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o-RO"/>
          </a:p>
        </c:txPr>
        <c:crossAx val="707095272"/>
        <c:crosses val="autoZero"/>
        <c:crossBetween val="between"/>
      </c:valAx>
      <c:spPr>
        <a:noFill/>
        <a:ln>
          <a:noFill/>
        </a:ln>
        <a:effectLst/>
      </c:spPr>
    </c:plotArea>
    <c:legend>
      <c:legendPos val="b"/>
      <c:layout>
        <c:manualLayout>
          <c:xMode val="edge"/>
          <c:yMode val="edge"/>
          <c:x val="2.9314372269444056E-2"/>
          <c:y val="0.82637286010890432"/>
          <c:w val="0.94561078911241025"/>
          <c:h val="0.15372664237865788"/>
        </c:manualLayout>
      </c:layout>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ro-R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703277140108724E-2"/>
          <c:y val="5.498625343664084E-2"/>
          <c:w val="0.90597389256691174"/>
          <c:h val="0.63216676145924144"/>
        </c:manualLayout>
      </c:layout>
      <c:barChart>
        <c:barDir val="col"/>
        <c:grouping val="stacked"/>
        <c:varyColors val="0"/>
        <c:ser>
          <c:idx val="0"/>
          <c:order val="0"/>
          <c:tx>
            <c:strRef>
              <c:f>Sheet1!$C$79</c:f>
              <c:strCache>
                <c:ptCount val="1"/>
                <c:pt idx="0">
                  <c:v>0-14 years</c:v>
                </c:pt>
              </c:strCache>
            </c:strRef>
          </c:tx>
          <c:spPr>
            <a:solidFill>
              <a:schemeClr val="accent1"/>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Sheet1!$B$80:$B$87</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Sheet1!$C$80:$C$87</c:f>
              <c:numCache>
                <c:formatCode>0%</c:formatCode>
                <c:ptCount val="8"/>
                <c:pt idx="0">
                  <c:v>0.14962938107015744</c:v>
                </c:pt>
                <c:pt idx="1">
                  <c:v>0.15927330168117043</c:v>
                </c:pt>
                <c:pt idx="2">
                  <c:v>0.12905258486798313</c:v>
                </c:pt>
                <c:pt idx="3">
                  <c:v>0.13515458302310127</c:v>
                </c:pt>
                <c:pt idx="4">
                  <c:v>0.16120820621546544</c:v>
                </c:pt>
                <c:pt idx="5">
                  <c:v>0.1690221645880518</c:v>
                </c:pt>
                <c:pt idx="6">
                  <c:v>0.1510849866463182</c:v>
                </c:pt>
                <c:pt idx="7">
                  <c:v>0.14517625826979083</c:v>
                </c:pt>
              </c:numCache>
            </c:numRef>
          </c:val>
          <c:extLst xmlns:c16r2="http://schemas.microsoft.com/office/drawing/2015/06/chart">
            <c:ext xmlns:c16="http://schemas.microsoft.com/office/drawing/2014/chart" uri="{C3380CC4-5D6E-409C-BE32-E72D297353CC}">
              <c16:uniqueId val="{00000000-87B7-4AEF-A454-D2718B74DA2F}"/>
            </c:ext>
          </c:extLst>
        </c:ser>
        <c:ser>
          <c:idx val="1"/>
          <c:order val="1"/>
          <c:tx>
            <c:strRef>
              <c:f>Sheet1!$D$79</c:f>
              <c:strCache>
                <c:ptCount val="1"/>
                <c:pt idx="0">
                  <c:v>15-29 years</c:v>
                </c:pt>
              </c:strCache>
            </c:strRef>
          </c:tx>
          <c:spPr>
            <a:solidFill>
              <a:schemeClr val="accent2"/>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Sheet1!$B$80:$B$87</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Sheet1!$D$80:$D$87</c:f>
              <c:numCache>
                <c:formatCode>0%</c:formatCode>
                <c:ptCount val="8"/>
                <c:pt idx="0">
                  <c:v>0.19096300597213006</c:v>
                </c:pt>
                <c:pt idx="1">
                  <c:v>0.19507809463769854</c:v>
                </c:pt>
                <c:pt idx="2">
                  <c:v>0.16751719547370755</c:v>
                </c:pt>
                <c:pt idx="3">
                  <c:v>0.18153698549363129</c:v>
                </c:pt>
                <c:pt idx="4">
                  <c:v>0.17648539555298709</c:v>
                </c:pt>
                <c:pt idx="5">
                  <c:v>0.17395526446315562</c:v>
                </c:pt>
                <c:pt idx="6">
                  <c:v>0.16897892025944297</c:v>
                </c:pt>
                <c:pt idx="7">
                  <c:v>0.19157546910259315</c:v>
                </c:pt>
              </c:numCache>
            </c:numRef>
          </c:val>
          <c:extLst xmlns:c16r2="http://schemas.microsoft.com/office/drawing/2015/06/chart">
            <c:ext xmlns:c16="http://schemas.microsoft.com/office/drawing/2014/chart" uri="{C3380CC4-5D6E-409C-BE32-E72D297353CC}">
              <c16:uniqueId val="{00000001-87B7-4AEF-A454-D2718B74DA2F}"/>
            </c:ext>
          </c:extLst>
        </c:ser>
        <c:ser>
          <c:idx val="2"/>
          <c:order val="2"/>
          <c:tx>
            <c:strRef>
              <c:f>Sheet1!$E$79</c:f>
              <c:strCache>
                <c:ptCount val="1"/>
                <c:pt idx="0">
                  <c:v>30 - 64 years</c:v>
                </c:pt>
              </c:strCache>
            </c:strRef>
          </c:tx>
          <c:spPr>
            <a:solidFill>
              <a:schemeClr val="accent3"/>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Sheet1!$B$80:$B$87</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Sheet1!$E$80:$E$87</c:f>
              <c:numCache>
                <c:formatCode>0%</c:formatCode>
                <c:ptCount val="8"/>
                <c:pt idx="0">
                  <c:v>0.48206287325812874</c:v>
                </c:pt>
                <c:pt idx="1">
                  <c:v>0.4879979081633567</c:v>
                </c:pt>
                <c:pt idx="2">
                  <c:v>0.49023592929517046</c:v>
                </c:pt>
                <c:pt idx="3">
                  <c:v>0.48188078093534348</c:v>
                </c:pt>
                <c:pt idx="4">
                  <c:v>0.49387972891763826</c:v>
                </c:pt>
                <c:pt idx="5">
                  <c:v>0.50072905897609044</c:v>
                </c:pt>
                <c:pt idx="6">
                  <c:v>0.4992607783288821</c:v>
                </c:pt>
                <c:pt idx="7">
                  <c:v>0.51005489672829185</c:v>
                </c:pt>
              </c:numCache>
            </c:numRef>
          </c:val>
          <c:extLst xmlns:c16r2="http://schemas.microsoft.com/office/drawing/2015/06/chart">
            <c:ext xmlns:c16="http://schemas.microsoft.com/office/drawing/2014/chart" uri="{C3380CC4-5D6E-409C-BE32-E72D297353CC}">
              <c16:uniqueId val="{00000002-87B7-4AEF-A454-D2718B74DA2F}"/>
            </c:ext>
          </c:extLst>
        </c:ser>
        <c:ser>
          <c:idx val="3"/>
          <c:order val="3"/>
          <c:tx>
            <c:strRef>
              <c:f>Sheet1!$F$79</c:f>
              <c:strCache>
                <c:ptCount val="1"/>
                <c:pt idx="0">
                  <c:v>65-84 years</c:v>
                </c:pt>
              </c:strCache>
            </c:strRef>
          </c:tx>
          <c:spPr>
            <a:solidFill>
              <a:schemeClr val="accent4"/>
            </a:solidFill>
            <a:ln>
              <a:noFill/>
            </a:ln>
            <a:effectLst/>
          </c:spPr>
          <c:invertIfNegative val="0"/>
          <c:dLbls>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Sheet1!$B$80:$B$87</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Sheet1!$F$80:$F$87</c:f>
              <c:numCache>
                <c:formatCode>0%</c:formatCode>
                <c:ptCount val="8"/>
                <c:pt idx="0">
                  <c:v>0.1586516709899258</c:v>
                </c:pt>
                <c:pt idx="1">
                  <c:v>0.14261382868789188</c:v>
                </c:pt>
                <c:pt idx="2">
                  <c:v>0.18998594778492714</c:v>
                </c:pt>
                <c:pt idx="3">
                  <c:v>0.18025274961397969</c:v>
                </c:pt>
                <c:pt idx="4">
                  <c:v>0.15293320971656188</c:v>
                </c:pt>
                <c:pt idx="5">
                  <c:v>0.1442132437746132</c:v>
                </c:pt>
                <c:pt idx="6">
                  <c:v>0.16311999236932467</c:v>
                </c:pt>
                <c:pt idx="7">
                  <c:v>0.13876284926992055</c:v>
                </c:pt>
              </c:numCache>
            </c:numRef>
          </c:val>
          <c:extLst xmlns:c16r2="http://schemas.microsoft.com/office/drawing/2015/06/chart">
            <c:ext xmlns:c16="http://schemas.microsoft.com/office/drawing/2014/chart" uri="{C3380CC4-5D6E-409C-BE32-E72D297353CC}">
              <c16:uniqueId val="{00000003-87B7-4AEF-A454-D2718B74DA2F}"/>
            </c:ext>
          </c:extLst>
        </c:ser>
        <c:ser>
          <c:idx val="4"/>
          <c:order val="4"/>
          <c:tx>
            <c:strRef>
              <c:f>Sheet1!$G$79</c:f>
              <c:strCache>
                <c:ptCount val="1"/>
                <c:pt idx="0">
                  <c:v>85+</c:v>
                </c:pt>
              </c:strCache>
            </c:strRef>
          </c:tx>
          <c:spPr>
            <a:solidFill>
              <a:schemeClr val="accent5"/>
            </a:solidFill>
            <a:ln>
              <a:noFill/>
            </a:ln>
            <a:effectLst/>
          </c:spPr>
          <c:invertIfNegative val="0"/>
          <c:dLbls>
            <c:dLbl>
              <c:idx val="0"/>
              <c:layout>
                <c:manualLayout>
                  <c:x val="-1.8788747187414683E-17"/>
                  <c:y val="-1.62206001622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7B7-4AEF-A454-D2718B74DA2F}"/>
                </c:ext>
                <c:ext xmlns:c15="http://schemas.microsoft.com/office/drawing/2012/chart" uri="{CE6537A1-D6FC-4f65-9D91-7224C49458BB}"/>
              </c:extLst>
            </c:dLbl>
            <c:dLbl>
              <c:idx val="1"/>
              <c:layout>
                <c:manualLayout>
                  <c:x val="2.0497051894500544E-3"/>
                  <c:y val="-1.62206001622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7B7-4AEF-A454-D2718B74DA2F}"/>
                </c:ext>
                <c:ext xmlns:c15="http://schemas.microsoft.com/office/drawing/2012/chart" uri="{CE6537A1-D6FC-4f65-9D91-7224C49458BB}"/>
              </c:extLst>
            </c:dLbl>
            <c:dLbl>
              <c:idx val="2"/>
              <c:layout>
                <c:manualLayout>
                  <c:x val="0"/>
                  <c:y val="-1.94647201946472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7B7-4AEF-A454-D2718B74DA2F}"/>
                </c:ext>
                <c:ext xmlns:c15="http://schemas.microsoft.com/office/drawing/2012/chart" uri="{CE6537A1-D6FC-4f65-9D91-7224C49458BB}"/>
              </c:extLst>
            </c:dLbl>
            <c:dLbl>
              <c:idx val="3"/>
              <c:layout>
                <c:manualLayout>
                  <c:x val="0"/>
                  <c:y val="-1.62206001622060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7B7-4AEF-A454-D2718B74DA2F}"/>
                </c:ext>
                <c:ext xmlns:c15="http://schemas.microsoft.com/office/drawing/2012/chart" uri="{CE6537A1-D6FC-4f65-9D91-7224C49458BB}"/>
              </c:extLst>
            </c:dLbl>
            <c:dLbl>
              <c:idx val="4"/>
              <c:layout>
                <c:manualLayout>
                  <c:x val="-7.5154988749658731E-17"/>
                  <c:y val="-1.62206001622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7B7-4AEF-A454-D2718B74DA2F}"/>
                </c:ext>
                <c:ext xmlns:c15="http://schemas.microsoft.com/office/drawing/2012/chart" uri="{CE6537A1-D6FC-4f65-9D91-7224C49458BB}"/>
              </c:extLst>
            </c:dLbl>
            <c:dLbl>
              <c:idx val="5"/>
              <c:layout>
                <c:manualLayout>
                  <c:x val="4.0994103789001087E-3"/>
                  <c:y val="-1.62206001622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7B7-4AEF-A454-D2718B74DA2F}"/>
                </c:ext>
                <c:ext xmlns:c15="http://schemas.microsoft.com/office/drawing/2012/chart" uri="{CE6537A1-D6FC-4f65-9D91-7224C49458BB}"/>
              </c:extLst>
            </c:dLbl>
            <c:dLbl>
              <c:idx val="6"/>
              <c:layout>
                <c:manualLayout>
                  <c:x val="0"/>
                  <c:y val="-1.62206001622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7B7-4AEF-A454-D2718B74DA2F}"/>
                </c:ext>
                <c:ext xmlns:c15="http://schemas.microsoft.com/office/drawing/2012/chart" uri="{CE6537A1-D6FC-4f65-9D91-7224C49458BB}"/>
              </c:extLst>
            </c:dLbl>
            <c:dLbl>
              <c:idx val="7"/>
              <c:layout>
                <c:manualLayout>
                  <c:x val="0"/>
                  <c:y val="-1.62206001622060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7B7-4AEF-A454-D2718B74DA2F}"/>
                </c:ext>
                <c:ext xmlns:c15="http://schemas.microsoft.com/office/drawing/2012/chart" uri="{CE6537A1-D6FC-4f65-9D91-7224C49458BB}"/>
              </c:extLst>
            </c:dLbl>
            <c:spPr>
              <a:noFill/>
              <a:ln>
                <a:noFill/>
              </a:ln>
              <a:effectLst/>
            </c:spPr>
            <c:txPr>
              <a:bodyPr rot="0" vert="horz"/>
              <a:lstStyle/>
              <a:p>
                <a:pPr>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Sheet1!$B$80:$B$87</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Sheet1!$G$80:$G$87</c:f>
              <c:numCache>
                <c:formatCode>0%</c:formatCode>
                <c:ptCount val="8"/>
                <c:pt idx="0">
                  <c:v>1.8693068709657961E-2</c:v>
                </c:pt>
                <c:pt idx="1">
                  <c:v>1.5036866829882459E-2</c:v>
                </c:pt>
                <c:pt idx="2">
                  <c:v>2.3208342578211669E-2</c:v>
                </c:pt>
                <c:pt idx="3">
                  <c:v>2.1174900933944304E-2</c:v>
                </c:pt>
                <c:pt idx="4">
                  <c:v>1.5493459597347322E-2</c:v>
                </c:pt>
                <c:pt idx="5">
                  <c:v>1.208026819808891E-2</c:v>
                </c:pt>
                <c:pt idx="6">
                  <c:v>1.7555322396032049E-2</c:v>
                </c:pt>
                <c:pt idx="7">
                  <c:v>1.4430526629403606E-2</c:v>
                </c:pt>
              </c:numCache>
            </c:numRef>
          </c:val>
          <c:extLst xmlns:c16r2="http://schemas.microsoft.com/office/drawing/2015/06/chart">
            <c:ext xmlns:c16="http://schemas.microsoft.com/office/drawing/2014/chart" uri="{C3380CC4-5D6E-409C-BE32-E72D297353CC}">
              <c16:uniqueId val="{0000000C-87B7-4AEF-A454-D2718B74DA2F}"/>
            </c:ext>
          </c:extLst>
        </c:ser>
        <c:dLbls>
          <c:showLegendKey val="0"/>
          <c:showVal val="0"/>
          <c:showCatName val="0"/>
          <c:showSerName val="0"/>
          <c:showPercent val="0"/>
          <c:showBubbleSize val="0"/>
        </c:dLbls>
        <c:gapWidth val="150"/>
        <c:overlap val="100"/>
        <c:axId val="707238264"/>
        <c:axId val="707238656"/>
      </c:barChart>
      <c:catAx>
        <c:axId val="707238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707238656"/>
        <c:crosses val="autoZero"/>
        <c:auto val="1"/>
        <c:lblAlgn val="ctr"/>
        <c:lblOffset val="100"/>
        <c:noMultiLvlLbl val="0"/>
      </c:catAx>
      <c:valAx>
        <c:axId val="707238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ro-RO"/>
          </a:p>
        </c:txPr>
        <c:crossAx val="707238264"/>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06238262734548"/>
          <c:y val="5.192477981782842E-2"/>
          <c:w val="0.79957706094456393"/>
          <c:h val="0.65808547146725649"/>
        </c:manualLayout>
      </c:layout>
      <c:lineChart>
        <c:grouping val="standard"/>
        <c:varyColors val="0"/>
        <c:ser>
          <c:idx val="0"/>
          <c:order val="0"/>
          <c:tx>
            <c:strRef>
              <c:f>[demo_r_pjanind3.xls]Data!$A$11</c:f>
              <c:strCache>
                <c:ptCount val="1"/>
                <c:pt idx="0">
                  <c:v>Hajdú-Bihar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[demo_r_pjanind3.xls]Data!$B$11:$G$11</c:f>
              <c:numCache>
                <c:formatCode>#,##0.0</c:formatCode>
                <c:ptCount val="6"/>
                <c:pt idx="0">
                  <c:v>40.1</c:v>
                </c:pt>
                <c:pt idx="1">
                  <c:v>40.6</c:v>
                </c:pt>
                <c:pt idx="2">
                  <c:v>41</c:v>
                </c:pt>
                <c:pt idx="3">
                  <c:v>41.4</c:v>
                </c:pt>
                <c:pt idx="4">
                  <c:v>41.7</c:v>
                </c:pt>
                <c:pt idx="5">
                  <c:v>42</c:v>
                </c:pt>
              </c:numCache>
            </c:numRef>
          </c:val>
          <c:smooth val="0"/>
          <c:extLst xmlns:c16r2="http://schemas.microsoft.com/office/drawing/2015/06/chart">
            <c:ext xmlns:c16="http://schemas.microsoft.com/office/drawing/2014/chart" uri="{C3380CC4-5D6E-409C-BE32-E72D297353CC}">
              <c16:uniqueId val="{00000000-FF1A-4714-84EF-2DD3CF7D0A85}"/>
            </c:ext>
          </c:extLst>
        </c:ser>
        <c:ser>
          <c:idx val="1"/>
          <c:order val="1"/>
          <c:tx>
            <c:strRef>
              <c:f>[demo_r_pjanind3.xls]Data!$A$12</c:f>
              <c:strCache>
                <c:ptCount val="1"/>
                <c:pt idx="0">
                  <c:v>Szabolcs-Szatmár-Bereg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[demo_r_pjanind3.xls]Data!$B$12:$G$12</c:f>
              <c:numCache>
                <c:formatCode>#,##0.0</c:formatCode>
                <c:ptCount val="6"/>
                <c:pt idx="0">
                  <c:v>39.200000000000003</c:v>
                </c:pt>
                <c:pt idx="1">
                  <c:v>39.6</c:v>
                </c:pt>
                <c:pt idx="2">
                  <c:v>40</c:v>
                </c:pt>
                <c:pt idx="3">
                  <c:v>40.4</c:v>
                </c:pt>
                <c:pt idx="4">
                  <c:v>40.799999999999997</c:v>
                </c:pt>
                <c:pt idx="5">
                  <c:v>41.2</c:v>
                </c:pt>
              </c:numCache>
            </c:numRef>
          </c:val>
          <c:smooth val="0"/>
          <c:extLst xmlns:c16r2="http://schemas.microsoft.com/office/drawing/2015/06/chart">
            <c:ext xmlns:c16="http://schemas.microsoft.com/office/drawing/2014/chart" uri="{C3380CC4-5D6E-409C-BE32-E72D297353CC}">
              <c16:uniqueId val="{00000001-FF1A-4714-84EF-2DD3CF7D0A85}"/>
            </c:ext>
          </c:extLst>
        </c:ser>
        <c:ser>
          <c:idx val="2"/>
          <c:order val="2"/>
          <c:tx>
            <c:strRef>
              <c:f>[demo_r_pjanind3.xls]Data!$A$13</c:f>
              <c:strCache>
                <c:ptCount val="1"/>
                <c:pt idx="0">
                  <c:v>Békés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[demo_r_pjanind3.xls]Data!$B$13:$G$13</c:f>
              <c:numCache>
                <c:formatCode>#,##0.0</c:formatCode>
                <c:ptCount val="6"/>
                <c:pt idx="0">
                  <c:v>43.7</c:v>
                </c:pt>
                <c:pt idx="1">
                  <c:v>44.2</c:v>
                </c:pt>
                <c:pt idx="2">
                  <c:v>44.5</c:v>
                </c:pt>
                <c:pt idx="3">
                  <c:v>44.8</c:v>
                </c:pt>
                <c:pt idx="4">
                  <c:v>45.1</c:v>
                </c:pt>
                <c:pt idx="5">
                  <c:v>45.4</c:v>
                </c:pt>
              </c:numCache>
            </c:numRef>
          </c:val>
          <c:smooth val="0"/>
          <c:extLst xmlns:c16r2="http://schemas.microsoft.com/office/drawing/2015/06/chart">
            <c:ext xmlns:c16="http://schemas.microsoft.com/office/drawing/2014/chart" uri="{C3380CC4-5D6E-409C-BE32-E72D297353CC}">
              <c16:uniqueId val="{00000002-FF1A-4714-84EF-2DD3CF7D0A85}"/>
            </c:ext>
          </c:extLst>
        </c:ser>
        <c:ser>
          <c:idx val="3"/>
          <c:order val="3"/>
          <c:tx>
            <c:strRef>
              <c:f>[demo_r_pjanind3.xls]Data!$A$14</c:f>
              <c:strCache>
                <c:ptCount val="1"/>
                <c:pt idx="0">
                  <c:v>Csongrád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[demo_r_pjanind3.xls]Data!$B$14:$G$14</c:f>
              <c:numCache>
                <c:formatCode>#,##0.0</c:formatCode>
                <c:ptCount val="6"/>
                <c:pt idx="0">
                  <c:v>42</c:v>
                </c:pt>
                <c:pt idx="1">
                  <c:v>42.4</c:v>
                </c:pt>
                <c:pt idx="2">
                  <c:v>42.7</c:v>
                </c:pt>
                <c:pt idx="3">
                  <c:v>43.1</c:v>
                </c:pt>
                <c:pt idx="4">
                  <c:v>43.3</c:v>
                </c:pt>
                <c:pt idx="5">
                  <c:v>43.5</c:v>
                </c:pt>
              </c:numCache>
            </c:numRef>
          </c:val>
          <c:smooth val="0"/>
          <c:extLst xmlns:c16r2="http://schemas.microsoft.com/office/drawing/2015/06/chart">
            <c:ext xmlns:c16="http://schemas.microsoft.com/office/drawing/2014/chart" uri="{C3380CC4-5D6E-409C-BE32-E72D297353CC}">
              <c16:uniqueId val="{00000003-FF1A-4714-84EF-2DD3CF7D0A85}"/>
            </c:ext>
          </c:extLst>
        </c:ser>
        <c:ser>
          <c:idx val="4"/>
          <c:order val="4"/>
          <c:tx>
            <c:strRef>
              <c:f>[demo_r_pjanind3.xls]Data!$A$15</c:f>
              <c:strCache>
                <c:ptCount val="1"/>
                <c:pt idx="0">
                  <c:v>Bihor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[demo_r_pjanind3.xls]Data!$B$15:$G$15</c:f>
              <c:numCache>
                <c:formatCode>#,##0.0</c:formatCode>
                <c:ptCount val="6"/>
                <c:pt idx="0">
                  <c:v>39.700000000000003</c:v>
                </c:pt>
                <c:pt idx="1">
                  <c:v>40.1</c:v>
                </c:pt>
                <c:pt idx="2">
                  <c:v>40.4</c:v>
                </c:pt>
                <c:pt idx="3">
                  <c:v>43.4</c:v>
                </c:pt>
                <c:pt idx="4">
                  <c:v>41.1</c:v>
                </c:pt>
                <c:pt idx="5">
                  <c:v>41.4</c:v>
                </c:pt>
              </c:numCache>
            </c:numRef>
          </c:val>
          <c:smooth val="0"/>
          <c:extLst xmlns:c16r2="http://schemas.microsoft.com/office/drawing/2015/06/chart">
            <c:ext xmlns:c16="http://schemas.microsoft.com/office/drawing/2014/chart" uri="{C3380CC4-5D6E-409C-BE32-E72D297353CC}">
              <c16:uniqueId val="{00000004-FF1A-4714-84EF-2DD3CF7D0A85}"/>
            </c:ext>
          </c:extLst>
        </c:ser>
        <c:ser>
          <c:idx val="5"/>
          <c:order val="5"/>
          <c:tx>
            <c:strRef>
              <c:f>[demo_r_pjanind3.xls]Data!$A$16</c:f>
              <c:strCache>
                <c:ptCount val="1"/>
                <c:pt idx="0">
                  <c:v>Satu Mare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[demo_r_pjanind3.xls]Data!$B$16:$G$16</c:f>
              <c:numCache>
                <c:formatCode>#,##0.0</c:formatCode>
                <c:ptCount val="6"/>
                <c:pt idx="0">
                  <c:v>39.200000000000003</c:v>
                </c:pt>
                <c:pt idx="1">
                  <c:v>39.5</c:v>
                </c:pt>
                <c:pt idx="2">
                  <c:v>40</c:v>
                </c:pt>
                <c:pt idx="3">
                  <c:v>44.3</c:v>
                </c:pt>
                <c:pt idx="4">
                  <c:v>40.799999999999997</c:v>
                </c:pt>
                <c:pt idx="5">
                  <c:v>41.1</c:v>
                </c:pt>
              </c:numCache>
            </c:numRef>
          </c:val>
          <c:smooth val="0"/>
          <c:extLst xmlns:c16r2="http://schemas.microsoft.com/office/drawing/2015/06/chart">
            <c:ext xmlns:c16="http://schemas.microsoft.com/office/drawing/2014/chart" uri="{C3380CC4-5D6E-409C-BE32-E72D297353CC}">
              <c16:uniqueId val="{00000005-FF1A-4714-84EF-2DD3CF7D0A85}"/>
            </c:ext>
          </c:extLst>
        </c:ser>
        <c:ser>
          <c:idx val="6"/>
          <c:order val="6"/>
          <c:tx>
            <c:strRef>
              <c:f>[demo_r_pjanind3.xls]Data!$A$17</c:f>
              <c:strCache>
                <c:ptCount val="1"/>
                <c:pt idx="0">
                  <c:v>Arad</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[demo_r_pjanind3.xls]Data!$B$17:$G$17</c:f>
              <c:numCache>
                <c:formatCode>#,##0.0</c:formatCode>
                <c:ptCount val="6"/>
                <c:pt idx="0">
                  <c:v>41.2</c:v>
                </c:pt>
                <c:pt idx="1">
                  <c:v>41.6</c:v>
                </c:pt>
                <c:pt idx="2">
                  <c:v>42</c:v>
                </c:pt>
                <c:pt idx="3">
                  <c:v>40.4</c:v>
                </c:pt>
                <c:pt idx="4">
                  <c:v>42.6</c:v>
                </c:pt>
                <c:pt idx="5">
                  <c:v>42.8</c:v>
                </c:pt>
              </c:numCache>
            </c:numRef>
          </c:val>
          <c:smooth val="0"/>
          <c:extLst xmlns:c16r2="http://schemas.microsoft.com/office/drawing/2015/06/chart">
            <c:ext xmlns:c16="http://schemas.microsoft.com/office/drawing/2014/chart" uri="{C3380CC4-5D6E-409C-BE32-E72D297353CC}">
              <c16:uniqueId val="{00000006-FF1A-4714-84EF-2DD3CF7D0A85}"/>
            </c:ext>
          </c:extLst>
        </c:ser>
        <c:ser>
          <c:idx val="7"/>
          <c:order val="7"/>
          <c:tx>
            <c:strRef>
              <c:f>[demo_r_pjanind3.xls]Data!$A$18</c:f>
              <c:strCache>
                <c:ptCount val="1"/>
                <c:pt idx="0">
                  <c:v>Timis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[demo_r_pjanind3.xls]Data!$B$10:$G$10</c:f>
              <c:strCache>
                <c:ptCount val="6"/>
                <c:pt idx="0">
                  <c:v>2014</c:v>
                </c:pt>
                <c:pt idx="1">
                  <c:v>2015</c:v>
                </c:pt>
                <c:pt idx="2">
                  <c:v>2016</c:v>
                </c:pt>
                <c:pt idx="3">
                  <c:v>2017</c:v>
                </c:pt>
                <c:pt idx="4">
                  <c:v>2018</c:v>
                </c:pt>
                <c:pt idx="5">
                  <c:v>2019</c:v>
                </c:pt>
              </c:strCache>
            </c:strRef>
          </c:cat>
          <c:val>
            <c:numRef>
              <c:f>[demo_r_pjanind3.xls]Data!$B$18:$G$18</c:f>
              <c:numCache>
                <c:formatCode>#,##0.0</c:formatCode>
                <c:ptCount val="6"/>
                <c:pt idx="0">
                  <c:v>38.6</c:v>
                </c:pt>
                <c:pt idx="1">
                  <c:v>38.799999999999997</c:v>
                </c:pt>
                <c:pt idx="2">
                  <c:v>39.1</c:v>
                </c:pt>
                <c:pt idx="3">
                  <c:v>38.700000000000003</c:v>
                </c:pt>
                <c:pt idx="4">
                  <c:v>39.6</c:v>
                </c:pt>
                <c:pt idx="5">
                  <c:v>39.799999999999997</c:v>
                </c:pt>
              </c:numCache>
            </c:numRef>
          </c:val>
          <c:smooth val="0"/>
          <c:extLst xmlns:c16r2="http://schemas.microsoft.com/office/drawing/2015/06/chart">
            <c:ext xmlns:c16="http://schemas.microsoft.com/office/drawing/2014/chart" uri="{C3380CC4-5D6E-409C-BE32-E72D297353CC}">
              <c16:uniqueId val="{00000007-FF1A-4714-84EF-2DD3CF7D0A85}"/>
            </c:ext>
          </c:extLst>
        </c:ser>
        <c:dLbls>
          <c:showLegendKey val="0"/>
          <c:showVal val="0"/>
          <c:showCatName val="0"/>
          <c:showSerName val="0"/>
          <c:showPercent val="0"/>
          <c:showBubbleSize val="0"/>
        </c:dLbls>
        <c:marker val="1"/>
        <c:smooth val="0"/>
        <c:axId val="707239048"/>
        <c:axId val="707236696"/>
      </c:lineChart>
      <c:catAx>
        <c:axId val="707239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o-RO"/>
          </a:p>
        </c:txPr>
        <c:crossAx val="707236696"/>
        <c:crosses val="autoZero"/>
        <c:auto val="1"/>
        <c:lblAlgn val="ctr"/>
        <c:lblOffset val="100"/>
        <c:noMultiLvlLbl val="0"/>
      </c:catAx>
      <c:valAx>
        <c:axId val="707236696"/>
        <c:scaling>
          <c:orientation val="minMax"/>
          <c:min val="3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239048"/>
        <c:crosses val="autoZero"/>
        <c:crossBetween val="between"/>
      </c:valAx>
      <c:spPr>
        <a:noFill/>
        <a:ln>
          <a:noFill/>
        </a:ln>
        <a:effectLst/>
      </c:spPr>
    </c:plotArea>
    <c:legend>
      <c:legendPos val="b"/>
      <c:layout>
        <c:manualLayout>
          <c:xMode val="edge"/>
          <c:yMode val="edge"/>
          <c:x val="1.0408116755205912E-2"/>
          <c:y val="0.78436257224782169"/>
          <c:w val="0.98815805978033311"/>
          <c:h val="0.1876390781403315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a:pPr>
      <a:endParaRPr lang="ro-R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9852635929322"/>
          <c:y val="5.0505050505050504E-2"/>
          <c:w val="0.81892817158137254"/>
          <c:h val="0.68166525671894329"/>
        </c:manualLayout>
      </c:layout>
      <c:lineChart>
        <c:grouping val="standard"/>
        <c:varyColors val="0"/>
        <c:ser>
          <c:idx val="0"/>
          <c:order val="0"/>
          <c:tx>
            <c:strRef>
              <c:f>Sheet1!$B$141</c:f>
              <c:strCache>
                <c:ptCount val="1"/>
                <c:pt idx="0">
                  <c:v>Hajdú-Bihar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Sheet1!$C$140:$F$140</c:f>
              <c:numCache>
                <c:formatCode>General</c:formatCode>
                <c:ptCount val="4"/>
                <c:pt idx="0">
                  <c:v>2009</c:v>
                </c:pt>
                <c:pt idx="1">
                  <c:v>2012</c:v>
                </c:pt>
                <c:pt idx="2">
                  <c:v>2015</c:v>
                </c:pt>
                <c:pt idx="3">
                  <c:v>2018</c:v>
                </c:pt>
              </c:numCache>
            </c:numRef>
          </c:cat>
          <c:val>
            <c:numRef>
              <c:f>Sheet1!$C$141:$F$141</c:f>
              <c:numCache>
                <c:formatCode>0.0</c:formatCode>
                <c:ptCount val="4"/>
                <c:pt idx="0">
                  <c:v>92.972413165202354</c:v>
                </c:pt>
                <c:pt idx="1">
                  <c:v>100.72702364929822</c:v>
                </c:pt>
                <c:pt idx="2">
                  <c:v>109.57350383381103</c:v>
                </c:pt>
                <c:pt idx="3">
                  <c:v>116.25705622796853</c:v>
                </c:pt>
              </c:numCache>
            </c:numRef>
          </c:val>
          <c:smooth val="0"/>
          <c:extLst xmlns:c16r2="http://schemas.microsoft.com/office/drawing/2015/06/chart">
            <c:ext xmlns:c16="http://schemas.microsoft.com/office/drawing/2014/chart" uri="{C3380CC4-5D6E-409C-BE32-E72D297353CC}">
              <c16:uniqueId val="{00000000-F81C-40F3-B71A-6AAA27BFC750}"/>
            </c:ext>
          </c:extLst>
        </c:ser>
        <c:ser>
          <c:idx val="1"/>
          <c:order val="1"/>
          <c:tx>
            <c:strRef>
              <c:f>Sheet1!$B$142</c:f>
              <c:strCache>
                <c:ptCount val="1"/>
                <c:pt idx="0">
                  <c:v>Szabolcs-Szatmár-Bereg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Sheet1!$C$140:$F$140</c:f>
              <c:numCache>
                <c:formatCode>General</c:formatCode>
                <c:ptCount val="4"/>
                <c:pt idx="0">
                  <c:v>2009</c:v>
                </c:pt>
                <c:pt idx="1">
                  <c:v>2012</c:v>
                </c:pt>
                <c:pt idx="2">
                  <c:v>2015</c:v>
                </c:pt>
                <c:pt idx="3">
                  <c:v>2018</c:v>
                </c:pt>
              </c:numCache>
            </c:numRef>
          </c:cat>
          <c:val>
            <c:numRef>
              <c:f>Sheet1!$C$142:$F$142</c:f>
              <c:numCache>
                <c:formatCode>0.0</c:formatCode>
                <c:ptCount val="4"/>
                <c:pt idx="0">
                  <c:v>75.257591663750532</c:v>
                </c:pt>
                <c:pt idx="1">
                  <c:v>82.128562321687966</c:v>
                </c:pt>
                <c:pt idx="2">
                  <c:v>90.218381309440602</c:v>
                </c:pt>
                <c:pt idx="3">
                  <c:v>97.529138531676054</c:v>
                </c:pt>
              </c:numCache>
            </c:numRef>
          </c:val>
          <c:smooth val="0"/>
          <c:extLst xmlns:c16r2="http://schemas.microsoft.com/office/drawing/2015/06/chart">
            <c:ext xmlns:c16="http://schemas.microsoft.com/office/drawing/2014/chart" uri="{C3380CC4-5D6E-409C-BE32-E72D297353CC}">
              <c16:uniqueId val="{00000001-F81C-40F3-B71A-6AAA27BFC750}"/>
            </c:ext>
          </c:extLst>
        </c:ser>
        <c:ser>
          <c:idx val="2"/>
          <c:order val="2"/>
          <c:tx>
            <c:strRef>
              <c:f>Sheet1!$B$143</c:f>
              <c:strCache>
                <c:ptCount val="1"/>
                <c:pt idx="0">
                  <c:v>Békés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Sheet1!$C$140:$F$140</c:f>
              <c:numCache>
                <c:formatCode>General</c:formatCode>
                <c:ptCount val="4"/>
                <c:pt idx="0">
                  <c:v>2009</c:v>
                </c:pt>
                <c:pt idx="1">
                  <c:v>2012</c:v>
                </c:pt>
                <c:pt idx="2">
                  <c:v>2015</c:v>
                </c:pt>
                <c:pt idx="3">
                  <c:v>2018</c:v>
                </c:pt>
              </c:numCache>
            </c:numRef>
          </c:cat>
          <c:val>
            <c:numRef>
              <c:f>Sheet1!$C$143:$F$143</c:f>
              <c:numCache>
                <c:formatCode>0.0</c:formatCode>
                <c:ptCount val="4"/>
                <c:pt idx="0">
                  <c:v>128.32091868404717</c:v>
                </c:pt>
                <c:pt idx="1">
                  <c:v>138.06622020714613</c:v>
                </c:pt>
                <c:pt idx="2">
                  <c:v>148.78462894109049</c:v>
                </c:pt>
                <c:pt idx="3">
                  <c:v>158.52438237975582</c:v>
                </c:pt>
              </c:numCache>
            </c:numRef>
          </c:val>
          <c:smooth val="0"/>
          <c:extLst xmlns:c16r2="http://schemas.microsoft.com/office/drawing/2015/06/chart">
            <c:ext xmlns:c16="http://schemas.microsoft.com/office/drawing/2014/chart" uri="{C3380CC4-5D6E-409C-BE32-E72D297353CC}">
              <c16:uniqueId val="{00000002-F81C-40F3-B71A-6AAA27BFC750}"/>
            </c:ext>
          </c:extLst>
        </c:ser>
        <c:ser>
          <c:idx val="3"/>
          <c:order val="3"/>
          <c:tx>
            <c:strRef>
              <c:f>Sheet1!$B$144</c:f>
              <c:strCache>
                <c:ptCount val="1"/>
                <c:pt idx="0">
                  <c:v>Csongrád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Sheet1!$C$140:$F$140</c:f>
              <c:numCache>
                <c:formatCode>General</c:formatCode>
                <c:ptCount val="4"/>
                <c:pt idx="0">
                  <c:v>2009</c:v>
                </c:pt>
                <c:pt idx="1">
                  <c:v>2012</c:v>
                </c:pt>
                <c:pt idx="2">
                  <c:v>2015</c:v>
                </c:pt>
                <c:pt idx="3">
                  <c:v>2018</c:v>
                </c:pt>
              </c:numCache>
            </c:numRef>
          </c:cat>
          <c:val>
            <c:numRef>
              <c:f>Sheet1!$C$144:$F$144</c:f>
              <c:numCache>
                <c:formatCode>0.0</c:formatCode>
                <c:ptCount val="4"/>
                <c:pt idx="0">
                  <c:v>120.49666868564506</c:v>
                </c:pt>
                <c:pt idx="1">
                  <c:v>129.82817125117322</c:v>
                </c:pt>
                <c:pt idx="2">
                  <c:v>138.97061520965553</c:v>
                </c:pt>
                <c:pt idx="3">
                  <c:v>147.91500269331502</c:v>
                </c:pt>
              </c:numCache>
            </c:numRef>
          </c:val>
          <c:smooth val="0"/>
          <c:extLst xmlns:c16r2="http://schemas.microsoft.com/office/drawing/2015/06/chart">
            <c:ext xmlns:c16="http://schemas.microsoft.com/office/drawing/2014/chart" uri="{C3380CC4-5D6E-409C-BE32-E72D297353CC}">
              <c16:uniqueId val="{00000003-F81C-40F3-B71A-6AAA27BFC750}"/>
            </c:ext>
          </c:extLst>
        </c:ser>
        <c:ser>
          <c:idx val="4"/>
          <c:order val="4"/>
          <c:tx>
            <c:strRef>
              <c:f>Sheet1!$B$145</c:f>
              <c:strCache>
                <c:ptCount val="1"/>
                <c:pt idx="0">
                  <c:v>Bihor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Sheet1!$C$140:$F$140</c:f>
              <c:numCache>
                <c:formatCode>General</c:formatCode>
                <c:ptCount val="4"/>
                <c:pt idx="0">
                  <c:v>2009</c:v>
                </c:pt>
                <c:pt idx="1">
                  <c:v>2012</c:v>
                </c:pt>
                <c:pt idx="2">
                  <c:v>2015</c:v>
                </c:pt>
                <c:pt idx="3">
                  <c:v>2018</c:v>
                </c:pt>
              </c:numCache>
            </c:numRef>
          </c:cat>
          <c:val>
            <c:numRef>
              <c:f>Sheet1!$C$145:$F$145</c:f>
              <c:numCache>
                <c:formatCode>0.0</c:formatCode>
                <c:ptCount val="4"/>
                <c:pt idx="0">
                  <c:v>89.619892302819139</c:v>
                </c:pt>
                <c:pt idx="1">
                  <c:v>92.444472770147541</c:v>
                </c:pt>
                <c:pt idx="2">
                  <c:v>98.486238532110093</c:v>
                </c:pt>
                <c:pt idx="3">
                  <c:v>104.47772682787364</c:v>
                </c:pt>
              </c:numCache>
            </c:numRef>
          </c:val>
          <c:smooth val="0"/>
          <c:extLst xmlns:c16r2="http://schemas.microsoft.com/office/drawing/2015/06/chart">
            <c:ext xmlns:c16="http://schemas.microsoft.com/office/drawing/2014/chart" uri="{C3380CC4-5D6E-409C-BE32-E72D297353CC}">
              <c16:uniqueId val="{00000004-F81C-40F3-B71A-6AAA27BFC750}"/>
            </c:ext>
          </c:extLst>
        </c:ser>
        <c:ser>
          <c:idx val="5"/>
          <c:order val="5"/>
          <c:tx>
            <c:strRef>
              <c:f>Sheet1!$B$146</c:f>
              <c:strCache>
                <c:ptCount val="1"/>
                <c:pt idx="0">
                  <c:v>Satu Mare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Sheet1!$C$140:$F$140</c:f>
              <c:numCache>
                <c:formatCode>General</c:formatCode>
                <c:ptCount val="4"/>
                <c:pt idx="0">
                  <c:v>2009</c:v>
                </c:pt>
                <c:pt idx="1">
                  <c:v>2012</c:v>
                </c:pt>
                <c:pt idx="2">
                  <c:v>2015</c:v>
                </c:pt>
                <c:pt idx="3">
                  <c:v>2018</c:v>
                </c:pt>
              </c:numCache>
            </c:numRef>
          </c:cat>
          <c:val>
            <c:numRef>
              <c:f>Sheet1!$C$146:$F$146</c:f>
              <c:numCache>
                <c:formatCode>0.0</c:formatCode>
                <c:ptCount val="4"/>
                <c:pt idx="0">
                  <c:v>74.448612910280787</c:v>
                </c:pt>
                <c:pt idx="1">
                  <c:v>76.904793786823774</c:v>
                </c:pt>
                <c:pt idx="2">
                  <c:v>84.159170869512465</c:v>
                </c:pt>
                <c:pt idx="3">
                  <c:v>92.469240560033938</c:v>
                </c:pt>
              </c:numCache>
            </c:numRef>
          </c:val>
          <c:smooth val="0"/>
          <c:extLst xmlns:c16r2="http://schemas.microsoft.com/office/drawing/2015/06/chart">
            <c:ext xmlns:c16="http://schemas.microsoft.com/office/drawing/2014/chart" uri="{C3380CC4-5D6E-409C-BE32-E72D297353CC}">
              <c16:uniqueId val="{00000005-F81C-40F3-B71A-6AAA27BFC750}"/>
            </c:ext>
          </c:extLst>
        </c:ser>
        <c:ser>
          <c:idx val="6"/>
          <c:order val="6"/>
          <c:tx>
            <c:strRef>
              <c:f>Sheet1!$B$147</c:f>
              <c:strCache>
                <c:ptCount val="1"/>
                <c:pt idx="0">
                  <c:v>Arad</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Sheet1!$C$140:$F$140</c:f>
              <c:numCache>
                <c:formatCode>General</c:formatCode>
                <c:ptCount val="4"/>
                <c:pt idx="0">
                  <c:v>2009</c:v>
                </c:pt>
                <c:pt idx="1">
                  <c:v>2012</c:v>
                </c:pt>
                <c:pt idx="2">
                  <c:v>2015</c:v>
                </c:pt>
                <c:pt idx="3">
                  <c:v>2018</c:v>
                </c:pt>
              </c:numCache>
            </c:numRef>
          </c:cat>
          <c:val>
            <c:numRef>
              <c:f>Sheet1!$C$147:$F$147</c:f>
              <c:numCache>
                <c:formatCode>0.0</c:formatCode>
                <c:ptCount val="4"/>
                <c:pt idx="0">
                  <c:v>103.52286496432257</c:v>
                </c:pt>
                <c:pt idx="1">
                  <c:v>104.30152872957301</c:v>
                </c:pt>
                <c:pt idx="2">
                  <c:v>113.4624380203948</c:v>
                </c:pt>
                <c:pt idx="3">
                  <c:v>119.58522072633721</c:v>
                </c:pt>
              </c:numCache>
            </c:numRef>
          </c:val>
          <c:smooth val="0"/>
          <c:extLst xmlns:c16r2="http://schemas.microsoft.com/office/drawing/2015/06/chart">
            <c:ext xmlns:c16="http://schemas.microsoft.com/office/drawing/2014/chart" uri="{C3380CC4-5D6E-409C-BE32-E72D297353CC}">
              <c16:uniqueId val="{00000006-F81C-40F3-B71A-6AAA27BFC750}"/>
            </c:ext>
          </c:extLst>
        </c:ser>
        <c:ser>
          <c:idx val="7"/>
          <c:order val="7"/>
          <c:tx>
            <c:strRef>
              <c:f>Sheet1!$B$148</c:f>
              <c:strCache>
                <c:ptCount val="1"/>
                <c:pt idx="0">
                  <c:v>Timis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Sheet1!$C$140:$F$140</c:f>
              <c:numCache>
                <c:formatCode>General</c:formatCode>
                <c:ptCount val="4"/>
                <c:pt idx="0">
                  <c:v>2009</c:v>
                </c:pt>
                <c:pt idx="1">
                  <c:v>2012</c:v>
                </c:pt>
                <c:pt idx="2">
                  <c:v>2015</c:v>
                </c:pt>
                <c:pt idx="3">
                  <c:v>2018</c:v>
                </c:pt>
              </c:numCache>
            </c:numRef>
          </c:cat>
          <c:val>
            <c:numRef>
              <c:f>Sheet1!$C$148:$F$148</c:f>
              <c:numCache>
                <c:formatCode>0.0</c:formatCode>
                <c:ptCount val="4"/>
                <c:pt idx="0">
                  <c:v>95.377208760977666</c:v>
                </c:pt>
                <c:pt idx="1">
                  <c:v>97.9960281639285</c:v>
                </c:pt>
                <c:pt idx="2">
                  <c:v>103.93525765449878</c:v>
                </c:pt>
                <c:pt idx="3">
                  <c:v>105.52233383411395</c:v>
                </c:pt>
              </c:numCache>
            </c:numRef>
          </c:val>
          <c:smooth val="0"/>
          <c:extLst xmlns:c16r2="http://schemas.microsoft.com/office/drawing/2015/06/chart">
            <c:ext xmlns:c16="http://schemas.microsoft.com/office/drawing/2014/chart" uri="{C3380CC4-5D6E-409C-BE32-E72D297353CC}">
              <c16:uniqueId val="{00000007-F81C-40F3-B71A-6AAA27BFC750}"/>
            </c:ext>
          </c:extLst>
        </c:ser>
        <c:dLbls>
          <c:showLegendKey val="0"/>
          <c:showVal val="0"/>
          <c:showCatName val="0"/>
          <c:showSerName val="0"/>
          <c:showPercent val="0"/>
          <c:showBubbleSize val="0"/>
        </c:dLbls>
        <c:marker val="1"/>
        <c:smooth val="0"/>
        <c:axId val="707237480"/>
        <c:axId val="707703624"/>
      </c:lineChart>
      <c:catAx>
        <c:axId val="70723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700"/>
            </a:pPr>
            <a:endParaRPr lang="ro-RO"/>
          </a:p>
        </c:txPr>
        <c:crossAx val="707703624"/>
        <c:crosses val="autoZero"/>
        <c:auto val="1"/>
        <c:lblAlgn val="ctr"/>
        <c:lblOffset val="100"/>
        <c:noMultiLvlLbl val="0"/>
      </c:catAx>
      <c:valAx>
        <c:axId val="707703624"/>
        <c:scaling>
          <c:orientation val="minMax"/>
          <c:max val="160"/>
          <c:min val="6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sz="700"/>
            </a:pPr>
            <a:endParaRPr lang="ro-RO"/>
          </a:p>
        </c:txPr>
        <c:crossAx val="707237480"/>
        <c:crosses val="autoZero"/>
        <c:crossBetween val="between"/>
      </c:valAx>
      <c:spPr>
        <a:noFill/>
        <a:ln>
          <a:noFill/>
        </a:ln>
        <a:effectLst/>
      </c:spPr>
    </c:plotArea>
    <c:legend>
      <c:legendPos val="b"/>
      <c:layout>
        <c:manualLayout>
          <c:xMode val="edge"/>
          <c:yMode val="edge"/>
          <c:x val="6.715890830919934E-3"/>
          <c:y val="0.81742116167256473"/>
          <c:w val="0.99066498885054177"/>
          <c:h val="0.15752649410744662"/>
        </c:manualLayout>
      </c:layout>
      <c:overlay val="0"/>
      <c:spPr>
        <a:noFill/>
        <a:ln>
          <a:noFill/>
        </a:ln>
        <a:effectLst/>
      </c:spPr>
      <c:txPr>
        <a:bodyPr rot="0" vert="horz"/>
        <a:lstStyle/>
        <a:p>
          <a:pPr>
            <a:defRPr sz="700"/>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ro-R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'[demo_r_gind3 (3).xls]Data'!$A$164</c:f>
              <c:strCache>
                <c:ptCount val="1"/>
                <c:pt idx="0">
                  <c:v>Hajdú-Bihar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(3).xls]Data'!$B$164:$K$164</c:f>
              <c:numCache>
                <c:formatCode>#,##0.0</c:formatCode>
                <c:ptCount val="10"/>
                <c:pt idx="0">
                  <c:v>0.4</c:v>
                </c:pt>
                <c:pt idx="1">
                  <c:v>-0.3</c:v>
                </c:pt>
                <c:pt idx="2">
                  <c:v>-0.5</c:v>
                </c:pt>
                <c:pt idx="3">
                  <c:v>-1.3</c:v>
                </c:pt>
                <c:pt idx="4">
                  <c:v>-1.3</c:v>
                </c:pt>
                <c:pt idx="5">
                  <c:v>-2.6</c:v>
                </c:pt>
                <c:pt idx="6">
                  <c:v>-2.2000000000000002</c:v>
                </c:pt>
                <c:pt idx="7">
                  <c:v>-3.9</c:v>
                </c:pt>
                <c:pt idx="8">
                  <c:v>-2</c:v>
                </c:pt>
                <c:pt idx="9">
                  <c:v>-2.5</c:v>
                </c:pt>
              </c:numCache>
            </c:numRef>
          </c:val>
          <c:smooth val="0"/>
          <c:extLst xmlns:c16r2="http://schemas.microsoft.com/office/drawing/2015/06/chart">
            <c:ext xmlns:c16="http://schemas.microsoft.com/office/drawing/2014/chart" uri="{C3380CC4-5D6E-409C-BE32-E72D297353CC}">
              <c16:uniqueId val="{00000000-E9E2-46B6-A469-3DA49C8F9C3C}"/>
            </c:ext>
          </c:extLst>
        </c:ser>
        <c:ser>
          <c:idx val="2"/>
          <c:order val="1"/>
          <c:tx>
            <c:strRef>
              <c:f>'[demo_r_gind3 (3).xls]Data'!$A$165</c:f>
              <c:strCache>
                <c:ptCount val="1"/>
                <c:pt idx="0">
                  <c:v>Szabolcs-Szatmár-Bereg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(3).xls]Data'!$B$165:$K$165</c:f>
              <c:numCache>
                <c:formatCode>#,##0.0</c:formatCode>
                <c:ptCount val="10"/>
                <c:pt idx="0">
                  <c:v>-7.1</c:v>
                </c:pt>
                <c:pt idx="1">
                  <c:v>-6.2</c:v>
                </c:pt>
                <c:pt idx="2">
                  <c:v>-4.5</c:v>
                </c:pt>
                <c:pt idx="3">
                  <c:v>-1</c:v>
                </c:pt>
                <c:pt idx="4">
                  <c:v>-2.5</c:v>
                </c:pt>
                <c:pt idx="5">
                  <c:v>2.8</c:v>
                </c:pt>
                <c:pt idx="6">
                  <c:v>2.8</c:v>
                </c:pt>
                <c:pt idx="7">
                  <c:v>-1.1000000000000001</c:v>
                </c:pt>
                <c:pt idx="8">
                  <c:v>-5.4</c:v>
                </c:pt>
                <c:pt idx="9">
                  <c:v>-7.7</c:v>
                </c:pt>
              </c:numCache>
            </c:numRef>
          </c:val>
          <c:smooth val="0"/>
          <c:extLst xmlns:c16r2="http://schemas.microsoft.com/office/drawing/2015/06/chart">
            <c:ext xmlns:c16="http://schemas.microsoft.com/office/drawing/2014/chart" uri="{C3380CC4-5D6E-409C-BE32-E72D297353CC}">
              <c16:uniqueId val="{00000001-E9E2-46B6-A469-3DA49C8F9C3C}"/>
            </c:ext>
          </c:extLst>
        </c:ser>
        <c:ser>
          <c:idx val="3"/>
          <c:order val="2"/>
          <c:tx>
            <c:strRef>
              <c:f>'[demo_r_gind3 (3).xls]Data'!$A$166</c:f>
              <c:strCache>
                <c:ptCount val="1"/>
                <c:pt idx="0">
                  <c:v>Békés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(3).xls]Data'!$B$166:$K$166</c:f>
              <c:numCache>
                <c:formatCode>#,##0.0</c:formatCode>
                <c:ptCount val="10"/>
                <c:pt idx="0">
                  <c:v>-5.9</c:v>
                </c:pt>
                <c:pt idx="1">
                  <c:v>-4.9000000000000004</c:v>
                </c:pt>
                <c:pt idx="2">
                  <c:v>-3.4</c:v>
                </c:pt>
                <c:pt idx="3">
                  <c:v>-1.8</c:v>
                </c:pt>
                <c:pt idx="4">
                  <c:v>-3.9</c:v>
                </c:pt>
                <c:pt idx="5">
                  <c:v>-4.2</c:v>
                </c:pt>
                <c:pt idx="6">
                  <c:v>-4</c:v>
                </c:pt>
                <c:pt idx="7">
                  <c:v>-6.2</c:v>
                </c:pt>
                <c:pt idx="8">
                  <c:v>-4.8</c:v>
                </c:pt>
                <c:pt idx="9">
                  <c:v>-3.8</c:v>
                </c:pt>
              </c:numCache>
            </c:numRef>
          </c:val>
          <c:smooth val="0"/>
          <c:extLst xmlns:c16r2="http://schemas.microsoft.com/office/drawing/2015/06/chart">
            <c:ext xmlns:c16="http://schemas.microsoft.com/office/drawing/2014/chart" uri="{C3380CC4-5D6E-409C-BE32-E72D297353CC}">
              <c16:uniqueId val="{00000002-E9E2-46B6-A469-3DA49C8F9C3C}"/>
            </c:ext>
          </c:extLst>
        </c:ser>
        <c:ser>
          <c:idx val="4"/>
          <c:order val="3"/>
          <c:tx>
            <c:strRef>
              <c:f>'[demo_r_gind3 (3).xls]Data'!$A$167</c:f>
              <c:strCache>
                <c:ptCount val="1"/>
                <c:pt idx="0">
                  <c:v>Csongrád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(3).xls]Data'!$B$167:$K$167</c:f>
              <c:numCache>
                <c:formatCode>#,##0.0</c:formatCode>
                <c:ptCount val="10"/>
                <c:pt idx="0">
                  <c:v>3.1</c:v>
                </c:pt>
                <c:pt idx="1">
                  <c:v>1.3</c:v>
                </c:pt>
                <c:pt idx="2">
                  <c:v>-0.6</c:v>
                </c:pt>
                <c:pt idx="3">
                  <c:v>-0.1</c:v>
                </c:pt>
                <c:pt idx="4">
                  <c:v>-0.7</c:v>
                </c:pt>
                <c:pt idx="5">
                  <c:v>1.6</c:v>
                </c:pt>
                <c:pt idx="6">
                  <c:v>1.3</c:v>
                </c:pt>
                <c:pt idx="7">
                  <c:v>-3.2</c:v>
                </c:pt>
                <c:pt idx="8">
                  <c:v>1.6</c:v>
                </c:pt>
                <c:pt idx="9">
                  <c:v>2.1</c:v>
                </c:pt>
              </c:numCache>
            </c:numRef>
          </c:val>
          <c:smooth val="0"/>
          <c:extLst xmlns:c16r2="http://schemas.microsoft.com/office/drawing/2015/06/chart">
            <c:ext xmlns:c16="http://schemas.microsoft.com/office/drawing/2014/chart" uri="{C3380CC4-5D6E-409C-BE32-E72D297353CC}">
              <c16:uniqueId val="{00000003-E9E2-46B6-A469-3DA49C8F9C3C}"/>
            </c:ext>
          </c:extLst>
        </c:ser>
        <c:ser>
          <c:idx val="6"/>
          <c:order val="4"/>
          <c:tx>
            <c:strRef>
              <c:f>'[demo_r_gind3 (3).xls]Data'!$A$169</c:f>
              <c:strCache>
                <c:ptCount val="1"/>
                <c:pt idx="0">
                  <c:v>Bihor</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(3).xls]Data'!$B$169:$K$169</c:f>
              <c:numCache>
                <c:formatCode>#,##0.0</c:formatCode>
                <c:ptCount val="10"/>
                <c:pt idx="0">
                  <c:v>0.6</c:v>
                </c:pt>
                <c:pt idx="1">
                  <c:v>1.9</c:v>
                </c:pt>
                <c:pt idx="2">
                  <c:v>0.5</c:v>
                </c:pt>
                <c:pt idx="3">
                  <c:v>1.2</c:v>
                </c:pt>
                <c:pt idx="4">
                  <c:v>0.4</c:v>
                </c:pt>
                <c:pt idx="5">
                  <c:v>-0.6</c:v>
                </c:pt>
                <c:pt idx="6">
                  <c:v>-2.2000000000000002</c:v>
                </c:pt>
                <c:pt idx="7">
                  <c:v>-2.2000000000000002</c:v>
                </c:pt>
                <c:pt idx="8">
                  <c:v>-1.8</c:v>
                </c:pt>
                <c:pt idx="9">
                  <c:v>-2.2999999999999998</c:v>
                </c:pt>
              </c:numCache>
            </c:numRef>
          </c:val>
          <c:smooth val="0"/>
          <c:extLst xmlns:c16r2="http://schemas.microsoft.com/office/drawing/2015/06/chart">
            <c:ext xmlns:c16="http://schemas.microsoft.com/office/drawing/2014/chart" uri="{C3380CC4-5D6E-409C-BE32-E72D297353CC}">
              <c16:uniqueId val="{00000004-E9E2-46B6-A469-3DA49C8F9C3C}"/>
            </c:ext>
          </c:extLst>
        </c:ser>
        <c:ser>
          <c:idx val="7"/>
          <c:order val="5"/>
          <c:tx>
            <c:strRef>
              <c:f>'[demo_r_gind3 (3).xls]Data'!$A$170</c:f>
              <c:strCache>
                <c:ptCount val="1"/>
                <c:pt idx="0">
                  <c:v>Satu Mare</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(3).xls]Data'!$B$170:$K$170</c:f>
              <c:numCache>
                <c:formatCode>#,##0.0</c:formatCode>
                <c:ptCount val="10"/>
                <c:pt idx="0">
                  <c:v>-0.4</c:v>
                </c:pt>
                <c:pt idx="1">
                  <c:v>-0.5</c:v>
                </c:pt>
                <c:pt idx="2">
                  <c:v>0.1</c:v>
                </c:pt>
                <c:pt idx="3">
                  <c:v>-1.9</c:v>
                </c:pt>
                <c:pt idx="4">
                  <c:v>-0.5</c:v>
                </c:pt>
                <c:pt idx="5">
                  <c:v>-1</c:v>
                </c:pt>
                <c:pt idx="6">
                  <c:v>-2.6</c:v>
                </c:pt>
                <c:pt idx="7">
                  <c:v>-3</c:v>
                </c:pt>
                <c:pt idx="8">
                  <c:v>-3.7</c:v>
                </c:pt>
                <c:pt idx="9">
                  <c:v>-3.6</c:v>
                </c:pt>
              </c:numCache>
            </c:numRef>
          </c:val>
          <c:smooth val="0"/>
          <c:extLst xmlns:c16r2="http://schemas.microsoft.com/office/drawing/2015/06/chart">
            <c:ext xmlns:c16="http://schemas.microsoft.com/office/drawing/2014/chart" uri="{C3380CC4-5D6E-409C-BE32-E72D297353CC}">
              <c16:uniqueId val="{00000005-E9E2-46B6-A469-3DA49C8F9C3C}"/>
            </c:ext>
          </c:extLst>
        </c:ser>
        <c:ser>
          <c:idx val="8"/>
          <c:order val="6"/>
          <c:tx>
            <c:strRef>
              <c:f>'[demo_r_gind3 (3).xls]Data'!$A$171</c:f>
              <c:strCache>
                <c:ptCount val="1"/>
                <c:pt idx="0">
                  <c:v>Arad</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(3).xls]Data'!$B$171:$K$171</c:f>
              <c:numCache>
                <c:formatCode>#,##0.0</c:formatCode>
                <c:ptCount val="10"/>
                <c:pt idx="0">
                  <c:v>-0.1</c:v>
                </c:pt>
                <c:pt idx="1">
                  <c:v>3.4</c:v>
                </c:pt>
                <c:pt idx="2">
                  <c:v>1.1000000000000001</c:v>
                </c:pt>
                <c:pt idx="3">
                  <c:v>1.8</c:v>
                </c:pt>
                <c:pt idx="4">
                  <c:v>0.7</c:v>
                </c:pt>
                <c:pt idx="5">
                  <c:v>0.5</c:v>
                </c:pt>
                <c:pt idx="6">
                  <c:v>-0.9</c:v>
                </c:pt>
                <c:pt idx="7">
                  <c:v>-1</c:v>
                </c:pt>
                <c:pt idx="8">
                  <c:v>-1.3</c:v>
                </c:pt>
                <c:pt idx="9">
                  <c:v>-0.7</c:v>
                </c:pt>
              </c:numCache>
            </c:numRef>
          </c:val>
          <c:smooth val="0"/>
          <c:extLst xmlns:c16r2="http://schemas.microsoft.com/office/drawing/2015/06/chart">
            <c:ext xmlns:c16="http://schemas.microsoft.com/office/drawing/2014/chart" uri="{C3380CC4-5D6E-409C-BE32-E72D297353CC}">
              <c16:uniqueId val="{00000006-E9E2-46B6-A469-3DA49C8F9C3C}"/>
            </c:ext>
          </c:extLst>
        </c:ser>
        <c:ser>
          <c:idx val="9"/>
          <c:order val="7"/>
          <c:tx>
            <c:strRef>
              <c:f>'[demo_r_gind3 (3).xls]Data'!$A$172</c:f>
              <c:strCache>
                <c:ptCount val="1"/>
                <c:pt idx="0">
                  <c:v>Timis</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'[demo_r_gind3 (3).xls]Data'!$B$162:$K$162</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'[demo_r_gind3 (3).xls]Data'!$B$172:$K$172</c:f>
              <c:numCache>
                <c:formatCode>#,##0.0</c:formatCode>
                <c:ptCount val="10"/>
                <c:pt idx="0">
                  <c:v>4.5999999999999996</c:v>
                </c:pt>
                <c:pt idx="1">
                  <c:v>0.8</c:v>
                </c:pt>
                <c:pt idx="2">
                  <c:v>4.2</c:v>
                </c:pt>
                <c:pt idx="3">
                  <c:v>8.6</c:v>
                </c:pt>
                <c:pt idx="4">
                  <c:v>4.7</c:v>
                </c:pt>
                <c:pt idx="5">
                  <c:v>4.5</c:v>
                </c:pt>
                <c:pt idx="6">
                  <c:v>2.7</c:v>
                </c:pt>
                <c:pt idx="7">
                  <c:v>2.2000000000000002</c:v>
                </c:pt>
                <c:pt idx="8">
                  <c:v>5.3</c:v>
                </c:pt>
                <c:pt idx="9">
                  <c:v>5.0999999999999996</c:v>
                </c:pt>
              </c:numCache>
            </c:numRef>
          </c:val>
          <c:smooth val="0"/>
          <c:extLst xmlns:c16r2="http://schemas.microsoft.com/office/drawing/2015/06/chart">
            <c:ext xmlns:c16="http://schemas.microsoft.com/office/drawing/2014/chart" uri="{C3380CC4-5D6E-409C-BE32-E72D297353CC}">
              <c16:uniqueId val="{00000007-E9E2-46B6-A469-3DA49C8F9C3C}"/>
            </c:ext>
          </c:extLst>
        </c:ser>
        <c:dLbls>
          <c:showLegendKey val="0"/>
          <c:showVal val="0"/>
          <c:showCatName val="0"/>
          <c:showSerName val="0"/>
          <c:showPercent val="0"/>
          <c:showBubbleSize val="0"/>
        </c:dLbls>
        <c:marker val="1"/>
        <c:smooth val="0"/>
        <c:axId val="707705584"/>
        <c:axId val="707704016"/>
      </c:lineChart>
      <c:catAx>
        <c:axId val="7077055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o-RO"/>
          </a:p>
        </c:txPr>
        <c:crossAx val="707704016"/>
        <c:crosses val="autoZero"/>
        <c:auto val="1"/>
        <c:lblAlgn val="ctr"/>
        <c:lblOffset val="100"/>
        <c:noMultiLvlLbl val="0"/>
      </c:catAx>
      <c:valAx>
        <c:axId val="7077040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o-RO"/>
          </a:p>
        </c:txPr>
        <c:crossAx val="707705584"/>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Sheet2!$A$148</c:f>
              <c:strCache>
                <c:ptCount val="1"/>
                <c:pt idx="0">
                  <c:v>Hajdú-Bihar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Sheet2!$B$148:$K$148</c:f>
              <c:numCache>
                <c:formatCode>0.0</c:formatCode>
                <c:ptCount val="10"/>
                <c:pt idx="0">
                  <c:v>-1.7337031900138697</c:v>
                </c:pt>
                <c:pt idx="1">
                  <c:v>-1.4779289781229563</c:v>
                </c:pt>
                <c:pt idx="2">
                  <c:v>-1.6083783913992522</c:v>
                </c:pt>
                <c:pt idx="3">
                  <c:v>-1.6045575322199568</c:v>
                </c:pt>
                <c:pt idx="4">
                  <c:v>-1.3946563418995404</c:v>
                </c:pt>
                <c:pt idx="5">
                  <c:v>-2.5208199337543347</c:v>
                </c:pt>
                <c:pt idx="6">
                  <c:v>-2.2949440502691392</c:v>
                </c:pt>
                <c:pt idx="7">
                  <c:v>-2.69171959758792</c:v>
                </c:pt>
                <c:pt idx="8">
                  <c:v>-2.8155575048037282</c:v>
                </c:pt>
                <c:pt idx="9">
                  <c:v>-2.5713337757133377</c:v>
                </c:pt>
              </c:numCache>
            </c:numRef>
          </c:val>
          <c:smooth val="0"/>
          <c:extLst xmlns:c16r2="http://schemas.microsoft.com/office/drawing/2015/06/chart">
            <c:ext xmlns:c16="http://schemas.microsoft.com/office/drawing/2014/chart" uri="{C3380CC4-5D6E-409C-BE32-E72D297353CC}">
              <c16:uniqueId val="{00000000-14B4-40AD-A8C4-874BABD18197}"/>
            </c:ext>
          </c:extLst>
        </c:ser>
        <c:ser>
          <c:idx val="1"/>
          <c:order val="1"/>
          <c:tx>
            <c:strRef>
              <c:f>Sheet2!$A$149</c:f>
              <c:strCache>
                <c:ptCount val="1"/>
                <c:pt idx="0">
                  <c:v>Szabolcs-Szatmár-Bereg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Sheet2!$B$149:$K$149</c:f>
              <c:numCache>
                <c:formatCode>0.0</c:formatCode>
                <c:ptCount val="10"/>
                <c:pt idx="0">
                  <c:v>-3.4970972500822533</c:v>
                </c:pt>
                <c:pt idx="1">
                  <c:v>-3.0333904919267201</c:v>
                </c:pt>
                <c:pt idx="2">
                  <c:v>-3.2223454354306784</c:v>
                </c:pt>
                <c:pt idx="3">
                  <c:v>-2.9434812680319182</c:v>
                </c:pt>
                <c:pt idx="4">
                  <c:v>-3.1952282698752601</c:v>
                </c:pt>
                <c:pt idx="5">
                  <c:v>-3.8512306302872035</c:v>
                </c:pt>
                <c:pt idx="6">
                  <c:v>-4.2232958778854002</c:v>
                </c:pt>
                <c:pt idx="7">
                  <c:v>-5.0632686587044358</c:v>
                </c:pt>
                <c:pt idx="8">
                  <c:v>-5.9993808468165213</c:v>
                </c:pt>
                <c:pt idx="9">
                  <c:v>-6.6014639274591165</c:v>
                </c:pt>
              </c:numCache>
            </c:numRef>
          </c:val>
          <c:smooth val="0"/>
          <c:extLst xmlns:c16r2="http://schemas.microsoft.com/office/drawing/2015/06/chart">
            <c:ext xmlns:c16="http://schemas.microsoft.com/office/drawing/2014/chart" uri="{C3380CC4-5D6E-409C-BE32-E72D297353CC}">
              <c16:uniqueId val="{00000001-14B4-40AD-A8C4-874BABD18197}"/>
            </c:ext>
          </c:extLst>
        </c:ser>
        <c:ser>
          <c:idx val="2"/>
          <c:order val="2"/>
          <c:tx>
            <c:strRef>
              <c:f>Sheet2!$A$150</c:f>
              <c:strCache>
                <c:ptCount val="1"/>
                <c:pt idx="0">
                  <c:v>Békés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Sheet2!$B$150:$K$150</c:f>
              <c:numCache>
                <c:formatCode>0.0</c:formatCode>
                <c:ptCount val="10"/>
                <c:pt idx="0">
                  <c:v>-2.5691987008580153</c:v>
                </c:pt>
                <c:pt idx="1">
                  <c:v>-2.3898121978633555</c:v>
                </c:pt>
                <c:pt idx="2">
                  <c:v>-2.3106561047202616</c:v>
                </c:pt>
                <c:pt idx="3">
                  <c:v>-1.5082914669857885</c:v>
                </c:pt>
                <c:pt idx="4">
                  <c:v>-1.7402054277703374</c:v>
                </c:pt>
                <c:pt idx="5">
                  <c:v>-2.7899853321659123</c:v>
                </c:pt>
                <c:pt idx="6">
                  <c:v>-2.0219394671192772</c:v>
                </c:pt>
                <c:pt idx="7">
                  <c:v>-3.5872966478225541</c:v>
                </c:pt>
                <c:pt idx="8">
                  <c:v>-3.5918910868536784</c:v>
                </c:pt>
                <c:pt idx="9">
                  <c:v>-3.5677834479698247</c:v>
                </c:pt>
              </c:numCache>
            </c:numRef>
          </c:val>
          <c:smooth val="0"/>
          <c:extLst xmlns:c16r2="http://schemas.microsoft.com/office/drawing/2015/06/chart">
            <c:ext xmlns:c16="http://schemas.microsoft.com/office/drawing/2014/chart" uri="{C3380CC4-5D6E-409C-BE32-E72D297353CC}">
              <c16:uniqueId val="{00000002-14B4-40AD-A8C4-874BABD18197}"/>
            </c:ext>
          </c:extLst>
        </c:ser>
        <c:ser>
          <c:idx val="3"/>
          <c:order val="3"/>
          <c:tx>
            <c:strRef>
              <c:f>Sheet2!$A$151</c:f>
              <c:strCache>
                <c:ptCount val="1"/>
                <c:pt idx="0">
                  <c:v>Csongrád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Sheet2!$B$151:$K$151</c:f>
              <c:numCache>
                <c:formatCode>0.0</c:formatCode>
                <c:ptCount val="10"/>
                <c:pt idx="0">
                  <c:v>-0.55447282611260273</c:v>
                </c:pt>
                <c:pt idx="1">
                  <c:v>-0.21264530762687836</c:v>
                </c:pt>
                <c:pt idx="2">
                  <c:v>-7.586048308903888E-2</c:v>
                </c:pt>
                <c:pt idx="3">
                  <c:v>-5.5857238612409051E-2</c:v>
                </c:pt>
                <c:pt idx="4">
                  <c:v>-0.8521111113823977</c:v>
                </c:pt>
                <c:pt idx="5">
                  <c:v>-0.38292639221972119</c:v>
                </c:pt>
                <c:pt idx="6">
                  <c:v>-1.161974864908113</c:v>
                </c:pt>
                <c:pt idx="7">
                  <c:v>-1.1027075673924922</c:v>
                </c:pt>
                <c:pt idx="8">
                  <c:v>-0.19179563054681681</c:v>
                </c:pt>
                <c:pt idx="9">
                  <c:v>-1.2242715584227384</c:v>
                </c:pt>
              </c:numCache>
            </c:numRef>
          </c:val>
          <c:smooth val="0"/>
          <c:extLst xmlns:c16r2="http://schemas.microsoft.com/office/drawing/2015/06/chart">
            <c:ext xmlns:c16="http://schemas.microsoft.com/office/drawing/2014/chart" uri="{C3380CC4-5D6E-409C-BE32-E72D297353CC}">
              <c16:uniqueId val="{00000003-14B4-40AD-A8C4-874BABD18197}"/>
            </c:ext>
          </c:extLst>
        </c:ser>
        <c:ser>
          <c:idx val="4"/>
          <c:order val="4"/>
          <c:tx>
            <c:strRef>
              <c:f>Sheet2!$A$152</c:f>
              <c:strCache>
                <c:ptCount val="1"/>
                <c:pt idx="0">
                  <c:v>Bihor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Sheet2!$B$152:$K$152</c:f>
              <c:numCache>
                <c:formatCode>0.0</c:formatCode>
                <c:ptCount val="10"/>
                <c:pt idx="0">
                  <c:v>-6.9069382721872755E-2</c:v>
                </c:pt>
                <c:pt idx="1">
                  <c:v>-2.1924018099120174E-2</c:v>
                </c:pt>
                <c:pt idx="2">
                  <c:v>-0.236071367746918</c:v>
                </c:pt>
                <c:pt idx="3">
                  <c:v>-0.203219906518843</c:v>
                </c:pt>
                <c:pt idx="4">
                  <c:v>-0.23641072887513689</c:v>
                </c:pt>
                <c:pt idx="5">
                  <c:v>-0.12201690457057894</c:v>
                </c:pt>
                <c:pt idx="6">
                  <c:v>-0.1643485938579084</c:v>
                </c:pt>
                <c:pt idx="7">
                  <c:v>-0.38139160481502504</c:v>
                </c:pt>
                <c:pt idx="8">
                  <c:v>-0.1977565228753092</c:v>
                </c:pt>
                <c:pt idx="9">
                  <c:v>-0.3988590857440672</c:v>
                </c:pt>
              </c:numCache>
            </c:numRef>
          </c:val>
          <c:smooth val="0"/>
          <c:extLst xmlns:c16r2="http://schemas.microsoft.com/office/drawing/2015/06/chart">
            <c:ext xmlns:c16="http://schemas.microsoft.com/office/drawing/2014/chart" uri="{C3380CC4-5D6E-409C-BE32-E72D297353CC}">
              <c16:uniqueId val="{00000004-14B4-40AD-A8C4-874BABD18197}"/>
            </c:ext>
          </c:extLst>
        </c:ser>
        <c:ser>
          <c:idx val="5"/>
          <c:order val="5"/>
          <c:tx>
            <c:strRef>
              <c:f>Sheet2!$A$153</c:f>
              <c:strCache>
                <c:ptCount val="1"/>
                <c:pt idx="0">
                  <c:v>Satu Mare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Sheet2!$B$153:$K$153</c:f>
              <c:numCache>
                <c:formatCode>0.0</c:formatCode>
                <c:ptCount val="10"/>
                <c:pt idx="0">
                  <c:v>-0.19151427602131826</c:v>
                </c:pt>
                <c:pt idx="1">
                  <c:v>-0.1865072943551373</c:v>
                </c:pt>
                <c:pt idx="2">
                  <c:v>-0.57498459371423538</c:v>
                </c:pt>
                <c:pt idx="3">
                  <c:v>-0.56181410648269436</c:v>
                </c:pt>
                <c:pt idx="4">
                  <c:v>-0.64889891791720988</c:v>
                </c:pt>
                <c:pt idx="5">
                  <c:v>-0.38124732393705318</c:v>
                </c:pt>
                <c:pt idx="6">
                  <c:v>-0.91177006923570136</c:v>
                </c:pt>
                <c:pt idx="7">
                  <c:v>-0.95510983763132762</c:v>
                </c:pt>
                <c:pt idx="8">
                  <c:v>-0.85881804052789079</c:v>
                </c:pt>
                <c:pt idx="9">
                  <c:v>-0.98602238569610179</c:v>
                </c:pt>
              </c:numCache>
            </c:numRef>
          </c:val>
          <c:smooth val="0"/>
          <c:extLst xmlns:c16r2="http://schemas.microsoft.com/office/drawing/2015/06/chart">
            <c:ext xmlns:c16="http://schemas.microsoft.com/office/drawing/2014/chart" uri="{C3380CC4-5D6E-409C-BE32-E72D297353CC}">
              <c16:uniqueId val="{00000005-14B4-40AD-A8C4-874BABD18197}"/>
            </c:ext>
          </c:extLst>
        </c:ser>
        <c:ser>
          <c:idx val="6"/>
          <c:order val="6"/>
          <c:tx>
            <c:strRef>
              <c:f>Sheet2!$A$154</c:f>
              <c:strCache>
                <c:ptCount val="1"/>
                <c:pt idx="0">
                  <c:v>Arad</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Sheet2!$B$154:$K$154</c:f>
              <c:numCache>
                <c:formatCode>0.0</c:formatCode>
                <c:ptCount val="10"/>
                <c:pt idx="0">
                  <c:v>-0.25803291450363652</c:v>
                </c:pt>
                <c:pt idx="1">
                  <c:v>-0.17124904221288892</c:v>
                </c:pt>
                <c:pt idx="2">
                  <c:v>-0.41966400513264457</c:v>
                </c:pt>
                <c:pt idx="3">
                  <c:v>-0.77783427718298614</c:v>
                </c:pt>
                <c:pt idx="4">
                  <c:v>-0.62147221414023857</c:v>
                </c:pt>
                <c:pt idx="5">
                  <c:v>-0.37852766756859063</c:v>
                </c:pt>
                <c:pt idx="6">
                  <c:v>-0.54870456479989871</c:v>
                </c:pt>
                <c:pt idx="7">
                  <c:v>-0.84890644343571298</c:v>
                </c:pt>
                <c:pt idx="8">
                  <c:v>-0.80342224697531661</c:v>
                </c:pt>
                <c:pt idx="9">
                  <c:v>-0.93475772605875618</c:v>
                </c:pt>
              </c:numCache>
            </c:numRef>
          </c:val>
          <c:smooth val="0"/>
          <c:extLst xmlns:c16r2="http://schemas.microsoft.com/office/drawing/2015/06/chart">
            <c:ext xmlns:c16="http://schemas.microsoft.com/office/drawing/2014/chart" uri="{C3380CC4-5D6E-409C-BE32-E72D297353CC}">
              <c16:uniqueId val="{00000006-14B4-40AD-A8C4-874BABD18197}"/>
            </c:ext>
          </c:extLst>
        </c:ser>
        <c:ser>
          <c:idx val="7"/>
          <c:order val="7"/>
          <c:tx>
            <c:strRef>
              <c:f>Sheet2!$A$155</c:f>
              <c:strCache>
                <c:ptCount val="1"/>
                <c:pt idx="0">
                  <c:v>Timis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Sheet2!$B$147:$K$147</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Sheet2!$B$155:$K$155</c:f>
              <c:numCache>
                <c:formatCode>0.0</c:formatCode>
                <c:ptCount val="10"/>
                <c:pt idx="0">
                  <c:v>-0.33857708912413503</c:v>
                </c:pt>
                <c:pt idx="1">
                  <c:v>-0.33588933330386933</c:v>
                </c:pt>
                <c:pt idx="2">
                  <c:v>-1.0112818365821623</c:v>
                </c:pt>
                <c:pt idx="3">
                  <c:v>-0.99442857538628882</c:v>
                </c:pt>
                <c:pt idx="4">
                  <c:v>-1.0206105422554479</c:v>
                </c:pt>
                <c:pt idx="5">
                  <c:v>-0.42994990650753712</c:v>
                </c:pt>
                <c:pt idx="6">
                  <c:v>-0.65267488883681546</c:v>
                </c:pt>
                <c:pt idx="7">
                  <c:v>-1.1855551728097371</c:v>
                </c:pt>
                <c:pt idx="8">
                  <c:v>-1.1199250709978075</c:v>
                </c:pt>
                <c:pt idx="9">
                  <c:v>-1.1703509199585458</c:v>
                </c:pt>
              </c:numCache>
            </c:numRef>
          </c:val>
          <c:smooth val="0"/>
          <c:extLst xmlns:c16r2="http://schemas.microsoft.com/office/drawing/2015/06/chart">
            <c:ext xmlns:c16="http://schemas.microsoft.com/office/drawing/2014/chart" uri="{C3380CC4-5D6E-409C-BE32-E72D297353CC}">
              <c16:uniqueId val="{00000007-14B4-40AD-A8C4-874BABD18197}"/>
            </c:ext>
          </c:extLst>
        </c:ser>
        <c:dLbls>
          <c:showLegendKey val="0"/>
          <c:showVal val="0"/>
          <c:showCatName val="0"/>
          <c:showSerName val="0"/>
          <c:showPercent val="0"/>
          <c:showBubbleSize val="0"/>
        </c:dLbls>
        <c:marker val="1"/>
        <c:smooth val="0"/>
        <c:axId val="707704408"/>
        <c:axId val="707706368"/>
      </c:lineChart>
      <c:catAx>
        <c:axId val="7077044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o-RO"/>
          </a:p>
        </c:txPr>
        <c:crossAx val="707706368"/>
        <c:crosses val="autoZero"/>
        <c:auto val="1"/>
        <c:lblAlgn val="ctr"/>
        <c:lblOffset val="100"/>
        <c:noMultiLvlLbl val="0"/>
      </c:catAx>
      <c:valAx>
        <c:axId val="7077063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o-RO"/>
          </a:p>
        </c:txPr>
        <c:crossAx val="707704408"/>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en-GB" sz="900" b="1"/>
              <a:t>Share</a:t>
            </a:r>
            <a:r>
              <a:rPr lang="en-GB" sz="900" b="1" baseline="0"/>
              <a:t> distribution</a:t>
            </a:r>
            <a:r>
              <a:rPr lang="en-GB" sz="900" b="1"/>
              <a:t> of university students (of total enrollment</a:t>
            </a:r>
            <a:r>
              <a:rPr lang="en-GB" sz="900" b="1" baseline="0"/>
              <a:t> across the</a:t>
            </a:r>
            <a:r>
              <a:rPr lang="en-GB" sz="900" b="1"/>
              <a:t> PA)</a:t>
            </a:r>
          </a:p>
        </c:rich>
      </c:tx>
      <c:layout>
        <c:manualLayout>
          <c:xMode val="edge"/>
          <c:yMode val="edge"/>
          <c:x val="0.10949669027220654"/>
          <c:y val="1.2330456226880395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9556446953564766"/>
          <c:y val="0.12922318125770654"/>
          <c:w val="0.61725680516350556"/>
          <c:h val="0.60507911233660538"/>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541-4878-84FE-03F043D1DE7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541-4878-84FE-03F043D1DE7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541-4878-84FE-03F043D1DE7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541-4878-84FE-03F043D1DE7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6541-4878-84FE-03F043D1DE7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6541-4878-84FE-03F043D1DE77}"/>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6541-4878-84FE-03F043D1DE77}"/>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6541-4878-84FE-03F043D1DE77}"/>
              </c:ext>
            </c:extLst>
          </c:dPt>
          <c:dLbls>
            <c:dLbl>
              <c:idx val="4"/>
              <c:layout>
                <c:manualLayout>
                  <c:x val="-0.15324155235312567"/>
                  <c:y val="-0.10724195850364582"/>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ro-RO"/>
                </a:p>
              </c:txPr>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6541-4878-84FE-03F043D1DE77}"/>
                </c:ext>
                <c:ext xmlns:c15="http://schemas.microsoft.com/office/drawing/2012/chart" uri="{CE6537A1-D6FC-4f65-9D91-7224C49458BB}"/>
              </c:extLst>
            </c:dLbl>
            <c:dLbl>
              <c:idx val="5"/>
              <c:layout>
                <c:manualLayout>
                  <c:x val="-5.3398042225853842E-3"/>
                  <c:y val="-2.950733192876168E-2"/>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ro-RO"/>
                </a:p>
              </c:txPr>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B-6541-4878-84FE-03F043D1DE7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ro-RO"/>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Sheet5!$C$5:$C$12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Sheet5!$D$5:$D$12</c:f>
              <c:numCache>
                <c:formatCode>General</c:formatCode>
                <c:ptCount val="8"/>
                <c:pt idx="0">
                  <c:v>9671</c:v>
                </c:pt>
                <c:pt idx="1">
                  <c:v>9073</c:v>
                </c:pt>
                <c:pt idx="2">
                  <c:v>4956</c:v>
                </c:pt>
                <c:pt idx="3">
                  <c:v>7630</c:v>
                </c:pt>
                <c:pt idx="4">
                  <c:v>16340</c:v>
                </c:pt>
                <c:pt idx="5">
                  <c:v>973</c:v>
                </c:pt>
                <c:pt idx="6">
                  <c:v>9028</c:v>
                </c:pt>
                <c:pt idx="7">
                  <c:v>41379</c:v>
                </c:pt>
              </c:numCache>
            </c:numRef>
          </c:val>
          <c:extLst xmlns:c16r2="http://schemas.microsoft.com/office/drawing/2015/06/chart">
            <c:ext xmlns:c16="http://schemas.microsoft.com/office/drawing/2014/chart" uri="{C3380CC4-5D6E-409C-BE32-E72D297353CC}">
              <c16:uniqueId val="{00000010-6541-4878-84FE-03F043D1DE77}"/>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6.8690140147575907E-2"/>
          <c:y val="0.76885216721522653"/>
          <c:w val="0.88358408029185032"/>
          <c:h val="0.2064869203310128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45392749903603E-2"/>
          <c:y val="3.8421236465246242E-2"/>
          <c:w val="0.89417204192263466"/>
          <c:h val="0.60471612646052375"/>
        </c:manualLayout>
      </c:layout>
      <c:barChart>
        <c:barDir val="col"/>
        <c:grouping val="stacked"/>
        <c:varyColors val="0"/>
        <c:ser>
          <c:idx val="0"/>
          <c:order val="0"/>
          <c:tx>
            <c:strRef>
              <c:f>Sheet3!$X$3</c:f>
              <c:strCache>
                <c:ptCount val="1"/>
                <c:pt idx="0">
                  <c:v>early education + preprimary education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Sheet3!$W$4:$W$11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Sheet3!$X$4:$X$11</c:f>
              <c:numCache>
                <c:formatCode>0.0</c:formatCode>
                <c:ptCount val="8"/>
                <c:pt idx="0">
                  <c:v>19.911234039816037</c:v>
                </c:pt>
                <c:pt idx="1">
                  <c:v>20.633111099801514</c:v>
                </c:pt>
                <c:pt idx="2">
                  <c:v>18.741701756382533</c:v>
                </c:pt>
                <c:pt idx="3">
                  <c:v>18.649305451381597</c:v>
                </c:pt>
                <c:pt idx="4">
                  <c:v>18.159196492178641</c:v>
                </c:pt>
                <c:pt idx="5">
                  <c:v>21.774514485832537</c:v>
                </c:pt>
                <c:pt idx="6">
                  <c:v>17.855291881959388</c:v>
                </c:pt>
                <c:pt idx="7">
                  <c:v>15.294163424124513</c:v>
                </c:pt>
              </c:numCache>
            </c:numRef>
          </c:val>
          <c:extLst xmlns:c16r2="http://schemas.microsoft.com/office/drawing/2015/06/chart">
            <c:ext xmlns:c16="http://schemas.microsoft.com/office/drawing/2014/chart" uri="{C3380CC4-5D6E-409C-BE32-E72D297353CC}">
              <c16:uniqueId val="{00000000-0AD1-4429-A969-1D8B4E133A6E}"/>
            </c:ext>
          </c:extLst>
        </c:ser>
        <c:ser>
          <c:idx val="1"/>
          <c:order val="1"/>
          <c:tx>
            <c:strRef>
              <c:f>Sheet3!$Y$3</c:f>
              <c:strCache>
                <c:ptCount val="1"/>
                <c:pt idx="0">
                  <c:v>primary + lower secundary education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Sheet3!$W$4:$W$11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Sheet3!$Y$4:$Y$11</c:f>
              <c:numCache>
                <c:formatCode>0.0</c:formatCode>
                <c:ptCount val="8"/>
                <c:pt idx="0">
                  <c:v>43.106165374843215</c:v>
                </c:pt>
                <c:pt idx="1">
                  <c:v>46.142806249681918</c:v>
                </c:pt>
                <c:pt idx="2">
                  <c:v>43.685747885133338</c:v>
                </c:pt>
                <c:pt idx="3">
                  <c:v>41.611412798895927</c:v>
                </c:pt>
                <c:pt idx="4">
                  <c:v>50.571425704624588</c:v>
                </c:pt>
                <c:pt idx="5">
                  <c:v>57.971187519898123</c:v>
                </c:pt>
                <c:pt idx="6">
                  <c:v>53.763761720038318</c:v>
                </c:pt>
                <c:pt idx="7">
                  <c:v>40.866926070038915</c:v>
                </c:pt>
              </c:numCache>
            </c:numRef>
          </c:val>
          <c:extLst xmlns:c16r2="http://schemas.microsoft.com/office/drawing/2015/06/chart">
            <c:ext xmlns:c16="http://schemas.microsoft.com/office/drawing/2014/chart" uri="{C3380CC4-5D6E-409C-BE32-E72D297353CC}">
              <c16:uniqueId val="{00000001-0AD1-4429-A969-1D8B4E133A6E}"/>
            </c:ext>
          </c:extLst>
        </c:ser>
        <c:ser>
          <c:idx val="2"/>
          <c:order val="2"/>
          <c:tx>
            <c:strRef>
              <c:f>Sheet3!$Z$3</c:f>
              <c:strCache>
                <c:ptCount val="1"/>
                <c:pt idx="0">
                  <c:v>highschool education + vocational education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Sheet3!$W$4:$W$11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Sheet3!$Z$4:$Z$11</c:f>
              <c:numCache>
                <c:formatCode>0.0</c:formatCode>
                <c:ptCount val="8"/>
                <c:pt idx="0">
                  <c:v>15.761318195949785</c:v>
                </c:pt>
                <c:pt idx="1">
                  <c:v>15.310702834749859</c:v>
                </c:pt>
                <c:pt idx="2">
                  <c:v>16.577519820947611</c:v>
                </c:pt>
                <c:pt idx="3">
                  <c:v>15.520086406048422</c:v>
                </c:pt>
                <c:pt idx="4">
                  <c:v>12.586416222670399</c:v>
                </c:pt>
                <c:pt idx="5">
                  <c:v>14.676854504934733</c:v>
                </c:pt>
                <c:pt idx="6">
                  <c:v>11.88886969359069</c:v>
                </c:pt>
                <c:pt idx="7">
                  <c:v>9.2451361867704271</c:v>
                </c:pt>
              </c:numCache>
            </c:numRef>
          </c:val>
          <c:extLst xmlns:c16r2="http://schemas.microsoft.com/office/drawing/2015/06/chart">
            <c:ext xmlns:c16="http://schemas.microsoft.com/office/drawing/2014/chart" uri="{C3380CC4-5D6E-409C-BE32-E72D297353CC}">
              <c16:uniqueId val="{00000002-0AD1-4429-A969-1D8B4E133A6E}"/>
            </c:ext>
          </c:extLst>
        </c:ser>
        <c:ser>
          <c:idx val="3"/>
          <c:order val="3"/>
          <c:tx>
            <c:strRef>
              <c:f>Sheet3!$AA$3</c:f>
              <c:strCache>
                <c:ptCount val="1"/>
                <c:pt idx="0">
                  <c:v>post-secondary non-tertiary education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Sheet3!$W$4:$W$11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Sheet3!$AA$4:$AA$11</c:f>
              <c:numCache>
                <c:formatCode>0.0</c:formatCode>
                <c:ptCount val="8"/>
                <c:pt idx="0">
                  <c:v>10.853461122010314</c:v>
                </c:pt>
                <c:pt idx="1">
                  <c:v>8.6783042394014966</c:v>
                </c:pt>
                <c:pt idx="2">
                  <c:v>11.594780167671939</c:v>
                </c:pt>
                <c:pt idx="3">
                  <c:v>12.77339413758963</c:v>
                </c:pt>
                <c:pt idx="4">
                  <c:v>2.2877095812889436</c:v>
                </c:pt>
                <c:pt idx="5">
                  <c:v>3.6413562559694364</c:v>
                </c:pt>
                <c:pt idx="6">
                  <c:v>2.3133824383961805</c:v>
                </c:pt>
                <c:pt idx="7">
                  <c:v>2.3922178988326848</c:v>
                </c:pt>
              </c:numCache>
            </c:numRef>
          </c:val>
          <c:extLst xmlns:c16r2="http://schemas.microsoft.com/office/drawing/2015/06/chart">
            <c:ext xmlns:c16="http://schemas.microsoft.com/office/drawing/2014/chart" uri="{C3380CC4-5D6E-409C-BE32-E72D297353CC}">
              <c16:uniqueId val="{00000003-0AD1-4429-A969-1D8B4E133A6E}"/>
            </c:ext>
          </c:extLst>
        </c:ser>
        <c:ser>
          <c:idx val="4"/>
          <c:order val="4"/>
          <c:tx>
            <c:strRef>
              <c:f>Sheet3!$AB$3</c:f>
              <c:strCache>
                <c:ptCount val="1"/>
                <c:pt idx="0">
                  <c:v>tertiary education (public and private)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Sheet3!$W$4:$W$11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Sheet3!$AB$4:$AB$11</c:f>
              <c:numCache>
                <c:formatCode>0.0</c:formatCode>
                <c:ptCount val="8"/>
                <c:pt idx="0">
                  <c:v>10.367821267380654</c:v>
                </c:pt>
                <c:pt idx="1">
                  <c:v>9.2350755763652099</c:v>
                </c:pt>
                <c:pt idx="2">
                  <c:v>9.4002503698645725</c:v>
                </c:pt>
                <c:pt idx="3">
                  <c:v>11.445801206084425</c:v>
                </c:pt>
                <c:pt idx="4">
                  <c:v>16.395251999237431</c:v>
                </c:pt>
                <c:pt idx="5">
                  <c:v>1.9360872333651704</c:v>
                </c:pt>
                <c:pt idx="6">
                  <c:v>14.178694266015423</c:v>
                </c:pt>
                <c:pt idx="7">
                  <c:v>32.201556420233466</c:v>
                </c:pt>
              </c:numCache>
            </c:numRef>
          </c:val>
          <c:extLst xmlns:c16r2="http://schemas.microsoft.com/office/drawing/2015/06/chart">
            <c:ext xmlns:c16="http://schemas.microsoft.com/office/drawing/2014/chart" uri="{C3380CC4-5D6E-409C-BE32-E72D297353CC}">
              <c16:uniqueId val="{00000004-0AD1-4429-A969-1D8B4E133A6E}"/>
            </c:ext>
          </c:extLst>
        </c:ser>
        <c:dLbls>
          <c:showLegendKey val="0"/>
          <c:showVal val="0"/>
          <c:showCatName val="0"/>
          <c:showSerName val="0"/>
          <c:showPercent val="0"/>
          <c:showBubbleSize val="0"/>
        </c:dLbls>
        <c:gapWidth val="150"/>
        <c:overlap val="100"/>
        <c:axId val="707703232"/>
        <c:axId val="707761872"/>
      </c:barChart>
      <c:catAx>
        <c:axId val="70770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761872"/>
        <c:crosses val="autoZero"/>
        <c:auto val="1"/>
        <c:lblAlgn val="ctr"/>
        <c:lblOffset val="100"/>
        <c:noMultiLvlLbl val="0"/>
      </c:catAx>
      <c:valAx>
        <c:axId val="7077618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703232"/>
        <c:crosses val="autoZero"/>
        <c:crossBetween val="between"/>
      </c:valAx>
      <c:spPr>
        <a:noFill/>
        <a:ln>
          <a:noFill/>
        </a:ln>
        <a:effectLst/>
      </c:spPr>
    </c:plotArea>
    <c:legend>
      <c:legendPos val="b"/>
      <c:layout>
        <c:manualLayout>
          <c:xMode val="edge"/>
          <c:yMode val="edge"/>
          <c:x val="3.5888347289922094E-2"/>
          <c:y val="0.87289174651985069"/>
          <c:w val="0.93477698621005711"/>
          <c:h val="0.1077378641279307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a:t>Number of educational</a:t>
            </a:r>
            <a:r>
              <a:rPr lang="ro-RO" sz="1100" baseline="0"/>
              <a:t> institutions</a:t>
            </a:r>
            <a:endParaRPr lang="en-GB"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Sheet3!$N$4</c:f>
              <c:strCache>
                <c:ptCount val="1"/>
                <c:pt idx="0">
                  <c:v>ISCED 0</c:v>
                </c:pt>
              </c:strCache>
            </c:strRef>
          </c:tx>
          <c:spPr>
            <a:solidFill>
              <a:schemeClr val="accent1"/>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Sheet3!$N$5:$N$12</c:f>
              <c:numCache>
                <c:formatCode>General</c:formatCode>
                <c:ptCount val="8"/>
                <c:pt idx="0">
                  <c:v>204</c:v>
                </c:pt>
                <c:pt idx="1">
                  <c:v>297</c:v>
                </c:pt>
                <c:pt idx="2">
                  <c:v>171</c:v>
                </c:pt>
                <c:pt idx="3">
                  <c:v>168</c:v>
                </c:pt>
                <c:pt idx="4">
                  <c:v>35</c:v>
                </c:pt>
                <c:pt idx="5">
                  <c:v>23</c:v>
                </c:pt>
                <c:pt idx="6">
                  <c:v>19</c:v>
                </c:pt>
                <c:pt idx="7">
                  <c:v>53</c:v>
                </c:pt>
              </c:numCache>
            </c:numRef>
          </c:val>
          <c:extLst xmlns:c16r2="http://schemas.microsoft.com/office/drawing/2015/06/chart">
            <c:ext xmlns:c16="http://schemas.microsoft.com/office/drawing/2014/chart" uri="{C3380CC4-5D6E-409C-BE32-E72D297353CC}">
              <c16:uniqueId val="{00000000-29C2-4783-B883-102CE3FF1AC7}"/>
            </c:ext>
          </c:extLst>
        </c:ser>
        <c:ser>
          <c:idx val="1"/>
          <c:order val="1"/>
          <c:tx>
            <c:strRef>
              <c:f>Sheet3!$O$4</c:f>
              <c:strCache>
                <c:ptCount val="1"/>
                <c:pt idx="0">
                  <c:v>ISCED 1 + 2</c:v>
                </c:pt>
              </c:strCache>
            </c:strRef>
          </c:tx>
          <c:spPr>
            <a:solidFill>
              <a:schemeClr val="accent2"/>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Sheet3!$O$5:$O$12</c:f>
              <c:numCache>
                <c:formatCode>General</c:formatCode>
                <c:ptCount val="8"/>
                <c:pt idx="0">
                  <c:v>190</c:v>
                </c:pt>
                <c:pt idx="1">
                  <c:v>246</c:v>
                </c:pt>
                <c:pt idx="2">
                  <c:v>138</c:v>
                </c:pt>
                <c:pt idx="3">
                  <c:v>127</c:v>
                </c:pt>
                <c:pt idx="4">
                  <c:v>111</c:v>
                </c:pt>
                <c:pt idx="5">
                  <c:v>77</c:v>
                </c:pt>
                <c:pt idx="6">
                  <c:v>89</c:v>
                </c:pt>
                <c:pt idx="7">
                  <c:v>120</c:v>
                </c:pt>
              </c:numCache>
            </c:numRef>
          </c:val>
          <c:extLst xmlns:c16r2="http://schemas.microsoft.com/office/drawing/2015/06/chart">
            <c:ext xmlns:c16="http://schemas.microsoft.com/office/drawing/2014/chart" uri="{C3380CC4-5D6E-409C-BE32-E72D297353CC}">
              <c16:uniqueId val="{00000001-29C2-4783-B883-102CE3FF1AC7}"/>
            </c:ext>
          </c:extLst>
        </c:ser>
        <c:ser>
          <c:idx val="2"/>
          <c:order val="2"/>
          <c:tx>
            <c:strRef>
              <c:f>Sheet3!$P$4</c:f>
              <c:strCache>
                <c:ptCount val="1"/>
                <c:pt idx="0">
                  <c:v>ISCED 3</c:v>
                </c:pt>
              </c:strCache>
            </c:strRef>
          </c:tx>
          <c:spPr>
            <a:solidFill>
              <a:schemeClr val="accent3"/>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Sheet3!$P$5:$P$12</c:f>
              <c:numCache>
                <c:formatCode>General</c:formatCode>
                <c:ptCount val="8"/>
                <c:pt idx="0">
                  <c:v>122</c:v>
                </c:pt>
                <c:pt idx="1">
                  <c:v>192</c:v>
                </c:pt>
                <c:pt idx="2">
                  <c:v>94</c:v>
                </c:pt>
                <c:pt idx="3">
                  <c:v>99</c:v>
                </c:pt>
                <c:pt idx="4">
                  <c:v>51</c:v>
                </c:pt>
                <c:pt idx="5">
                  <c:v>31</c:v>
                </c:pt>
                <c:pt idx="6">
                  <c:v>43</c:v>
                </c:pt>
                <c:pt idx="7">
                  <c:v>59</c:v>
                </c:pt>
              </c:numCache>
            </c:numRef>
          </c:val>
          <c:extLst xmlns:c16r2="http://schemas.microsoft.com/office/drawing/2015/06/chart">
            <c:ext xmlns:c16="http://schemas.microsoft.com/office/drawing/2014/chart" uri="{C3380CC4-5D6E-409C-BE32-E72D297353CC}">
              <c16:uniqueId val="{00000002-29C2-4783-B883-102CE3FF1AC7}"/>
            </c:ext>
          </c:extLst>
        </c:ser>
        <c:ser>
          <c:idx val="3"/>
          <c:order val="3"/>
          <c:tx>
            <c:strRef>
              <c:f>Sheet3!$Q$4</c:f>
              <c:strCache>
                <c:ptCount val="1"/>
                <c:pt idx="0">
                  <c:v>ISCED 4</c:v>
                </c:pt>
              </c:strCache>
            </c:strRef>
          </c:tx>
          <c:spPr>
            <a:solidFill>
              <a:schemeClr val="accent4"/>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Sheet3!$Q$5:$Q$12</c:f>
              <c:numCache>
                <c:formatCode>General</c:formatCode>
                <c:ptCount val="8"/>
                <c:pt idx="4">
                  <c:v>2</c:v>
                </c:pt>
                <c:pt idx="5">
                  <c:v>2</c:v>
                </c:pt>
                <c:pt idx="6">
                  <c:v>3</c:v>
                </c:pt>
                <c:pt idx="7">
                  <c:v>2</c:v>
                </c:pt>
              </c:numCache>
            </c:numRef>
          </c:val>
          <c:extLst xmlns:c16r2="http://schemas.microsoft.com/office/drawing/2015/06/chart">
            <c:ext xmlns:c16="http://schemas.microsoft.com/office/drawing/2014/chart" uri="{C3380CC4-5D6E-409C-BE32-E72D297353CC}">
              <c16:uniqueId val="{00000003-29C2-4783-B883-102CE3FF1AC7}"/>
            </c:ext>
          </c:extLst>
        </c:ser>
        <c:ser>
          <c:idx val="4"/>
          <c:order val="4"/>
          <c:tx>
            <c:strRef>
              <c:f>Sheet3!$R$4</c:f>
              <c:strCache>
                <c:ptCount val="1"/>
                <c:pt idx="0">
                  <c:v>ISCED 5 AND ABOVE</c:v>
                </c:pt>
              </c:strCache>
            </c:strRef>
          </c:tx>
          <c:spPr>
            <a:solidFill>
              <a:schemeClr val="accent5"/>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Sheet3!$R$5:$R$12</c:f>
              <c:numCache>
                <c:formatCode>General</c:formatCode>
                <c:ptCount val="8"/>
                <c:pt idx="0">
                  <c:v>2</c:v>
                </c:pt>
                <c:pt idx="1">
                  <c:v>2</c:v>
                </c:pt>
                <c:pt idx="2">
                  <c:v>1</c:v>
                </c:pt>
                <c:pt idx="3">
                  <c:v>2</c:v>
                </c:pt>
                <c:pt idx="4">
                  <c:v>4</c:v>
                </c:pt>
                <c:pt idx="5">
                  <c:v>0</c:v>
                </c:pt>
                <c:pt idx="6">
                  <c:v>2</c:v>
                </c:pt>
                <c:pt idx="7">
                  <c:v>7</c:v>
                </c:pt>
              </c:numCache>
            </c:numRef>
          </c:val>
          <c:extLst xmlns:c16r2="http://schemas.microsoft.com/office/drawing/2015/06/chart">
            <c:ext xmlns:c16="http://schemas.microsoft.com/office/drawing/2014/chart" uri="{C3380CC4-5D6E-409C-BE32-E72D297353CC}">
              <c16:uniqueId val="{00000004-29C2-4783-B883-102CE3FF1AC7}"/>
            </c:ext>
          </c:extLst>
        </c:ser>
        <c:dLbls>
          <c:showLegendKey val="0"/>
          <c:showVal val="0"/>
          <c:showCatName val="0"/>
          <c:showSerName val="0"/>
          <c:showPercent val="0"/>
          <c:showBubbleSize val="0"/>
        </c:dLbls>
        <c:gapWidth val="219"/>
        <c:overlap val="-27"/>
        <c:axId val="707763832"/>
        <c:axId val="707760696"/>
      </c:barChart>
      <c:catAx>
        <c:axId val="707763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760696"/>
        <c:crosses val="autoZero"/>
        <c:auto val="1"/>
        <c:lblAlgn val="ctr"/>
        <c:lblOffset val="100"/>
        <c:noMultiLvlLbl val="0"/>
      </c:catAx>
      <c:valAx>
        <c:axId val="707760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7763832"/>
        <c:crosses val="autoZero"/>
        <c:crossBetween val="between"/>
      </c:valAx>
      <c:spPr>
        <a:noFill/>
        <a:ln>
          <a:noFill/>
        </a:ln>
        <a:effectLst/>
      </c:spPr>
    </c:plotArea>
    <c:legend>
      <c:legendPos val="b"/>
      <c:layout>
        <c:manualLayout>
          <c:xMode val="edge"/>
          <c:yMode val="edge"/>
          <c:x val="2.1241461536550835E-2"/>
          <c:y val="0.94676027725636447"/>
          <c:w val="0.97875853846344918"/>
          <c:h val="2.8471920886050245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a:t>Average LAU 2 unit size (km</a:t>
            </a:r>
            <a:r>
              <a:rPr lang="en-US" baseline="30000"/>
              <a:t>2</a:t>
            </a:r>
            <a:r>
              <a:rPr lang="en-US"/>
              <a:t>)</a:t>
            </a:r>
          </a:p>
        </c:rich>
      </c:tx>
      <c:layout>
        <c:manualLayout>
          <c:xMode val="edge"/>
          <c:yMode val="edge"/>
          <c:x val="0.36225574282553524"/>
          <c:y val="2.4033747970219677E-2"/>
        </c:manualLayout>
      </c:layout>
      <c:overlay val="0"/>
      <c:spPr>
        <a:noFill/>
        <a:ln>
          <a:noFill/>
        </a:ln>
        <a:effectLst/>
      </c:spPr>
    </c:title>
    <c:autoTitleDeleted val="0"/>
    <c:plotArea>
      <c:layout>
        <c:manualLayout>
          <c:layoutTarget val="inner"/>
          <c:xMode val="edge"/>
          <c:yMode val="edge"/>
          <c:x val="3.1840177002668058E-2"/>
          <c:y val="0.13879431203685158"/>
          <c:w val="0.96754048719116725"/>
          <c:h val="0.59376704249517454"/>
        </c:manualLayout>
      </c:layout>
      <c:barChart>
        <c:barDir val="col"/>
        <c:grouping val="clustered"/>
        <c:varyColors val="0"/>
        <c:ser>
          <c:idx val="0"/>
          <c:order val="0"/>
          <c:tx>
            <c:strRef>
              <c:f>'5.1.2'!$P$12</c:f>
              <c:strCache>
                <c:ptCount val="1"/>
                <c:pt idx="0">
                  <c:v>Avgsize - LAU2 (km2)</c:v>
                </c:pt>
              </c:strCache>
            </c:strRef>
          </c:tx>
          <c:spPr>
            <a:solidFill>
              <a:schemeClr val="accent1"/>
            </a:solidFill>
            <a:ln>
              <a:noFill/>
            </a:ln>
            <a:effectLst/>
          </c:spPr>
          <c:invertIfNegative val="0"/>
          <c:dPt>
            <c:idx val="0"/>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1-C2AF-479E-A900-E8EBB144F085}"/>
              </c:ext>
            </c:extLst>
          </c:dPt>
          <c:dPt>
            <c:idx val="1"/>
            <c:invertIfNegative val="0"/>
            <c:bubble3D val="0"/>
            <c:spPr>
              <a:solidFill>
                <a:schemeClr val="accent3">
                  <a:lumMod val="50000"/>
                </a:schemeClr>
              </a:solidFill>
              <a:ln>
                <a:noFill/>
              </a:ln>
              <a:effectLst/>
            </c:spPr>
            <c:extLst xmlns:c16r2="http://schemas.microsoft.com/office/drawing/2015/06/chart">
              <c:ext xmlns:c16="http://schemas.microsoft.com/office/drawing/2014/chart" uri="{C3380CC4-5D6E-409C-BE32-E72D297353CC}">
                <c16:uniqueId val="{00000003-C2AF-479E-A900-E8EBB144F085}"/>
              </c:ext>
            </c:extLst>
          </c:dPt>
          <c:dPt>
            <c:idx val="2"/>
            <c:invertIfNegative val="0"/>
            <c:bubble3D val="0"/>
            <c:extLst xmlns:c16r2="http://schemas.microsoft.com/office/drawing/2015/06/chart">
              <c:ext xmlns:c16="http://schemas.microsoft.com/office/drawing/2014/chart" uri="{C3380CC4-5D6E-409C-BE32-E72D297353CC}">
                <c16:uniqueId val="{00000004-C2AF-479E-A900-E8EBB144F085}"/>
              </c:ext>
            </c:extLst>
          </c:dPt>
          <c:dPt>
            <c:idx val="3"/>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6-C2AF-479E-A900-E8EBB144F085}"/>
              </c:ext>
            </c:extLst>
          </c:dPt>
          <c:dPt>
            <c:idx val="4"/>
            <c:invertIfNegative val="0"/>
            <c:bubble3D val="0"/>
            <c:extLst xmlns:c16r2="http://schemas.microsoft.com/office/drawing/2015/06/chart">
              <c:ext xmlns:c16="http://schemas.microsoft.com/office/drawing/2014/chart" uri="{C3380CC4-5D6E-409C-BE32-E72D297353CC}">
                <c16:uniqueId val="{00000007-C2AF-479E-A900-E8EBB144F085}"/>
              </c:ext>
            </c:extLst>
          </c:dPt>
          <c:dPt>
            <c:idx val="5"/>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9-C2AF-479E-A900-E8EBB144F085}"/>
              </c:ext>
            </c:extLst>
          </c:dPt>
          <c:dPt>
            <c:idx val="6"/>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B-C2AF-479E-A900-E8EBB144F085}"/>
              </c:ext>
            </c:extLst>
          </c:dPt>
          <c:dPt>
            <c:idx val="7"/>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D-C2AF-479E-A900-E8EBB144F085}"/>
              </c:ext>
            </c:extLst>
          </c:dPt>
          <c:dPt>
            <c:idx val="8"/>
            <c:invertIfNegative val="0"/>
            <c:bubble3D val="0"/>
            <c:extLst xmlns:c16r2="http://schemas.microsoft.com/office/drawing/2015/06/chart">
              <c:ext xmlns:c16="http://schemas.microsoft.com/office/drawing/2014/chart" uri="{C3380CC4-5D6E-409C-BE32-E72D297353CC}">
                <c16:uniqueId val="{0000000E-C2AF-479E-A900-E8EBB144F085}"/>
              </c:ext>
            </c:extLst>
          </c:dPt>
          <c:dPt>
            <c:idx val="9"/>
            <c:invertIfNegative val="0"/>
            <c:bubble3D val="0"/>
            <c:extLst xmlns:c16r2="http://schemas.microsoft.com/office/drawing/2015/06/chart">
              <c:ext xmlns:c16="http://schemas.microsoft.com/office/drawing/2014/chart" uri="{C3380CC4-5D6E-409C-BE32-E72D297353CC}">
                <c16:uniqueId val="{0000000F-C2AF-479E-A900-E8EBB144F085}"/>
              </c:ext>
            </c:extLst>
          </c:dPt>
          <c:dLbls>
            <c:spPr>
              <a:noFill/>
              <a:ln>
                <a:noFill/>
              </a:ln>
              <a:effectLst/>
            </c:spPr>
            <c:txPr>
              <a:bodyPr rot="-5400000" vert="horz"/>
              <a:lstStyle/>
              <a:p>
                <a:pPr>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'5.1.2'!$O$13:$O$22</c:f>
              <c:strCache>
                <c:ptCount val="10"/>
                <c:pt idx="0">
                  <c:v>Szabolcs-Szatmár-Bereg</c:v>
                </c:pt>
                <c:pt idx="1">
                  <c:v>Average (HU)</c:v>
                </c:pt>
                <c:pt idx="2">
                  <c:v>Satu Mare</c:v>
                </c:pt>
                <c:pt idx="3">
                  <c:v>Csongrád</c:v>
                </c:pt>
                <c:pt idx="4">
                  <c:v>Bihor</c:v>
                </c:pt>
                <c:pt idx="5">
                  <c:v>Average (RO) </c:v>
                </c:pt>
                <c:pt idx="6">
                  <c:v>Békés</c:v>
                </c:pt>
                <c:pt idx="7">
                  <c:v>Hajdú-Bihar</c:v>
                </c:pt>
                <c:pt idx="8">
                  <c:v>Timis</c:v>
                </c:pt>
                <c:pt idx="9">
                  <c:v>Arad</c:v>
                </c:pt>
              </c:strCache>
            </c:strRef>
          </c:cat>
          <c:val>
            <c:numRef>
              <c:f>'5.1.2'!$P$13:$P$22</c:f>
              <c:numCache>
                <c:formatCode>0.00</c:formatCode>
                <c:ptCount val="10"/>
                <c:pt idx="0">
                  <c:v>25.921048034934497</c:v>
                </c:pt>
                <c:pt idx="1">
                  <c:v>29.514593908629443</c:v>
                </c:pt>
                <c:pt idx="2">
                  <c:v>67.998307692307691</c:v>
                </c:pt>
                <c:pt idx="3">
                  <c:v>71.046499999999995</c:v>
                </c:pt>
                <c:pt idx="4">
                  <c:v>74.643564356435647</c:v>
                </c:pt>
                <c:pt idx="5">
                  <c:v>75.062027707808568</c:v>
                </c:pt>
                <c:pt idx="6">
                  <c:v>75.062799999999996</c:v>
                </c:pt>
                <c:pt idx="7">
                  <c:v>75.736463414634144</c:v>
                </c:pt>
                <c:pt idx="8">
                  <c:v>87.792929292929287</c:v>
                </c:pt>
                <c:pt idx="9">
                  <c:v>99.305256410256419</c:v>
                </c:pt>
              </c:numCache>
            </c:numRef>
          </c:val>
          <c:extLst xmlns:c16r2="http://schemas.microsoft.com/office/drawing/2015/06/chart">
            <c:ext xmlns:c16="http://schemas.microsoft.com/office/drawing/2014/chart" uri="{C3380CC4-5D6E-409C-BE32-E72D297353CC}">
              <c16:uniqueId val="{00000010-C2AF-479E-A900-E8EBB144F085}"/>
            </c:ext>
          </c:extLst>
        </c:ser>
        <c:dLbls>
          <c:dLblPos val="outEnd"/>
          <c:showLegendKey val="0"/>
          <c:showVal val="1"/>
          <c:showCatName val="0"/>
          <c:showSerName val="0"/>
          <c:showPercent val="0"/>
          <c:showBubbleSize val="0"/>
        </c:dLbls>
        <c:gapWidth val="444"/>
        <c:overlap val="-90"/>
        <c:axId val="331182912"/>
        <c:axId val="331183696"/>
      </c:barChart>
      <c:catAx>
        <c:axId val="331182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800"/>
            </a:pPr>
            <a:endParaRPr lang="ro-RO"/>
          </a:p>
        </c:txPr>
        <c:crossAx val="331183696"/>
        <c:crosses val="autoZero"/>
        <c:auto val="1"/>
        <c:lblAlgn val="ctr"/>
        <c:lblOffset val="100"/>
        <c:noMultiLvlLbl val="0"/>
      </c:catAx>
      <c:valAx>
        <c:axId val="331183696"/>
        <c:scaling>
          <c:orientation val="minMax"/>
        </c:scaling>
        <c:delete val="1"/>
        <c:axPos val="l"/>
        <c:numFmt formatCode="0.00" sourceLinked="1"/>
        <c:majorTickMark val="none"/>
        <c:minorTickMark val="none"/>
        <c:tickLblPos val="nextTo"/>
        <c:crossAx val="3311829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28575" cap="flat" cmpd="sng" algn="ctr">
      <a:solidFill>
        <a:schemeClr val="bg2"/>
      </a:solidFill>
      <a:round/>
    </a:ln>
    <a:effectLst/>
  </c:spPr>
  <c:txPr>
    <a:bodyPr/>
    <a:lstStyle/>
    <a:p>
      <a:pPr>
        <a:defRPr sz="900">
          <a:latin typeface="Calibri" panose="020F0502020204030204" pitchFamily="34" charset="0"/>
          <a:cs typeface="Calibri" panose="020F0502020204030204" pitchFamily="34" charset="0"/>
        </a:defRPr>
      </a:pPr>
      <a:endParaRPr lang="ro-R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a:t>Number of classrooms (2018)</a:t>
            </a:r>
            <a:endParaRPr lang="en-GB"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Sheet3!$T$4</c:f>
              <c:strCache>
                <c:ptCount val="1"/>
                <c:pt idx="0">
                  <c:v>ISCED 0</c:v>
                </c:pt>
              </c:strCache>
            </c:strRef>
          </c:tx>
          <c:spPr>
            <a:solidFill>
              <a:schemeClr val="accent1"/>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Sheet3!$T$5:$T$12</c:f>
              <c:numCache>
                <c:formatCode>General</c:formatCode>
                <c:ptCount val="8"/>
                <c:pt idx="0">
                  <c:v>842</c:v>
                </c:pt>
                <c:pt idx="1">
                  <c:v>912</c:v>
                </c:pt>
                <c:pt idx="2">
                  <c:v>509</c:v>
                </c:pt>
                <c:pt idx="3">
                  <c:v>588</c:v>
                </c:pt>
                <c:pt idx="4">
                  <c:v>926</c:v>
                </c:pt>
                <c:pt idx="5">
                  <c:v>553</c:v>
                </c:pt>
                <c:pt idx="6">
                  <c:v>590</c:v>
                </c:pt>
                <c:pt idx="7">
                  <c:v>1018</c:v>
                </c:pt>
              </c:numCache>
            </c:numRef>
          </c:val>
          <c:extLst xmlns:c16r2="http://schemas.microsoft.com/office/drawing/2015/06/chart">
            <c:ext xmlns:c16="http://schemas.microsoft.com/office/drawing/2014/chart" uri="{C3380CC4-5D6E-409C-BE32-E72D297353CC}">
              <c16:uniqueId val="{00000000-DD7B-42F7-A3D9-5EC0F00AAE80}"/>
            </c:ext>
          </c:extLst>
        </c:ser>
        <c:ser>
          <c:idx val="1"/>
          <c:order val="1"/>
          <c:tx>
            <c:strRef>
              <c:f>Sheet3!$U$4</c:f>
              <c:strCache>
                <c:ptCount val="1"/>
                <c:pt idx="0">
                  <c:v>ISCED 1 + 2</c:v>
                </c:pt>
              </c:strCache>
            </c:strRef>
          </c:tx>
          <c:spPr>
            <a:solidFill>
              <a:schemeClr val="accent2"/>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Sheet3!$U$5:$U$12</c:f>
              <c:numCache>
                <c:formatCode>General</c:formatCode>
                <c:ptCount val="8"/>
                <c:pt idx="0">
                  <c:v>842</c:v>
                </c:pt>
                <c:pt idx="1">
                  <c:v>912</c:v>
                </c:pt>
                <c:pt idx="2">
                  <c:v>509</c:v>
                </c:pt>
                <c:pt idx="3">
                  <c:v>588</c:v>
                </c:pt>
                <c:pt idx="4">
                  <c:v>2122</c:v>
                </c:pt>
                <c:pt idx="5">
                  <c:v>1522</c:v>
                </c:pt>
                <c:pt idx="6">
                  <c:v>1709</c:v>
                </c:pt>
                <c:pt idx="7">
                  <c:v>2356</c:v>
                </c:pt>
              </c:numCache>
            </c:numRef>
          </c:val>
          <c:extLst xmlns:c16r2="http://schemas.microsoft.com/office/drawing/2015/06/chart">
            <c:ext xmlns:c16="http://schemas.microsoft.com/office/drawing/2014/chart" uri="{C3380CC4-5D6E-409C-BE32-E72D297353CC}">
              <c16:uniqueId val="{00000001-DD7B-42F7-A3D9-5EC0F00AAE80}"/>
            </c:ext>
          </c:extLst>
        </c:ser>
        <c:ser>
          <c:idx val="2"/>
          <c:order val="2"/>
          <c:tx>
            <c:strRef>
              <c:f>Sheet3!$V$4</c:f>
              <c:strCache>
                <c:ptCount val="1"/>
                <c:pt idx="0">
                  <c:v>ISCED 3</c:v>
                </c:pt>
              </c:strCache>
            </c:strRef>
          </c:tx>
          <c:spPr>
            <a:solidFill>
              <a:schemeClr val="accent3"/>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Sheet3!$V$5:$V$12</c:f>
              <c:numCache>
                <c:formatCode>General</c:formatCode>
                <c:ptCount val="8"/>
                <c:pt idx="0">
                  <c:v>1021</c:v>
                </c:pt>
                <c:pt idx="1">
                  <c:v>1171</c:v>
                </c:pt>
                <c:pt idx="2">
                  <c:v>752</c:v>
                </c:pt>
                <c:pt idx="3">
                  <c:v>814</c:v>
                </c:pt>
                <c:pt idx="4">
                  <c:v>1768</c:v>
                </c:pt>
                <c:pt idx="5">
                  <c:v>755</c:v>
                </c:pt>
                <c:pt idx="6">
                  <c:v>1068</c:v>
                </c:pt>
                <c:pt idx="7">
                  <c:v>1622</c:v>
                </c:pt>
              </c:numCache>
            </c:numRef>
          </c:val>
          <c:extLst xmlns:c16r2="http://schemas.microsoft.com/office/drawing/2015/06/chart">
            <c:ext xmlns:c16="http://schemas.microsoft.com/office/drawing/2014/chart" uri="{C3380CC4-5D6E-409C-BE32-E72D297353CC}">
              <c16:uniqueId val="{00000002-DD7B-42F7-A3D9-5EC0F00AAE80}"/>
            </c:ext>
          </c:extLst>
        </c:ser>
        <c:ser>
          <c:idx val="3"/>
          <c:order val="3"/>
          <c:tx>
            <c:strRef>
              <c:f>Sheet3!$W$4</c:f>
              <c:strCache>
                <c:ptCount val="1"/>
                <c:pt idx="0">
                  <c:v>ISCED 4</c:v>
                </c:pt>
              </c:strCache>
            </c:strRef>
          </c:tx>
          <c:spPr>
            <a:solidFill>
              <a:schemeClr val="accent4"/>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Sheet3!$W$5:$W$12</c:f>
              <c:numCache>
                <c:formatCode>General</c:formatCode>
                <c:ptCount val="8"/>
                <c:pt idx="4">
                  <c:v>4</c:v>
                </c:pt>
                <c:pt idx="5">
                  <c:v>1</c:v>
                </c:pt>
                <c:pt idx="6">
                  <c:v>12</c:v>
                </c:pt>
                <c:pt idx="7">
                  <c:v>19</c:v>
                </c:pt>
              </c:numCache>
            </c:numRef>
          </c:val>
          <c:extLst xmlns:c16r2="http://schemas.microsoft.com/office/drawing/2015/06/chart">
            <c:ext xmlns:c16="http://schemas.microsoft.com/office/drawing/2014/chart" uri="{C3380CC4-5D6E-409C-BE32-E72D297353CC}">
              <c16:uniqueId val="{00000003-DD7B-42F7-A3D9-5EC0F00AAE80}"/>
            </c:ext>
          </c:extLst>
        </c:ser>
        <c:ser>
          <c:idx val="4"/>
          <c:order val="4"/>
          <c:tx>
            <c:strRef>
              <c:f>Sheet3!$X$4</c:f>
              <c:strCache>
                <c:ptCount val="1"/>
                <c:pt idx="0">
                  <c:v>ISCED 5+</c:v>
                </c:pt>
              </c:strCache>
            </c:strRef>
          </c:tx>
          <c:spPr>
            <a:solidFill>
              <a:schemeClr val="accent5"/>
            </a:solidFill>
            <a:ln>
              <a:noFill/>
            </a:ln>
            <a:effectLst/>
          </c:spPr>
          <c:invertIfNegative val="0"/>
          <c:cat>
            <c:strRef>
              <c:f>Sheet3!$M$5:$M$12</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Sheet3!$X$5:$X$12</c:f>
              <c:numCache>
                <c:formatCode>General</c:formatCode>
                <c:ptCount val="8"/>
                <c:pt idx="4">
                  <c:v>237</c:v>
                </c:pt>
                <c:pt idx="5">
                  <c:v>0</c:v>
                </c:pt>
                <c:pt idx="6">
                  <c:v>163</c:v>
                </c:pt>
                <c:pt idx="7">
                  <c:v>665</c:v>
                </c:pt>
              </c:numCache>
            </c:numRef>
          </c:val>
          <c:extLst xmlns:c16r2="http://schemas.microsoft.com/office/drawing/2015/06/chart">
            <c:ext xmlns:c16="http://schemas.microsoft.com/office/drawing/2014/chart" uri="{C3380CC4-5D6E-409C-BE32-E72D297353CC}">
              <c16:uniqueId val="{00000004-DD7B-42F7-A3D9-5EC0F00AAE80}"/>
            </c:ext>
          </c:extLst>
        </c:ser>
        <c:dLbls>
          <c:showLegendKey val="0"/>
          <c:showVal val="0"/>
          <c:showCatName val="0"/>
          <c:showSerName val="0"/>
          <c:showPercent val="0"/>
          <c:showBubbleSize val="0"/>
        </c:dLbls>
        <c:gapWidth val="219"/>
        <c:overlap val="-27"/>
        <c:axId val="707761480"/>
        <c:axId val="707762264"/>
      </c:barChart>
      <c:catAx>
        <c:axId val="707761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762264"/>
        <c:crosses val="autoZero"/>
        <c:auto val="1"/>
        <c:lblAlgn val="ctr"/>
        <c:lblOffset val="100"/>
        <c:noMultiLvlLbl val="0"/>
      </c:catAx>
      <c:valAx>
        <c:axId val="707762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7761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a:pPr>
      <a:endParaRPr lang="ro-R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208302873064863E-2"/>
          <c:y val="6.0706401766004413E-2"/>
          <c:w val="0.9144176665486059"/>
          <c:h val="0.66986581147555224"/>
        </c:manualLayout>
      </c:layout>
      <c:lineChart>
        <c:grouping val="standard"/>
        <c:varyColors val="0"/>
        <c:ser>
          <c:idx val="0"/>
          <c:order val="0"/>
          <c:tx>
            <c:strRef>
              <c:f>Sheet3!$B$54</c:f>
              <c:strCache>
                <c:ptCount val="1"/>
                <c:pt idx="0">
                  <c:v>Hajdú-Bihar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Sheet3!$C$54:$L$54</c:f>
              <c:numCache>
                <c:formatCode>0.0</c:formatCode>
                <c:ptCount val="10"/>
                <c:pt idx="0">
                  <c:v>4.9429657794676798</c:v>
                </c:pt>
                <c:pt idx="1">
                  <c:v>5.8680696074463778</c:v>
                </c:pt>
                <c:pt idx="2">
                  <c:v>4.2979942693409745</c:v>
                </c:pt>
                <c:pt idx="3">
                  <c:v>2.6579431609077901</c:v>
                </c:pt>
                <c:pt idx="4">
                  <c:v>5.0413389796329904</c:v>
                </c:pt>
                <c:pt idx="5">
                  <c:v>3.3444816053511706</c:v>
                </c:pt>
                <c:pt idx="6">
                  <c:v>3.3494603647190173</c:v>
                </c:pt>
                <c:pt idx="7">
                  <c:v>3.4539174695509911</c:v>
                </c:pt>
                <c:pt idx="8">
                  <c:v>2.7901785714285716</c:v>
                </c:pt>
                <c:pt idx="9">
                  <c:v>1.6775396085740912</c:v>
                </c:pt>
              </c:numCache>
            </c:numRef>
          </c:val>
          <c:smooth val="0"/>
          <c:extLst xmlns:c16r2="http://schemas.microsoft.com/office/drawing/2015/06/chart">
            <c:ext xmlns:c16="http://schemas.microsoft.com/office/drawing/2014/chart" uri="{C3380CC4-5D6E-409C-BE32-E72D297353CC}">
              <c16:uniqueId val="{00000000-49D1-4F1B-B6A3-716CA9FF3F2F}"/>
            </c:ext>
          </c:extLst>
        </c:ser>
        <c:ser>
          <c:idx val="1"/>
          <c:order val="1"/>
          <c:tx>
            <c:strRef>
              <c:f>Sheet3!$B$55</c:f>
              <c:strCache>
                <c:ptCount val="1"/>
                <c:pt idx="0">
                  <c:v>Szabolcs-Szatmár-Bereg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Sheet3!$C$55:$L$55</c:f>
              <c:numCache>
                <c:formatCode>0.0</c:formatCode>
                <c:ptCount val="10"/>
                <c:pt idx="0">
                  <c:v>5.0471063257065945</c:v>
                </c:pt>
                <c:pt idx="1">
                  <c:v>7.5060987051979726</c:v>
                </c:pt>
                <c:pt idx="2">
                  <c:v>6.5469509913954358</c:v>
                </c:pt>
                <c:pt idx="3">
                  <c:v>5.5525703027046385</c:v>
                </c:pt>
                <c:pt idx="4">
                  <c:v>4.6645138141370648</c:v>
                </c:pt>
                <c:pt idx="5">
                  <c:v>4.5832626039721607</c:v>
                </c:pt>
                <c:pt idx="6">
                  <c:v>5.7908669755129054</c:v>
                </c:pt>
                <c:pt idx="7">
                  <c:v>6.337135614702154</c:v>
                </c:pt>
                <c:pt idx="8">
                  <c:v>5.3556485355648542</c:v>
                </c:pt>
                <c:pt idx="9">
                  <c:v>5.1209606215786687</c:v>
                </c:pt>
              </c:numCache>
            </c:numRef>
          </c:val>
          <c:smooth val="0"/>
          <c:extLst xmlns:c16r2="http://schemas.microsoft.com/office/drawing/2015/06/chart">
            <c:ext xmlns:c16="http://schemas.microsoft.com/office/drawing/2014/chart" uri="{C3380CC4-5D6E-409C-BE32-E72D297353CC}">
              <c16:uniqueId val="{00000001-49D1-4F1B-B6A3-716CA9FF3F2F}"/>
            </c:ext>
          </c:extLst>
        </c:ser>
        <c:ser>
          <c:idx val="2"/>
          <c:order val="2"/>
          <c:tx>
            <c:strRef>
              <c:f>Sheet3!$B$56</c:f>
              <c:strCache>
                <c:ptCount val="1"/>
                <c:pt idx="0">
                  <c:v>Békés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Sheet3!$C$56:$L$56</c:f>
              <c:numCache>
                <c:formatCode>0.0</c:formatCode>
                <c:ptCount val="10"/>
                <c:pt idx="0">
                  <c:v>6.3801208865010075</c:v>
                </c:pt>
                <c:pt idx="1">
                  <c:v>4.6475600309837333</c:v>
                </c:pt>
                <c:pt idx="2">
                  <c:v>6.315007429420505</c:v>
                </c:pt>
                <c:pt idx="3">
                  <c:v>2.2026431718061676</c:v>
                </c:pt>
                <c:pt idx="4">
                  <c:v>4.8112509252405626</c:v>
                </c:pt>
                <c:pt idx="5">
                  <c:v>7.5080443332141575</c:v>
                </c:pt>
                <c:pt idx="6">
                  <c:v>4.9347902714134655</c:v>
                </c:pt>
                <c:pt idx="7">
                  <c:v>3.1835868411743897</c:v>
                </c:pt>
                <c:pt idx="8">
                  <c:v>4.6965317919075149</c:v>
                </c:pt>
                <c:pt idx="9">
                  <c:v>3.3210332103321036</c:v>
                </c:pt>
              </c:numCache>
            </c:numRef>
          </c:val>
          <c:smooth val="0"/>
          <c:extLst xmlns:c16r2="http://schemas.microsoft.com/office/drawing/2015/06/chart">
            <c:ext xmlns:c16="http://schemas.microsoft.com/office/drawing/2014/chart" uri="{C3380CC4-5D6E-409C-BE32-E72D297353CC}">
              <c16:uniqueId val="{00000002-49D1-4F1B-B6A3-716CA9FF3F2F}"/>
            </c:ext>
          </c:extLst>
        </c:ser>
        <c:ser>
          <c:idx val="3"/>
          <c:order val="3"/>
          <c:tx>
            <c:strRef>
              <c:f>Sheet3!$B$57</c:f>
              <c:strCache>
                <c:ptCount val="1"/>
                <c:pt idx="0">
                  <c:v>Csongrád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Sheet3!$C$57:$L$57</c:f>
              <c:numCache>
                <c:formatCode>0.0</c:formatCode>
                <c:ptCount val="10"/>
                <c:pt idx="0">
                  <c:v>4.1539739684297983</c:v>
                </c:pt>
                <c:pt idx="1">
                  <c:v>4.4195639363582799</c:v>
                </c:pt>
                <c:pt idx="2">
                  <c:v>6.2574493444576884</c:v>
                </c:pt>
                <c:pt idx="3">
                  <c:v>4.7295300029559568</c:v>
                </c:pt>
                <c:pt idx="4">
                  <c:v>3.3132530120481927</c:v>
                </c:pt>
                <c:pt idx="5">
                  <c:v>3.2826022082960309</c:v>
                </c:pt>
                <c:pt idx="6">
                  <c:v>3.5778175313059033</c:v>
                </c:pt>
                <c:pt idx="7">
                  <c:v>4.4169611307420498</c:v>
                </c:pt>
                <c:pt idx="8">
                  <c:v>2.2598870056497176</c:v>
                </c:pt>
                <c:pt idx="9">
                  <c:v>2.7889680818097307</c:v>
                </c:pt>
              </c:numCache>
            </c:numRef>
          </c:val>
          <c:smooth val="0"/>
          <c:extLst xmlns:c16r2="http://schemas.microsoft.com/office/drawing/2015/06/chart">
            <c:ext xmlns:c16="http://schemas.microsoft.com/office/drawing/2014/chart" uri="{C3380CC4-5D6E-409C-BE32-E72D297353CC}">
              <c16:uniqueId val="{00000003-49D1-4F1B-B6A3-716CA9FF3F2F}"/>
            </c:ext>
          </c:extLst>
        </c:ser>
        <c:ser>
          <c:idx val="4"/>
          <c:order val="4"/>
          <c:tx>
            <c:strRef>
              <c:f>Sheet3!$B$58</c:f>
              <c:strCache>
                <c:ptCount val="1"/>
                <c:pt idx="0">
                  <c:v>Bihor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Sheet3!$C$58:$L$58</c:f>
              <c:numCache>
                <c:formatCode>General</c:formatCode>
                <c:ptCount val="10"/>
                <c:pt idx="0">
                  <c:v>13.4</c:v>
                </c:pt>
                <c:pt idx="1">
                  <c:v>9.5</c:v>
                </c:pt>
                <c:pt idx="2">
                  <c:v>10.7</c:v>
                </c:pt>
                <c:pt idx="3">
                  <c:v>8.5</c:v>
                </c:pt>
                <c:pt idx="4">
                  <c:v>9.8000000000000007</c:v>
                </c:pt>
                <c:pt idx="5">
                  <c:v>6.4</c:v>
                </c:pt>
                <c:pt idx="6">
                  <c:v>8.1999999999999993</c:v>
                </c:pt>
                <c:pt idx="7">
                  <c:v>8.4</c:v>
                </c:pt>
                <c:pt idx="8">
                  <c:v>5.7</c:v>
                </c:pt>
                <c:pt idx="9">
                  <c:v>6.8</c:v>
                </c:pt>
              </c:numCache>
            </c:numRef>
          </c:val>
          <c:smooth val="0"/>
          <c:extLst xmlns:c16r2="http://schemas.microsoft.com/office/drawing/2015/06/chart">
            <c:ext xmlns:c16="http://schemas.microsoft.com/office/drawing/2014/chart" uri="{C3380CC4-5D6E-409C-BE32-E72D297353CC}">
              <c16:uniqueId val="{00000004-49D1-4F1B-B6A3-716CA9FF3F2F}"/>
            </c:ext>
          </c:extLst>
        </c:ser>
        <c:ser>
          <c:idx val="5"/>
          <c:order val="5"/>
          <c:tx>
            <c:strRef>
              <c:f>Sheet3!$B$59</c:f>
              <c:strCache>
                <c:ptCount val="1"/>
                <c:pt idx="0">
                  <c:v>Satu Mare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Sheet3!$C$59:$L$59</c:f>
              <c:numCache>
                <c:formatCode>General</c:formatCode>
                <c:ptCount val="10"/>
                <c:pt idx="0">
                  <c:v>11</c:v>
                </c:pt>
                <c:pt idx="1">
                  <c:v>10.5</c:v>
                </c:pt>
                <c:pt idx="2">
                  <c:v>10.5</c:v>
                </c:pt>
                <c:pt idx="3">
                  <c:v>10.7</c:v>
                </c:pt>
                <c:pt idx="4">
                  <c:v>7.9</c:v>
                </c:pt>
                <c:pt idx="5">
                  <c:v>7.6</c:v>
                </c:pt>
                <c:pt idx="6">
                  <c:v>8.4</c:v>
                </c:pt>
                <c:pt idx="7">
                  <c:v>10.1</c:v>
                </c:pt>
                <c:pt idx="8">
                  <c:v>7.1</c:v>
                </c:pt>
                <c:pt idx="9">
                  <c:v>7</c:v>
                </c:pt>
              </c:numCache>
            </c:numRef>
          </c:val>
          <c:smooth val="0"/>
          <c:extLst xmlns:c16r2="http://schemas.microsoft.com/office/drawing/2015/06/chart">
            <c:ext xmlns:c16="http://schemas.microsoft.com/office/drawing/2014/chart" uri="{C3380CC4-5D6E-409C-BE32-E72D297353CC}">
              <c16:uniqueId val="{00000005-49D1-4F1B-B6A3-716CA9FF3F2F}"/>
            </c:ext>
          </c:extLst>
        </c:ser>
        <c:ser>
          <c:idx val="6"/>
          <c:order val="6"/>
          <c:tx>
            <c:strRef>
              <c:f>Sheet3!$B$60</c:f>
              <c:strCache>
                <c:ptCount val="1"/>
                <c:pt idx="0">
                  <c:v>Arad</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Sheet3!$C$60:$L$60</c:f>
              <c:numCache>
                <c:formatCode>General</c:formatCode>
                <c:ptCount val="10"/>
                <c:pt idx="0">
                  <c:v>8.9</c:v>
                </c:pt>
                <c:pt idx="1">
                  <c:v>9.6</c:v>
                </c:pt>
                <c:pt idx="2">
                  <c:v>9.3000000000000007</c:v>
                </c:pt>
                <c:pt idx="3">
                  <c:v>8.9</c:v>
                </c:pt>
                <c:pt idx="4">
                  <c:v>8.4</c:v>
                </c:pt>
                <c:pt idx="5">
                  <c:v>7.7</c:v>
                </c:pt>
                <c:pt idx="6">
                  <c:v>5.9</c:v>
                </c:pt>
                <c:pt idx="7">
                  <c:v>5.7</c:v>
                </c:pt>
                <c:pt idx="8">
                  <c:v>6.3</c:v>
                </c:pt>
                <c:pt idx="9">
                  <c:v>4.3</c:v>
                </c:pt>
              </c:numCache>
            </c:numRef>
          </c:val>
          <c:smooth val="0"/>
          <c:extLst xmlns:c16r2="http://schemas.microsoft.com/office/drawing/2015/06/chart">
            <c:ext xmlns:c16="http://schemas.microsoft.com/office/drawing/2014/chart" uri="{C3380CC4-5D6E-409C-BE32-E72D297353CC}">
              <c16:uniqueId val="{00000006-49D1-4F1B-B6A3-716CA9FF3F2F}"/>
            </c:ext>
          </c:extLst>
        </c:ser>
        <c:ser>
          <c:idx val="7"/>
          <c:order val="7"/>
          <c:tx>
            <c:strRef>
              <c:f>Sheet3!$B$61</c:f>
              <c:strCache>
                <c:ptCount val="1"/>
                <c:pt idx="0">
                  <c:v>Timis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Sheet3!$C$53:$L$53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Sheet3!$C$61:$L$61</c:f>
              <c:numCache>
                <c:formatCode>General</c:formatCode>
                <c:ptCount val="10"/>
                <c:pt idx="0">
                  <c:v>11.5</c:v>
                </c:pt>
                <c:pt idx="1">
                  <c:v>10.7</c:v>
                </c:pt>
                <c:pt idx="2">
                  <c:v>8.1999999999999993</c:v>
                </c:pt>
                <c:pt idx="3">
                  <c:v>9.3000000000000007</c:v>
                </c:pt>
                <c:pt idx="4">
                  <c:v>5.8</c:v>
                </c:pt>
                <c:pt idx="5">
                  <c:v>7</c:v>
                </c:pt>
                <c:pt idx="6">
                  <c:v>7.1</c:v>
                </c:pt>
                <c:pt idx="7">
                  <c:v>4.3</c:v>
                </c:pt>
                <c:pt idx="8">
                  <c:v>7.5</c:v>
                </c:pt>
                <c:pt idx="9">
                  <c:v>4.2</c:v>
                </c:pt>
              </c:numCache>
            </c:numRef>
          </c:val>
          <c:smooth val="0"/>
          <c:extLst xmlns:c16r2="http://schemas.microsoft.com/office/drawing/2015/06/chart">
            <c:ext xmlns:c16="http://schemas.microsoft.com/office/drawing/2014/chart" uri="{C3380CC4-5D6E-409C-BE32-E72D297353CC}">
              <c16:uniqueId val="{00000007-49D1-4F1B-B6A3-716CA9FF3F2F}"/>
            </c:ext>
          </c:extLst>
        </c:ser>
        <c:dLbls>
          <c:showLegendKey val="0"/>
          <c:showVal val="0"/>
          <c:showCatName val="0"/>
          <c:showSerName val="0"/>
          <c:showPercent val="0"/>
          <c:showBubbleSize val="0"/>
        </c:dLbls>
        <c:marker val="1"/>
        <c:smooth val="0"/>
        <c:axId val="707763048"/>
        <c:axId val="707763440"/>
      </c:lineChart>
      <c:catAx>
        <c:axId val="707763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763440"/>
        <c:crosses val="autoZero"/>
        <c:auto val="1"/>
        <c:lblAlgn val="ctr"/>
        <c:lblOffset val="100"/>
        <c:noMultiLvlLbl val="0"/>
      </c:catAx>
      <c:valAx>
        <c:axId val="707763440"/>
        <c:scaling>
          <c:orientation val="minMax"/>
          <c:max val="1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763048"/>
        <c:crosses val="autoZero"/>
        <c:crossBetween val="between"/>
      </c:valAx>
      <c:spPr>
        <a:noFill/>
        <a:ln>
          <a:noFill/>
        </a:ln>
        <a:effectLst/>
      </c:spPr>
    </c:plotArea>
    <c:legend>
      <c:legendPos val="b"/>
      <c:layout>
        <c:manualLayout>
          <c:xMode val="edge"/>
          <c:yMode val="edge"/>
          <c:x val="4.0359521312882625E-2"/>
          <c:y val="0.84655794267438411"/>
          <c:w val="0.93700735059347362"/>
          <c:h val="0.1203294745441588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72037478099392E-2"/>
          <c:y val="5.3833963787908223E-2"/>
          <c:w val="0.86255396805499274"/>
          <c:h val="0.72411117333120001"/>
        </c:manualLayout>
      </c:layout>
      <c:lineChart>
        <c:grouping val="standard"/>
        <c:varyColors val="0"/>
        <c:ser>
          <c:idx val="0"/>
          <c:order val="0"/>
          <c:tx>
            <c:strRef>
              <c:f>Poverty!$A$6</c:f>
              <c:strCache>
                <c:ptCount val="1"/>
                <c:pt idx="0">
                  <c:v>EU-28</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Poverty!$B$5:$F$5</c:f>
              <c:strCache>
                <c:ptCount val="5"/>
                <c:pt idx="0">
                  <c:v>2015</c:v>
                </c:pt>
                <c:pt idx="1">
                  <c:v>2016</c:v>
                </c:pt>
                <c:pt idx="2">
                  <c:v>2017</c:v>
                </c:pt>
                <c:pt idx="3">
                  <c:v>2018</c:v>
                </c:pt>
                <c:pt idx="4">
                  <c:v>2019</c:v>
                </c:pt>
              </c:strCache>
            </c:strRef>
          </c:cat>
          <c:val>
            <c:numRef>
              <c:f>Poverty!$B$6:$E$6</c:f>
              <c:numCache>
                <c:formatCode>General</c:formatCode>
                <c:ptCount val="4"/>
                <c:pt idx="0">
                  <c:v>23.8</c:v>
                </c:pt>
                <c:pt idx="1">
                  <c:v>23.5</c:v>
                </c:pt>
                <c:pt idx="2">
                  <c:v>22.4</c:v>
                </c:pt>
                <c:pt idx="3" formatCode="#,##0.0">
                  <c:v>21.8</c:v>
                </c:pt>
              </c:numCache>
            </c:numRef>
          </c:val>
          <c:smooth val="0"/>
          <c:extLst xmlns:c16r2="http://schemas.microsoft.com/office/drawing/2015/06/chart">
            <c:ext xmlns:c16="http://schemas.microsoft.com/office/drawing/2014/chart" uri="{C3380CC4-5D6E-409C-BE32-E72D297353CC}">
              <c16:uniqueId val="{00000000-29AF-4905-95CE-949B7DCD74F1}"/>
            </c:ext>
          </c:extLst>
        </c:ser>
        <c:ser>
          <c:idx val="1"/>
          <c:order val="1"/>
          <c:tx>
            <c:strRef>
              <c:f>Poverty!$A$7</c:f>
              <c:strCache>
                <c:ptCount val="1"/>
                <c:pt idx="0">
                  <c:v>Hungary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Poverty!$B$5:$F$5</c:f>
              <c:strCache>
                <c:ptCount val="5"/>
                <c:pt idx="0">
                  <c:v>2015</c:v>
                </c:pt>
                <c:pt idx="1">
                  <c:v>2016</c:v>
                </c:pt>
                <c:pt idx="2">
                  <c:v>2017</c:v>
                </c:pt>
                <c:pt idx="3">
                  <c:v>2018</c:v>
                </c:pt>
                <c:pt idx="4">
                  <c:v>2019</c:v>
                </c:pt>
              </c:strCache>
            </c:strRef>
          </c:cat>
          <c:val>
            <c:numRef>
              <c:f>Poverty!$B$7:$F$7</c:f>
              <c:numCache>
                <c:formatCode>#,##0.0</c:formatCode>
                <c:ptCount val="5"/>
                <c:pt idx="0">
                  <c:v>28.2</c:v>
                </c:pt>
                <c:pt idx="1">
                  <c:v>26.3</c:v>
                </c:pt>
                <c:pt idx="2">
                  <c:v>25.6</c:v>
                </c:pt>
                <c:pt idx="3">
                  <c:v>19.600000000000001</c:v>
                </c:pt>
                <c:pt idx="4">
                  <c:v>18.899999999999999</c:v>
                </c:pt>
              </c:numCache>
            </c:numRef>
          </c:val>
          <c:smooth val="0"/>
          <c:extLst xmlns:c16r2="http://schemas.microsoft.com/office/drawing/2015/06/chart">
            <c:ext xmlns:c16="http://schemas.microsoft.com/office/drawing/2014/chart" uri="{C3380CC4-5D6E-409C-BE32-E72D297353CC}">
              <c16:uniqueId val="{00000001-29AF-4905-95CE-949B7DCD74F1}"/>
            </c:ext>
          </c:extLst>
        </c:ser>
        <c:ser>
          <c:idx val="2"/>
          <c:order val="2"/>
          <c:tx>
            <c:strRef>
              <c:f>Poverty!$A$8</c:f>
              <c:strCache>
                <c:ptCount val="1"/>
                <c:pt idx="0">
                  <c:v>Észak-Alföld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Poverty!$B$5:$F$5</c:f>
              <c:strCache>
                <c:ptCount val="5"/>
                <c:pt idx="0">
                  <c:v>2015</c:v>
                </c:pt>
                <c:pt idx="1">
                  <c:v>2016</c:v>
                </c:pt>
                <c:pt idx="2">
                  <c:v>2017</c:v>
                </c:pt>
                <c:pt idx="3">
                  <c:v>2018</c:v>
                </c:pt>
                <c:pt idx="4">
                  <c:v>2019</c:v>
                </c:pt>
              </c:strCache>
            </c:strRef>
          </c:cat>
          <c:val>
            <c:numRef>
              <c:f>Poverty!$B$8:$F$8</c:f>
              <c:numCache>
                <c:formatCode>#,##0.0</c:formatCode>
                <c:ptCount val="5"/>
                <c:pt idx="0">
                  <c:v>34.6</c:v>
                </c:pt>
                <c:pt idx="1">
                  <c:v>32.1</c:v>
                </c:pt>
                <c:pt idx="2">
                  <c:v>29.2</c:v>
                </c:pt>
                <c:pt idx="3">
                  <c:v>24.9</c:v>
                </c:pt>
                <c:pt idx="4">
                  <c:v>24.2</c:v>
                </c:pt>
              </c:numCache>
            </c:numRef>
          </c:val>
          <c:smooth val="0"/>
          <c:extLst xmlns:c16r2="http://schemas.microsoft.com/office/drawing/2015/06/chart">
            <c:ext xmlns:c16="http://schemas.microsoft.com/office/drawing/2014/chart" uri="{C3380CC4-5D6E-409C-BE32-E72D297353CC}">
              <c16:uniqueId val="{00000002-29AF-4905-95CE-949B7DCD74F1}"/>
            </c:ext>
          </c:extLst>
        </c:ser>
        <c:ser>
          <c:idx val="3"/>
          <c:order val="3"/>
          <c:tx>
            <c:strRef>
              <c:f>Poverty!$A$9</c:f>
              <c:strCache>
                <c:ptCount val="1"/>
                <c:pt idx="0">
                  <c:v>Dél-Alföld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Poverty!$B$5:$F$5</c:f>
              <c:strCache>
                <c:ptCount val="5"/>
                <c:pt idx="0">
                  <c:v>2015</c:v>
                </c:pt>
                <c:pt idx="1">
                  <c:v>2016</c:v>
                </c:pt>
                <c:pt idx="2">
                  <c:v>2017</c:v>
                </c:pt>
                <c:pt idx="3">
                  <c:v>2018</c:v>
                </c:pt>
                <c:pt idx="4">
                  <c:v>2019</c:v>
                </c:pt>
              </c:strCache>
            </c:strRef>
          </c:cat>
          <c:val>
            <c:numRef>
              <c:f>Poverty!$B$9:$F$9</c:f>
              <c:numCache>
                <c:formatCode>#,##0.0</c:formatCode>
                <c:ptCount val="5"/>
                <c:pt idx="0">
                  <c:v>29.1</c:v>
                </c:pt>
                <c:pt idx="1">
                  <c:v>26.7</c:v>
                </c:pt>
                <c:pt idx="2">
                  <c:v>26.5</c:v>
                </c:pt>
                <c:pt idx="3">
                  <c:v>21.7</c:v>
                </c:pt>
                <c:pt idx="4">
                  <c:v>14.9</c:v>
                </c:pt>
              </c:numCache>
            </c:numRef>
          </c:val>
          <c:smooth val="0"/>
          <c:extLst xmlns:c16r2="http://schemas.microsoft.com/office/drawing/2015/06/chart">
            <c:ext xmlns:c16="http://schemas.microsoft.com/office/drawing/2014/chart" uri="{C3380CC4-5D6E-409C-BE32-E72D297353CC}">
              <c16:uniqueId val="{00000003-29AF-4905-95CE-949B7DCD74F1}"/>
            </c:ext>
          </c:extLst>
        </c:ser>
        <c:ser>
          <c:idx val="4"/>
          <c:order val="4"/>
          <c:tx>
            <c:strRef>
              <c:f>Poverty!$A$10</c:f>
              <c:strCache>
                <c:ptCount val="1"/>
                <c:pt idx="0">
                  <c:v>Romania</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Poverty!$B$5:$F$5</c:f>
              <c:strCache>
                <c:ptCount val="5"/>
                <c:pt idx="0">
                  <c:v>2015</c:v>
                </c:pt>
                <c:pt idx="1">
                  <c:v>2016</c:v>
                </c:pt>
                <c:pt idx="2">
                  <c:v>2017</c:v>
                </c:pt>
                <c:pt idx="3">
                  <c:v>2018</c:v>
                </c:pt>
                <c:pt idx="4">
                  <c:v>2019</c:v>
                </c:pt>
              </c:strCache>
            </c:strRef>
          </c:cat>
          <c:val>
            <c:numRef>
              <c:f>Poverty!$B$10:$F$10</c:f>
              <c:numCache>
                <c:formatCode>#,##0.0</c:formatCode>
                <c:ptCount val="5"/>
                <c:pt idx="0">
                  <c:v>37.4</c:v>
                </c:pt>
                <c:pt idx="1">
                  <c:v>38.799999999999997</c:v>
                </c:pt>
                <c:pt idx="2">
                  <c:v>35.700000000000003</c:v>
                </c:pt>
                <c:pt idx="3">
                  <c:v>32.5</c:v>
                </c:pt>
                <c:pt idx="4">
                  <c:v>31.2</c:v>
                </c:pt>
              </c:numCache>
            </c:numRef>
          </c:val>
          <c:smooth val="0"/>
          <c:extLst xmlns:c16r2="http://schemas.microsoft.com/office/drawing/2015/06/chart">
            <c:ext xmlns:c16="http://schemas.microsoft.com/office/drawing/2014/chart" uri="{C3380CC4-5D6E-409C-BE32-E72D297353CC}">
              <c16:uniqueId val="{00000004-29AF-4905-95CE-949B7DCD74F1}"/>
            </c:ext>
          </c:extLst>
        </c:ser>
        <c:ser>
          <c:idx val="5"/>
          <c:order val="5"/>
          <c:tx>
            <c:strRef>
              <c:f>Poverty!$A$11</c:f>
              <c:strCache>
                <c:ptCount val="1"/>
                <c:pt idx="0">
                  <c:v>Nord-Vest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Poverty!$B$5:$F$5</c:f>
              <c:strCache>
                <c:ptCount val="5"/>
                <c:pt idx="0">
                  <c:v>2015</c:v>
                </c:pt>
                <c:pt idx="1">
                  <c:v>2016</c:v>
                </c:pt>
                <c:pt idx="2">
                  <c:v>2017</c:v>
                </c:pt>
                <c:pt idx="3">
                  <c:v>2018</c:v>
                </c:pt>
                <c:pt idx="4">
                  <c:v>2019</c:v>
                </c:pt>
              </c:strCache>
            </c:strRef>
          </c:cat>
          <c:val>
            <c:numRef>
              <c:f>Poverty!$B$11:$F$11</c:f>
              <c:numCache>
                <c:formatCode>#,##0.0</c:formatCode>
                <c:ptCount val="5"/>
                <c:pt idx="0">
                  <c:v>28</c:v>
                </c:pt>
                <c:pt idx="1">
                  <c:v>29.3</c:v>
                </c:pt>
                <c:pt idx="2">
                  <c:v>26.4</c:v>
                </c:pt>
                <c:pt idx="3">
                  <c:v>22.3</c:v>
                </c:pt>
                <c:pt idx="4">
                  <c:v>19.3</c:v>
                </c:pt>
              </c:numCache>
            </c:numRef>
          </c:val>
          <c:smooth val="0"/>
          <c:extLst xmlns:c16r2="http://schemas.microsoft.com/office/drawing/2015/06/chart">
            <c:ext xmlns:c16="http://schemas.microsoft.com/office/drawing/2014/chart" uri="{C3380CC4-5D6E-409C-BE32-E72D297353CC}">
              <c16:uniqueId val="{00000005-29AF-4905-95CE-949B7DCD74F1}"/>
            </c:ext>
          </c:extLst>
        </c:ser>
        <c:ser>
          <c:idx val="6"/>
          <c:order val="6"/>
          <c:tx>
            <c:strRef>
              <c:f>Poverty!$A$12</c:f>
              <c:strCache>
                <c:ptCount val="1"/>
                <c:pt idx="0">
                  <c:v>Vest</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Poverty!$B$5:$F$5</c:f>
              <c:strCache>
                <c:ptCount val="5"/>
                <c:pt idx="0">
                  <c:v>2015</c:v>
                </c:pt>
                <c:pt idx="1">
                  <c:v>2016</c:v>
                </c:pt>
                <c:pt idx="2">
                  <c:v>2017</c:v>
                </c:pt>
                <c:pt idx="3">
                  <c:v>2018</c:v>
                </c:pt>
                <c:pt idx="4">
                  <c:v>2019</c:v>
                </c:pt>
              </c:strCache>
            </c:strRef>
          </c:cat>
          <c:val>
            <c:numRef>
              <c:f>Poverty!$B$12:$F$12</c:f>
              <c:numCache>
                <c:formatCode>#,##0.0</c:formatCode>
                <c:ptCount val="5"/>
                <c:pt idx="0">
                  <c:v>32</c:v>
                </c:pt>
                <c:pt idx="1">
                  <c:v>40.700000000000003</c:v>
                </c:pt>
                <c:pt idx="2">
                  <c:v>32.5</c:v>
                </c:pt>
                <c:pt idx="3">
                  <c:v>22.1</c:v>
                </c:pt>
                <c:pt idx="4">
                  <c:v>21.9</c:v>
                </c:pt>
              </c:numCache>
            </c:numRef>
          </c:val>
          <c:smooth val="0"/>
          <c:extLst xmlns:c16r2="http://schemas.microsoft.com/office/drawing/2015/06/chart">
            <c:ext xmlns:c16="http://schemas.microsoft.com/office/drawing/2014/chart" uri="{C3380CC4-5D6E-409C-BE32-E72D297353CC}">
              <c16:uniqueId val="{00000006-29AF-4905-95CE-949B7DCD74F1}"/>
            </c:ext>
          </c:extLst>
        </c:ser>
        <c:dLbls>
          <c:showLegendKey val="0"/>
          <c:showVal val="0"/>
          <c:showCatName val="0"/>
          <c:showSerName val="0"/>
          <c:showPercent val="0"/>
          <c:showBubbleSize val="0"/>
        </c:dLbls>
        <c:marker val="1"/>
        <c:smooth val="0"/>
        <c:axId val="708453032"/>
        <c:axId val="708453424"/>
      </c:lineChart>
      <c:catAx>
        <c:axId val="708453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o-RO"/>
          </a:p>
        </c:txPr>
        <c:crossAx val="708453424"/>
        <c:crosses val="autoZero"/>
        <c:auto val="1"/>
        <c:lblAlgn val="ctr"/>
        <c:lblOffset val="100"/>
        <c:noMultiLvlLbl val="0"/>
      </c:catAx>
      <c:valAx>
        <c:axId val="708453424"/>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8453032"/>
        <c:crosses val="autoZero"/>
        <c:crossBetween val="between"/>
      </c:valAx>
      <c:spPr>
        <a:noFill/>
        <a:ln>
          <a:noFill/>
        </a:ln>
        <a:effectLst/>
      </c:spPr>
    </c:plotArea>
    <c:legend>
      <c:legendPos val="b"/>
      <c:layout>
        <c:manualLayout>
          <c:xMode val="edge"/>
          <c:yMode val="edge"/>
          <c:x val="2.6896425062750154E-2"/>
          <c:y val="0.84378839097992331"/>
          <c:w val="0.94990919082171366"/>
          <c:h val="0.130033598548872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a:pPr>
      <a:endParaRPr lang="ro-R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894245727816451E-2"/>
          <c:y val="5.498625343664084E-2"/>
          <c:w val="0.87539168525436029"/>
          <c:h val="0.70354222468005045"/>
        </c:manualLayout>
      </c:layout>
      <c:barChart>
        <c:barDir val="col"/>
        <c:grouping val="clustered"/>
        <c:varyColors val="0"/>
        <c:ser>
          <c:idx val="0"/>
          <c:order val="0"/>
          <c:spPr>
            <a:solidFill>
              <a:schemeClr val="accent3">
                <a:lumMod val="40000"/>
                <a:lumOff val="60000"/>
              </a:schemeClr>
            </a:solidFill>
            <a:ln>
              <a:noFill/>
            </a:ln>
            <a:effectLst/>
          </c:spPr>
          <c:invertIfNegative val="0"/>
          <c:dPt>
            <c:idx val="4"/>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E858-4DFA-BCC5-19C75EA3B3FD}"/>
              </c:ext>
            </c:extLst>
          </c:dPt>
          <c:dPt>
            <c:idx val="5"/>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E858-4DFA-BCC5-19C75EA3B3FD}"/>
              </c:ext>
            </c:extLst>
          </c:dPt>
          <c:dPt>
            <c:idx val="6"/>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5-E858-4DFA-BCC5-19C75EA3B3FD}"/>
              </c:ext>
            </c:extLst>
          </c:dPt>
          <c:dPt>
            <c:idx val="7"/>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7-E858-4DFA-BCC5-19C75EA3B3FD}"/>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Sheet3!$B$69:$B$76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Sheet3!$D$69:$D$76</c:f>
              <c:numCache>
                <c:formatCode>0.0</c:formatCode>
                <c:ptCount val="8"/>
                <c:pt idx="0">
                  <c:v>0.61314793745853979</c:v>
                </c:pt>
                <c:pt idx="1">
                  <c:v>0.8529314342497516</c:v>
                </c:pt>
                <c:pt idx="2">
                  <c:v>0.47567454021813038</c:v>
                </c:pt>
                <c:pt idx="3">
                  <c:v>0.38973323186993719</c:v>
                </c:pt>
                <c:pt idx="4">
                  <c:v>3.0631946189217949</c:v>
                </c:pt>
                <c:pt idx="5">
                  <c:v>3.1467338674179066</c:v>
                </c:pt>
                <c:pt idx="6">
                  <c:v>1.8702513150204558</c:v>
                </c:pt>
                <c:pt idx="7">
                  <c:v>2.1223651022264414</c:v>
                </c:pt>
              </c:numCache>
            </c:numRef>
          </c:val>
          <c:extLst xmlns:c16r2="http://schemas.microsoft.com/office/drawing/2015/06/chart">
            <c:ext xmlns:c16="http://schemas.microsoft.com/office/drawing/2014/chart" uri="{C3380CC4-5D6E-409C-BE32-E72D297353CC}">
              <c16:uniqueId val="{00000008-E858-4DFA-BCC5-19C75EA3B3FD}"/>
            </c:ext>
          </c:extLst>
        </c:ser>
        <c:dLbls>
          <c:showLegendKey val="0"/>
          <c:showVal val="0"/>
          <c:showCatName val="0"/>
          <c:showSerName val="0"/>
          <c:showPercent val="0"/>
          <c:showBubbleSize val="0"/>
        </c:dLbls>
        <c:gapWidth val="219"/>
        <c:overlap val="-27"/>
        <c:axId val="708455776"/>
        <c:axId val="708455384"/>
      </c:barChart>
      <c:catAx>
        <c:axId val="70845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8455384"/>
        <c:crosses val="autoZero"/>
        <c:auto val="1"/>
        <c:lblAlgn val="ctr"/>
        <c:lblOffset val="100"/>
        <c:noMultiLvlLbl val="0"/>
      </c:catAx>
      <c:valAx>
        <c:axId val="7084553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8455776"/>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bg2"/>
      </a:solidFill>
      <a:round/>
    </a:ln>
    <a:effectLst/>
  </c:spPr>
  <c:txPr>
    <a:bodyPr/>
    <a:lstStyle/>
    <a:p>
      <a:pPr>
        <a:defRPr sz="700">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5.0925925925925923E-2"/>
          <c:w val="0.90286351706036749"/>
          <c:h val="0.64579847858000805"/>
        </c:manualLayout>
      </c:layout>
      <c:lineChart>
        <c:grouping val="standard"/>
        <c:varyColors val="0"/>
        <c:ser>
          <c:idx val="0"/>
          <c:order val="0"/>
          <c:tx>
            <c:strRef>
              <c:f>Sheet4!$B$3</c:f>
              <c:strCache>
                <c:ptCount val="1"/>
                <c:pt idx="0">
                  <c:v>Hajdú-Bihar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Sheet4!$C$3:$I$3</c:f>
              <c:numCache>
                <c:formatCode>0</c:formatCode>
                <c:ptCount val="7"/>
                <c:pt idx="0">
                  <c:v>57.396142549339785</c:v>
                </c:pt>
                <c:pt idx="1">
                  <c:v>60.31459663544755</c:v>
                </c:pt>
                <c:pt idx="2">
                  <c:v>62.330155649676769</c:v>
                </c:pt>
                <c:pt idx="3">
                  <c:v>62.907448807629912</c:v>
                </c:pt>
                <c:pt idx="4">
                  <c:v>64.239874108772327</c:v>
                </c:pt>
                <c:pt idx="5">
                  <c:v>64.203795931319718</c:v>
                </c:pt>
                <c:pt idx="6">
                  <c:v>65.28217540239919</c:v>
                </c:pt>
              </c:numCache>
            </c:numRef>
          </c:val>
          <c:smooth val="0"/>
          <c:extLst xmlns:c16r2="http://schemas.microsoft.com/office/drawing/2015/06/chart">
            <c:ext xmlns:c16="http://schemas.microsoft.com/office/drawing/2014/chart" uri="{C3380CC4-5D6E-409C-BE32-E72D297353CC}">
              <c16:uniqueId val="{00000000-085C-4004-A44F-7D3D80C4F48C}"/>
            </c:ext>
          </c:extLst>
        </c:ser>
        <c:ser>
          <c:idx val="1"/>
          <c:order val="1"/>
          <c:tx>
            <c:strRef>
              <c:f>Sheet4!$B$4</c:f>
              <c:strCache>
                <c:ptCount val="1"/>
                <c:pt idx="0">
                  <c:v>Szabolcs-Szatmár-Bereg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Sheet4!$C$4:$I$4</c:f>
              <c:numCache>
                <c:formatCode>0</c:formatCode>
                <c:ptCount val="7"/>
                <c:pt idx="0">
                  <c:v>57.110380724365029</c:v>
                </c:pt>
                <c:pt idx="1">
                  <c:v>58.317550699909376</c:v>
                </c:pt>
                <c:pt idx="2">
                  <c:v>60.528573964847219</c:v>
                </c:pt>
                <c:pt idx="3">
                  <c:v>62.104578512722469</c:v>
                </c:pt>
                <c:pt idx="4">
                  <c:v>64.049312073431366</c:v>
                </c:pt>
                <c:pt idx="5">
                  <c:v>65.783909543300254</c:v>
                </c:pt>
                <c:pt idx="6">
                  <c:v>66.412998715220326</c:v>
                </c:pt>
              </c:numCache>
            </c:numRef>
          </c:val>
          <c:smooth val="0"/>
          <c:extLst xmlns:c16r2="http://schemas.microsoft.com/office/drawing/2015/06/chart">
            <c:ext xmlns:c16="http://schemas.microsoft.com/office/drawing/2014/chart" uri="{C3380CC4-5D6E-409C-BE32-E72D297353CC}">
              <c16:uniqueId val="{00000001-085C-4004-A44F-7D3D80C4F48C}"/>
            </c:ext>
          </c:extLst>
        </c:ser>
        <c:ser>
          <c:idx val="2"/>
          <c:order val="2"/>
          <c:tx>
            <c:strRef>
              <c:f>Sheet4!$B$5</c:f>
              <c:strCache>
                <c:ptCount val="1"/>
                <c:pt idx="0">
                  <c:v>Békés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Sheet4!$C$5:$I$5</c:f>
              <c:numCache>
                <c:formatCode>0</c:formatCode>
                <c:ptCount val="7"/>
                <c:pt idx="0">
                  <c:v>58.769701655017904</c:v>
                </c:pt>
                <c:pt idx="1">
                  <c:v>59.460127493152925</c:v>
                </c:pt>
                <c:pt idx="2">
                  <c:v>60.27446512830457</c:v>
                </c:pt>
                <c:pt idx="3">
                  <c:v>62.432285247499209</c:v>
                </c:pt>
                <c:pt idx="4">
                  <c:v>64.014338108549282</c:v>
                </c:pt>
                <c:pt idx="5">
                  <c:v>65.380335359428088</c:v>
                </c:pt>
                <c:pt idx="6">
                  <c:v>67.752222403195802</c:v>
                </c:pt>
              </c:numCache>
            </c:numRef>
          </c:val>
          <c:smooth val="0"/>
          <c:extLst xmlns:c16r2="http://schemas.microsoft.com/office/drawing/2015/06/chart">
            <c:ext xmlns:c16="http://schemas.microsoft.com/office/drawing/2014/chart" uri="{C3380CC4-5D6E-409C-BE32-E72D297353CC}">
              <c16:uniqueId val="{00000002-085C-4004-A44F-7D3D80C4F48C}"/>
            </c:ext>
          </c:extLst>
        </c:ser>
        <c:ser>
          <c:idx val="3"/>
          <c:order val="3"/>
          <c:tx>
            <c:strRef>
              <c:f>Sheet4!$B$6</c:f>
              <c:strCache>
                <c:ptCount val="1"/>
                <c:pt idx="0">
                  <c:v>Csongrád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Sheet4!$C$6:$I$6</c:f>
              <c:numCache>
                <c:formatCode>0</c:formatCode>
                <c:ptCount val="7"/>
                <c:pt idx="0">
                  <c:v>58.808651695846784</c:v>
                </c:pt>
                <c:pt idx="1">
                  <c:v>60.678493082065188</c:v>
                </c:pt>
                <c:pt idx="2">
                  <c:v>63.409439901056828</c:v>
                </c:pt>
                <c:pt idx="3">
                  <c:v>63.920905993463194</c:v>
                </c:pt>
                <c:pt idx="4">
                  <c:v>65.410330975248783</c:v>
                </c:pt>
                <c:pt idx="5">
                  <c:v>64.615331203999446</c:v>
                </c:pt>
                <c:pt idx="6">
                  <c:v>64.799458868390062</c:v>
                </c:pt>
              </c:numCache>
            </c:numRef>
          </c:val>
          <c:smooth val="0"/>
          <c:extLst xmlns:c16r2="http://schemas.microsoft.com/office/drawing/2015/06/chart">
            <c:ext xmlns:c16="http://schemas.microsoft.com/office/drawing/2014/chart" uri="{C3380CC4-5D6E-409C-BE32-E72D297353CC}">
              <c16:uniqueId val="{00000003-085C-4004-A44F-7D3D80C4F48C}"/>
            </c:ext>
          </c:extLst>
        </c:ser>
        <c:ser>
          <c:idx val="4"/>
          <c:order val="4"/>
          <c:tx>
            <c:strRef>
              <c:f>Sheet4!$B$7</c:f>
              <c:strCache>
                <c:ptCount val="1"/>
                <c:pt idx="0">
                  <c:v>Bihor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Sheet4!$C$7:$I$7</c:f>
              <c:numCache>
                <c:formatCode>0</c:formatCode>
                <c:ptCount val="7"/>
                <c:pt idx="0">
                  <c:v>65.009995286775336</c:v>
                </c:pt>
                <c:pt idx="1">
                  <c:v>63.518371432113163</c:v>
                </c:pt>
                <c:pt idx="2">
                  <c:v>62.485504181617259</c:v>
                </c:pt>
                <c:pt idx="3">
                  <c:v>61.643184626316483</c:v>
                </c:pt>
                <c:pt idx="4">
                  <c:v>60.659324728981026</c:v>
                </c:pt>
                <c:pt idx="5">
                  <c:v>60.611428285938786</c:v>
                </c:pt>
                <c:pt idx="6">
                  <c:v>61.325753814965239</c:v>
                </c:pt>
              </c:numCache>
            </c:numRef>
          </c:val>
          <c:smooth val="0"/>
          <c:extLst xmlns:c16r2="http://schemas.microsoft.com/office/drawing/2015/06/chart">
            <c:ext xmlns:c16="http://schemas.microsoft.com/office/drawing/2014/chart" uri="{C3380CC4-5D6E-409C-BE32-E72D297353CC}">
              <c16:uniqueId val="{00000004-085C-4004-A44F-7D3D80C4F48C}"/>
            </c:ext>
          </c:extLst>
        </c:ser>
        <c:ser>
          <c:idx val="5"/>
          <c:order val="5"/>
          <c:tx>
            <c:strRef>
              <c:f>Sheet4!$B$8</c:f>
              <c:strCache>
                <c:ptCount val="1"/>
                <c:pt idx="0">
                  <c:v>Satu Mare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Sheet4!$C$8:$I$8</c:f>
              <c:numCache>
                <c:formatCode>0</c:formatCode>
                <c:ptCount val="7"/>
                <c:pt idx="0">
                  <c:v>66.473259334006059</c:v>
                </c:pt>
                <c:pt idx="1">
                  <c:v>66.903890556209817</c:v>
                </c:pt>
                <c:pt idx="2">
                  <c:v>66.204955623182755</c:v>
                </c:pt>
                <c:pt idx="3">
                  <c:v>64.731703560457618</c:v>
                </c:pt>
                <c:pt idx="4">
                  <c:v>63.57004164486402</c:v>
                </c:pt>
                <c:pt idx="5">
                  <c:v>64.648569152521603</c:v>
                </c:pt>
                <c:pt idx="6">
                  <c:v>64.879850488481054</c:v>
                </c:pt>
              </c:numCache>
            </c:numRef>
          </c:val>
          <c:smooth val="0"/>
          <c:extLst xmlns:c16r2="http://schemas.microsoft.com/office/drawing/2015/06/chart">
            <c:ext xmlns:c16="http://schemas.microsoft.com/office/drawing/2014/chart" uri="{C3380CC4-5D6E-409C-BE32-E72D297353CC}">
              <c16:uniqueId val="{00000005-085C-4004-A44F-7D3D80C4F48C}"/>
            </c:ext>
          </c:extLst>
        </c:ser>
        <c:ser>
          <c:idx val="6"/>
          <c:order val="6"/>
          <c:tx>
            <c:strRef>
              <c:f>Sheet4!$B$9</c:f>
              <c:strCache>
                <c:ptCount val="1"/>
                <c:pt idx="0">
                  <c:v>Arad</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Sheet4!$C$9:$I$9</c:f>
              <c:numCache>
                <c:formatCode>0</c:formatCode>
                <c:ptCount val="7"/>
                <c:pt idx="0">
                  <c:v>64.255581077632158</c:v>
                </c:pt>
                <c:pt idx="1">
                  <c:v>65.95000789093514</c:v>
                </c:pt>
                <c:pt idx="2">
                  <c:v>67.046453175027494</c:v>
                </c:pt>
                <c:pt idx="3">
                  <c:v>67.155427956440732</c:v>
                </c:pt>
                <c:pt idx="4">
                  <c:v>68.064904073190235</c:v>
                </c:pt>
                <c:pt idx="5">
                  <c:v>67.992315020439108</c:v>
                </c:pt>
                <c:pt idx="6">
                  <c:v>68.232206110955374</c:v>
                </c:pt>
              </c:numCache>
            </c:numRef>
          </c:val>
          <c:smooth val="0"/>
          <c:extLst xmlns:c16r2="http://schemas.microsoft.com/office/drawing/2015/06/chart">
            <c:ext xmlns:c16="http://schemas.microsoft.com/office/drawing/2014/chart" uri="{C3380CC4-5D6E-409C-BE32-E72D297353CC}">
              <c16:uniqueId val="{00000006-085C-4004-A44F-7D3D80C4F48C}"/>
            </c:ext>
          </c:extLst>
        </c:ser>
        <c:ser>
          <c:idx val="7"/>
          <c:order val="7"/>
          <c:tx>
            <c:strRef>
              <c:f>Sheet4!$B$10</c:f>
              <c:strCache>
                <c:ptCount val="1"/>
                <c:pt idx="0">
                  <c:v>Timis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Sheet4!$C$2:$I$2</c:f>
              <c:numCache>
                <c:formatCode>General</c:formatCode>
                <c:ptCount val="7"/>
                <c:pt idx="0">
                  <c:v>2012</c:v>
                </c:pt>
                <c:pt idx="1">
                  <c:v>2013</c:v>
                </c:pt>
                <c:pt idx="2">
                  <c:v>2014</c:v>
                </c:pt>
                <c:pt idx="3">
                  <c:v>2015</c:v>
                </c:pt>
                <c:pt idx="4">
                  <c:v>2016</c:v>
                </c:pt>
                <c:pt idx="5">
                  <c:v>2017</c:v>
                </c:pt>
                <c:pt idx="6">
                  <c:v>2018</c:v>
                </c:pt>
              </c:numCache>
            </c:numRef>
          </c:cat>
          <c:val>
            <c:numRef>
              <c:f>Sheet4!$C$10:$I$10</c:f>
              <c:numCache>
                <c:formatCode>0</c:formatCode>
                <c:ptCount val="7"/>
                <c:pt idx="0">
                  <c:v>65.248389844295787</c:v>
                </c:pt>
                <c:pt idx="1">
                  <c:v>65.047569254958233</c:v>
                </c:pt>
                <c:pt idx="2">
                  <c:v>65.293514993042493</c:v>
                </c:pt>
                <c:pt idx="3">
                  <c:v>66.349673340682045</c:v>
                </c:pt>
                <c:pt idx="4">
                  <c:v>67.30919873040925</c:v>
                </c:pt>
                <c:pt idx="5">
                  <c:v>68.098062767802745</c:v>
                </c:pt>
                <c:pt idx="6">
                  <c:v>68.471008876304282</c:v>
                </c:pt>
              </c:numCache>
            </c:numRef>
          </c:val>
          <c:smooth val="0"/>
          <c:extLst xmlns:c16r2="http://schemas.microsoft.com/office/drawing/2015/06/chart">
            <c:ext xmlns:c16="http://schemas.microsoft.com/office/drawing/2014/chart" uri="{C3380CC4-5D6E-409C-BE32-E72D297353CC}">
              <c16:uniqueId val="{00000007-085C-4004-A44F-7D3D80C4F48C}"/>
            </c:ext>
          </c:extLst>
        </c:ser>
        <c:dLbls>
          <c:showLegendKey val="0"/>
          <c:showVal val="0"/>
          <c:showCatName val="0"/>
          <c:showSerName val="0"/>
          <c:showPercent val="0"/>
          <c:showBubbleSize val="0"/>
        </c:dLbls>
        <c:marker val="1"/>
        <c:smooth val="0"/>
        <c:axId val="708454992"/>
        <c:axId val="708454208"/>
      </c:lineChart>
      <c:catAx>
        <c:axId val="70845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454208"/>
        <c:crosses val="autoZero"/>
        <c:auto val="1"/>
        <c:lblAlgn val="ctr"/>
        <c:lblOffset val="100"/>
        <c:noMultiLvlLbl val="0"/>
      </c:catAx>
      <c:valAx>
        <c:axId val="708454208"/>
        <c:scaling>
          <c:orientation val="minMax"/>
          <c:min val="56"/>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454992"/>
        <c:crosses val="autoZero"/>
        <c:crossBetween val="between"/>
      </c:valAx>
      <c:spPr>
        <a:noFill/>
        <a:ln>
          <a:noFill/>
        </a:ln>
        <a:effectLst/>
      </c:spPr>
    </c:plotArea>
    <c:legend>
      <c:legendPos val="b"/>
      <c:layout>
        <c:manualLayout>
          <c:xMode val="edge"/>
          <c:yMode val="edge"/>
          <c:x val="3.1180923203712158E-2"/>
          <c:y val="0.80407420258908313"/>
          <c:w val="0.93763797443408314"/>
          <c:h val="0.1688071533431202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256055018439151E-2"/>
          <c:y val="3.5341356521175975E-2"/>
          <c:w val="0.93586630785075919"/>
          <c:h val="0.5173228346456693"/>
        </c:manualLayout>
      </c:layout>
      <c:bar3DChart>
        <c:barDir val="col"/>
        <c:grouping val="clustered"/>
        <c:varyColors val="0"/>
        <c:ser>
          <c:idx val="0"/>
          <c:order val="0"/>
          <c:tx>
            <c:strRef>
              <c:f>Sheet4!$C$18</c:f>
              <c:strCache>
                <c:ptCount val="1"/>
                <c:pt idx="0">
                  <c:v>AGRICULTURE, FORESTRY AND FISHING</c:v>
                </c:pt>
              </c:strCache>
            </c:strRef>
          </c:tx>
          <c:spPr>
            <a:solidFill>
              <a:schemeClr val="accent1"/>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Sheet4!$C$19:$C$26</c:f>
              <c:numCache>
                <c:formatCode>0.0</c:formatCode>
                <c:ptCount val="8"/>
                <c:pt idx="0">
                  <c:v>5.6497218026278837</c:v>
                </c:pt>
                <c:pt idx="1">
                  <c:v>3.0919021610068866</c:v>
                </c:pt>
                <c:pt idx="2">
                  <c:v>7.586436681446548</c:v>
                </c:pt>
                <c:pt idx="3">
                  <c:v>5.1349689601142421</c:v>
                </c:pt>
                <c:pt idx="4">
                  <c:v>2.0949514801621421</c:v>
                </c:pt>
                <c:pt idx="5">
                  <c:v>3.2353347829912393</c:v>
                </c:pt>
                <c:pt idx="6">
                  <c:v>3.1202289344268586</c:v>
                </c:pt>
                <c:pt idx="7">
                  <c:v>2.2320378892210542</c:v>
                </c:pt>
              </c:numCache>
            </c:numRef>
          </c:val>
          <c:extLst xmlns:c16r2="http://schemas.microsoft.com/office/drawing/2015/06/chart">
            <c:ext xmlns:c16="http://schemas.microsoft.com/office/drawing/2014/chart" uri="{C3380CC4-5D6E-409C-BE32-E72D297353CC}">
              <c16:uniqueId val="{00000000-168A-4C66-8349-81B5788B0066}"/>
            </c:ext>
          </c:extLst>
        </c:ser>
        <c:ser>
          <c:idx val="2"/>
          <c:order val="2"/>
          <c:tx>
            <c:strRef>
              <c:f>Sheet4!$E$18</c:f>
              <c:strCache>
                <c:ptCount val="1"/>
                <c:pt idx="0">
                  <c:v>MANUFACTURING</c:v>
                </c:pt>
              </c:strCache>
            </c:strRef>
          </c:tx>
          <c:spPr>
            <a:solidFill>
              <a:schemeClr val="accent3"/>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Sheet4!$E$19:$E$26</c:f>
              <c:numCache>
                <c:formatCode>0.0</c:formatCode>
                <c:ptCount val="8"/>
                <c:pt idx="0">
                  <c:v>19.173226254544904</c:v>
                </c:pt>
                <c:pt idx="1">
                  <c:v>23.589012902715112</c:v>
                </c:pt>
                <c:pt idx="2">
                  <c:v>23.535894610041776</c:v>
                </c:pt>
                <c:pt idx="3">
                  <c:v>24.034590134671451</c:v>
                </c:pt>
                <c:pt idx="4">
                  <c:v>32.47266920525734</c:v>
                </c:pt>
                <c:pt idx="5">
                  <c:v>35.366206211742231</c:v>
                </c:pt>
                <c:pt idx="6">
                  <c:v>40.496996386457269</c:v>
                </c:pt>
                <c:pt idx="7">
                  <c:v>32.849921064122803</c:v>
                </c:pt>
              </c:numCache>
            </c:numRef>
          </c:val>
          <c:extLst xmlns:c16r2="http://schemas.microsoft.com/office/drawing/2015/06/chart">
            <c:ext xmlns:c16="http://schemas.microsoft.com/office/drawing/2014/chart" uri="{C3380CC4-5D6E-409C-BE32-E72D297353CC}">
              <c16:uniqueId val="{00000001-168A-4C66-8349-81B5788B0066}"/>
            </c:ext>
          </c:extLst>
        </c:ser>
        <c:ser>
          <c:idx val="5"/>
          <c:order val="5"/>
          <c:tx>
            <c:strRef>
              <c:f>Sheet4!$H$18</c:f>
              <c:strCache>
                <c:ptCount val="1"/>
                <c:pt idx="0">
                  <c:v>CONSTRUCTION</c:v>
                </c:pt>
              </c:strCache>
            </c:strRef>
          </c:tx>
          <c:spPr>
            <a:solidFill>
              <a:schemeClr val="accent6"/>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Sheet4!$H$19:$H$26</c:f>
              <c:numCache>
                <c:formatCode>0.0</c:formatCode>
                <c:ptCount val="8"/>
                <c:pt idx="0">
                  <c:v>4.9521409432143368</c:v>
                </c:pt>
                <c:pt idx="1">
                  <c:v>4.2792685822844927</c:v>
                </c:pt>
                <c:pt idx="2">
                  <c:v>3.55614219442807</c:v>
                </c:pt>
                <c:pt idx="3">
                  <c:v>4.3921934191475431</c:v>
                </c:pt>
                <c:pt idx="4">
                  <c:v>6.5035007984277113</c:v>
                </c:pt>
                <c:pt idx="5">
                  <c:v>8.2731054940358728</c:v>
                </c:pt>
                <c:pt idx="6">
                  <c:v>5.5814274644591579</c:v>
                </c:pt>
                <c:pt idx="7">
                  <c:v>5.5469248597628562</c:v>
                </c:pt>
              </c:numCache>
            </c:numRef>
          </c:val>
          <c:extLst xmlns:c16r2="http://schemas.microsoft.com/office/drawing/2015/06/chart">
            <c:ext xmlns:c16="http://schemas.microsoft.com/office/drawing/2014/chart" uri="{C3380CC4-5D6E-409C-BE32-E72D297353CC}">
              <c16:uniqueId val="{00000002-168A-4C66-8349-81B5788B0066}"/>
            </c:ext>
          </c:extLst>
        </c:ser>
        <c:ser>
          <c:idx val="6"/>
          <c:order val="6"/>
          <c:tx>
            <c:strRef>
              <c:f>Sheet4!$I$18</c:f>
              <c:strCache>
                <c:ptCount val="1"/>
                <c:pt idx="0">
                  <c:v>WHOLESALE AND RETAIL TRADE; REPAIR OF MOTOR VEHICLES AND MOTORCYCLES</c:v>
                </c:pt>
              </c:strCache>
            </c:strRef>
          </c:tx>
          <c:spPr>
            <a:solidFill>
              <a:schemeClr val="accent1">
                <a:lumMod val="6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Sheet4!$I$19:$I$26</c:f>
              <c:numCache>
                <c:formatCode>0.0</c:formatCode>
                <c:ptCount val="8"/>
                <c:pt idx="0">
                  <c:v>11.981084096826349</c:v>
                </c:pt>
                <c:pt idx="1">
                  <c:v>9.5495923375286953</c:v>
                </c:pt>
                <c:pt idx="2">
                  <c:v>8.6487941153856003</c:v>
                </c:pt>
                <c:pt idx="3">
                  <c:v>12.065887859735417</c:v>
                </c:pt>
                <c:pt idx="4">
                  <c:v>16.682225770789831</c:v>
                </c:pt>
                <c:pt idx="5">
                  <c:v>15.5519802913561</c:v>
                </c:pt>
                <c:pt idx="6">
                  <c:v>13.479818632377651</c:v>
                </c:pt>
                <c:pt idx="7">
                  <c:v>15.334133888683619</c:v>
                </c:pt>
              </c:numCache>
            </c:numRef>
          </c:val>
          <c:extLst xmlns:c16r2="http://schemas.microsoft.com/office/drawing/2015/06/chart">
            <c:ext xmlns:c16="http://schemas.microsoft.com/office/drawing/2014/chart" uri="{C3380CC4-5D6E-409C-BE32-E72D297353CC}">
              <c16:uniqueId val="{00000003-168A-4C66-8349-81B5788B0066}"/>
            </c:ext>
          </c:extLst>
        </c:ser>
        <c:ser>
          <c:idx val="7"/>
          <c:order val="7"/>
          <c:tx>
            <c:strRef>
              <c:f>Sheet4!$J$18</c:f>
              <c:strCache>
                <c:ptCount val="1"/>
                <c:pt idx="0">
                  <c:v>TRANSPORTATION AND STORAGE</c:v>
                </c:pt>
              </c:strCache>
            </c:strRef>
          </c:tx>
          <c:spPr>
            <a:solidFill>
              <a:schemeClr val="accent2">
                <a:lumMod val="6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Sheet4!$J$19:$J$26</c:f>
              <c:numCache>
                <c:formatCode>0.0</c:formatCode>
                <c:ptCount val="8"/>
                <c:pt idx="0">
                  <c:v>3.4074433927175289</c:v>
                </c:pt>
                <c:pt idx="1">
                  <c:v>2.9684160531940158</c:v>
                </c:pt>
                <c:pt idx="2">
                  <c:v>1.8671348386600715</c:v>
                </c:pt>
                <c:pt idx="3">
                  <c:v>3.3330688827624506</c:v>
                </c:pt>
                <c:pt idx="4">
                  <c:v>7.6360397985505468</c:v>
                </c:pt>
                <c:pt idx="5">
                  <c:v>4.8366620998252872</c:v>
                </c:pt>
                <c:pt idx="6">
                  <c:v>7.1940955785887999</c:v>
                </c:pt>
                <c:pt idx="7">
                  <c:v>6.0234792247489164</c:v>
                </c:pt>
              </c:numCache>
            </c:numRef>
          </c:val>
          <c:extLst xmlns:c16r2="http://schemas.microsoft.com/office/drawing/2015/06/chart">
            <c:ext xmlns:c16="http://schemas.microsoft.com/office/drawing/2014/chart" uri="{C3380CC4-5D6E-409C-BE32-E72D297353CC}">
              <c16:uniqueId val="{00000004-168A-4C66-8349-81B5788B0066}"/>
            </c:ext>
          </c:extLst>
        </c:ser>
        <c:ser>
          <c:idx val="8"/>
          <c:order val="8"/>
          <c:tx>
            <c:strRef>
              <c:f>Sheet4!$K$18</c:f>
              <c:strCache>
                <c:ptCount val="1"/>
                <c:pt idx="0">
                  <c:v>ACCOMMODATION AND FOOD SERVICE ACTIVITIES</c:v>
                </c:pt>
              </c:strCache>
            </c:strRef>
          </c:tx>
          <c:spPr>
            <a:solidFill>
              <a:schemeClr val="accent3">
                <a:lumMod val="6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Sheet4!$K$19:$K$26</c:f>
              <c:numCache>
                <c:formatCode>0.0</c:formatCode>
                <c:ptCount val="8"/>
                <c:pt idx="0">
                  <c:v>3.3452000516164295</c:v>
                </c:pt>
                <c:pt idx="1">
                  <c:v>1.9678619488640863</c:v>
                </c:pt>
                <c:pt idx="2">
                  <c:v>3.096086321347105</c:v>
                </c:pt>
                <c:pt idx="3">
                  <c:v>3.2824927110811397</c:v>
                </c:pt>
                <c:pt idx="4">
                  <c:v>4.1211153420955657</c:v>
                </c:pt>
                <c:pt idx="5">
                  <c:v>3.0480523887932227</c:v>
                </c:pt>
                <c:pt idx="6">
                  <c:v>3.1478483693025328</c:v>
                </c:pt>
                <c:pt idx="7">
                  <c:v>2.6107621510866279</c:v>
                </c:pt>
              </c:numCache>
            </c:numRef>
          </c:val>
          <c:extLst xmlns:c16r2="http://schemas.microsoft.com/office/drawing/2015/06/chart">
            <c:ext xmlns:c16="http://schemas.microsoft.com/office/drawing/2014/chart" uri="{C3380CC4-5D6E-409C-BE32-E72D297353CC}">
              <c16:uniqueId val="{00000005-168A-4C66-8349-81B5788B0066}"/>
            </c:ext>
          </c:extLst>
        </c:ser>
        <c:ser>
          <c:idx val="13"/>
          <c:order val="13"/>
          <c:tx>
            <c:strRef>
              <c:f>Sheet4!$P$18</c:f>
              <c:strCache>
                <c:ptCount val="1"/>
                <c:pt idx="0">
                  <c:v>ADMINISTRATIVE AND SUPPORT SERVICE ACTIVITIES</c:v>
                </c:pt>
              </c:strCache>
            </c:strRef>
          </c:tx>
          <c:spPr>
            <a:solidFill>
              <a:schemeClr val="accent2">
                <a:lumMod val="80000"/>
                <a:lumOff val="2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Sheet4!$P$19:$P$26</c:f>
              <c:numCache>
                <c:formatCode>0.0</c:formatCode>
                <c:ptCount val="8"/>
                <c:pt idx="0">
                  <c:v>4.5581861379524975</c:v>
                </c:pt>
                <c:pt idx="1">
                  <c:v>3.6048444549988123</c:v>
                </c:pt>
                <c:pt idx="2">
                  <c:v>1.1584693851398109</c:v>
                </c:pt>
                <c:pt idx="3">
                  <c:v>2.0765981078561655</c:v>
                </c:pt>
                <c:pt idx="4">
                  <c:v>3.3675224173934408</c:v>
                </c:pt>
                <c:pt idx="5">
                  <c:v>2.9009917168390755</c:v>
                </c:pt>
                <c:pt idx="6">
                  <c:v>4.8433747880591973</c:v>
                </c:pt>
                <c:pt idx="7">
                  <c:v>5.2164858419267075</c:v>
                </c:pt>
              </c:numCache>
            </c:numRef>
          </c:val>
          <c:extLst xmlns:c16r2="http://schemas.microsoft.com/office/drawing/2015/06/chart">
            <c:ext xmlns:c16="http://schemas.microsoft.com/office/drawing/2014/chart" uri="{C3380CC4-5D6E-409C-BE32-E72D297353CC}">
              <c16:uniqueId val="{00000006-168A-4C66-8349-81B5788B0066}"/>
            </c:ext>
          </c:extLst>
        </c:ser>
        <c:ser>
          <c:idx val="14"/>
          <c:order val="14"/>
          <c:tx>
            <c:strRef>
              <c:f>Sheet4!$Q$18</c:f>
              <c:strCache>
                <c:ptCount val="1"/>
                <c:pt idx="0">
                  <c:v>PUBLIC ADMINISTRATION AND DEFENCE; COMPULSORY SOCIAL SECURITY</c:v>
                </c:pt>
              </c:strCache>
            </c:strRef>
          </c:tx>
          <c:spPr>
            <a:solidFill>
              <a:schemeClr val="accent3">
                <a:lumMod val="80000"/>
                <a:lumOff val="2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Sheet4!$Q$19:$Q$26</c:f>
              <c:numCache>
                <c:formatCode>0.0</c:formatCode>
                <c:ptCount val="8"/>
                <c:pt idx="0">
                  <c:v>7.3113153839730991</c:v>
                </c:pt>
                <c:pt idx="1">
                  <c:v>9.7886487770125861</c:v>
                </c:pt>
                <c:pt idx="2">
                  <c:v>9.9379757541584439</c:v>
                </c:pt>
                <c:pt idx="3">
                  <c:v>8.354985223824352</c:v>
                </c:pt>
                <c:pt idx="4">
                  <c:v>2.7901977644024076</c:v>
                </c:pt>
                <c:pt idx="5">
                  <c:v>3.6626905818323507</c:v>
                </c:pt>
                <c:pt idx="6">
                  <c:v>3.0764981625403744</c:v>
                </c:pt>
                <c:pt idx="7">
                  <c:v>2.5259480702697257</c:v>
                </c:pt>
              </c:numCache>
            </c:numRef>
          </c:val>
          <c:extLst xmlns:c16r2="http://schemas.microsoft.com/office/drawing/2015/06/chart">
            <c:ext xmlns:c16="http://schemas.microsoft.com/office/drawing/2014/chart" uri="{C3380CC4-5D6E-409C-BE32-E72D297353CC}">
              <c16:uniqueId val="{00000007-168A-4C66-8349-81B5788B0066}"/>
            </c:ext>
          </c:extLst>
        </c:ser>
        <c:ser>
          <c:idx val="15"/>
          <c:order val="15"/>
          <c:tx>
            <c:strRef>
              <c:f>Sheet4!$R$18</c:f>
              <c:strCache>
                <c:ptCount val="1"/>
                <c:pt idx="0">
                  <c:v> EDUCATION</c:v>
                </c:pt>
              </c:strCache>
            </c:strRef>
          </c:tx>
          <c:spPr>
            <a:solidFill>
              <a:schemeClr val="accent4">
                <a:lumMod val="80000"/>
                <a:lumOff val="2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Sheet4!$R$19:$R$26</c:f>
              <c:numCache>
                <c:formatCode>0.0</c:formatCode>
                <c:ptCount val="8"/>
                <c:pt idx="0">
                  <c:v>16.038287245428531</c:v>
                </c:pt>
                <c:pt idx="1">
                  <c:v>11.078128710520065</c:v>
                </c:pt>
                <c:pt idx="2">
                  <c:v>10.699182407668452</c:v>
                </c:pt>
                <c:pt idx="3">
                  <c:v>17.677859537079279</c:v>
                </c:pt>
                <c:pt idx="4">
                  <c:v>6.9598329443557301</c:v>
                </c:pt>
                <c:pt idx="5">
                  <c:v>7.1720358476099495</c:v>
                </c:pt>
                <c:pt idx="6">
                  <c:v>5.3612391919780888</c:v>
                </c:pt>
                <c:pt idx="7">
                  <c:v>5.6481139363810415</c:v>
                </c:pt>
              </c:numCache>
            </c:numRef>
          </c:val>
          <c:extLst xmlns:c16r2="http://schemas.microsoft.com/office/drawing/2015/06/chart">
            <c:ext xmlns:c16="http://schemas.microsoft.com/office/drawing/2014/chart" uri="{C3380CC4-5D6E-409C-BE32-E72D297353CC}">
              <c16:uniqueId val="{00000008-168A-4C66-8349-81B5788B0066}"/>
            </c:ext>
          </c:extLst>
        </c:ser>
        <c:ser>
          <c:idx val="16"/>
          <c:order val="16"/>
          <c:tx>
            <c:strRef>
              <c:f>Sheet4!$S$18</c:f>
              <c:strCache>
                <c:ptCount val="1"/>
                <c:pt idx="0">
                  <c:v>HUMAN HEALTH AND SOCIAL WORK ACTIVITIES</c:v>
                </c:pt>
              </c:strCache>
            </c:strRef>
          </c:tx>
          <c:spPr>
            <a:solidFill>
              <a:schemeClr val="accent5">
                <a:lumMod val="80000"/>
                <a:lumOff val="2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Sheet4!$S$19:$S$26</c:f>
              <c:numCache>
                <c:formatCode>0.0</c:formatCode>
                <c:ptCount val="8"/>
                <c:pt idx="0">
                  <c:v>13.773995946592176</c:v>
                </c:pt>
                <c:pt idx="1">
                  <c:v>25.593287421831711</c:v>
                </c:pt>
                <c:pt idx="2">
                  <c:v>21.516262142143169</c:v>
                </c:pt>
                <c:pt idx="3">
                  <c:v>9.9258216148674112</c:v>
                </c:pt>
                <c:pt idx="4">
                  <c:v>6.1755312615157845</c:v>
                </c:pt>
                <c:pt idx="5">
                  <c:v>7.8231249764325845</c:v>
                </c:pt>
                <c:pt idx="6">
                  <c:v>5.1218707563889128</c:v>
                </c:pt>
                <c:pt idx="7">
                  <c:v>6.8623828557992681</c:v>
                </c:pt>
              </c:numCache>
            </c:numRef>
          </c:val>
          <c:extLst xmlns:c16r2="http://schemas.microsoft.com/office/drawing/2015/06/chart">
            <c:ext xmlns:c16="http://schemas.microsoft.com/office/drawing/2014/chart" uri="{C3380CC4-5D6E-409C-BE32-E72D297353CC}">
              <c16:uniqueId val="{00000009-168A-4C66-8349-81B5788B0066}"/>
            </c:ext>
          </c:extLst>
        </c:ser>
        <c:ser>
          <c:idx val="17"/>
          <c:order val="17"/>
          <c:tx>
            <c:strRef>
              <c:f>Sheet4!$T$18</c:f>
              <c:strCache>
                <c:ptCount val="1"/>
                <c:pt idx="0">
                  <c:v>ARTS, ENTERTAINMENT AND RECREATION</c:v>
                </c:pt>
              </c:strCache>
            </c:strRef>
          </c:tx>
          <c:spPr>
            <a:solidFill>
              <a:schemeClr val="accent6">
                <a:lumMod val="80000"/>
                <a:lumOff val="20000"/>
              </a:schemeClr>
            </a:solidFill>
            <a:ln>
              <a:noFill/>
            </a:ln>
            <a:effectLst/>
            <a:sp3d/>
          </c:spPr>
          <c:invertIfNegative val="0"/>
          <c:cat>
            <c:strRef>
              <c:f>Sheet4!$B$19:$B$26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Sheet4!$T$19:$T$26</c:f>
              <c:numCache>
                <c:formatCode>0.0</c:formatCode>
                <c:ptCount val="8"/>
                <c:pt idx="0">
                  <c:v>1.7838030681412771</c:v>
                </c:pt>
                <c:pt idx="1">
                  <c:v>0.78049552758647989</c:v>
                </c:pt>
                <c:pt idx="2">
                  <c:v>1.1725658046492555</c:v>
                </c:pt>
                <c:pt idx="3">
                  <c:v>1.8405759733433824</c:v>
                </c:pt>
                <c:pt idx="4">
                  <c:v>1.3499570077386069</c:v>
                </c:pt>
                <c:pt idx="5">
                  <c:v>1.2267625284380146</c:v>
                </c:pt>
                <c:pt idx="6">
                  <c:v>0.79098992657833567</c:v>
                </c:pt>
                <c:pt idx="7">
                  <c:v>1.1302945819757482</c:v>
                </c:pt>
              </c:numCache>
            </c:numRef>
          </c:val>
          <c:extLst xmlns:c16r2="http://schemas.microsoft.com/office/drawing/2015/06/chart">
            <c:ext xmlns:c16="http://schemas.microsoft.com/office/drawing/2014/chart" uri="{C3380CC4-5D6E-409C-BE32-E72D297353CC}">
              <c16:uniqueId val="{0000000A-168A-4C66-8349-81B5788B0066}"/>
            </c:ext>
          </c:extLst>
        </c:ser>
        <c:dLbls>
          <c:showLegendKey val="0"/>
          <c:showVal val="0"/>
          <c:showCatName val="0"/>
          <c:showSerName val="0"/>
          <c:showPercent val="0"/>
          <c:showBubbleSize val="0"/>
        </c:dLbls>
        <c:gapWidth val="150"/>
        <c:shape val="box"/>
        <c:axId val="707239440"/>
        <c:axId val="708807144"/>
        <c:axId val="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Sheet4!$D$18</c15:sqref>
                        </c15:formulaRef>
                      </c:ext>
                    </c:extLst>
                    <c:strCache>
                      <c:ptCount val="1"/>
                      <c:pt idx="0">
                        <c:v>MINING AND QUARRYING</c:v>
                      </c:pt>
                    </c:strCache>
                  </c:strRef>
                </c:tx>
                <c:spPr>
                  <a:solidFill>
                    <a:schemeClr val="accent2"/>
                  </a:solidFill>
                  <a:ln>
                    <a:noFill/>
                  </a:ln>
                  <a:effectLst/>
                  <a:sp3d/>
                </c:spPr>
                <c:invertIfNegative val="0"/>
                <c:cat>
                  <c:strRef>
                    <c:extLst xmlns:c16r2="http://schemas.microsoft.com/office/drawing/2015/06/chart">
                      <c:ex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6r2="http://schemas.microsoft.com/office/drawing/2015/06/chart">
                      <c:ext uri="{02D57815-91ED-43cb-92C2-25804820EDAC}">
                        <c15:formulaRef>
                          <c15:sqref>Sheet4!$D$19:$D$26</c15:sqref>
                        </c15:formulaRef>
                      </c:ext>
                    </c:extLst>
                    <c:numCache>
                      <c:formatCode>0.0</c:formatCode>
                      <c:ptCount val="8"/>
                      <c:pt idx="0">
                        <c:v>9.8678467599304695E-2</c:v>
                      </c:pt>
                      <c:pt idx="1">
                        <c:v>0</c:v>
                      </c:pt>
                      <c:pt idx="2">
                        <c:v>0</c:v>
                      </c:pt>
                      <c:pt idx="3">
                        <c:v>0</c:v>
                      </c:pt>
                      <c:pt idx="4">
                        <c:v>1.0526962289645008</c:v>
                      </c:pt>
                      <c:pt idx="5">
                        <c:v>0.17471310599680739</c:v>
                      </c:pt>
                      <c:pt idx="6">
                        <c:v>0.37516399039457432</c:v>
                      </c:pt>
                      <c:pt idx="7">
                        <c:v>0.24226596352154781</c:v>
                      </c:pt>
                    </c:numCache>
                  </c:numRef>
                </c:val>
                <c:extLst xmlns:c16r2="http://schemas.microsoft.com/office/drawing/2015/06/chart">
                  <c:ext xmlns:c16="http://schemas.microsoft.com/office/drawing/2014/chart" uri="{C3380CC4-5D6E-409C-BE32-E72D297353CC}">
                    <c16:uniqueId val="{0000000B-168A-4C66-8349-81B5788B0066}"/>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Sheet4!$F$18</c15:sqref>
                        </c15:formulaRef>
                      </c:ext>
                    </c:extLst>
                    <c:strCache>
                      <c:ptCount val="1"/>
                      <c:pt idx="0">
                        <c:v>ELECTRICITY, GAS, STEAM AND AIR CONDITIONING SUPPLY</c:v>
                      </c:pt>
                    </c:strCache>
                  </c:strRef>
                </c:tx>
                <c:spPr>
                  <a:solidFill>
                    <a:schemeClr val="accent4"/>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Sheet4!$F$19:$F$26</c15:sqref>
                        </c15:formulaRef>
                      </c:ext>
                    </c:extLst>
                    <c:numCache>
                      <c:formatCode>0.0</c:formatCode>
                      <c:ptCount val="8"/>
                      <c:pt idx="0">
                        <c:v>1.7481270067784518</c:v>
                      </c:pt>
                      <c:pt idx="1">
                        <c:v>0</c:v>
                      </c:pt>
                      <c:pt idx="2">
                        <c:v>0</c:v>
                      </c:pt>
                      <c:pt idx="3">
                        <c:v>0</c:v>
                      </c:pt>
                      <c:pt idx="4">
                        <c:v>0.99742046431642306</c:v>
                      </c:pt>
                      <c:pt idx="5">
                        <c:v>0.53796553501175226</c:v>
                      </c:pt>
                      <c:pt idx="6">
                        <c:v>0.69048587189185462</c:v>
                      </c:pt>
                      <c:pt idx="7">
                        <c:v>0.69320815558765236</c:v>
                      </c:pt>
                    </c:numCache>
                  </c:numRef>
                </c:val>
                <c:extLst xmlns:c15="http://schemas.microsoft.com/office/drawing/2012/chart" xmlns:c16r2="http://schemas.microsoft.com/office/drawing/2015/06/chart">
                  <c:ext xmlns:c16="http://schemas.microsoft.com/office/drawing/2014/chart" uri="{C3380CC4-5D6E-409C-BE32-E72D297353CC}">
                    <c16:uniqueId val="{0000000C-168A-4C66-8349-81B5788B0066}"/>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Sheet4!$G$18</c15:sqref>
                        </c15:formulaRef>
                      </c:ext>
                    </c:extLst>
                    <c:strCache>
                      <c:ptCount val="1"/>
                      <c:pt idx="0">
                        <c:v>WATER SUPPLY; SEWERAGE, WASTE MANAGEMENT AND REMEDIATION ACTIVITIES</c:v>
                      </c:pt>
                    </c:strCache>
                  </c:strRef>
                </c:tx>
                <c:spPr>
                  <a:solidFill>
                    <a:schemeClr val="accent5"/>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Sheet4!$G$19:$G$26</c15:sqref>
                        </c15:formulaRef>
                      </c:ext>
                    </c:extLst>
                    <c:numCache>
                      <c:formatCode>0.0</c:formatCode>
                      <c:ptCount val="8"/>
                      <c:pt idx="0">
                        <c:v>1.6160496732224594</c:v>
                      </c:pt>
                      <c:pt idx="1">
                        <c:v>0.938811050423494</c:v>
                      </c:pt>
                      <c:pt idx="2">
                        <c:v>3.0256042237998821</c:v>
                      </c:pt>
                      <c:pt idx="3">
                        <c:v>1.7275233542910411</c:v>
                      </c:pt>
                      <c:pt idx="4">
                        <c:v>1.8959587274290628</c:v>
                      </c:pt>
                      <c:pt idx="5">
                        <c:v>1.5975565303736849</c:v>
                      </c:pt>
                      <c:pt idx="6">
                        <c:v>1.7691782450917963</c:v>
                      </c:pt>
                      <c:pt idx="7">
                        <c:v>1.6467367572469853</c:v>
                      </c:pt>
                    </c:numCache>
                  </c:numRef>
                </c:val>
                <c:extLst xmlns:c15="http://schemas.microsoft.com/office/drawing/2012/chart" xmlns:c16r2="http://schemas.microsoft.com/office/drawing/2015/06/chart">
                  <c:ext xmlns:c16="http://schemas.microsoft.com/office/drawing/2014/chart" uri="{C3380CC4-5D6E-409C-BE32-E72D297353CC}">
                    <c16:uniqueId val="{0000000D-168A-4C66-8349-81B5788B0066}"/>
                  </c:ext>
                </c:extLst>
              </c15:ser>
            </c15:filteredBarSeries>
            <c15:filteredBarSeries>
              <c15:ser>
                <c:idx val="9"/>
                <c:order val="9"/>
                <c:tx>
                  <c:strRef>
                    <c:extLst xmlns:c15="http://schemas.microsoft.com/office/drawing/2012/chart" xmlns:c16r2="http://schemas.microsoft.com/office/drawing/2015/06/chart">
                      <c:ext xmlns:c15="http://schemas.microsoft.com/office/drawing/2012/chart" uri="{02D57815-91ED-43cb-92C2-25804820EDAC}">
                        <c15:formulaRef>
                          <c15:sqref>Sheet4!$L$18</c15:sqref>
                        </c15:formulaRef>
                      </c:ext>
                    </c:extLst>
                    <c:strCache>
                      <c:ptCount val="1"/>
                      <c:pt idx="0">
                        <c:v>INFORMATION AND COMMUNICATION</c:v>
                      </c:pt>
                    </c:strCache>
                  </c:strRef>
                </c:tx>
                <c:spPr>
                  <a:solidFill>
                    <a:schemeClr val="accent4">
                      <a:lumMod val="6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Sheet4!$L$19:$L$26</c15:sqref>
                        </c15:formulaRef>
                      </c:ext>
                    </c:extLst>
                    <c:numCache>
                      <c:formatCode>0.0</c:formatCode>
                      <c:ptCount val="8"/>
                      <c:pt idx="0">
                        <c:v>1.1241754654966942</c:v>
                      </c:pt>
                      <c:pt idx="1">
                        <c:v>0.31663104567402833</c:v>
                      </c:pt>
                      <c:pt idx="2">
                        <c:v>0.35881795114949894</c:v>
                      </c:pt>
                      <c:pt idx="3">
                        <c:v>1.2406037406533252</c:v>
                      </c:pt>
                      <c:pt idx="4">
                        <c:v>1.2946812430905295</c:v>
                      </c:pt>
                      <c:pt idx="5">
                        <c:v>0.68879699342626222</c:v>
                      </c:pt>
                      <c:pt idx="6">
                        <c:v>0.94903447058913792</c:v>
                      </c:pt>
                      <c:pt idx="7">
                        <c:v>5.8551106781767492</c:v>
                      </c:pt>
                    </c:numCache>
                  </c:numRef>
                </c:val>
                <c:extLst xmlns:c15="http://schemas.microsoft.com/office/drawing/2012/chart" xmlns:c16r2="http://schemas.microsoft.com/office/drawing/2015/06/chart">
                  <c:ext xmlns:c16="http://schemas.microsoft.com/office/drawing/2014/chart" uri="{C3380CC4-5D6E-409C-BE32-E72D297353CC}">
                    <c16:uniqueId val="{0000000E-168A-4C66-8349-81B5788B0066}"/>
                  </c:ext>
                </c:extLst>
              </c15:ser>
            </c15:filteredBarSeries>
            <c15:filteredBarSeries>
              <c15:ser>
                <c:idx val="10"/>
                <c:order val="10"/>
                <c:tx>
                  <c:strRef>
                    <c:extLst xmlns:c15="http://schemas.microsoft.com/office/drawing/2012/chart" xmlns:c16r2="http://schemas.microsoft.com/office/drawing/2015/06/chart">
                      <c:ext xmlns:c15="http://schemas.microsoft.com/office/drawing/2012/chart" uri="{02D57815-91ED-43cb-92C2-25804820EDAC}">
                        <c15:formulaRef>
                          <c15:sqref>Sheet4!$M$18</c15:sqref>
                        </c15:formulaRef>
                      </c:ext>
                    </c:extLst>
                    <c:strCache>
                      <c:ptCount val="1"/>
                      <c:pt idx="0">
                        <c:v>FINANCIAL AND INSURANCE ACTIVITIES</c:v>
                      </c:pt>
                    </c:strCache>
                  </c:strRef>
                </c:tx>
                <c:spPr>
                  <a:solidFill>
                    <a:schemeClr val="accent5">
                      <a:lumMod val="6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Sheet4!$M$19:$M$26</c15:sqref>
                        </c15:formulaRef>
                      </c:ext>
                    </c:extLst>
                    <c:numCache>
                      <c:formatCode>0.0</c:formatCode>
                      <c:ptCount val="8"/>
                      <c:pt idx="0">
                        <c:v>0.61863808533410258</c:v>
                      </c:pt>
                      <c:pt idx="1">
                        <c:v>0.28101005303570015</c:v>
                      </c:pt>
                      <c:pt idx="2">
                        <c:v>0.61511648768485538</c:v>
                      </c:pt>
                      <c:pt idx="3">
                        <c:v>0.79632678157043979</c:v>
                      </c:pt>
                      <c:pt idx="4">
                        <c:v>1.0373418498955902</c:v>
                      </c:pt>
                      <c:pt idx="5">
                        <c:v>0.91378725222790635</c:v>
                      </c:pt>
                      <c:pt idx="6">
                        <c:v>1.054908970945889</c:v>
                      </c:pt>
                      <c:pt idx="7">
                        <c:v>1.0286856336703503</c:v>
                      </c:pt>
                    </c:numCache>
                  </c:numRef>
                </c:val>
                <c:extLst xmlns:c15="http://schemas.microsoft.com/office/drawing/2012/chart" xmlns:c16r2="http://schemas.microsoft.com/office/drawing/2015/06/chart">
                  <c:ext xmlns:c16="http://schemas.microsoft.com/office/drawing/2014/chart" uri="{C3380CC4-5D6E-409C-BE32-E72D297353CC}">
                    <c16:uniqueId val="{0000000F-168A-4C66-8349-81B5788B0066}"/>
                  </c:ext>
                </c:extLst>
              </c15:ser>
            </c15:filteredBarSeries>
            <c15:filteredBarSeries>
              <c15:ser>
                <c:idx val="11"/>
                <c:order val="11"/>
                <c:tx>
                  <c:strRef>
                    <c:extLst xmlns:c15="http://schemas.microsoft.com/office/drawing/2012/chart" xmlns:c16r2="http://schemas.microsoft.com/office/drawing/2015/06/chart">
                      <c:ext xmlns:c15="http://schemas.microsoft.com/office/drawing/2012/chart" uri="{02D57815-91ED-43cb-92C2-25804820EDAC}">
                        <c15:formulaRef>
                          <c15:sqref>Sheet4!$N$18</c15:sqref>
                        </c15:formulaRef>
                      </c:ext>
                    </c:extLst>
                    <c:strCache>
                      <c:ptCount val="1"/>
                      <c:pt idx="0">
                        <c:v>REAL ESTATE ACTIVITIES</c:v>
                      </c:pt>
                    </c:strCache>
                  </c:strRef>
                </c:tx>
                <c:spPr>
                  <a:solidFill>
                    <a:schemeClr val="accent6">
                      <a:lumMod val="6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Sheet4!$N$19:$N$26</c15:sqref>
                        </c15:formulaRef>
                      </c:ext>
                    </c:extLst>
                    <c:numCache>
                      <c:formatCode>0.0</c:formatCode>
                      <c:ptCount val="8"/>
                      <c:pt idx="0">
                        <c:v>0.71428029239189017</c:v>
                      </c:pt>
                      <c:pt idx="1">
                        <c:v>0.3696667458244281</c:v>
                      </c:pt>
                      <c:pt idx="2">
                        <c:v>0.33959556090934723</c:v>
                      </c:pt>
                      <c:pt idx="3">
                        <c:v>0.97483091691624191</c:v>
                      </c:pt>
                      <c:pt idx="4">
                        <c:v>0.48151332760103183</c:v>
                      </c:pt>
                      <c:pt idx="5">
                        <c:v>0.63223519652082105</c:v>
                      </c:pt>
                      <c:pt idx="6">
                        <c:v>0.45878950154592113</c:v>
                      </c:pt>
                      <c:pt idx="7">
                        <c:v>0.57858318497867056</c:v>
                      </c:pt>
                    </c:numCache>
                  </c:numRef>
                </c:val>
                <c:extLst xmlns:c15="http://schemas.microsoft.com/office/drawing/2012/chart" xmlns:c16r2="http://schemas.microsoft.com/office/drawing/2015/06/chart">
                  <c:ext xmlns:c16="http://schemas.microsoft.com/office/drawing/2014/chart" uri="{C3380CC4-5D6E-409C-BE32-E72D297353CC}">
                    <c16:uniqueId val="{00000010-168A-4C66-8349-81B5788B0066}"/>
                  </c:ext>
                </c:extLst>
              </c15:ser>
            </c15:filteredBarSeries>
            <c15:filteredBarSeries>
              <c15:ser>
                <c:idx val="12"/>
                <c:order val="12"/>
                <c:tx>
                  <c:strRef>
                    <c:extLst xmlns:c15="http://schemas.microsoft.com/office/drawing/2012/chart" xmlns:c16r2="http://schemas.microsoft.com/office/drawing/2015/06/chart">
                      <c:ext xmlns:c15="http://schemas.microsoft.com/office/drawing/2012/chart" uri="{02D57815-91ED-43cb-92C2-25804820EDAC}">
                        <c15:formulaRef>
                          <c15:sqref>Sheet4!$O$18</c15:sqref>
                        </c15:formulaRef>
                      </c:ext>
                    </c:extLst>
                    <c:strCache>
                      <c:ptCount val="1"/>
                      <c:pt idx="0">
                        <c:v>PROFESSIONAL, SCIENTIFIC AND TECHNICAL ACTIVITIES</c:v>
                      </c:pt>
                    </c:strCache>
                  </c:strRef>
                </c:tx>
                <c:spPr>
                  <a:solidFill>
                    <a:schemeClr val="accent1">
                      <a:lumMod val="80000"/>
                      <a:lumOff val="2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Sheet4!$O$19:$O$26</c15:sqref>
                        </c15:formulaRef>
                      </c:ext>
                    </c:extLst>
                    <c:numCache>
                      <c:formatCode>0.0</c:formatCode>
                      <c:ptCount val="8"/>
                      <c:pt idx="0">
                        <c:v>1.8156838038272065</c:v>
                      </c:pt>
                      <c:pt idx="1">
                        <c:v>1.0844613314335469</c:v>
                      </c:pt>
                      <c:pt idx="2">
                        <c:v>1.574954507009765</c:v>
                      </c:pt>
                      <c:pt idx="3">
                        <c:v>2.7876395803169438</c:v>
                      </c:pt>
                      <c:pt idx="4">
                        <c:v>1.5999262989804692</c:v>
                      </c:pt>
                      <c:pt idx="5">
                        <c:v>1.3901632750537336</c:v>
                      </c:pt>
                      <c:pt idx="6">
                        <c:v>1.9755568001350283</c:v>
                      </c:pt>
                      <c:pt idx="7">
                        <c:v>2.952957576164724</c:v>
                      </c:pt>
                    </c:numCache>
                  </c:numRef>
                </c:val>
                <c:extLst xmlns:c15="http://schemas.microsoft.com/office/drawing/2012/chart" xmlns:c16r2="http://schemas.microsoft.com/office/drawing/2015/06/chart">
                  <c:ext xmlns:c16="http://schemas.microsoft.com/office/drawing/2014/chart" uri="{C3380CC4-5D6E-409C-BE32-E72D297353CC}">
                    <c16:uniqueId val="{00000011-168A-4C66-8349-81B5788B0066}"/>
                  </c:ext>
                </c:extLst>
              </c15:ser>
            </c15:filteredBarSeries>
            <c15:filteredBarSeries>
              <c15:ser>
                <c:idx val="18"/>
                <c:order val="18"/>
                <c:tx>
                  <c:strRef>
                    <c:extLst xmlns:c15="http://schemas.microsoft.com/office/drawing/2012/chart" xmlns:c16r2="http://schemas.microsoft.com/office/drawing/2015/06/chart">
                      <c:ext xmlns:c15="http://schemas.microsoft.com/office/drawing/2012/chart" uri="{02D57815-91ED-43cb-92C2-25804820EDAC}">
                        <c15:formulaRef>
                          <c15:sqref>Sheet4!$U$18</c15:sqref>
                        </c15:formulaRef>
                      </c:ext>
                    </c:extLst>
                    <c:strCache>
                      <c:ptCount val="1"/>
                      <c:pt idx="0">
                        <c:v>OTHER SERVICE ACTIVITIES</c:v>
                      </c:pt>
                    </c:strCache>
                  </c:strRef>
                </c:tx>
                <c:spPr>
                  <a:solidFill>
                    <a:schemeClr val="accent1">
                      <a:lumMod val="8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Sheet4!$B$19:$B$26</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Sheet4!$U$19:$U$26</c15:sqref>
                        </c15:formulaRef>
                      </c:ext>
                    </c:extLst>
                    <c:numCache>
                      <c:formatCode>0.0</c:formatCode>
                      <c:ptCount val="8"/>
                      <c:pt idx="0">
                        <c:v>0.28996288171487994</c:v>
                      </c:pt>
                      <c:pt idx="1">
                        <c:v>0.71796089606585922</c:v>
                      </c:pt>
                      <c:pt idx="2">
                        <c:v>1.3109670143783478</c:v>
                      </c:pt>
                      <c:pt idx="3">
                        <c:v>0.3540332017691743</c:v>
                      </c:pt>
                      <c:pt idx="4">
                        <c:v>1.4869180690332884</c:v>
                      </c:pt>
                      <c:pt idx="5">
                        <c:v>0.96783519149310571</c:v>
                      </c:pt>
                      <c:pt idx="6">
                        <c:v>0.51249395824862098</c:v>
                      </c:pt>
                      <c:pt idx="7">
                        <c:v>1.0219676866749521</c:v>
                      </c:pt>
                    </c:numCache>
                  </c:numRef>
                </c:val>
                <c:extLst xmlns:c15="http://schemas.microsoft.com/office/drawing/2012/chart" xmlns:c16r2="http://schemas.microsoft.com/office/drawing/2015/06/chart">
                  <c:ext xmlns:c16="http://schemas.microsoft.com/office/drawing/2014/chart" uri="{C3380CC4-5D6E-409C-BE32-E72D297353CC}">
                    <c16:uniqueId val="{00000012-168A-4C66-8349-81B5788B0066}"/>
                  </c:ext>
                </c:extLst>
              </c15:ser>
            </c15:filteredBarSeries>
          </c:ext>
        </c:extLst>
      </c:bar3DChart>
      <c:catAx>
        <c:axId val="707239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7144"/>
        <c:crosses val="autoZero"/>
        <c:auto val="1"/>
        <c:lblAlgn val="ctr"/>
        <c:lblOffset val="100"/>
        <c:noMultiLvlLbl val="0"/>
      </c:catAx>
      <c:valAx>
        <c:axId val="708807144"/>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7239440"/>
        <c:crosses val="autoZero"/>
        <c:crossBetween val="between"/>
      </c:valAx>
      <c:spPr>
        <a:noFill/>
        <a:ln>
          <a:noFill/>
        </a:ln>
        <a:effectLst/>
      </c:spPr>
    </c:plotArea>
    <c:legend>
      <c:legendPos val="b"/>
      <c:layout>
        <c:manualLayout>
          <c:xMode val="edge"/>
          <c:yMode val="edge"/>
          <c:x val="2.4697363206277891E-2"/>
          <c:y val="0.66880168492176773"/>
          <c:w val="0.96758113227985376"/>
          <c:h val="0.3311983150782323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099397287023494E-2"/>
          <c:y val="4.1666666666666664E-2"/>
          <c:w val="0.92305364333251971"/>
          <c:h val="0.55062954925909857"/>
        </c:manualLayout>
      </c:layout>
      <c:bar3DChart>
        <c:barDir val="col"/>
        <c:grouping val="clustered"/>
        <c:varyColors val="0"/>
        <c:ser>
          <c:idx val="0"/>
          <c:order val="0"/>
          <c:tx>
            <c:strRef>
              <c:f>Sheet4!$C$51</c:f>
              <c:strCache>
                <c:ptCount val="1"/>
                <c:pt idx="0">
                  <c:v>AGRICULTURE, FORESTRY AND FISHING</c:v>
                </c:pt>
              </c:strCache>
            </c:strRef>
          </c:tx>
          <c:spPr>
            <a:solidFill>
              <a:schemeClr val="accent1"/>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Sheet4!$C$52:$C$59</c:f>
              <c:numCache>
                <c:formatCode>0</c:formatCode>
                <c:ptCount val="8"/>
                <c:pt idx="0">
                  <c:v>548.89971200000002</c:v>
                </c:pt>
                <c:pt idx="1">
                  <c:v>461.78522200000003</c:v>
                </c:pt>
                <c:pt idx="2">
                  <c:v>528.50293799999997</c:v>
                </c:pt>
                <c:pt idx="3">
                  <c:v>524.34955000000002</c:v>
                </c:pt>
                <c:pt idx="4">
                  <c:v>399.26936714301058</c:v>
                </c:pt>
                <c:pt idx="5">
                  <c:v>416.4607284839368</c:v>
                </c:pt>
                <c:pt idx="6">
                  <c:v>474.69646502632423</c:v>
                </c:pt>
                <c:pt idx="7">
                  <c:v>548.61931879230679</c:v>
                </c:pt>
              </c:numCache>
            </c:numRef>
          </c:val>
          <c:extLst xmlns:c16r2="http://schemas.microsoft.com/office/drawing/2015/06/chart">
            <c:ext xmlns:c16="http://schemas.microsoft.com/office/drawing/2014/chart" uri="{C3380CC4-5D6E-409C-BE32-E72D297353CC}">
              <c16:uniqueId val="{00000000-10D0-40E1-9F88-386286F843EE}"/>
            </c:ext>
          </c:extLst>
        </c:ser>
        <c:ser>
          <c:idx val="2"/>
          <c:order val="2"/>
          <c:tx>
            <c:strRef>
              <c:f>Sheet4!$E$51</c:f>
              <c:strCache>
                <c:ptCount val="1"/>
                <c:pt idx="0">
                  <c:v>MANUFACTURING</c:v>
                </c:pt>
              </c:strCache>
            </c:strRef>
          </c:tx>
          <c:spPr>
            <a:solidFill>
              <a:schemeClr val="accent3"/>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Sheet4!$E$52:$E$59</c:f>
              <c:numCache>
                <c:formatCode>0</c:formatCode>
                <c:ptCount val="8"/>
                <c:pt idx="0">
                  <c:v>639.67508099999998</c:v>
                </c:pt>
                <c:pt idx="1">
                  <c:v>557.11237800000004</c:v>
                </c:pt>
                <c:pt idx="2">
                  <c:v>561.60769900000003</c:v>
                </c:pt>
                <c:pt idx="3">
                  <c:v>620.55506600000001</c:v>
                </c:pt>
                <c:pt idx="4">
                  <c:v>430.42870957343933</c:v>
                </c:pt>
                <c:pt idx="5">
                  <c:v>465.02632427205327</c:v>
                </c:pt>
                <c:pt idx="6">
                  <c:v>539.16407005479743</c:v>
                </c:pt>
                <c:pt idx="7">
                  <c:v>679.70344901686894</c:v>
                </c:pt>
              </c:numCache>
            </c:numRef>
          </c:val>
          <c:extLst xmlns:c16r2="http://schemas.microsoft.com/office/drawing/2015/06/chart">
            <c:ext xmlns:c16="http://schemas.microsoft.com/office/drawing/2014/chart" uri="{C3380CC4-5D6E-409C-BE32-E72D297353CC}">
              <c16:uniqueId val="{00000001-10D0-40E1-9F88-386286F843EE}"/>
            </c:ext>
          </c:extLst>
        </c:ser>
        <c:ser>
          <c:idx val="5"/>
          <c:order val="5"/>
          <c:tx>
            <c:strRef>
              <c:f>Sheet4!$H$51</c:f>
              <c:strCache>
                <c:ptCount val="1"/>
                <c:pt idx="0">
                  <c:v>CONSTRUCTION</c:v>
                </c:pt>
              </c:strCache>
            </c:strRef>
          </c:tx>
          <c:spPr>
            <a:solidFill>
              <a:schemeClr val="accent6"/>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Sheet4!$H$52:$H$59</c:f>
              <c:numCache>
                <c:formatCode>0</c:formatCode>
                <c:ptCount val="8"/>
                <c:pt idx="0">
                  <c:v>447.93223</c:v>
                </c:pt>
                <c:pt idx="1">
                  <c:v>420.55249400000002</c:v>
                </c:pt>
                <c:pt idx="2">
                  <c:v>392.46065900000002</c:v>
                </c:pt>
                <c:pt idx="3">
                  <c:v>483.83205800000002</c:v>
                </c:pt>
                <c:pt idx="4">
                  <c:v>355.00161169012569</c:v>
                </c:pt>
                <c:pt idx="5">
                  <c:v>314.38702052218758</c:v>
                </c:pt>
                <c:pt idx="6">
                  <c:v>440.31374234447185</c:v>
                </c:pt>
                <c:pt idx="7">
                  <c:v>344.68679488556995</c:v>
                </c:pt>
              </c:numCache>
            </c:numRef>
          </c:val>
          <c:extLst xmlns:c16r2="http://schemas.microsoft.com/office/drawing/2015/06/chart">
            <c:ext xmlns:c16="http://schemas.microsoft.com/office/drawing/2014/chart" uri="{C3380CC4-5D6E-409C-BE32-E72D297353CC}">
              <c16:uniqueId val="{00000002-10D0-40E1-9F88-386286F843EE}"/>
            </c:ext>
          </c:extLst>
        </c:ser>
        <c:ser>
          <c:idx val="6"/>
          <c:order val="6"/>
          <c:tx>
            <c:strRef>
              <c:f>Sheet4!$I$51</c:f>
              <c:strCache>
                <c:ptCount val="1"/>
                <c:pt idx="0">
                  <c:v>WHOLESALE AND RETAIL TRADE; REPAIR OF MOTOR VEHICLES AND MOTORCYCLES</c:v>
                </c:pt>
              </c:strCache>
            </c:strRef>
          </c:tx>
          <c:spPr>
            <a:solidFill>
              <a:schemeClr val="accent1">
                <a:lumMod val="6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Sheet4!$I$52:$I$59</c:f>
              <c:numCache>
                <c:formatCode>0</c:formatCode>
                <c:ptCount val="8"/>
                <c:pt idx="0">
                  <c:v>558.53657599999997</c:v>
                </c:pt>
                <c:pt idx="1">
                  <c:v>494.56687199999999</c:v>
                </c:pt>
                <c:pt idx="2">
                  <c:v>482.26983200000001</c:v>
                </c:pt>
                <c:pt idx="3">
                  <c:v>523.42099800000005</c:v>
                </c:pt>
                <c:pt idx="4">
                  <c:v>359.51434404211881</c:v>
                </c:pt>
                <c:pt idx="5">
                  <c:v>395.40131084130223</c:v>
                </c:pt>
                <c:pt idx="6">
                  <c:v>436.87547007628666</c:v>
                </c:pt>
                <c:pt idx="7">
                  <c:v>477.49006124422476</c:v>
                </c:pt>
              </c:numCache>
            </c:numRef>
          </c:val>
          <c:extLst xmlns:c16r2="http://schemas.microsoft.com/office/drawing/2015/06/chart">
            <c:ext xmlns:c16="http://schemas.microsoft.com/office/drawing/2014/chart" uri="{C3380CC4-5D6E-409C-BE32-E72D297353CC}">
              <c16:uniqueId val="{00000003-10D0-40E1-9F88-386286F843EE}"/>
            </c:ext>
          </c:extLst>
        </c:ser>
        <c:ser>
          <c:idx val="7"/>
          <c:order val="7"/>
          <c:tx>
            <c:strRef>
              <c:f>Sheet4!$J$51</c:f>
              <c:strCache>
                <c:ptCount val="1"/>
                <c:pt idx="0">
                  <c:v>TRANSPORTATION AND STORAGE</c:v>
                </c:pt>
              </c:strCache>
            </c:strRef>
          </c:tx>
          <c:spPr>
            <a:solidFill>
              <a:schemeClr val="accent2">
                <a:lumMod val="6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Sheet4!$J$52:$J$59</c:f>
              <c:numCache>
                <c:formatCode>0</c:formatCode>
                <c:ptCount val="8"/>
                <c:pt idx="0">
                  <c:v>495.602082</c:v>
                </c:pt>
                <c:pt idx="1">
                  <c:v>435.97398600000002</c:v>
                </c:pt>
                <c:pt idx="2">
                  <c:v>410.39488799999998</c:v>
                </c:pt>
                <c:pt idx="3">
                  <c:v>485.12450200000001</c:v>
                </c:pt>
                <c:pt idx="4">
                  <c:v>393.89706672397119</c:v>
                </c:pt>
                <c:pt idx="5">
                  <c:v>414.74159234984415</c:v>
                </c:pt>
                <c:pt idx="6">
                  <c:v>467.17524443966903</c:v>
                </c:pt>
                <c:pt idx="7">
                  <c:v>487.16020199849572</c:v>
                </c:pt>
              </c:numCache>
            </c:numRef>
          </c:val>
          <c:extLst xmlns:c16r2="http://schemas.microsoft.com/office/drawing/2015/06/chart">
            <c:ext xmlns:c16="http://schemas.microsoft.com/office/drawing/2014/chart" uri="{C3380CC4-5D6E-409C-BE32-E72D297353CC}">
              <c16:uniqueId val="{00000004-10D0-40E1-9F88-386286F843EE}"/>
            </c:ext>
          </c:extLst>
        </c:ser>
        <c:ser>
          <c:idx val="8"/>
          <c:order val="8"/>
          <c:tx>
            <c:strRef>
              <c:f>Sheet4!$K$51</c:f>
              <c:strCache>
                <c:ptCount val="1"/>
                <c:pt idx="0">
                  <c:v>ACCOMMODATION AND FOOD SERVICE ACTIVITIES</c:v>
                </c:pt>
              </c:strCache>
            </c:strRef>
          </c:tx>
          <c:spPr>
            <a:solidFill>
              <a:schemeClr val="accent3">
                <a:lumMod val="6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Sheet4!$K$52:$K$59</c:f>
              <c:numCache>
                <c:formatCode>0</c:formatCode>
                <c:ptCount val="8"/>
                <c:pt idx="0">
                  <c:v>396.09016800000001</c:v>
                </c:pt>
                <c:pt idx="1">
                  <c:v>391.98697199999998</c:v>
                </c:pt>
                <c:pt idx="2">
                  <c:v>369.84916299999998</c:v>
                </c:pt>
                <c:pt idx="3">
                  <c:v>383.36022200000002</c:v>
                </c:pt>
                <c:pt idx="4">
                  <c:v>333.2975179972064</c:v>
                </c:pt>
                <c:pt idx="5">
                  <c:v>296.12119909745348</c:v>
                </c:pt>
                <c:pt idx="6">
                  <c:v>329.42946169549799</c:v>
                </c:pt>
                <c:pt idx="7">
                  <c:v>329.42946169549799</c:v>
                </c:pt>
              </c:numCache>
            </c:numRef>
          </c:val>
          <c:extLst xmlns:c16r2="http://schemas.microsoft.com/office/drawing/2015/06/chart">
            <c:ext xmlns:c16="http://schemas.microsoft.com/office/drawing/2014/chart" uri="{C3380CC4-5D6E-409C-BE32-E72D297353CC}">
              <c16:uniqueId val="{00000005-10D0-40E1-9F88-386286F843EE}"/>
            </c:ext>
          </c:extLst>
        </c:ser>
        <c:ser>
          <c:idx val="13"/>
          <c:order val="13"/>
          <c:tx>
            <c:strRef>
              <c:f>Sheet4!$P$51</c:f>
              <c:strCache>
                <c:ptCount val="1"/>
                <c:pt idx="0">
                  <c:v>ADMINISTRATIVE AND SUPPORT SERVICE ACTIVITIES</c:v>
                </c:pt>
              </c:strCache>
            </c:strRef>
          </c:tx>
          <c:spPr>
            <a:solidFill>
              <a:schemeClr val="accent2">
                <a:lumMod val="80000"/>
                <a:lumOff val="2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Sheet4!$P$52:$P$59</c:f>
              <c:numCache>
                <c:formatCode>0</c:formatCode>
                <c:ptCount val="8"/>
                <c:pt idx="0">
                  <c:v>476.11817500000001</c:v>
                </c:pt>
                <c:pt idx="1">
                  <c:v>362.24507499999999</c:v>
                </c:pt>
                <c:pt idx="2">
                  <c:v>438.33928400000002</c:v>
                </c:pt>
                <c:pt idx="3">
                  <c:v>460.43003800000002</c:v>
                </c:pt>
                <c:pt idx="4">
                  <c:v>331.79327387987536</c:v>
                </c:pt>
                <c:pt idx="5">
                  <c:v>329.85924572902115</c:v>
                </c:pt>
                <c:pt idx="6">
                  <c:v>361.2334801762114</c:v>
                </c:pt>
                <c:pt idx="7">
                  <c:v>414.95648436660576</c:v>
                </c:pt>
              </c:numCache>
            </c:numRef>
          </c:val>
          <c:extLst xmlns:c16r2="http://schemas.microsoft.com/office/drawing/2015/06/chart">
            <c:ext xmlns:c16="http://schemas.microsoft.com/office/drawing/2014/chart" uri="{C3380CC4-5D6E-409C-BE32-E72D297353CC}">
              <c16:uniqueId val="{00000006-10D0-40E1-9F88-386286F843EE}"/>
            </c:ext>
          </c:extLst>
        </c:ser>
        <c:ser>
          <c:idx val="14"/>
          <c:order val="14"/>
          <c:tx>
            <c:strRef>
              <c:f>Sheet4!$Q$51</c:f>
              <c:strCache>
                <c:ptCount val="1"/>
                <c:pt idx="0">
                  <c:v>PUBLIC ADMINISTRATION AND DEFENCE; COMPULSORY SOCIAL SECURITY</c:v>
                </c:pt>
              </c:strCache>
            </c:strRef>
          </c:tx>
          <c:spPr>
            <a:solidFill>
              <a:schemeClr val="accent5">
                <a:lumMod val="40000"/>
                <a:lumOff val="6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Sheet4!$Q$52:$Q$59</c:f>
              <c:numCache>
                <c:formatCode>0</c:formatCode>
                <c:ptCount val="8"/>
                <c:pt idx="0">
                  <c:v>681.24974199999997</c:v>
                </c:pt>
                <c:pt idx="1">
                  <c:v>624.79315299999996</c:v>
                </c:pt>
                <c:pt idx="2">
                  <c:v>647.75285599999995</c:v>
                </c:pt>
                <c:pt idx="3">
                  <c:v>677.86805600000002</c:v>
                </c:pt>
                <c:pt idx="4">
                  <c:v>818.0939078113247</c:v>
                </c:pt>
                <c:pt idx="5">
                  <c:v>907.91877081766404</c:v>
                </c:pt>
                <c:pt idx="6">
                  <c:v>780.05802084452557</c:v>
                </c:pt>
                <c:pt idx="7">
                  <c:v>952.61631030407216</c:v>
                </c:pt>
              </c:numCache>
            </c:numRef>
          </c:val>
          <c:extLst xmlns:c16r2="http://schemas.microsoft.com/office/drawing/2015/06/chart">
            <c:ext xmlns:c16="http://schemas.microsoft.com/office/drawing/2014/chart" uri="{C3380CC4-5D6E-409C-BE32-E72D297353CC}">
              <c16:uniqueId val="{00000007-10D0-40E1-9F88-386286F843EE}"/>
            </c:ext>
          </c:extLst>
        </c:ser>
        <c:ser>
          <c:idx val="15"/>
          <c:order val="15"/>
          <c:tx>
            <c:strRef>
              <c:f>Sheet4!$R$51</c:f>
              <c:strCache>
                <c:ptCount val="1"/>
                <c:pt idx="0">
                  <c:v> EDUCATION</c:v>
                </c:pt>
              </c:strCache>
            </c:strRef>
          </c:tx>
          <c:spPr>
            <a:solidFill>
              <a:schemeClr val="accent4">
                <a:lumMod val="80000"/>
                <a:lumOff val="2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Sheet4!$R$52:$R$59</c:f>
              <c:numCache>
                <c:formatCode>0</c:formatCode>
                <c:ptCount val="8"/>
                <c:pt idx="0">
                  <c:v>717.79892900000004</c:v>
                </c:pt>
                <c:pt idx="1">
                  <c:v>623.96184800000003</c:v>
                </c:pt>
                <c:pt idx="2">
                  <c:v>614.33439499999997</c:v>
                </c:pt>
                <c:pt idx="3">
                  <c:v>699.67020600000001</c:v>
                </c:pt>
                <c:pt idx="4">
                  <c:v>573.54679273664976</c:v>
                </c:pt>
                <c:pt idx="5">
                  <c:v>570.10852046846458</c:v>
                </c:pt>
                <c:pt idx="6">
                  <c:v>587.94455785967546</c:v>
                </c:pt>
                <c:pt idx="7">
                  <c:v>638.87396583216935</c:v>
                </c:pt>
              </c:numCache>
            </c:numRef>
          </c:val>
          <c:extLst xmlns:c16r2="http://schemas.microsoft.com/office/drawing/2015/06/chart">
            <c:ext xmlns:c16="http://schemas.microsoft.com/office/drawing/2014/chart" uri="{C3380CC4-5D6E-409C-BE32-E72D297353CC}">
              <c16:uniqueId val="{00000008-10D0-40E1-9F88-386286F843EE}"/>
            </c:ext>
          </c:extLst>
        </c:ser>
        <c:ser>
          <c:idx val="16"/>
          <c:order val="16"/>
          <c:tx>
            <c:strRef>
              <c:f>Sheet4!$S$51</c:f>
              <c:strCache>
                <c:ptCount val="1"/>
                <c:pt idx="0">
                  <c:v>HUMAN HEALTH AND SOCIAL WORK ACTIVITIES</c:v>
                </c:pt>
              </c:strCache>
            </c:strRef>
          </c:tx>
          <c:spPr>
            <a:solidFill>
              <a:schemeClr val="accent5">
                <a:lumMod val="80000"/>
                <a:lumOff val="2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Sheet4!$S$52:$S$59</c:f>
              <c:numCache>
                <c:formatCode>0</c:formatCode>
                <c:ptCount val="8"/>
                <c:pt idx="0">
                  <c:v>297.663656</c:v>
                </c:pt>
                <c:pt idx="1">
                  <c:v>317.64948299999998</c:v>
                </c:pt>
                <c:pt idx="2">
                  <c:v>384.87853000000001</c:v>
                </c:pt>
                <c:pt idx="3">
                  <c:v>421.83552700000001</c:v>
                </c:pt>
                <c:pt idx="4">
                  <c:v>724.18609648651545</c:v>
                </c:pt>
                <c:pt idx="5">
                  <c:v>641.45267003330821</c:v>
                </c:pt>
                <c:pt idx="6">
                  <c:v>670.89287632964431</c:v>
                </c:pt>
                <c:pt idx="7">
                  <c:v>797.89405823573645</c:v>
                </c:pt>
              </c:numCache>
            </c:numRef>
          </c:val>
          <c:extLst xmlns:c16r2="http://schemas.microsoft.com/office/drawing/2015/06/chart">
            <c:ext xmlns:c16="http://schemas.microsoft.com/office/drawing/2014/chart" uri="{C3380CC4-5D6E-409C-BE32-E72D297353CC}">
              <c16:uniqueId val="{00000009-10D0-40E1-9F88-386286F843EE}"/>
            </c:ext>
          </c:extLst>
        </c:ser>
        <c:ser>
          <c:idx val="17"/>
          <c:order val="17"/>
          <c:tx>
            <c:strRef>
              <c:f>Sheet4!$T$51</c:f>
              <c:strCache>
                <c:ptCount val="1"/>
                <c:pt idx="0">
                  <c:v>ARTS, ENTERTAINMENT AND RECREATION</c:v>
                </c:pt>
              </c:strCache>
            </c:strRef>
          </c:tx>
          <c:spPr>
            <a:solidFill>
              <a:schemeClr val="accent6">
                <a:lumMod val="80000"/>
                <a:lumOff val="20000"/>
              </a:schemeClr>
            </a:solidFill>
            <a:ln>
              <a:noFill/>
            </a:ln>
            <a:effectLst/>
            <a:sp3d/>
          </c:spPr>
          <c:invertIfNegative val="0"/>
          <c:cat>
            <c:strRef>
              <c:f>Sheet4!$B$52:$B$59</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Sheet4!$T$52:$T$59</c:f>
              <c:numCache>
                <c:formatCode>0</c:formatCode>
                <c:ptCount val="8"/>
                <c:pt idx="0">
                  <c:v>587.18993399999999</c:v>
                </c:pt>
                <c:pt idx="1">
                  <c:v>554.78786100000002</c:v>
                </c:pt>
                <c:pt idx="2">
                  <c:v>532.19204999999999</c:v>
                </c:pt>
                <c:pt idx="3">
                  <c:v>492.00708000000003</c:v>
                </c:pt>
                <c:pt idx="4">
                  <c:v>378.42484151713762</c:v>
                </c:pt>
                <c:pt idx="5">
                  <c:v>443.53712259589554</c:v>
                </c:pt>
                <c:pt idx="6">
                  <c:v>407.65015579671211</c:v>
                </c:pt>
                <c:pt idx="7">
                  <c:v>543.46191039002895</c:v>
                </c:pt>
              </c:numCache>
            </c:numRef>
          </c:val>
          <c:extLst xmlns:c16r2="http://schemas.microsoft.com/office/drawing/2015/06/chart">
            <c:ext xmlns:c16="http://schemas.microsoft.com/office/drawing/2014/chart" uri="{C3380CC4-5D6E-409C-BE32-E72D297353CC}">
              <c16:uniqueId val="{0000000A-10D0-40E1-9F88-386286F843EE}"/>
            </c:ext>
          </c:extLst>
        </c:ser>
        <c:dLbls>
          <c:showLegendKey val="0"/>
          <c:showVal val="0"/>
          <c:showCatName val="0"/>
          <c:showSerName val="0"/>
          <c:showPercent val="0"/>
          <c:showBubbleSize val="0"/>
        </c:dLbls>
        <c:gapWidth val="150"/>
        <c:shape val="box"/>
        <c:axId val="708803224"/>
        <c:axId val="708802048"/>
        <c:axId val="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Sheet4!$D$51</c15:sqref>
                        </c15:formulaRef>
                      </c:ext>
                    </c:extLst>
                    <c:strCache>
                      <c:ptCount val="1"/>
                      <c:pt idx="0">
                        <c:v>MINING AND QUARRYING</c:v>
                      </c:pt>
                    </c:strCache>
                  </c:strRef>
                </c:tx>
                <c:spPr>
                  <a:solidFill>
                    <a:schemeClr val="accent2"/>
                  </a:solidFill>
                  <a:ln>
                    <a:noFill/>
                  </a:ln>
                  <a:effectLst/>
                  <a:sp3d/>
                </c:spPr>
                <c:invertIfNegative val="0"/>
                <c:cat>
                  <c:strRef>
                    <c:extLst xmlns:c16r2="http://schemas.microsoft.com/office/drawing/2015/06/chart">
                      <c:ex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6r2="http://schemas.microsoft.com/office/drawing/2015/06/chart">
                      <c:ext uri="{02D57815-91ED-43cb-92C2-25804820EDAC}">
                        <c15:formulaRef>
                          <c15:sqref>Sheet4!$D$52:$D$59</c15:sqref>
                        </c15:formulaRef>
                      </c:ext>
                    </c:extLst>
                    <c:numCache>
                      <c:formatCode>0</c:formatCode>
                      <c:ptCount val="8"/>
                      <c:pt idx="0">
                        <c:v>448.68511000000001</c:v>
                      </c:pt>
                      <c:pt idx="1">
                        <c:v>0</c:v>
                      </c:pt>
                      <c:pt idx="2">
                        <c:v>0</c:v>
                      </c:pt>
                      <c:pt idx="3">
                        <c:v>0</c:v>
                      </c:pt>
                      <c:pt idx="4">
                        <c:v>661.00784355861174</c:v>
                      </c:pt>
                      <c:pt idx="5">
                        <c:v>374.98656924895238</c:v>
                      </c:pt>
                      <c:pt idx="6">
                        <c:v>688.29912968733208</c:v>
                      </c:pt>
                      <c:pt idx="7">
                        <c:v>469.32416460728479</c:v>
                      </c:pt>
                    </c:numCache>
                  </c:numRef>
                </c:val>
                <c:extLst xmlns:c16r2="http://schemas.microsoft.com/office/drawing/2015/06/chart">
                  <c:ext xmlns:c16="http://schemas.microsoft.com/office/drawing/2014/chart" uri="{C3380CC4-5D6E-409C-BE32-E72D297353CC}">
                    <c16:uniqueId val="{0000000B-10D0-40E1-9F88-386286F843EE}"/>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Sheet4!$F$51</c15:sqref>
                        </c15:formulaRef>
                      </c:ext>
                    </c:extLst>
                    <c:strCache>
                      <c:ptCount val="1"/>
                      <c:pt idx="0">
                        <c:v>ELECTRICITY, GAS, STEAM AND AIR CONDITIONING SUPPLY</c:v>
                      </c:pt>
                    </c:strCache>
                  </c:strRef>
                </c:tx>
                <c:spPr>
                  <a:solidFill>
                    <a:schemeClr val="accent4"/>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Sheet4!$F$52:$F$59</c15:sqref>
                        </c15:formulaRef>
                      </c:ext>
                    </c:extLst>
                    <c:numCache>
                      <c:formatCode>0</c:formatCode>
                      <c:ptCount val="8"/>
                      <c:pt idx="0">
                        <c:v>914.13121100000001</c:v>
                      </c:pt>
                      <c:pt idx="1">
                        <c:v>0</c:v>
                      </c:pt>
                      <c:pt idx="2">
                        <c:v>0</c:v>
                      </c:pt>
                      <c:pt idx="3">
                        <c:v>0</c:v>
                      </c:pt>
                      <c:pt idx="4">
                        <c:v>667.23971204469751</c:v>
                      </c:pt>
                      <c:pt idx="5">
                        <c:v>730.20307295583962</c:v>
                      </c:pt>
                      <c:pt idx="6">
                        <c:v>718.59890405071451</c:v>
                      </c:pt>
                      <c:pt idx="7">
                        <c:v>769.52831202320829</c:v>
                      </c:pt>
                    </c:numCache>
                  </c:numRef>
                </c:val>
                <c:extLst xmlns:c15="http://schemas.microsoft.com/office/drawing/2012/chart" xmlns:c16r2="http://schemas.microsoft.com/office/drawing/2015/06/chart">
                  <c:ext xmlns:c16="http://schemas.microsoft.com/office/drawing/2014/chart" uri="{C3380CC4-5D6E-409C-BE32-E72D297353CC}">
                    <c16:uniqueId val="{0000000C-10D0-40E1-9F88-386286F843EE}"/>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Sheet4!$G$51</c15:sqref>
                        </c15:formulaRef>
                      </c:ext>
                    </c:extLst>
                    <c:strCache>
                      <c:ptCount val="1"/>
                      <c:pt idx="0">
                        <c:v>WATER SUPPLY; SEWERAGE, WASTE MANAGEMENT AND REMEDIATION ACTIVITIES</c:v>
                      </c:pt>
                    </c:strCache>
                  </c:strRef>
                </c:tx>
                <c:spPr>
                  <a:solidFill>
                    <a:schemeClr val="accent5"/>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Sheet4!$G$52:$G$59</c15:sqref>
                        </c15:formulaRef>
                      </c:ext>
                    </c:extLst>
                    <c:numCache>
                      <c:formatCode>0</c:formatCode>
                      <c:ptCount val="8"/>
                      <c:pt idx="0">
                        <c:v>482.37648999999999</c:v>
                      </c:pt>
                      <c:pt idx="1">
                        <c:v>611.64912300000003</c:v>
                      </c:pt>
                      <c:pt idx="2">
                        <c:v>534.13698999999997</c:v>
                      </c:pt>
                      <c:pt idx="3">
                        <c:v>501.43690200000003</c:v>
                      </c:pt>
                      <c:pt idx="4">
                        <c:v>446.76050284731917</c:v>
                      </c:pt>
                      <c:pt idx="5">
                        <c:v>454.06683141721282</c:v>
                      </c:pt>
                      <c:pt idx="6">
                        <c:v>513.59192006016974</c:v>
                      </c:pt>
                      <c:pt idx="7">
                        <c:v>532.50241753518856</c:v>
                      </c:pt>
                    </c:numCache>
                  </c:numRef>
                </c:val>
                <c:extLst xmlns:c15="http://schemas.microsoft.com/office/drawing/2012/chart" xmlns:c16r2="http://schemas.microsoft.com/office/drawing/2015/06/chart">
                  <c:ext xmlns:c16="http://schemas.microsoft.com/office/drawing/2014/chart" uri="{C3380CC4-5D6E-409C-BE32-E72D297353CC}">
                    <c16:uniqueId val="{0000000D-10D0-40E1-9F88-386286F843EE}"/>
                  </c:ext>
                </c:extLst>
              </c15:ser>
            </c15:filteredBarSeries>
            <c15:filteredBarSeries>
              <c15:ser>
                <c:idx val="9"/>
                <c:order val="9"/>
                <c:tx>
                  <c:strRef>
                    <c:extLst xmlns:c15="http://schemas.microsoft.com/office/drawing/2012/chart" xmlns:c16r2="http://schemas.microsoft.com/office/drawing/2015/06/chart">
                      <c:ext xmlns:c15="http://schemas.microsoft.com/office/drawing/2012/chart" uri="{02D57815-91ED-43cb-92C2-25804820EDAC}">
                        <c15:formulaRef>
                          <c15:sqref>Sheet4!$L$51</c15:sqref>
                        </c15:formulaRef>
                      </c:ext>
                    </c:extLst>
                    <c:strCache>
                      <c:ptCount val="1"/>
                      <c:pt idx="0">
                        <c:v>INFORMATION AND COMMUNICATION</c:v>
                      </c:pt>
                    </c:strCache>
                  </c:strRef>
                </c:tx>
                <c:spPr>
                  <a:solidFill>
                    <a:schemeClr val="accent4">
                      <a:lumMod val="6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Sheet4!$L$52:$L$59</c15:sqref>
                        </c15:formulaRef>
                      </c:ext>
                    </c:extLst>
                    <c:numCache>
                      <c:formatCode>0</c:formatCode>
                      <c:ptCount val="8"/>
                      <c:pt idx="0">
                        <c:v>776.58003499999995</c:v>
                      </c:pt>
                      <c:pt idx="1">
                        <c:v>728.602757</c:v>
                      </c:pt>
                      <c:pt idx="2">
                        <c:v>738.99877500000002</c:v>
                      </c:pt>
                      <c:pt idx="3">
                        <c:v>809.65028900000004</c:v>
                      </c:pt>
                      <c:pt idx="4">
                        <c:v>496.18566670248197</c:v>
                      </c:pt>
                      <c:pt idx="5">
                        <c:v>462.87740410443746</c:v>
                      </c:pt>
                      <c:pt idx="6">
                        <c:v>546.25550660792953</c:v>
                      </c:pt>
                      <c:pt idx="7">
                        <c:v>1260.1267862898892</c:v>
                      </c:pt>
                    </c:numCache>
                  </c:numRef>
                </c:val>
                <c:extLst xmlns:c15="http://schemas.microsoft.com/office/drawing/2012/chart" xmlns:c16r2="http://schemas.microsoft.com/office/drawing/2015/06/chart">
                  <c:ext xmlns:c16="http://schemas.microsoft.com/office/drawing/2014/chart" uri="{C3380CC4-5D6E-409C-BE32-E72D297353CC}">
                    <c16:uniqueId val="{0000000E-10D0-40E1-9F88-386286F843EE}"/>
                  </c:ext>
                </c:extLst>
              </c15:ser>
            </c15:filteredBarSeries>
            <c15:filteredBarSeries>
              <c15:ser>
                <c:idx val="10"/>
                <c:order val="10"/>
                <c:tx>
                  <c:strRef>
                    <c:extLst xmlns:c15="http://schemas.microsoft.com/office/drawing/2012/chart" xmlns:c16r2="http://schemas.microsoft.com/office/drawing/2015/06/chart">
                      <c:ext xmlns:c15="http://schemas.microsoft.com/office/drawing/2012/chart" uri="{02D57815-91ED-43cb-92C2-25804820EDAC}">
                        <c15:formulaRef>
                          <c15:sqref>Sheet4!$M$51</c15:sqref>
                        </c15:formulaRef>
                      </c:ext>
                    </c:extLst>
                    <c:strCache>
                      <c:ptCount val="1"/>
                      <c:pt idx="0">
                        <c:v>FINANCIAL AND INSURANCE ACTIVITIES</c:v>
                      </c:pt>
                    </c:strCache>
                  </c:strRef>
                </c:tx>
                <c:spPr>
                  <a:solidFill>
                    <a:schemeClr val="accent5">
                      <a:lumMod val="6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Sheet4!$M$52:$M$59</c15:sqref>
                        </c15:formulaRef>
                      </c:ext>
                    </c:extLst>
                    <c:numCache>
                      <c:formatCode>0</c:formatCode>
                      <c:ptCount val="8"/>
                      <c:pt idx="0">
                        <c:v>832.95819900000004</c:v>
                      </c:pt>
                      <c:pt idx="1">
                        <c:v>507.03644700000001</c:v>
                      </c:pt>
                      <c:pt idx="2">
                        <c:v>656.77173100000005</c:v>
                      </c:pt>
                      <c:pt idx="3">
                        <c:v>772.32939999999996</c:v>
                      </c:pt>
                      <c:pt idx="4">
                        <c:v>650.69302675405606</c:v>
                      </c:pt>
                      <c:pt idx="5">
                        <c:v>603.84656710003219</c:v>
                      </c:pt>
                      <c:pt idx="6">
                        <c:v>664.66100784355854</c:v>
                      </c:pt>
                      <c:pt idx="7">
                        <c:v>754.48587084989788</c:v>
                      </c:pt>
                    </c:numCache>
                  </c:numRef>
                </c:val>
                <c:extLst xmlns:c15="http://schemas.microsoft.com/office/drawing/2012/chart" xmlns:c16r2="http://schemas.microsoft.com/office/drawing/2015/06/chart">
                  <c:ext xmlns:c16="http://schemas.microsoft.com/office/drawing/2014/chart" uri="{C3380CC4-5D6E-409C-BE32-E72D297353CC}">
                    <c16:uniqueId val="{0000000F-10D0-40E1-9F88-386286F843EE}"/>
                  </c:ext>
                </c:extLst>
              </c15:ser>
            </c15:filteredBarSeries>
            <c15:filteredBarSeries>
              <c15:ser>
                <c:idx val="11"/>
                <c:order val="11"/>
                <c:tx>
                  <c:strRef>
                    <c:extLst xmlns:c15="http://schemas.microsoft.com/office/drawing/2012/chart" xmlns:c16r2="http://schemas.microsoft.com/office/drawing/2015/06/chart">
                      <c:ext xmlns:c15="http://schemas.microsoft.com/office/drawing/2012/chart" uri="{02D57815-91ED-43cb-92C2-25804820EDAC}">
                        <c15:formulaRef>
                          <c15:sqref>Sheet4!$N$51</c15:sqref>
                        </c15:formulaRef>
                      </c:ext>
                    </c:extLst>
                    <c:strCache>
                      <c:ptCount val="1"/>
                      <c:pt idx="0">
                        <c:v>REAL ESTATE ACTIVITIES</c:v>
                      </c:pt>
                    </c:strCache>
                  </c:strRef>
                </c:tx>
                <c:spPr>
                  <a:solidFill>
                    <a:schemeClr val="accent6">
                      <a:lumMod val="6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Sheet4!$N$52:$N$59</c15:sqref>
                        </c15:formulaRef>
                      </c:ext>
                    </c:extLst>
                    <c:numCache>
                      <c:formatCode>0</c:formatCode>
                      <c:ptCount val="8"/>
                      <c:pt idx="0">
                        <c:v>503.02736099999998</c:v>
                      </c:pt>
                      <c:pt idx="1">
                        <c:v>509.82210300000003</c:v>
                      </c:pt>
                      <c:pt idx="2">
                        <c:v>517.41991700000005</c:v>
                      </c:pt>
                      <c:pt idx="3">
                        <c:v>528.02925100000004</c:v>
                      </c:pt>
                      <c:pt idx="4">
                        <c:v>397.12044697539483</c:v>
                      </c:pt>
                      <c:pt idx="5">
                        <c:v>398.83958310948748</c:v>
                      </c:pt>
                      <c:pt idx="6">
                        <c:v>483.72192973031048</c:v>
                      </c:pt>
                      <c:pt idx="7">
                        <c:v>307.5104759858171</c:v>
                      </c:pt>
                    </c:numCache>
                  </c:numRef>
                </c:val>
                <c:extLst xmlns:c15="http://schemas.microsoft.com/office/drawing/2012/chart" xmlns:c16r2="http://schemas.microsoft.com/office/drawing/2015/06/chart">
                  <c:ext xmlns:c16="http://schemas.microsoft.com/office/drawing/2014/chart" uri="{C3380CC4-5D6E-409C-BE32-E72D297353CC}">
                    <c16:uniqueId val="{00000010-10D0-40E1-9F88-386286F843EE}"/>
                  </c:ext>
                </c:extLst>
              </c15:ser>
            </c15:filteredBarSeries>
            <c15:filteredBarSeries>
              <c15:ser>
                <c:idx val="12"/>
                <c:order val="12"/>
                <c:tx>
                  <c:strRef>
                    <c:extLst xmlns:c15="http://schemas.microsoft.com/office/drawing/2012/chart" xmlns:c16r2="http://schemas.microsoft.com/office/drawing/2015/06/chart">
                      <c:ext xmlns:c15="http://schemas.microsoft.com/office/drawing/2012/chart" uri="{02D57815-91ED-43cb-92C2-25804820EDAC}">
                        <c15:formulaRef>
                          <c15:sqref>Sheet4!$O$51</c15:sqref>
                        </c15:formulaRef>
                      </c:ext>
                    </c:extLst>
                    <c:strCache>
                      <c:ptCount val="1"/>
                      <c:pt idx="0">
                        <c:v>PROFESSIONAL, SCIENTIFIC AND TECHNICAL ACTIVITIES</c:v>
                      </c:pt>
                    </c:strCache>
                  </c:strRef>
                </c:tx>
                <c:spPr>
                  <a:solidFill>
                    <a:schemeClr val="accent1">
                      <a:lumMod val="80000"/>
                      <a:lumOff val="2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Sheet4!$O$52:$O$59</c15:sqref>
                        </c15:formulaRef>
                      </c:ext>
                    </c:extLst>
                    <c:numCache>
                      <c:formatCode>0</c:formatCode>
                      <c:ptCount val="8"/>
                      <c:pt idx="0">
                        <c:v>615.20334400000002</c:v>
                      </c:pt>
                      <c:pt idx="1">
                        <c:v>590.18890599999997</c:v>
                      </c:pt>
                      <c:pt idx="2">
                        <c:v>491.63691399999999</c:v>
                      </c:pt>
                      <c:pt idx="3">
                        <c:v>777.23253099999999</c:v>
                      </c:pt>
                      <c:pt idx="4">
                        <c:v>443.9669066294187</c:v>
                      </c:pt>
                      <c:pt idx="5">
                        <c:v>458.7944557859675</c:v>
                      </c:pt>
                      <c:pt idx="6">
                        <c:v>456.21575158482858</c:v>
                      </c:pt>
                      <c:pt idx="7">
                        <c:v>584.72117760825176</c:v>
                      </c:pt>
                    </c:numCache>
                  </c:numRef>
                </c:val>
                <c:extLst xmlns:c15="http://schemas.microsoft.com/office/drawing/2012/chart" xmlns:c16r2="http://schemas.microsoft.com/office/drawing/2015/06/chart">
                  <c:ext xmlns:c16="http://schemas.microsoft.com/office/drawing/2014/chart" uri="{C3380CC4-5D6E-409C-BE32-E72D297353CC}">
                    <c16:uniqueId val="{00000011-10D0-40E1-9F88-386286F843EE}"/>
                  </c:ext>
                </c:extLst>
              </c15:ser>
            </c15:filteredBarSeries>
            <c15:filteredBarSeries>
              <c15:ser>
                <c:idx val="18"/>
                <c:order val="18"/>
                <c:tx>
                  <c:strRef>
                    <c:extLst xmlns:c15="http://schemas.microsoft.com/office/drawing/2012/chart" xmlns:c16r2="http://schemas.microsoft.com/office/drawing/2015/06/chart">
                      <c:ext xmlns:c15="http://schemas.microsoft.com/office/drawing/2012/chart" uri="{02D57815-91ED-43cb-92C2-25804820EDAC}">
                        <c15:formulaRef>
                          <c15:sqref>Sheet4!$U$51</c15:sqref>
                        </c15:formulaRef>
                      </c:ext>
                    </c:extLst>
                    <c:strCache>
                      <c:ptCount val="1"/>
                      <c:pt idx="0">
                        <c:v>OTHER SERVICE ACTIVITIES</c:v>
                      </c:pt>
                    </c:strCache>
                  </c:strRef>
                </c:tx>
                <c:spPr>
                  <a:solidFill>
                    <a:schemeClr val="accent1">
                      <a:lumMod val="80000"/>
                    </a:schemeClr>
                  </a:solidFill>
                  <a:ln>
                    <a:noFill/>
                  </a:ln>
                  <a:effectLst/>
                  <a:sp3d/>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Sheet4!$B$52:$B$59</c15:sqref>
                        </c15:formulaRef>
                      </c:ext>
                    </c:extLst>
                    <c:strCache>
                      <c:ptCount val="8"/>
                      <c:pt idx="0">
                        <c:v>Hajdú-Bihar</c:v>
                      </c:pt>
                      <c:pt idx="1">
                        <c:v>Szabolcs-Szatmár-Bereg</c:v>
                      </c:pt>
                      <c:pt idx="2">
                        <c:v>Békés</c:v>
                      </c:pt>
                      <c:pt idx="3">
                        <c:v>Csongrád</c:v>
                      </c:pt>
                      <c:pt idx="4">
                        <c:v>Bihor</c:v>
                      </c:pt>
                      <c:pt idx="5">
                        <c:v>Satu Mare</c:v>
                      </c:pt>
                      <c:pt idx="6">
                        <c:v>Arad</c:v>
                      </c:pt>
                      <c:pt idx="7">
                        <c:v>Timis</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Sheet4!$U$52:$U$59</c15:sqref>
                        </c15:formulaRef>
                      </c:ext>
                    </c:extLst>
                    <c:numCache>
                      <c:formatCode>0</c:formatCode>
                      <c:ptCount val="8"/>
                      <c:pt idx="0">
                        <c:v>459.830871</c:v>
                      </c:pt>
                      <c:pt idx="1">
                        <c:v>435.81086199999999</c:v>
                      </c:pt>
                      <c:pt idx="2">
                        <c:v>373.095958</c:v>
                      </c:pt>
                      <c:pt idx="3">
                        <c:v>432.69582100000002</c:v>
                      </c:pt>
                      <c:pt idx="4">
                        <c:v>367.25045664553562</c:v>
                      </c:pt>
                      <c:pt idx="5">
                        <c:v>375.41635328247554</c:v>
                      </c:pt>
                      <c:pt idx="6">
                        <c:v>384.87160201998495</c:v>
                      </c:pt>
                      <c:pt idx="7">
                        <c:v>348.76974320403997</c:v>
                      </c:pt>
                    </c:numCache>
                  </c:numRef>
                </c:val>
                <c:extLst xmlns:c15="http://schemas.microsoft.com/office/drawing/2012/chart" xmlns:c16r2="http://schemas.microsoft.com/office/drawing/2015/06/chart">
                  <c:ext xmlns:c16="http://schemas.microsoft.com/office/drawing/2014/chart" uri="{C3380CC4-5D6E-409C-BE32-E72D297353CC}">
                    <c16:uniqueId val="{00000012-10D0-40E1-9F88-386286F843EE}"/>
                  </c:ext>
                </c:extLst>
              </c15:ser>
            </c15:filteredBarSeries>
          </c:ext>
        </c:extLst>
      </c:bar3DChart>
      <c:catAx>
        <c:axId val="708803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2048"/>
        <c:crosses val="autoZero"/>
        <c:auto val="1"/>
        <c:lblAlgn val="ctr"/>
        <c:lblOffset val="100"/>
        <c:noMultiLvlLbl val="0"/>
      </c:catAx>
      <c:valAx>
        <c:axId val="708802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3224"/>
        <c:crosses val="autoZero"/>
        <c:crossBetween val="between"/>
      </c:valAx>
      <c:spPr>
        <a:noFill/>
        <a:ln>
          <a:noFill/>
        </a:ln>
        <a:effectLst/>
      </c:spPr>
    </c:plotArea>
    <c:legend>
      <c:legendPos val="b"/>
      <c:layout>
        <c:manualLayout>
          <c:xMode val="edge"/>
          <c:yMode val="edge"/>
          <c:x val="1.5174506828528073E-2"/>
          <c:y val="0.66930886395106115"/>
          <c:w val="0.98482549317147194"/>
          <c:h val="0.3132619918573170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287724280366593E-2"/>
          <c:y val="4.4310171198388724E-2"/>
          <c:w val="0.89866855987263883"/>
          <c:h val="0.67241239860123214"/>
        </c:manualLayout>
      </c:layout>
      <c:lineChart>
        <c:grouping val="standard"/>
        <c:varyColors val="0"/>
        <c:ser>
          <c:idx val="0"/>
          <c:order val="0"/>
          <c:tx>
            <c:strRef>
              <c:f>Sheet4!$B$84</c:f>
              <c:strCache>
                <c:ptCount val="1"/>
                <c:pt idx="0">
                  <c:v>Hajdú-Bihar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Sheet4!$C$84:$K$84</c:f>
              <c:numCache>
                <c:formatCode>0.00</c:formatCode>
                <c:ptCount val="9"/>
                <c:pt idx="0">
                  <c:v>12.276588523923389</c:v>
                </c:pt>
                <c:pt idx="1">
                  <c:v>11.562602123653265</c:v>
                </c:pt>
                <c:pt idx="2">
                  <c:v>12.046455830269153</c:v>
                </c:pt>
                <c:pt idx="3">
                  <c:v>8.9961492844565889</c:v>
                </c:pt>
                <c:pt idx="4">
                  <c:v>8.488126399444953</c:v>
                </c:pt>
                <c:pt idx="5">
                  <c:v>7.7997286912924704</c:v>
                </c:pt>
                <c:pt idx="6">
                  <c:v>6.4741184496652879</c:v>
                </c:pt>
                <c:pt idx="7">
                  <c:v>5.9660747344634588</c:v>
                </c:pt>
                <c:pt idx="8">
                  <c:v>5.8085040600133437</c:v>
                </c:pt>
              </c:numCache>
            </c:numRef>
          </c:val>
          <c:smooth val="0"/>
          <c:extLst xmlns:c16r2="http://schemas.microsoft.com/office/drawing/2015/06/chart">
            <c:ext xmlns:c16="http://schemas.microsoft.com/office/drawing/2014/chart" uri="{C3380CC4-5D6E-409C-BE32-E72D297353CC}">
              <c16:uniqueId val="{00000000-33B8-4B85-A8AD-9F4EE64470AA}"/>
            </c:ext>
          </c:extLst>
        </c:ser>
        <c:ser>
          <c:idx val="1"/>
          <c:order val="1"/>
          <c:tx>
            <c:strRef>
              <c:f>Sheet4!$B$85</c:f>
              <c:strCache>
                <c:ptCount val="1"/>
                <c:pt idx="0">
                  <c:v>Szabolcs-Szatmár-Bereg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Sheet4!$C$85:$K$85</c:f>
              <c:numCache>
                <c:formatCode>0.00</c:formatCode>
                <c:ptCount val="9"/>
                <c:pt idx="0">
                  <c:v>25.847136200328436</c:v>
                </c:pt>
                <c:pt idx="1">
                  <c:v>13.614870916809352</c:v>
                </c:pt>
                <c:pt idx="2">
                  <c:v>14.033550325488232</c:v>
                </c:pt>
                <c:pt idx="3">
                  <c:v>10.08506331654929</c:v>
                </c:pt>
                <c:pt idx="4">
                  <c:v>9.5464179380645593</c:v>
                </c:pt>
                <c:pt idx="5">
                  <c:v>8.7499471570492489</c:v>
                </c:pt>
                <c:pt idx="6">
                  <c:v>7.0644362993137113</c:v>
                </c:pt>
                <c:pt idx="7">
                  <c:v>6.7181017541305774</c:v>
                </c:pt>
                <c:pt idx="8">
                  <c:v>6.5401143970448148</c:v>
                </c:pt>
              </c:numCache>
            </c:numRef>
          </c:val>
          <c:smooth val="0"/>
          <c:extLst xmlns:c16r2="http://schemas.microsoft.com/office/drawing/2015/06/chart">
            <c:ext xmlns:c16="http://schemas.microsoft.com/office/drawing/2014/chart" uri="{C3380CC4-5D6E-409C-BE32-E72D297353CC}">
              <c16:uniqueId val="{00000001-33B8-4B85-A8AD-9F4EE64470AA}"/>
            </c:ext>
          </c:extLst>
        </c:ser>
        <c:ser>
          <c:idx val="2"/>
          <c:order val="2"/>
          <c:tx>
            <c:strRef>
              <c:f>Sheet4!$B$86</c:f>
              <c:strCache>
                <c:ptCount val="1"/>
                <c:pt idx="0">
                  <c:v>Békés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Sheet4!$C$86:$K$86</c:f>
              <c:numCache>
                <c:formatCode>0.00</c:formatCode>
                <c:ptCount val="9"/>
                <c:pt idx="0">
                  <c:v>9.0528341486655233</c:v>
                </c:pt>
                <c:pt idx="1">
                  <c:v>12.186539533464327</c:v>
                </c:pt>
                <c:pt idx="2">
                  <c:v>12.567806290925661</c:v>
                </c:pt>
                <c:pt idx="3">
                  <c:v>8.8929566006445757</c:v>
                </c:pt>
                <c:pt idx="4">
                  <c:v>8.6936816429302066</c:v>
                </c:pt>
                <c:pt idx="5">
                  <c:v>7.6577374924042942</c:v>
                </c:pt>
                <c:pt idx="6">
                  <c:v>6.148454921949666</c:v>
                </c:pt>
                <c:pt idx="7">
                  <c:v>5.896823233214131</c:v>
                </c:pt>
                <c:pt idx="8">
                  <c:v>5.6160123111938756</c:v>
                </c:pt>
              </c:numCache>
            </c:numRef>
          </c:val>
          <c:smooth val="0"/>
          <c:extLst xmlns:c16r2="http://schemas.microsoft.com/office/drawing/2015/06/chart">
            <c:ext xmlns:c16="http://schemas.microsoft.com/office/drawing/2014/chart" uri="{C3380CC4-5D6E-409C-BE32-E72D297353CC}">
              <c16:uniqueId val="{00000002-33B8-4B85-A8AD-9F4EE64470AA}"/>
            </c:ext>
          </c:extLst>
        </c:ser>
        <c:ser>
          <c:idx val="3"/>
          <c:order val="3"/>
          <c:tx>
            <c:strRef>
              <c:f>Sheet4!$B$87</c:f>
              <c:strCache>
                <c:ptCount val="1"/>
                <c:pt idx="0">
                  <c:v>Csongrád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Sheet4!$C$87:$K$87</c:f>
              <c:numCache>
                <c:formatCode>0.00</c:formatCode>
                <c:ptCount val="9"/>
                <c:pt idx="0">
                  <c:v>7.0517305305240763</c:v>
                </c:pt>
                <c:pt idx="1">
                  <c:v>12.244759776752465</c:v>
                </c:pt>
                <c:pt idx="2">
                  <c:v>12.592616527990952</c:v>
                </c:pt>
                <c:pt idx="3">
                  <c:v>8.9556734487650367</c:v>
                </c:pt>
                <c:pt idx="4">
                  <c:v>8.7579612646804907</c:v>
                </c:pt>
                <c:pt idx="5">
                  <c:v>7.7292517764535136</c:v>
                </c:pt>
                <c:pt idx="6">
                  <c:v>6.1881710502018104</c:v>
                </c:pt>
                <c:pt idx="7">
                  <c:v>5.9388353414988027</c:v>
                </c:pt>
                <c:pt idx="8">
                  <c:v>5.6327044277762717</c:v>
                </c:pt>
              </c:numCache>
            </c:numRef>
          </c:val>
          <c:smooth val="0"/>
          <c:extLst xmlns:c16r2="http://schemas.microsoft.com/office/drawing/2015/06/chart">
            <c:ext xmlns:c16="http://schemas.microsoft.com/office/drawing/2014/chart" uri="{C3380CC4-5D6E-409C-BE32-E72D297353CC}">
              <c16:uniqueId val="{00000003-33B8-4B85-A8AD-9F4EE64470AA}"/>
            </c:ext>
          </c:extLst>
        </c:ser>
        <c:ser>
          <c:idx val="4"/>
          <c:order val="4"/>
          <c:tx>
            <c:strRef>
              <c:f>Sheet4!$B$88</c:f>
              <c:strCache>
                <c:ptCount val="1"/>
                <c:pt idx="0">
                  <c:v>Bihor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Sheet4!$C$88:$K$88</c:f>
              <c:numCache>
                <c:formatCode>0.00</c:formatCode>
                <c:ptCount val="9"/>
                <c:pt idx="0">
                  <c:v>4.0312612627866642</c:v>
                </c:pt>
                <c:pt idx="1">
                  <c:v>2.8128181134557306</c:v>
                </c:pt>
                <c:pt idx="2">
                  <c:v>2.9762417692709309</c:v>
                </c:pt>
                <c:pt idx="3">
                  <c:v>2.6119564030760558</c:v>
                </c:pt>
                <c:pt idx="4">
                  <c:v>2.5547891471130626</c:v>
                </c:pt>
                <c:pt idx="5">
                  <c:v>2.4604006447628395</c:v>
                </c:pt>
                <c:pt idx="6">
                  <c:v>2.11177518592944</c:v>
                </c:pt>
                <c:pt idx="7">
                  <c:v>1.7009411857107328</c:v>
                </c:pt>
                <c:pt idx="8">
                  <c:v>1.0773246174228301</c:v>
                </c:pt>
              </c:numCache>
            </c:numRef>
          </c:val>
          <c:smooth val="0"/>
          <c:extLst xmlns:c16r2="http://schemas.microsoft.com/office/drawing/2015/06/chart">
            <c:ext xmlns:c16="http://schemas.microsoft.com/office/drawing/2014/chart" uri="{C3380CC4-5D6E-409C-BE32-E72D297353CC}">
              <c16:uniqueId val="{00000004-33B8-4B85-A8AD-9F4EE64470AA}"/>
            </c:ext>
          </c:extLst>
        </c:ser>
        <c:ser>
          <c:idx val="5"/>
          <c:order val="5"/>
          <c:tx>
            <c:strRef>
              <c:f>Sheet4!$B$89</c:f>
              <c:strCache>
                <c:ptCount val="1"/>
                <c:pt idx="0">
                  <c:v>Satu Mare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Sheet4!$C$89:$K$89</c:f>
              <c:numCache>
                <c:formatCode>0.00</c:formatCode>
                <c:ptCount val="9"/>
                <c:pt idx="0">
                  <c:v>3.5934941265354805</c:v>
                </c:pt>
                <c:pt idx="1">
                  <c:v>2.707213981054502</c:v>
                </c:pt>
                <c:pt idx="2">
                  <c:v>3.2214934409687186</c:v>
                </c:pt>
                <c:pt idx="3">
                  <c:v>3.0813779246708624</c:v>
                </c:pt>
                <c:pt idx="4">
                  <c:v>2.888845563740241</c:v>
                </c:pt>
                <c:pt idx="5">
                  <c:v>2.5827842902370155</c:v>
                </c:pt>
                <c:pt idx="6">
                  <c:v>2.6357782573159603</c:v>
                </c:pt>
                <c:pt idx="7">
                  <c:v>2.0690168340146893</c:v>
                </c:pt>
                <c:pt idx="8">
                  <c:v>1.7014906865306774</c:v>
                </c:pt>
              </c:numCache>
            </c:numRef>
          </c:val>
          <c:smooth val="0"/>
          <c:extLst xmlns:c16r2="http://schemas.microsoft.com/office/drawing/2015/06/chart">
            <c:ext xmlns:c16="http://schemas.microsoft.com/office/drawing/2014/chart" uri="{C3380CC4-5D6E-409C-BE32-E72D297353CC}">
              <c16:uniqueId val="{00000005-33B8-4B85-A8AD-9F4EE64470AA}"/>
            </c:ext>
          </c:extLst>
        </c:ser>
        <c:ser>
          <c:idx val="6"/>
          <c:order val="6"/>
          <c:tx>
            <c:strRef>
              <c:f>Sheet4!$B$90</c:f>
              <c:strCache>
                <c:ptCount val="1"/>
                <c:pt idx="0">
                  <c:v>Arad</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Sheet4!$C$90:$K$90</c:f>
              <c:numCache>
                <c:formatCode>0.00</c:formatCode>
                <c:ptCount val="9"/>
                <c:pt idx="0">
                  <c:v>3.4520077972709551</c:v>
                </c:pt>
                <c:pt idx="1">
                  <c:v>2.2536289619799317</c:v>
                </c:pt>
                <c:pt idx="2">
                  <c:v>2.6471256147534037</c:v>
                </c:pt>
                <c:pt idx="3">
                  <c:v>2.3359254028484404</c:v>
                </c:pt>
                <c:pt idx="4">
                  <c:v>2.0791451908423091</c:v>
                </c:pt>
                <c:pt idx="5">
                  <c:v>1.7626926650020549</c:v>
                </c:pt>
                <c:pt idx="6">
                  <c:v>1.7228443507665034</c:v>
                </c:pt>
                <c:pt idx="7">
                  <c:v>1.1446975282294052</c:v>
                </c:pt>
                <c:pt idx="8">
                  <c:v>1.0352099859759556</c:v>
                </c:pt>
              </c:numCache>
            </c:numRef>
          </c:val>
          <c:smooth val="0"/>
          <c:extLst xmlns:c16r2="http://schemas.microsoft.com/office/drawing/2015/06/chart">
            <c:ext xmlns:c16="http://schemas.microsoft.com/office/drawing/2014/chart" uri="{C3380CC4-5D6E-409C-BE32-E72D297353CC}">
              <c16:uniqueId val="{00000006-33B8-4B85-A8AD-9F4EE64470AA}"/>
            </c:ext>
          </c:extLst>
        </c:ser>
        <c:ser>
          <c:idx val="7"/>
          <c:order val="7"/>
          <c:tx>
            <c:strRef>
              <c:f>Sheet4!$B$91</c:f>
              <c:strCache>
                <c:ptCount val="1"/>
                <c:pt idx="0">
                  <c:v>Timis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Sheet4!$C$83:$K$83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Sheet4!$C$91:$K$91</c:f>
              <c:numCache>
                <c:formatCode>0.00</c:formatCode>
                <c:ptCount val="9"/>
                <c:pt idx="0">
                  <c:v>2.5046074083075114</c:v>
                </c:pt>
                <c:pt idx="1">
                  <c:v>1.2743196188404504</c:v>
                </c:pt>
                <c:pt idx="2">
                  <c:v>1.3408572996223331</c:v>
                </c:pt>
                <c:pt idx="3">
                  <c:v>1.28698360355409</c:v>
                </c:pt>
                <c:pt idx="4">
                  <c:v>1.08230756818458</c:v>
                </c:pt>
                <c:pt idx="5">
                  <c:v>0.8654953456383353</c:v>
                </c:pt>
                <c:pt idx="6">
                  <c:v>0.79368433338766775</c:v>
                </c:pt>
                <c:pt idx="7">
                  <c:v>0.7168052355130422</c:v>
                </c:pt>
                <c:pt idx="8">
                  <c:v>0.55709853654968677</c:v>
                </c:pt>
              </c:numCache>
            </c:numRef>
          </c:val>
          <c:smooth val="0"/>
          <c:extLst xmlns:c16r2="http://schemas.microsoft.com/office/drawing/2015/06/chart">
            <c:ext xmlns:c16="http://schemas.microsoft.com/office/drawing/2014/chart" uri="{C3380CC4-5D6E-409C-BE32-E72D297353CC}">
              <c16:uniqueId val="{00000007-33B8-4B85-A8AD-9F4EE64470AA}"/>
            </c:ext>
          </c:extLst>
        </c:ser>
        <c:dLbls>
          <c:showLegendKey val="0"/>
          <c:showVal val="0"/>
          <c:showCatName val="0"/>
          <c:showSerName val="0"/>
          <c:showPercent val="0"/>
          <c:showBubbleSize val="0"/>
        </c:dLbls>
        <c:marker val="1"/>
        <c:smooth val="0"/>
        <c:axId val="708807536"/>
        <c:axId val="708805968"/>
      </c:lineChart>
      <c:catAx>
        <c:axId val="70880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5968"/>
        <c:crosses val="autoZero"/>
        <c:auto val="1"/>
        <c:lblAlgn val="ctr"/>
        <c:lblOffset val="100"/>
        <c:noMultiLvlLbl val="0"/>
      </c:catAx>
      <c:valAx>
        <c:axId val="708805968"/>
        <c:scaling>
          <c:orientation val="minMax"/>
          <c:max val="26"/>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7536"/>
        <c:crosses val="autoZero"/>
        <c:crossBetween val="between"/>
      </c:valAx>
      <c:spPr>
        <a:noFill/>
        <a:ln>
          <a:noFill/>
        </a:ln>
        <a:effectLst/>
      </c:spPr>
    </c:plotArea>
    <c:legend>
      <c:legendPos val="b"/>
      <c:layout>
        <c:manualLayout>
          <c:xMode val="edge"/>
          <c:yMode val="edge"/>
          <c:x val="1.7772977801661337E-2"/>
          <c:y val="0.80614157369301642"/>
          <c:w val="0.9334323764592577"/>
          <c:h val="0.1696892420169533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Sheet1!$H$15</c:f>
              <c:strCache>
                <c:ptCount val="1"/>
                <c:pt idx="0">
                  <c:v>% of unemployed ISCED 1-2</c:v>
                </c:pt>
              </c:strCache>
            </c:strRef>
          </c:tx>
          <c:spPr>
            <a:solidFill>
              <a:schemeClr val="accent1"/>
            </a:solidFill>
            <a:ln>
              <a:noFill/>
            </a:ln>
            <a:effectLst/>
          </c:spPr>
          <c:invertIfNegative val="0"/>
          <c:cat>
            <c:strRef>
              <c:f>Sheet1!$G$16:$G$23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Sheet1!$H$16:$H$23</c:f>
              <c:numCache>
                <c:formatCode>0%</c:formatCode>
                <c:ptCount val="8"/>
                <c:pt idx="0">
                  <c:v>0.4461473958818597</c:v>
                </c:pt>
                <c:pt idx="1">
                  <c:v>0.57591229914401565</c:v>
                </c:pt>
                <c:pt idx="2">
                  <c:v>0.38089240734077007</c:v>
                </c:pt>
                <c:pt idx="3">
                  <c:v>0.33857592221904492</c:v>
                </c:pt>
                <c:pt idx="4">
                  <c:v>0.696367206676485</c:v>
                </c:pt>
                <c:pt idx="5">
                  <c:v>0.90395627277459656</c:v>
                </c:pt>
                <c:pt idx="6">
                  <c:v>0.75732506032402624</c:v>
                </c:pt>
                <c:pt idx="7">
                  <c:v>0.64186725018234869</c:v>
                </c:pt>
              </c:numCache>
            </c:numRef>
          </c:val>
          <c:extLst xmlns:c16r2="http://schemas.microsoft.com/office/drawing/2015/06/chart">
            <c:ext xmlns:c16="http://schemas.microsoft.com/office/drawing/2014/chart" uri="{C3380CC4-5D6E-409C-BE32-E72D297353CC}">
              <c16:uniqueId val="{00000000-7553-4EC9-9B84-E91E52B34247}"/>
            </c:ext>
          </c:extLst>
        </c:ser>
        <c:ser>
          <c:idx val="1"/>
          <c:order val="1"/>
          <c:tx>
            <c:strRef>
              <c:f>Sheet1!$I$15</c:f>
              <c:strCache>
                <c:ptCount val="1"/>
                <c:pt idx="0">
                  <c:v>% of unemployed ISCED 3-4</c:v>
                </c:pt>
              </c:strCache>
            </c:strRef>
          </c:tx>
          <c:spPr>
            <a:solidFill>
              <a:schemeClr val="accent2"/>
            </a:solidFill>
            <a:ln>
              <a:noFill/>
            </a:ln>
            <a:effectLst/>
          </c:spPr>
          <c:invertIfNegative val="0"/>
          <c:cat>
            <c:strRef>
              <c:f>Sheet1!$G$16:$G$23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Sheet1!$I$16:$I$23</c:f>
              <c:numCache>
                <c:formatCode>0%</c:formatCode>
                <c:ptCount val="8"/>
                <c:pt idx="0">
                  <c:v>0.50451877387496502</c:v>
                </c:pt>
                <c:pt idx="1">
                  <c:v>0.40159933924012614</c:v>
                </c:pt>
                <c:pt idx="2">
                  <c:v>0.55658510255487581</c:v>
                </c:pt>
                <c:pt idx="3">
                  <c:v>0.60137260509007717</c:v>
                </c:pt>
                <c:pt idx="4">
                  <c:v>0.21207658321060383</c:v>
                </c:pt>
                <c:pt idx="5">
                  <c:v>7.5481520041644976E-2</c:v>
                </c:pt>
                <c:pt idx="6">
                  <c:v>0.18269562219924165</c:v>
                </c:pt>
                <c:pt idx="7">
                  <c:v>0.21152443471918309</c:v>
                </c:pt>
              </c:numCache>
            </c:numRef>
          </c:val>
          <c:extLst xmlns:c16r2="http://schemas.microsoft.com/office/drawing/2015/06/chart">
            <c:ext xmlns:c16="http://schemas.microsoft.com/office/drawing/2014/chart" uri="{C3380CC4-5D6E-409C-BE32-E72D297353CC}">
              <c16:uniqueId val="{00000001-7553-4EC9-9B84-E91E52B34247}"/>
            </c:ext>
          </c:extLst>
        </c:ser>
        <c:ser>
          <c:idx val="2"/>
          <c:order val="2"/>
          <c:tx>
            <c:strRef>
              <c:f>Sheet1!$J$15</c:f>
              <c:strCache>
                <c:ptCount val="1"/>
                <c:pt idx="0">
                  <c:v>% of unemployed ISCED 5-6</c:v>
                </c:pt>
              </c:strCache>
            </c:strRef>
          </c:tx>
          <c:spPr>
            <a:solidFill>
              <a:schemeClr val="accent3"/>
            </a:solidFill>
            <a:ln>
              <a:noFill/>
            </a:ln>
            <a:effectLst/>
          </c:spPr>
          <c:invertIfNegative val="0"/>
          <c:cat>
            <c:strRef>
              <c:f>Sheet1!$G$16:$G$23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Sheet1!$J$16:$J$23</c:f>
              <c:numCache>
                <c:formatCode>0%</c:formatCode>
                <c:ptCount val="8"/>
                <c:pt idx="0">
                  <c:v>4.9333830243175253E-2</c:v>
                </c:pt>
                <c:pt idx="1">
                  <c:v>2.2488361615858238E-2</c:v>
                </c:pt>
                <c:pt idx="2">
                  <c:v>6.2522490104354081E-2</c:v>
                </c:pt>
                <c:pt idx="3">
                  <c:v>6.0051472690877898E-2</c:v>
                </c:pt>
                <c:pt idx="4">
                  <c:v>9.1556210112911138E-2</c:v>
                </c:pt>
                <c:pt idx="5">
                  <c:v>2.0562207183758459E-2</c:v>
                </c:pt>
                <c:pt idx="6">
                  <c:v>5.9979317476732158E-2</c:v>
                </c:pt>
                <c:pt idx="7">
                  <c:v>0.14660831509846828</c:v>
                </c:pt>
              </c:numCache>
            </c:numRef>
          </c:val>
          <c:extLst xmlns:c16r2="http://schemas.microsoft.com/office/drawing/2015/06/chart">
            <c:ext xmlns:c16="http://schemas.microsoft.com/office/drawing/2014/chart" uri="{C3380CC4-5D6E-409C-BE32-E72D297353CC}">
              <c16:uniqueId val="{00000002-7553-4EC9-9B84-E91E52B34247}"/>
            </c:ext>
          </c:extLst>
        </c:ser>
        <c:dLbls>
          <c:showLegendKey val="0"/>
          <c:showVal val="0"/>
          <c:showCatName val="0"/>
          <c:showSerName val="0"/>
          <c:showPercent val="0"/>
          <c:showBubbleSize val="0"/>
        </c:dLbls>
        <c:gapWidth val="150"/>
        <c:overlap val="100"/>
        <c:axId val="708800872"/>
        <c:axId val="708806752"/>
      </c:barChart>
      <c:catAx>
        <c:axId val="708800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6752"/>
        <c:crosses val="autoZero"/>
        <c:auto val="1"/>
        <c:lblAlgn val="ctr"/>
        <c:lblOffset val="100"/>
        <c:noMultiLvlLbl val="0"/>
      </c:catAx>
      <c:valAx>
        <c:axId val="708806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800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1000"/>
              <a:t>Romanian eligible area</a:t>
            </a:r>
            <a:r>
              <a:rPr lang="ro-RO" sz="1000"/>
              <a:t>: Share of national GDP at current market prices</a:t>
            </a:r>
            <a:endParaRPr lang="en-US" sz="1000"/>
          </a:p>
        </c:rich>
      </c:tx>
      <c:layout>
        <c:manualLayout>
          <c:xMode val="edge"/>
          <c:yMode val="edge"/>
          <c:x val="0.14461704215206539"/>
          <c:y val="1.833657252645958E-2"/>
        </c:manualLayout>
      </c:layout>
      <c:overlay val="0"/>
      <c:spPr>
        <a:noFill/>
        <a:ln>
          <a:noFill/>
        </a:ln>
        <a:effectLst/>
      </c:spPr>
    </c:title>
    <c:autoTitleDeleted val="0"/>
    <c:plotArea>
      <c:layout>
        <c:manualLayout>
          <c:layoutTarget val="inner"/>
          <c:xMode val="edge"/>
          <c:yMode val="edge"/>
          <c:x val="2.8645833333333332E-2"/>
          <c:y val="0.1634820652945376"/>
          <c:w val="0.92935798064304465"/>
          <c:h val="0.7386743474242472"/>
        </c:manualLayout>
      </c:layout>
      <c:barChart>
        <c:barDir val="col"/>
        <c:grouping val="clustered"/>
        <c:varyColors val="0"/>
        <c:ser>
          <c:idx val="0"/>
          <c:order val="0"/>
          <c:tx>
            <c:strRef>
              <c:f>GDP!$E$3</c:f>
              <c:strCache>
                <c:ptCount val="1"/>
                <c:pt idx="0">
                  <c:v>2009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GDP!$D$25:$D$29</c:f>
              <c:strCache>
                <c:ptCount val="5"/>
                <c:pt idx="0">
                  <c:v>RO eligible area </c:v>
                </c:pt>
                <c:pt idx="1">
                  <c:v>Bihor</c:v>
                </c:pt>
                <c:pt idx="2">
                  <c:v>Satu Mare</c:v>
                </c:pt>
                <c:pt idx="3">
                  <c:v>Arad</c:v>
                </c:pt>
                <c:pt idx="4">
                  <c:v>Timis</c:v>
                </c:pt>
              </c:strCache>
            </c:strRef>
          </c:cat>
          <c:val>
            <c:numRef>
              <c:f>GDP!$E$25:$E$29</c:f>
              <c:numCache>
                <c:formatCode>0.00%</c:formatCode>
                <c:ptCount val="5"/>
                <c:pt idx="0">
                  <c:v>0.10512542607343381</c:v>
                </c:pt>
                <c:pt idx="1">
                  <c:v>2.5375102845311609E-2</c:v>
                </c:pt>
                <c:pt idx="2">
                  <c:v>1.2277017802410422E-2</c:v>
                </c:pt>
                <c:pt idx="3">
                  <c:v>2.1505030002200061E-2</c:v>
                </c:pt>
                <c:pt idx="4">
                  <c:v>4.5968275423511715E-2</c:v>
                </c:pt>
              </c:numCache>
            </c:numRef>
          </c:val>
          <c:extLst xmlns:c16r2="http://schemas.microsoft.com/office/drawing/2015/06/chart">
            <c:ext xmlns:c16="http://schemas.microsoft.com/office/drawing/2014/chart" uri="{C3380CC4-5D6E-409C-BE32-E72D297353CC}">
              <c16:uniqueId val="{00000000-178E-4A10-872D-4CDF87931E6D}"/>
            </c:ext>
          </c:extLst>
        </c:ser>
        <c:ser>
          <c:idx val="1"/>
          <c:order val="1"/>
          <c:tx>
            <c:strRef>
              <c:f>GDP!$N$3</c:f>
              <c:strCache>
                <c:ptCount val="1"/>
                <c:pt idx="0">
                  <c:v>2018</c:v>
                </c:pt>
              </c:strCache>
            </c:strRef>
          </c:tx>
          <c:spPr>
            <a:solidFill>
              <a:schemeClr val="accent1"/>
            </a:solidFill>
            <a:ln>
              <a:noFill/>
            </a:ln>
            <a:effectLst/>
          </c:spPr>
          <c:invertIfNegative val="0"/>
          <c:dLbls>
            <c:dLbl>
              <c:idx val="0"/>
              <c:layout>
                <c:manualLayout>
                  <c:x val="5.5555555555555504E-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78E-4A10-872D-4CDF87931E6D}"/>
                </c:ext>
                <c:ext xmlns:c15="http://schemas.microsoft.com/office/drawing/2012/chart" uri="{CE6537A1-D6FC-4f65-9D91-7224C49458BB}"/>
              </c:extLst>
            </c:dLbl>
            <c:dLbl>
              <c:idx val="1"/>
              <c:layout>
                <c:manualLayout>
                  <c:x val="2.4999999999999949E-2"/>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78E-4A10-872D-4CDF87931E6D}"/>
                </c:ext>
                <c:ext xmlns:c15="http://schemas.microsoft.com/office/drawing/2012/chart" uri="{CE6537A1-D6FC-4f65-9D91-7224C49458BB}"/>
              </c:extLst>
            </c:dLbl>
            <c:dLbl>
              <c:idx val="2"/>
              <c:layout>
                <c:manualLayout>
                  <c:x val="1.6666666666666666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78E-4A10-872D-4CDF87931E6D}"/>
                </c:ext>
                <c:ext xmlns:c15="http://schemas.microsoft.com/office/drawing/2012/chart" uri="{CE6537A1-D6FC-4f65-9D91-7224C49458BB}"/>
              </c:extLst>
            </c:dLbl>
            <c:dLbl>
              <c:idx val="3"/>
              <c:layout>
                <c:manualLayout>
                  <c:x val="3.3333333333333229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78E-4A10-872D-4CDF87931E6D}"/>
                </c:ext>
                <c:ext xmlns:c15="http://schemas.microsoft.com/office/drawing/2012/chart" uri="{CE6537A1-D6FC-4f65-9D91-7224C49458BB}"/>
              </c:extLst>
            </c:dLbl>
            <c:dLbl>
              <c:idx val="4"/>
              <c:layout>
                <c:manualLayout>
                  <c:x val="1.6666666666666566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8E-4A10-872D-4CDF87931E6D}"/>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GDP!$N$25:$N$29</c:f>
              <c:numCache>
                <c:formatCode>0.00%</c:formatCode>
                <c:ptCount val="5"/>
                <c:pt idx="0">
                  <c:v>0.10329413118565707</c:v>
                </c:pt>
                <c:pt idx="1">
                  <c:v>2.2569374445609226E-2</c:v>
                </c:pt>
                <c:pt idx="2">
                  <c:v>1.1877402360024729E-2</c:v>
                </c:pt>
                <c:pt idx="3">
                  <c:v>2.0894652312985512E-2</c:v>
                </c:pt>
                <c:pt idx="4">
                  <c:v>4.7952702067037598E-2</c:v>
                </c:pt>
              </c:numCache>
            </c:numRef>
          </c:val>
          <c:extLst xmlns:c16r2="http://schemas.microsoft.com/office/drawing/2015/06/chart">
            <c:ext xmlns:c16="http://schemas.microsoft.com/office/drawing/2014/chart" uri="{C3380CC4-5D6E-409C-BE32-E72D297353CC}">
              <c16:uniqueId val="{00000006-178E-4A10-872D-4CDF87931E6D}"/>
            </c:ext>
          </c:extLst>
        </c:ser>
        <c:dLbls>
          <c:showLegendKey val="0"/>
          <c:showVal val="0"/>
          <c:showCatName val="0"/>
          <c:showSerName val="0"/>
          <c:showPercent val="0"/>
          <c:showBubbleSize val="0"/>
        </c:dLbls>
        <c:gapWidth val="219"/>
        <c:overlap val="-27"/>
        <c:axId val="708808320"/>
        <c:axId val="708805576"/>
      </c:barChart>
      <c:catAx>
        <c:axId val="7088083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8805576"/>
        <c:crosses val="autoZero"/>
        <c:auto val="1"/>
        <c:lblAlgn val="ctr"/>
        <c:lblOffset val="100"/>
        <c:noMultiLvlLbl val="0"/>
      </c:catAx>
      <c:valAx>
        <c:axId val="708805576"/>
        <c:scaling>
          <c:orientation val="minMax"/>
        </c:scaling>
        <c:delete val="1"/>
        <c:axPos val="l"/>
        <c:majorGridlines>
          <c:spPr>
            <a:ln w="9525" cap="flat" cmpd="sng" algn="ctr">
              <a:noFill/>
              <a:round/>
            </a:ln>
            <a:effectLst/>
          </c:spPr>
        </c:majorGridlines>
        <c:numFmt formatCode="0.00%" sourceLinked="1"/>
        <c:majorTickMark val="out"/>
        <c:minorTickMark val="none"/>
        <c:tickLblPos val="nextTo"/>
        <c:crossAx val="708808320"/>
        <c:crossesAt val="1"/>
        <c:crossBetween val="between"/>
      </c:valAx>
      <c:spPr>
        <a:noFill/>
        <a:ln>
          <a:noFill/>
        </a:ln>
        <a:effectLst/>
      </c:spPr>
    </c:plotArea>
    <c:legend>
      <c:legendPos val="r"/>
      <c:layout>
        <c:manualLayout>
          <c:xMode val="edge"/>
          <c:yMode val="edge"/>
          <c:x val="0.74387062520181824"/>
          <c:y val="0.26229222631046545"/>
          <c:w val="0.17482860975185674"/>
          <c:h val="0.1487613459558194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800">
          <a:latin typeface="Calibri" panose="020F0502020204030204" pitchFamily="34" charset="0"/>
          <a:cs typeface="Calibri" panose="020F0502020204030204" pitchFamily="34" charset="0"/>
        </a:defRPr>
      </a:pPr>
      <a:endParaRPr lang="ro-R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Urban versus rural area coverage 2019 (km2,% of total)</a:t>
            </a:r>
          </a:p>
        </c:rich>
      </c:tx>
      <c:overlay val="0"/>
    </c:title>
    <c:autoTitleDeleted val="0"/>
    <c:plotArea>
      <c:layout>
        <c:manualLayout>
          <c:layoutTarget val="inner"/>
          <c:xMode val="edge"/>
          <c:yMode val="edge"/>
          <c:x val="3.1256964972401706E-2"/>
          <c:y val="0.15804432963229753"/>
          <c:w val="0.94437980136203903"/>
          <c:h val="0.56147942075063961"/>
        </c:manualLayout>
      </c:layout>
      <c:barChart>
        <c:barDir val="col"/>
        <c:grouping val="stacked"/>
        <c:varyColors val="0"/>
        <c:ser>
          <c:idx val="0"/>
          <c:order val="0"/>
          <c:tx>
            <c:strRef>
              <c:f>Sheet3!$V$13</c:f>
              <c:strCache>
                <c:ptCount val="1"/>
                <c:pt idx="0">
                  <c:v>urban</c:v>
                </c:pt>
              </c:strCache>
            </c:strRef>
          </c:tx>
          <c:invertIfNegative val="0"/>
          <c:dPt>
            <c:idx val="0"/>
            <c:invertIfNegative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1-E760-4107-8F58-199738826C06}"/>
              </c:ext>
            </c:extLst>
          </c:dPt>
          <c:dPt>
            <c:idx val="1"/>
            <c:invertIfNegative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3-E760-4107-8F58-199738826C06}"/>
              </c:ext>
            </c:extLst>
          </c:dPt>
          <c:dPt>
            <c:idx val="2"/>
            <c:invertIfNegative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5-E760-4107-8F58-199738826C06}"/>
              </c:ext>
            </c:extLst>
          </c:dPt>
          <c:dPt>
            <c:idx val="3"/>
            <c:invertIfNegative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7-E760-4107-8F58-199738826C06}"/>
              </c:ext>
            </c:extLst>
          </c:dPt>
          <c:dPt>
            <c:idx val="4"/>
            <c:invertIfNegative val="0"/>
            <c:bubble3D val="0"/>
            <c:spPr>
              <a:solidFill>
                <a:srgbClr val="0070C0"/>
              </a:solidFill>
            </c:spPr>
            <c:extLst xmlns:c16r2="http://schemas.microsoft.com/office/drawing/2015/06/chart">
              <c:ext xmlns:c16="http://schemas.microsoft.com/office/drawing/2014/chart" uri="{C3380CC4-5D6E-409C-BE32-E72D297353CC}">
                <c16:uniqueId val="{00000009-E760-4107-8F58-199738826C06}"/>
              </c:ext>
            </c:extLst>
          </c:dPt>
          <c:dPt>
            <c:idx val="5"/>
            <c:invertIfNegative val="0"/>
            <c:bubble3D val="0"/>
            <c:spPr>
              <a:solidFill>
                <a:srgbClr val="0070C0"/>
              </a:solidFill>
            </c:spPr>
            <c:extLst xmlns:c16r2="http://schemas.microsoft.com/office/drawing/2015/06/chart">
              <c:ext xmlns:c16="http://schemas.microsoft.com/office/drawing/2014/chart" uri="{C3380CC4-5D6E-409C-BE32-E72D297353CC}">
                <c16:uniqueId val="{0000000B-E760-4107-8F58-199738826C06}"/>
              </c:ext>
            </c:extLst>
          </c:dPt>
          <c:dPt>
            <c:idx val="6"/>
            <c:invertIfNegative val="0"/>
            <c:bubble3D val="0"/>
            <c:spPr>
              <a:solidFill>
                <a:srgbClr val="0070C0"/>
              </a:solidFill>
            </c:spPr>
            <c:extLst xmlns:c16r2="http://schemas.microsoft.com/office/drawing/2015/06/chart">
              <c:ext xmlns:c16="http://schemas.microsoft.com/office/drawing/2014/chart" uri="{C3380CC4-5D6E-409C-BE32-E72D297353CC}">
                <c16:uniqueId val="{0000000D-E760-4107-8F58-199738826C06}"/>
              </c:ext>
            </c:extLst>
          </c:dPt>
          <c:dPt>
            <c:idx val="7"/>
            <c:invertIfNegative val="0"/>
            <c:bubble3D val="0"/>
            <c:spPr>
              <a:solidFill>
                <a:srgbClr val="0070C0"/>
              </a:solidFill>
            </c:spPr>
            <c:extLst xmlns:c16r2="http://schemas.microsoft.com/office/drawing/2015/06/chart">
              <c:ext xmlns:c16="http://schemas.microsoft.com/office/drawing/2014/chart" uri="{C3380CC4-5D6E-409C-BE32-E72D297353CC}">
                <c16:uniqueId val="{0000000F-E760-4107-8F58-199738826C06}"/>
              </c:ext>
            </c:extLst>
          </c:dPt>
          <c:dLbls>
            <c:dLbl>
              <c:idx val="0"/>
              <c:layout>
                <c:manualLayout>
                  <c:x val="0"/>
                  <c:y val="-4.6779231494578029E-2"/>
                </c:manualLayout>
              </c:layout>
              <c:tx>
                <c:rich>
                  <a:bodyPr/>
                  <a:lstStyle/>
                  <a:p>
                    <a:r>
                      <a:rPr lang="en-US"/>
                      <a:t>3313,97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760-4107-8F58-199738826C06}"/>
                </c:ext>
                <c:ext xmlns:c15="http://schemas.microsoft.com/office/drawing/2012/chart" uri="{CE6537A1-D6FC-4f65-9D91-7224C49458BB}"/>
              </c:extLst>
            </c:dLbl>
            <c:dLbl>
              <c:idx val="1"/>
              <c:layout>
                <c:manualLayout>
                  <c:x val="-2.0311457508917339E-17"/>
                  <c:y val="-2.1257750221435029E-2"/>
                </c:manualLayout>
              </c:layout>
              <c:tx>
                <c:rich>
                  <a:bodyPr/>
                  <a:lstStyle/>
                  <a:p>
                    <a:r>
                      <a:rPr lang="en-US"/>
                      <a:t>1590,1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760-4107-8F58-199738826C06}"/>
                </c:ext>
                <c:ext xmlns:c15="http://schemas.microsoft.com/office/drawing/2012/chart" uri="{CE6537A1-D6FC-4f65-9D91-7224C49458BB}"/>
              </c:extLst>
            </c:dLbl>
            <c:dLbl>
              <c:idx val="2"/>
              <c:layout>
                <c:manualLayout>
                  <c:x val="6.6474628849988917E-3"/>
                  <c:y val="-4.6069617737109637E-2"/>
                </c:manualLayout>
              </c:layout>
              <c:tx>
                <c:rich>
                  <a:bodyPr/>
                  <a:lstStyle/>
                  <a:p>
                    <a:r>
                      <a:rPr lang="en-US"/>
                      <a:t>3079,31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760-4107-8F58-199738826C06}"/>
                </c:ext>
                <c:ext xmlns:c15="http://schemas.microsoft.com/office/drawing/2012/chart" uri="{CE6537A1-D6FC-4f65-9D91-7224C49458BB}"/>
              </c:extLst>
            </c:dLbl>
            <c:dLbl>
              <c:idx val="3"/>
              <c:layout>
                <c:manualLayout>
                  <c:x val="0"/>
                  <c:y val="-2.3326335758074464E-2"/>
                </c:manualLayout>
              </c:layout>
              <c:tx>
                <c:rich>
                  <a:bodyPr/>
                  <a:lstStyle/>
                  <a:p>
                    <a:r>
                      <a:rPr lang="en-US"/>
                      <a:t>1870,71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760-4107-8F58-199738826C06}"/>
                </c:ext>
                <c:ext xmlns:c15="http://schemas.microsoft.com/office/drawing/2012/chart" uri="{CE6537A1-D6FC-4f65-9D91-7224C49458BB}"/>
              </c:extLst>
            </c:dLbl>
            <c:dLbl>
              <c:idx val="4"/>
              <c:layout>
                <c:manualLayout>
                  <c:x val="2.2158209616662972E-3"/>
                  <c:y val="4.9623735031348306E-3"/>
                </c:manualLayout>
              </c:layout>
              <c:tx>
                <c:rich>
                  <a:bodyPr/>
                  <a:lstStyle/>
                  <a:p>
                    <a:r>
                      <a:rPr lang="en-US"/>
                      <a:t>805,5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760-4107-8F58-199738826C06}"/>
                </c:ext>
                <c:ext xmlns:c15="http://schemas.microsoft.com/office/drawing/2012/chart" uri="{CE6537A1-D6FC-4f65-9D91-7224C49458BB}">
                  <c15:layout>
                    <c:manualLayout>
                      <c:w val="0.1077775315754487"/>
                      <c:h val="4.678490476555798E-2"/>
                    </c:manualLayout>
                  </c15:layout>
                </c:ext>
              </c:extLst>
            </c:dLbl>
            <c:dLbl>
              <c:idx val="5"/>
              <c:layout>
                <c:manualLayout>
                  <c:x val="4.1413170351267872E-3"/>
                  <c:y val="4.2526659366870553E-3"/>
                </c:manualLayout>
              </c:layout>
              <c:tx>
                <c:rich>
                  <a:bodyPr/>
                  <a:lstStyle/>
                  <a:p>
                    <a:r>
                      <a:rPr lang="en-US"/>
                      <a:t>737,13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760-4107-8F58-199738826C06}"/>
                </c:ext>
                <c:ext xmlns:c15="http://schemas.microsoft.com/office/drawing/2012/chart" uri="{CE6537A1-D6FC-4f65-9D91-7224C49458BB}"/>
              </c:extLst>
            </c:dLbl>
            <c:dLbl>
              <c:idx val="6"/>
              <c:layout>
                <c:manualLayout>
                  <c:x val="1.5220247369366885E-2"/>
                  <c:y val="1.5922947629774798E-2"/>
                </c:manualLayout>
              </c:layout>
              <c:tx>
                <c:rich>
                  <a:bodyPr/>
                  <a:lstStyle/>
                  <a:p>
                    <a:r>
                      <a:rPr lang="en-US"/>
                      <a:t>1288,57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760-4107-8F58-199738826C06}"/>
                </c:ext>
                <c:ext xmlns:c15="http://schemas.microsoft.com/office/drawing/2012/chart" uri="{CE6537A1-D6FC-4f65-9D91-7224C49458BB}"/>
              </c:extLst>
            </c:dLbl>
            <c:dLbl>
              <c:idx val="7"/>
              <c:layout>
                <c:manualLayout>
                  <c:x val="1.7726567693330378E-2"/>
                  <c:y val="1.477776305419737E-2"/>
                </c:manualLayout>
              </c:layout>
              <c:tx>
                <c:rich>
                  <a:bodyPr/>
                  <a:lstStyle/>
                  <a:p>
                    <a:r>
                      <a:rPr lang="en-US"/>
                      <a:t>1293,45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760-4107-8F58-199738826C0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Sheet3!$T$14:$U$21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Sheet3!$V$14:$V$21</c:f>
              <c:numCache>
                <c:formatCode>General</c:formatCode>
                <c:ptCount val="8"/>
                <c:pt idx="0">
                  <c:v>3313.97</c:v>
                </c:pt>
                <c:pt idx="1">
                  <c:v>1590.1</c:v>
                </c:pt>
                <c:pt idx="2">
                  <c:v>3079.31</c:v>
                </c:pt>
                <c:pt idx="3">
                  <c:v>1870.71</c:v>
                </c:pt>
                <c:pt idx="4">
                  <c:v>805.5</c:v>
                </c:pt>
                <c:pt idx="5">
                  <c:v>737.13</c:v>
                </c:pt>
                <c:pt idx="6">
                  <c:v>1288.57</c:v>
                </c:pt>
                <c:pt idx="7">
                  <c:v>1293.45</c:v>
                </c:pt>
              </c:numCache>
            </c:numRef>
          </c:val>
          <c:extLst xmlns:c16r2="http://schemas.microsoft.com/office/drawing/2015/06/chart">
            <c:ext xmlns:c16="http://schemas.microsoft.com/office/drawing/2014/chart" uri="{C3380CC4-5D6E-409C-BE32-E72D297353CC}">
              <c16:uniqueId val="{00000010-E760-4107-8F58-199738826C06}"/>
            </c:ext>
          </c:extLst>
        </c:ser>
        <c:ser>
          <c:idx val="1"/>
          <c:order val="1"/>
          <c:tx>
            <c:strRef>
              <c:f>Sheet3!$W$13</c:f>
              <c:strCache>
                <c:ptCount val="1"/>
                <c:pt idx="0">
                  <c:v>rural</c:v>
                </c:pt>
              </c:strCache>
            </c:strRef>
          </c:tx>
          <c:invertIfNegative val="0"/>
          <c:dPt>
            <c:idx val="0"/>
            <c:invertIfNegative val="0"/>
            <c:bubble3D val="0"/>
            <c:spPr>
              <a:solidFill>
                <a:schemeClr val="accent3">
                  <a:lumMod val="40000"/>
                  <a:lumOff val="60000"/>
                </a:schemeClr>
              </a:solidFill>
            </c:spPr>
            <c:extLst xmlns:c16r2="http://schemas.microsoft.com/office/drawing/2015/06/chart">
              <c:ext xmlns:c16="http://schemas.microsoft.com/office/drawing/2014/chart" uri="{C3380CC4-5D6E-409C-BE32-E72D297353CC}">
                <c16:uniqueId val="{00000012-E760-4107-8F58-199738826C06}"/>
              </c:ext>
            </c:extLst>
          </c:dPt>
          <c:dPt>
            <c:idx val="1"/>
            <c:invertIfNegative val="0"/>
            <c:bubble3D val="0"/>
            <c:spPr>
              <a:solidFill>
                <a:schemeClr val="accent3">
                  <a:lumMod val="40000"/>
                  <a:lumOff val="60000"/>
                </a:schemeClr>
              </a:solidFill>
            </c:spPr>
            <c:extLst xmlns:c16r2="http://schemas.microsoft.com/office/drawing/2015/06/chart">
              <c:ext xmlns:c16="http://schemas.microsoft.com/office/drawing/2014/chart" uri="{C3380CC4-5D6E-409C-BE32-E72D297353CC}">
                <c16:uniqueId val="{00000014-E760-4107-8F58-199738826C06}"/>
              </c:ext>
            </c:extLst>
          </c:dPt>
          <c:dPt>
            <c:idx val="2"/>
            <c:invertIfNegative val="0"/>
            <c:bubble3D val="0"/>
            <c:spPr>
              <a:solidFill>
                <a:schemeClr val="accent3">
                  <a:lumMod val="40000"/>
                  <a:lumOff val="60000"/>
                </a:schemeClr>
              </a:solidFill>
            </c:spPr>
            <c:extLst xmlns:c16r2="http://schemas.microsoft.com/office/drawing/2015/06/chart">
              <c:ext xmlns:c16="http://schemas.microsoft.com/office/drawing/2014/chart" uri="{C3380CC4-5D6E-409C-BE32-E72D297353CC}">
                <c16:uniqueId val="{00000016-E760-4107-8F58-199738826C06}"/>
              </c:ext>
            </c:extLst>
          </c:dPt>
          <c:dPt>
            <c:idx val="3"/>
            <c:invertIfNegative val="0"/>
            <c:bubble3D val="0"/>
            <c:spPr>
              <a:solidFill>
                <a:schemeClr val="accent3">
                  <a:lumMod val="40000"/>
                  <a:lumOff val="60000"/>
                </a:schemeClr>
              </a:solidFill>
            </c:spPr>
            <c:extLst xmlns:c16r2="http://schemas.microsoft.com/office/drawing/2015/06/chart">
              <c:ext xmlns:c16="http://schemas.microsoft.com/office/drawing/2014/chart" uri="{C3380CC4-5D6E-409C-BE32-E72D297353CC}">
                <c16:uniqueId val="{00000018-E760-4107-8F58-199738826C06}"/>
              </c:ext>
            </c:extLst>
          </c:dPt>
          <c:dPt>
            <c:idx val="4"/>
            <c:invertIfNegative val="0"/>
            <c:bubble3D val="0"/>
            <c:spPr>
              <a:solidFill>
                <a:schemeClr val="tx2">
                  <a:lumMod val="10000"/>
                  <a:lumOff val="90000"/>
                </a:schemeClr>
              </a:solidFill>
            </c:spPr>
            <c:extLst xmlns:c16r2="http://schemas.microsoft.com/office/drawing/2015/06/chart">
              <c:ext xmlns:c16="http://schemas.microsoft.com/office/drawing/2014/chart" uri="{C3380CC4-5D6E-409C-BE32-E72D297353CC}">
                <c16:uniqueId val="{0000001A-E760-4107-8F58-199738826C06}"/>
              </c:ext>
            </c:extLst>
          </c:dPt>
          <c:dPt>
            <c:idx val="5"/>
            <c:invertIfNegative val="0"/>
            <c:bubble3D val="0"/>
            <c:spPr>
              <a:solidFill>
                <a:schemeClr val="tx2">
                  <a:lumMod val="10000"/>
                  <a:lumOff val="90000"/>
                </a:schemeClr>
              </a:solidFill>
            </c:spPr>
            <c:extLst xmlns:c16r2="http://schemas.microsoft.com/office/drawing/2015/06/chart">
              <c:ext xmlns:c16="http://schemas.microsoft.com/office/drawing/2014/chart" uri="{C3380CC4-5D6E-409C-BE32-E72D297353CC}">
                <c16:uniqueId val="{0000001C-E760-4107-8F58-199738826C06}"/>
              </c:ext>
            </c:extLst>
          </c:dPt>
          <c:dPt>
            <c:idx val="6"/>
            <c:invertIfNegative val="0"/>
            <c:bubble3D val="0"/>
            <c:spPr>
              <a:solidFill>
                <a:schemeClr val="tx2">
                  <a:lumMod val="10000"/>
                  <a:lumOff val="90000"/>
                </a:schemeClr>
              </a:solidFill>
            </c:spPr>
            <c:extLst xmlns:c16r2="http://schemas.microsoft.com/office/drawing/2015/06/chart">
              <c:ext xmlns:c16="http://schemas.microsoft.com/office/drawing/2014/chart" uri="{C3380CC4-5D6E-409C-BE32-E72D297353CC}">
                <c16:uniqueId val="{0000001E-E760-4107-8F58-199738826C06}"/>
              </c:ext>
            </c:extLst>
          </c:dPt>
          <c:dPt>
            <c:idx val="7"/>
            <c:invertIfNegative val="0"/>
            <c:bubble3D val="0"/>
            <c:spPr>
              <a:solidFill>
                <a:schemeClr val="tx2">
                  <a:lumMod val="10000"/>
                  <a:lumOff val="90000"/>
                </a:schemeClr>
              </a:solidFill>
            </c:spPr>
            <c:extLst xmlns:c16r2="http://schemas.microsoft.com/office/drawing/2015/06/chart">
              <c:ext xmlns:c16="http://schemas.microsoft.com/office/drawing/2014/chart" uri="{C3380CC4-5D6E-409C-BE32-E72D297353CC}">
                <c16:uniqueId val="{00000020-E760-4107-8F58-199738826C06}"/>
              </c:ext>
            </c:extLst>
          </c:dPt>
          <c:dLbls>
            <c:dLbl>
              <c:idx val="0"/>
              <c:layout>
                <c:manualLayout>
                  <c:x val="-1.1079104808331486E-2"/>
                  <c:y val="2.1151740443427743E-3"/>
                </c:manualLayout>
              </c:layout>
              <c:tx>
                <c:rich>
                  <a:bodyPr/>
                  <a:lstStyle/>
                  <a:p>
                    <a:r>
                      <a:rPr lang="en-US"/>
                      <a:t>2896,42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E760-4107-8F58-199738826C06}"/>
                </c:ext>
                <c:ext xmlns:c15="http://schemas.microsoft.com/office/drawing/2012/chart" uri="{CE6537A1-D6FC-4f65-9D91-7224C49458BB}"/>
              </c:extLst>
            </c:dLbl>
            <c:dLbl>
              <c:idx val="1"/>
              <c:layout>
                <c:manualLayout>
                  <c:x val="0"/>
                  <c:y val="-5.4698813666892172E-2"/>
                </c:manualLayout>
              </c:layout>
              <c:tx>
                <c:rich>
                  <a:bodyPr/>
                  <a:lstStyle/>
                  <a:p>
                    <a:r>
                      <a:rPr lang="en-US"/>
                      <a:t>4345,82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E760-4107-8F58-199738826C06}"/>
                </c:ext>
                <c:ext xmlns:c15="http://schemas.microsoft.com/office/drawing/2012/chart" uri="{CE6537A1-D6FC-4f65-9D91-7224C49458BB}"/>
              </c:extLst>
            </c:dLbl>
            <c:dLbl>
              <c:idx val="2"/>
              <c:layout>
                <c:manualLayout>
                  <c:x val="0"/>
                  <c:y val="-7.1249729744809359E-4"/>
                </c:manualLayout>
              </c:layout>
              <c:tx>
                <c:rich>
                  <a:bodyPr/>
                  <a:lstStyle/>
                  <a:p>
                    <a:r>
                      <a:rPr lang="en-US"/>
                      <a:t>2550,4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E760-4107-8F58-199738826C06}"/>
                </c:ext>
                <c:ext xmlns:c15="http://schemas.microsoft.com/office/drawing/2012/chart" uri="{CE6537A1-D6FC-4f65-9D91-7224C49458BB}"/>
              </c:extLst>
            </c:dLbl>
            <c:dLbl>
              <c:idx val="3"/>
              <c:layout>
                <c:manualLayout>
                  <c:x val="0"/>
                  <c:y val="-5.9463116269013114E-3"/>
                </c:manualLayout>
              </c:layout>
              <c:tx>
                <c:rich>
                  <a:bodyPr/>
                  <a:lstStyle/>
                  <a:p>
                    <a:r>
                      <a:rPr lang="en-US"/>
                      <a:t>2392,08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E760-4107-8F58-199738826C06}"/>
                </c:ext>
                <c:ext xmlns:c15="http://schemas.microsoft.com/office/drawing/2012/chart" uri="{CE6537A1-D6FC-4f65-9D91-7224C49458BB}"/>
              </c:extLst>
            </c:dLbl>
            <c:dLbl>
              <c:idx val="4"/>
              <c:layout>
                <c:manualLayout>
                  <c:x val="0"/>
                  <c:y val="-0.11969508240167942"/>
                </c:manualLayout>
              </c:layout>
              <c:tx>
                <c:rich>
                  <a:bodyPr/>
                  <a:lstStyle/>
                  <a:p>
                    <a:r>
                      <a:rPr lang="en-US"/>
                      <a:t>6733,5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E760-4107-8F58-199738826C06}"/>
                </c:ext>
                <c:ext xmlns:c15="http://schemas.microsoft.com/office/drawing/2012/chart" uri="{CE6537A1-D6FC-4f65-9D91-7224C49458BB}"/>
              </c:extLst>
            </c:dLbl>
            <c:dLbl>
              <c:idx val="5"/>
              <c:layout>
                <c:manualLayout>
                  <c:x val="-8.1245830035669357E-17"/>
                  <c:y val="-3.4685004498441301E-2"/>
                </c:manualLayout>
              </c:layout>
              <c:tx>
                <c:rich>
                  <a:bodyPr/>
                  <a:lstStyle/>
                  <a:p>
                    <a:r>
                      <a:rPr lang="en-US"/>
                      <a:t>3682,76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E760-4107-8F58-199738826C06}"/>
                </c:ext>
                <c:ext xmlns:c15="http://schemas.microsoft.com/office/drawing/2012/chart" uri="{CE6537A1-D6FC-4f65-9D91-7224C49458BB}"/>
              </c:extLst>
            </c:dLbl>
            <c:dLbl>
              <c:idx val="6"/>
              <c:layout>
                <c:manualLayout>
                  <c:x val="-1.6249166007133871E-16"/>
                  <c:y val="-0.11423948445771116"/>
                </c:manualLayout>
              </c:layout>
              <c:tx>
                <c:rich>
                  <a:bodyPr/>
                  <a:lstStyle/>
                  <a:p>
                    <a:r>
                      <a:rPr lang="en-US"/>
                      <a:t>6457,24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E760-4107-8F58-199738826C06}"/>
                </c:ext>
                <c:ext xmlns:c15="http://schemas.microsoft.com/office/drawing/2012/chart" uri="{CE6537A1-D6FC-4f65-9D91-7224C49458BB}"/>
              </c:extLst>
            </c:dLbl>
            <c:dLbl>
              <c:idx val="7"/>
              <c:layout>
                <c:manualLayout>
                  <c:x val="0"/>
                  <c:y val="-0.14243585362281441"/>
                </c:manualLayout>
              </c:layout>
              <c:tx>
                <c:rich>
                  <a:bodyPr/>
                  <a:lstStyle/>
                  <a:p>
                    <a:r>
                      <a:rPr lang="en-US"/>
                      <a:t>7398,05 km2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E760-4107-8F58-199738826C0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Sheet3!$T$14:$U$21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Sheet3!$W$14:$W$21</c:f>
              <c:numCache>
                <c:formatCode>General</c:formatCode>
                <c:ptCount val="8"/>
                <c:pt idx="0">
                  <c:v>2896.42</c:v>
                </c:pt>
                <c:pt idx="1">
                  <c:v>4345.82</c:v>
                </c:pt>
                <c:pt idx="2">
                  <c:v>2550.4</c:v>
                </c:pt>
                <c:pt idx="3">
                  <c:v>2392.08</c:v>
                </c:pt>
                <c:pt idx="4">
                  <c:v>6733.5</c:v>
                </c:pt>
                <c:pt idx="5">
                  <c:v>3682.76</c:v>
                </c:pt>
                <c:pt idx="6">
                  <c:v>6457.24</c:v>
                </c:pt>
                <c:pt idx="7">
                  <c:v>7398.05</c:v>
                </c:pt>
              </c:numCache>
            </c:numRef>
          </c:val>
          <c:extLst xmlns:c16r2="http://schemas.microsoft.com/office/drawing/2015/06/chart">
            <c:ext xmlns:c16="http://schemas.microsoft.com/office/drawing/2014/chart" uri="{C3380CC4-5D6E-409C-BE32-E72D297353CC}">
              <c16:uniqueId val="{00000021-E760-4107-8F58-199738826C06}"/>
            </c:ext>
          </c:extLst>
        </c:ser>
        <c:ser>
          <c:idx val="2"/>
          <c:order val="2"/>
          <c:tx>
            <c:strRef>
              <c:f>Sheet3!$X$13</c:f>
              <c:strCache>
                <c:ptCount val="1"/>
                <c:pt idx="0">
                  <c:v>urban percentage</c:v>
                </c:pt>
              </c:strCache>
            </c:strRef>
          </c:tx>
          <c:spPr>
            <a:solidFill>
              <a:sysClr val="window" lastClr="FFFFFF"/>
            </a:solidFill>
          </c:spPr>
          <c:invertIfNegative val="0"/>
          <c:dLbls>
            <c:dLbl>
              <c:idx val="0"/>
              <c:layout>
                <c:manualLayout>
                  <c:x val="-1.5493299322517102E-3"/>
                  <c:y val="0.25806657693031942"/>
                </c:manualLayout>
              </c:layout>
              <c:tx>
                <c:rich>
                  <a:bodyPr/>
                  <a:lstStyle/>
                  <a:p>
                    <a:r>
                      <a:rPr lang="en-US"/>
                      <a:t>53,36%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E760-4107-8F58-199738826C06}"/>
                </c:ext>
                <c:ext xmlns:c15="http://schemas.microsoft.com/office/drawing/2012/chart" uri="{CE6537A1-D6FC-4f65-9D91-7224C49458BB}"/>
              </c:extLst>
            </c:dLbl>
            <c:dLbl>
              <c:idx val="1"/>
              <c:layout>
                <c:manualLayout>
                  <c:x val="-2.0311457508917339E-17"/>
                  <c:y val="0.30556732667052577"/>
                </c:manualLayout>
              </c:layout>
              <c:tx>
                <c:rich>
                  <a:bodyPr/>
                  <a:lstStyle/>
                  <a:p>
                    <a:r>
                      <a:rPr lang="en-US"/>
                      <a:t>26,79%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E760-4107-8F58-199738826C06}"/>
                </c:ext>
                <c:ext xmlns:c15="http://schemas.microsoft.com/office/drawing/2012/chart" uri="{CE6537A1-D6FC-4f65-9D91-7224C49458BB}"/>
              </c:extLst>
            </c:dLbl>
            <c:dLbl>
              <c:idx val="2"/>
              <c:layout>
                <c:manualLayout>
                  <c:x val="0"/>
                  <c:y val="0.23624948564334691"/>
                </c:manualLayout>
              </c:layout>
              <c:tx>
                <c:rich>
                  <a:bodyPr/>
                  <a:lstStyle/>
                  <a:p>
                    <a:r>
                      <a:rPr lang="en-US"/>
                      <a:t>54,70%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E760-4107-8F58-199738826C06}"/>
                </c:ext>
                <c:ext xmlns:c15="http://schemas.microsoft.com/office/drawing/2012/chart" uri="{CE6537A1-D6FC-4f65-9D91-7224C49458BB}"/>
              </c:extLst>
            </c:dLbl>
            <c:dLbl>
              <c:idx val="3"/>
              <c:layout>
                <c:manualLayout>
                  <c:x val="0"/>
                  <c:y val="0.21128139319166137"/>
                </c:manualLayout>
              </c:layout>
              <c:tx>
                <c:rich>
                  <a:bodyPr/>
                  <a:lstStyle/>
                  <a:p>
                    <a:r>
                      <a:rPr lang="en-US"/>
                      <a:t>43,88%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E760-4107-8F58-199738826C06}"/>
                </c:ext>
                <c:ext xmlns:c15="http://schemas.microsoft.com/office/drawing/2012/chart" uri="{CE6537A1-D6FC-4f65-9D91-7224C49458BB}"/>
              </c:extLst>
            </c:dLbl>
            <c:dLbl>
              <c:idx val="4"/>
              <c:layout>
                <c:manualLayout>
                  <c:x val="-8.3538194995742235E-4"/>
                  <c:y val="0.35771855798804603"/>
                </c:manualLayout>
              </c:layout>
              <c:tx>
                <c:rich>
                  <a:bodyPr/>
                  <a:lstStyle/>
                  <a:p>
                    <a:r>
                      <a:rPr lang="en-US"/>
                      <a:t>10,68%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E760-4107-8F58-199738826C06}"/>
                </c:ext>
                <c:ext xmlns:c15="http://schemas.microsoft.com/office/drawing/2012/chart" uri="{CE6537A1-D6FC-4f65-9D91-7224C49458BB}"/>
              </c:extLst>
            </c:dLbl>
            <c:dLbl>
              <c:idx val="5"/>
              <c:layout>
                <c:manualLayout>
                  <c:x val="-8.1245830035669357E-17"/>
                  <c:y val="0.17788273365740709"/>
                </c:manualLayout>
              </c:layout>
              <c:tx>
                <c:rich>
                  <a:bodyPr/>
                  <a:lstStyle/>
                  <a:p>
                    <a:r>
                      <a:rPr lang="en-US"/>
                      <a:t>16,68%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7-E760-4107-8F58-199738826C06}"/>
                </c:ext>
                <c:ext xmlns:c15="http://schemas.microsoft.com/office/drawing/2012/chart" uri="{CE6537A1-D6FC-4f65-9D91-7224C49458BB}"/>
              </c:extLst>
            </c:dLbl>
            <c:dLbl>
              <c:idx val="6"/>
              <c:layout>
                <c:manualLayout>
                  <c:x val="0"/>
                  <c:y val="0.33782582314500326"/>
                </c:manualLayout>
              </c:layout>
              <c:tx>
                <c:rich>
                  <a:bodyPr/>
                  <a:lstStyle/>
                  <a:p>
                    <a:r>
                      <a:rPr lang="en-US"/>
                      <a:t>16,64%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8-E760-4107-8F58-199738826C06}"/>
                </c:ext>
                <c:ext xmlns:c15="http://schemas.microsoft.com/office/drawing/2012/chart" uri="{CE6537A1-D6FC-4f65-9D91-7224C49458BB}"/>
              </c:extLst>
            </c:dLbl>
            <c:dLbl>
              <c:idx val="7"/>
              <c:layout>
                <c:manualLayout>
                  <c:x val="1.3802645376173239E-3"/>
                  <c:y val="0.39524267172537886"/>
                </c:manualLayout>
              </c:layout>
              <c:tx>
                <c:rich>
                  <a:bodyPr/>
                  <a:lstStyle/>
                  <a:p>
                    <a:r>
                      <a:rPr lang="en-US"/>
                      <a:t>14,88%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9-E760-4107-8F58-199738826C0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Sheet3!$T$14:$U$21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Sheet3!$X$14:$X$21</c:f>
              <c:numCache>
                <c:formatCode>0.00</c:formatCode>
                <c:ptCount val="8"/>
                <c:pt idx="0">
                  <c:v>53.361705142511177</c:v>
                </c:pt>
                <c:pt idx="1">
                  <c:v>26.787759942856372</c:v>
                </c:pt>
                <c:pt idx="2">
                  <c:v>54.697488858218271</c:v>
                </c:pt>
                <c:pt idx="3">
                  <c:v>43.884638933656127</c:v>
                </c:pt>
                <c:pt idx="4">
                  <c:v>10.684440907282132</c:v>
                </c:pt>
                <c:pt idx="5">
                  <c:v>16.677564373774008</c:v>
                </c:pt>
                <c:pt idx="6">
                  <c:v>16.635703690124078</c:v>
                </c:pt>
                <c:pt idx="7">
                  <c:v>14.881781050451591</c:v>
                </c:pt>
              </c:numCache>
            </c:numRef>
          </c:val>
          <c:extLst xmlns:c16r2="http://schemas.microsoft.com/office/drawing/2015/06/chart">
            <c:ext xmlns:c16="http://schemas.microsoft.com/office/drawing/2014/chart" uri="{C3380CC4-5D6E-409C-BE32-E72D297353CC}">
              <c16:uniqueId val="{0000002A-E760-4107-8F58-199738826C06}"/>
            </c:ext>
          </c:extLst>
        </c:ser>
        <c:ser>
          <c:idx val="3"/>
          <c:order val="3"/>
          <c:tx>
            <c:strRef>
              <c:f>Sheet3!$Y$13</c:f>
              <c:strCache>
                <c:ptCount val="1"/>
              </c:strCache>
            </c:strRef>
          </c:tx>
          <c:spPr>
            <a:solidFill>
              <a:schemeClr val="bg1"/>
            </a:solidFill>
          </c:spPr>
          <c:invertIfNegative val="0"/>
          <c:dLbls>
            <c:dLbl>
              <c:idx val="0"/>
              <c:layout>
                <c:manualLayout>
                  <c:x val="0"/>
                  <c:y val="2.9445732391104245E-2"/>
                </c:manualLayout>
              </c:layout>
              <c:tx>
                <c:rich>
                  <a:bodyPr/>
                  <a:lstStyle/>
                  <a:p>
                    <a:r>
                      <a:rPr lang="en-US"/>
                      <a:t>46,64%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B-E760-4107-8F58-199738826C06}"/>
                </c:ext>
                <c:ext xmlns:c15="http://schemas.microsoft.com/office/drawing/2012/chart" uri="{CE6537A1-D6FC-4f65-9D91-7224C49458BB}"/>
              </c:extLst>
            </c:dLbl>
            <c:dLbl>
              <c:idx val="1"/>
              <c:layout>
                <c:manualLayout>
                  <c:x val="0"/>
                  <c:y val="2.617398434764822E-2"/>
                </c:manualLayout>
              </c:layout>
              <c:tx>
                <c:rich>
                  <a:bodyPr/>
                  <a:lstStyle/>
                  <a:p>
                    <a:r>
                      <a:rPr lang="en-US"/>
                      <a:t>73,21%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C-E760-4107-8F58-199738826C06}"/>
                </c:ext>
                <c:ext xmlns:c15="http://schemas.microsoft.com/office/drawing/2012/chart" uri="{CE6537A1-D6FC-4f65-9D91-7224C49458BB}"/>
              </c:extLst>
            </c:dLbl>
            <c:dLbl>
              <c:idx val="2"/>
              <c:layout>
                <c:manualLayout>
                  <c:x val="1.9886614928009826E-4"/>
                  <c:y val="2.9445732391104245E-2"/>
                </c:manualLayout>
              </c:layout>
              <c:tx>
                <c:rich>
                  <a:bodyPr/>
                  <a:lstStyle/>
                  <a:p>
                    <a:r>
                      <a:rPr lang="en-US"/>
                      <a:t>45,30%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D-E760-4107-8F58-199738826C06}"/>
                </c:ext>
                <c:ext xmlns:c15="http://schemas.microsoft.com/office/drawing/2012/chart" uri="{CE6537A1-D6FC-4f65-9D91-7224C49458BB}"/>
              </c:extLst>
            </c:dLbl>
            <c:dLbl>
              <c:idx val="3"/>
              <c:layout>
                <c:manualLayout>
                  <c:x val="8.5161134904647762E-5"/>
                  <c:y val="2.617398434764822E-2"/>
                </c:manualLayout>
              </c:layout>
              <c:tx>
                <c:rich>
                  <a:bodyPr/>
                  <a:lstStyle/>
                  <a:p>
                    <a:r>
                      <a:rPr lang="en-US"/>
                      <a:t>56,12%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E-E760-4107-8F58-199738826C06}"/>
                </c:ext>
                <c:ext xmlns:c15="http://schemas.microsoft.com/office/drawing/2012/chart" uri="{CE6537A1-D6FC-4f65-9D91-7224C49458BB}"/>
              </c:extLst>
            </c:dLbl>
            <c:dLbl>
              <c:idx val="4"/>
              <c:layout>
                <c:manualLayout>
                  <c:x val="2.2725250413939782E-3"/>
                  <c:y val="3.2988569077226693E-2"/>
                </c:manualLayout>
              </c:layout>
              <c:tx>
                <c:rich>
                  <a:bodyPr/>
                  <a:lstStyle/>
                  <a:p>
                    <a:r>
                      <a:rPr lang="en-US"/>
                      <a:t>89,32%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F-E760-4107-8F58-199738826C06}"/>
                </c:ext>
                <c:ext xmlns:c15="http://schemas.microsoft.com/office/drawing/2012/chart" uri="{CE6537A1-D6FC-4f65-9D91-7224C49458BB}"/>
              </c:extLst>
            </c:dLbl>
            <c:dLbl>
              <c:idx val="5"/>
              <c:layout>
                <c:manualLayout>
                  <c:x val="-4.4316419233325945E-3"/>
                  <c:y val="2.617409316306675E-2"/>
                </c:manualLayout>
              </c:layout>
              <c:tx>
                <c:rich>
                  <a:bodyPr/>
                  <a:lstStyle/>
                  <a:p>
                    <a:r>
                      <a:rPr lang="en-US"/>
                      <a:t>83,32%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E760-4107-8F58-199738826C06}"/>
                </c:ext>
                <c:ext xmlns:c15="http://schemas.microsoft.com/office/drawing/2012/chart" uri="{CE6537A1-D6FC-4f65-9D91-7224C49458BB}"/>
              </c:extLst>
            </c:dLbl>
            <c:dLbl>
              <c:idx val="6"/>
              <c:layout>
                <c:manualLayout>
                  <c:x val="-2.076959317757367E-3"/>
                  <c:y val="2.9445474773148069E-2"/>
                </c:manualLayout>
              </c:layout>
              <c:tx>
                <c:rich>
                  <a:bodyPr/>
                  <a:lstStyle/>
                  <a:p>
                    <a:r>
                      <a:rPr lang="en-US"/>
                      <a:t>83,36%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1-E760-4107-8F58-199738826C06}"/>
                </c:ext>
                <c:ext xmlns:c15="http://schemas.microsoft.com/office/drawing/2012/chart" uri="{CE6537A1-D6FC-4f65-9D91-7224C49458BB}"/>
              </c:extLst>
            </c:dLbl>
            <c:dLbl>
              <c:idx val="7"/>
              <c:layout>
                <c:manualLayout>
                  <c:x val="-1.9885501670452408E-4"/>
                  <c:y val="2.4863981933907677E-2"/>
                </c:manualLayout>
              </c:layout>
              <c:tx>
                <c:rich>
                  <a:bodyPr/>
                  <a:lstStyle/>
                  <a:p>
                    <a:r>
                      <a:rPr lang="en-US"/>
                      <a:t>85,12%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2-E760-4107-8F58-199738826C0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Sheet3!$T$14:$U$21</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Sheet3!$Y$14:$Y$21</c:f>
              <c:numCache>
                <c:formatCode>0.00</c:formatCode>
                <c:ptCount val="8"/>
                <c:pt idx="0">
                  <c:v>46.638294857488816</c:v>
                </c:pt>
                <c:pt idx="1">
                  <c:v>73.212240057143632</c:v>
                </c:pt>
                <c:pt idx="2">
                  <c:v>45.302511141781729</c:v>
                </c:pt>
                <c:pt idx="3">
                  <c:v>56.115361066343873</c:v>
                </c:pt>
                <c:pt idx="4">
                  <c:v>89.315559092717862</c:v>
                </c:pt>
                <c:pt idx="5">
                  <c:v>83.322435626225982</c:v>
                </c:pt>
                <c:pt idx="6">
                  <c:v>83.364296309875911</c:v>
                </c:pt>
                <c:pt idx="7">
                  <c:v>85.118218949548407</c:v>
                </c:pt>
              </c:numCache>
            </c:numRef>
          </c:val>
          <c:extLst xmlns:c16r2="http://schemas.microsoft.com/office/drawing/2015/06/chart">
            <c:ext xmlns:c16="http://schemas.microsoft.com/office/drawing/2014/chart" uri="{C3380CC4-5D6E-409C-BE32-E72D297353CC}">
              <c16:uniqueId val="{00000033-E760-4107-8F58-199738826C06}"/>
            </c:ext>
          </c:extLst>
        </c:ser>
        <c:dLbls>
          <c:showLegendKey val="0"/>
          <c:showVal val="1"/>
          <c:showCatName val="0"/>
          <c:showSerName val="0"/>
          <c:showPercent val="0"/>
          <c:showBubbleSize val="0"/>
        </c:dLbls>
        <c:gapWidth val="95"/>
        <c:overlap val="100"/>
        <c:axId val="327239456"/>
        <c:axId val="327235928"/>
      </c:barChart>
      <c:catAx>
        <c:axId val="327239456"/>
        <c:scaling>
          <c:orientation val="minMax"/>
        </c:scaling>
        <c:delete val="0"/>
        <c:axPos val="b"/>
        <c:numFmt formatCode="General" sourceLinked="0"/>
        <c:majorTickMark val="none"/>
        <c:minorTickMark val="none"/>
        <c:tickLblPos val="nextTo"/>
        <c:crossAx val="327235928"/>
        <c:crosses val="autoZero"/>
        <c:auto val="1"/>
        <c:lblAlgn val="ctr"/>
        <c:lblOffset val="100"/>
        <c:noMultiLvlLbl val="0"/>
      </c:catAx>
      <c:valAx>
        <c:axId val="327235928"/>
        <c:scaling>
          <c:orientation val="minMax"/>
        </c:scaling>
        <c:delete val="1"/>
        <c:axPos val="l"/>
        <c:numFmt formatCode="General" sourceLinked="1"/>
        <c:majorTickMark val="none"/>
        <c:minorTickMark val="none"/>
        <c:tickLblPos val="nextTo"/>
        <c:crossAx val="327239456"/>
        <c:crosses val="autoZero"/>
        <c:crossBetween val="between"/>
      </c:valAx>
    </c:plotArea>
    <c:plotVisOnly val="1"/>
    <c:dispBlanksAs val="gap"/>
    <c:showDLblsOverMax val="0"/>
  </c:chart>
  <c:spPr>
    <a:ln w="28575">
      <a:solidFill>
        <a:schemeClr val="bg2"/>
      </a:solidFill>
    </a:ln>
  </c:spPr>
  <c:txPr>
    <a:bodyPr/>
    <a:lstStyle/>
    <a:p>
      <a:pPr>
        <a:defRPr sz="1000" b="0">
          <a:latin typeface="Calibri" panose="020F0502020204030204" pitchFamily="34" charset="0"/>
          <a:cs typeface="Calibri" panose="020F0502020204030204" pitchFamily="34" charset="0"/>
        </a:defRPr>
      </a:pPr>
      <a:endParaRPr lang="ro-RO"/>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1000"/>
              <a:t>Hugarian eligible area</a:t>
            </a:r>
            <a:r>
              <a:rPr lang="ro-RO" sz="1000"/>
              <a:t>: Share of national GDP at current market prices</a:t>
            </a:r>
            <a:endParaRPr lang="en-US" sz="1000"/>
          </a:p>
        </c:rich>
      </c:tx>
      <c:layout>
        <c:manualLayout>
          <c:xMode val="edge"/>
          <c:yMode val="edge"/>
          <c:x val="0.16652762906473456"/>
          <c:y val="4.3939880331841326E-2"/>
        </c:manualLayout>
      </c:layout>
      <c:overlay val="0"/>
      <c:spPr>
        <a:noFill/>
        <a:ln>
          <a:noFill/>
        </a:ln>
        <a:effectLst/>
      </c:spPr>
    </c:title>
    <c:autoTitleDeleted val="0"/>
    <c:plotArea>
      <c:layout>
        <c:manualLayout>
          <c:layoutTarget val="inner"/>
          <c:xMode val="edge"/>
          <c:yMode val="edge"/>
          <c:x val="5.3480971128608931E-2"/>
          <c:y val="0.16348206529453763"/>
          <c:w val="0.92796034284776907"/>
          <c:h val="0.70374756230926661"/>
        </c:manualLayout>
      </c:layout>
      <c:barChart>
        <c:barDir val="col"/>
        <c:grouping val="clustered"/>
        <c:varyColors val="0"/>
        <c:ser>
          <c:idx val="0"/>
          <c:order val="0"/>
          <c:tx>
            <c:strRef>
              <c:f>GDP!$E$3</c:f>
              <c:strCache>
                <c:ptCount val="1"/>
                <c:pt idx="0">
                  <c:v>2009</c:v>
                </c:pt>
              </c:strCache>
            </c:strRef>
          </c:tx>
          <c:spPr>
            <a:solidFill>
              <a:schemeClr val="accent3">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GDP!$D$46:$D$50</c:f>
              <c:strCache>
                <c:ptCount val="5"/>
                <c:pt idx="0">
                  <c:v>HU eligible area</c:v>
                </c:pt>
                <c:pt idx="1">
                  <c:v>Hajdú- Bihar </c:v>
                </c:pt>
                <c:pt idx="2">
                  <c:v>Szabolcs- Szatmár- Bereg </c:v>
                </c:pt>
                <c:pt idx="3">
                  <c:v>Békés </c:v>
                </c:pt>
                <c:pt idx="4">
                  <c:v>Csongrád</c:v>
                </c:pt>
              </c:strCache>
            </c:strRef>
          </c:cat>
          <c:val>
            <c:numRef>
              <c:f>GDP!$E$46:$E$50</c:f>
              <c:numCache>
                <c:formatCode>0.00%</c:formatCode>
                <c:ptCount val="5"/>
                <c:pt idx="0">
                  <c:v>0.12178136449678414</c:v>
                </c:pt>
                <c:pt idx="1">
                  <c:v>3.9585995535453902E-2</c:v>
                </c:pt>
                <c:pt idx="2">
                  <c:v>2.9611287560247515E-2</c:v>
                </c:pt>
                <c:pt idx="3">
                  <c:v>2.0873078574950819E-2</c:v>
                </c:pt>
                <c:pt idx="4">
                  <c:v>3.1711002826131915E-2</c:v>
                </c:pt>
              </c:numCache>
            </c:numRef>
          </c:val>
          <c:extLst xmlns:c16r2="http://schemas.microsoft.com/office/drawing/2015/06/chart">
            <c:ext xmlns:c16="http://schemas.microsoft.com/office/drawing/2014/chart" uri="{C3380CC4-5D6E-409C-BE32-E72D297353CC}">
              <c16:uniqueId val="{00000000-198E-4315-B6CB-ED37C4377D1D}"/>
            </c:ext>
          </c:extLst>
        </c:ser>
        <c:ser>
          <c:idx val="1"/>
          <c:order val="1"/>
          <c:tx>
            <c:strRef>
              <c:f>GDP!$N$3</c:f>
              <c:strCache>
                <c:ptCount val="1"/>
                <c:pt idx="0">
                  <c:v>2018</c:v>
                </c:pt>
              </c:strCache>
            </c:strRef>
          </c:tx>
          <c:spPr>
            <a:solidFill>
              <a:schemeClr val="accent3"/>
            </a:solidFill>
            <a:ln>
              <a:noFill/>
            </a:ln>
            <a:effectLst/>
          </c:spPr>
          <c:invertIfNegative val="0"/>
          <c:dLbls>
            <c:dLbl>
              <c:idx val="0"/>
              <c:layout>
                <c:manualLayout>
                  <c:x val="5.7291666666666664E-2"/>
                  <c:y val="-2.020178332359844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98E-4315-B6CB-ED37C4377D1D}"/>
                </c:ext>
                <c:ext xmlns:c15="http://schemas.microsoft.com/office/drawing/2012/chart" uri="{CE6537A1-D6FC-4f65-9D91-7224C49458BB}"/>
              </c:extLst>
            </c:dLbl>
            <c:dLbl>
              <c:idx val="1"/>
              <c:layout>
                <c:manualLayout>
                  <c:x val="3.3854166666666616E-2"/>
                  <c:y val="-1.7630850934973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98E-4315-B6CB-ED37C4377D1D}"/>
                </c:ext>
                <c:ext xmlns:c15="http://schemas.microsoft.com/office/drawing/2012/chart" uri="{CE6537A1-D6FC-4f65-9D91-7224C49458BB}"/>
              </c:extLst>
            </c:dLbl>
            <c:dLbl>
              <c:idx val="2"/>
              <c:layout>
                <c:manualLayout>
                  <c:x val="2.6041666666666668E-2"/>
                  <c:y val="-3.52617018699461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98E-4315-B6CB-ED37C4377D1D}"/>
                </c:ext>
                <c:ext xmlns:c15="http://schemas.microsoft.com/office/drawing/2012/chart" uri="{CE6537A1-D6FC-4f65-9D91-7224C49458BB}"/>
              </c:extLst>
            </c:dLbl>
            <c:dLbl>
              <c:idx val="3"/>
              <c:layout>
                <c:manualLayout>
                  <c:x val="3.1249999999999903E-2"/>
                  <c:y val="-3.52617018699461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98E-4315-B6CB-ED37C4377D1D}"/>
                </c:ext>
                <c:ext xmlns:c15="http://schemas.microsoft.com/office/drawing/2012/chart" uri="{CE6537A1-D6FC-4f65-9D91-7224C49458BB}"/>
              </c:extLst>
            </c:dLbl>
            <c:dLbl>
              <c:idx val="4"/>
              <c:layout>
                <c:manualLayout>
                  <c:x val="2.0833333333333332E-2"/>
                  <c:y val="-3.08539891362028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98E-4315-B6CB-ED37C4377D1D}"/>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GDP!$D$46:$D$50</c:f>
              <c:strCache>
                <c:ptCount val="5"/>
                <c:pt idx="0">
                  <c:v>HU eligible area</c:v>
                </c:pt>
                <c:pt idx="1">
                  <c:v>Hajdú- Bihar </c:v>
                </c:pt>
                <c:pt idx="2">
                  <c:v>Szabolcs- Szatmár- Bereg </c:v>
                </c:pt>
                <c:pt idx="3">
                  <c:v>Békés </c:v>
                </c:pt>
                <c:pt idx="4">
                  <c:v>Csongrád</c:v>
                </c:pt>
              </c:strCache>
            </c:strRef>
          </c:cat>
          <c:val>
            <c:numRef>
              <c:f>GDP!$N$46:$N$50</c:f>
              <c:numCache>
                <c:formatCode>0.00%</c:formatCode>
                <c:ptCount val="5"/>
                <c:pt idx="0">
                  <c:v>0.12168567896399297</c:v>
                </c:pt>
                <c:pt idx="1">
                  <c:v>3.8878665616269008E-2</c:v>
                </c:pt>
                <c:pt idx="2">
                  <c:v>3.2127817649371476E-2</c:v>
                </c:pt>
                <c:pt idx="3">
                  <c:v>2.0621777613673904E-2</c:v>
                </c:pt>
                <c:pt idx="4">
                  <c:v>3.0057418084678593E-2</c:v>
                </c:pt>
              </c:numCache>
            </c:numRef>
          </c:val>
          <c:extLst xmlns:c16r2="http://schemas.microsoft.com/office/drawing/2015/06/chart">
            <c:ext xmlns:c16="http://schemas.microsoft.com/office/drawing/2014/chart" uri="{C3380CC4-5D6E-409C-BE32-E72D297353CC}">
              <c16:uniqueId val="{00000006-198E-4315-B6CB-ED37C4377D1D}"/>
            </c:ext>
          </c:extLst>
        </c:ser>
        <c:dLbls>
          <c:showLegendKey val="0"/>
          <c:showVal val="0"/>
          <c:showCatName val="0"/>
          <c:showSerName val="0"/>
          <c:showPercent val="0"/>
          <c:showBubbleSize val="0"/>
        </c:dLbls>
        <c:gapWidth val="219"/>
        <c:overlap val="-27"/>
        <c:axId val="708802832"/>
        <c:axId val="708803616"/>
      </c:barChart>
      <c:catAx>
        <c:axId val="7088028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8803616"/>
        <c:crosses val="autoZero"/>
        <c:auto val="1"/>
        <c:lblAlgn val="ctr"/>
        <c:lblOffset val="100"/>
        <c:tickLblSkip val="1"/>
        <c:noMultiLvlLbl val="0"/>
      </c:catAx>
      <c:valAx>
        <c:axId val="708803616"/>
        <c:scaling>
          <c:orientation val="minMax"/>
        </c:scaling>
        <c:delete val="1"/>
        <c:axPos val="l"/>
        <c:majorGridlines>
          <c:spPr>
            <a:ln w="9525" cap="flat" cmpd="sng" algn="ctr">
              <a:noFill/>
              <a:round/>
            </a:ln>
            <a:effectLst/>
          </c:spPr>
        </c:majorGridlines>
        <c:numFmt formatCode="0.00%" sourceLinked="1"/>
        <c:majorTickMark val="out"/>
        <c:minorTickMark val="none"/>
        <c:tickLblPos val="nextTo"/>
        <c:crossAx val="708802832"/>
        <c:crossesAt val="1"/>
        <c:crossBetween val="between"/>
      </c:valAx>
      <c:spPr>
        <a:noFill/>
        <a:ln>
          <a:noFill/>
        </a:ln>
        <a:effectLst/>
      </c:spPr>
    </c:plotArea>
    <c:legend>
      <c:legendPos val="r"/>
      <c:layout>
        <c:manualLayout>
          <c:xMode val="edge"/>
          <c:yMode val="edge"/>
          <c:x val="0.78381457824379885"/>
          <c:y val="0.26863923367714937"/>
          <c:w val="0.12243524625501108"/>
          <c:h val="0.1487613459558194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700">
          <a:latin typeface="Calibri" panose="020F0502020204030204" pitchFamily="34" charset="0"/>
          <a:cs typeface="Calibri" panose="020F0502020204030204" pitchFamily="34" charset="0"/>
        </a:defRPr>
      </a:pPr>
      <a:endParaRPr lang="ro-RO"/>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sz="1080" b="0" i="0" u="none" strike="noStrike" baseline="0">
                <a:effectLst/>
              </a:rPr>
              <a:t>GDP growth </a:t>
            </a:r>
            <a:r>
              <a:rPr lang="ro-RO" sz="1080" b="0" i="0" u="none" strike="noStrike" baseline="0">
                <a:effectLst/>
              </a:rPr>
              <a:t>in the </a:t>
            </a:r>
            <a:r>
              <a:rPr lang="en-US"/>
              <a:t>Romanian eligible area</a:t>
            </a:r>
          </a:p>
        </c:rich>
      </c:tx>
      <c:overlay val="0"/>
      <c:spPr>
        <a:noFill/>
        <a:ln>
          <a:noFill/>
        </a:ln>
        <a:effectLst/>
      </c:spPr>
    </c:title>
    <c:autoTitleDeleted val="0"/>
    <c:plotArea>
      <c:layout>
        <c:manualLayout>
          <c:layoutTarget val="inner"/>
          <c:xMode val="edge"/>
          <c:yMode val="edge"/>
          <c:x val="0.15452011205793678"/>
          <c:y val="0.1296929654100272"/>
          <c:w val="0.82975975040076033"/>
          <c:h val="0.66979413717863578"/>
        </c:manualLayout>
      </c:layout>
      <c:lineChart>
        <c:grouping val="standard"/>
        <c:varyColors val="0"/>
        <c:ser>
          <c:idx val="1"/>
          <c:order val="0"/>
          <c:tx>
            <c:strRef>
              <c:f>GDP!$D$32</c:f>
              <c:strCache>
                <c:ptCount val="1"/>
                <c:pt idx="0">
                  <c:v>Bihor</c:v>
                </c:pt>
              </c:strCache>
            </c:strRef>
          </c:tx>
          <c:spPr>
            <a:ln w="28575" cap="rnd">
              <a:solidFill>
                <a:schemeClr val="accent1">
                  <a:shade val="76000"/>
                </a:schemeClr>
              </a:solidFill>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GDP!$F$32:$N$32</c:f>
              <c:numCache>
                <c:formatCode>0.00%</c:formatCode>
                <c:ptCount val="9"/>
                <c:pt idx="0">
                  <c:v>-2.8681278458344561E-3</c:v>
                </c:pt>
                <c:pt idx="1">
                  <c:v>-6.5446932813718384E-2</c:v>
                </c:pt>
                <c:pt idx="2">
                  <c:v>-1.0321306969765298E-2</c:v>
                </c:pt>
                <c:pt idx="3">
                  <c:v>6.8757690543681749E-2</c:v>
                </c:pt>
                <c:pt idx="4">
                  <c:v>9.6501666889152293E-2</c:v>
                </c:pt>
                <c:pt idx="5">
                  <c:v>5.8154780861597422E-2</c:v>
                </c:pt>
                <c:pt idx="6">
                  <c:v>7.3729658925919983E-2</c:v>
                </c:pt>
                <c:pt idx="7">
                  <c:v>0.11456399669303319</c:v>
                </c:pt>
                <c:pt idx="8">
                  <c:v>6.1554989531379389E-2</c:v>
                </c:pt>
              </c:numCache>
            </c:numRef>
          </c:val>
          <c:smooth val="0"/>
          <c:extLst xmlns:c16r2="http://schemas.microsoft.com/office/drawing/2015/06/chart">
            <c:ext xmlns:c16="http://schemas.microsoft.com/office/drawing/2014/chart" uri="{C3380CC4-5D6E-409C-BE32-E72D297353CC}">
              <c16:uniqueId val="{00000000-5908-4B8F-A7E9-BAC718BA574D}"/>
            </c:ext>
          </c:extLst>
        </c:ser>
        <c:ser>
          <c:idx val="2"/>
          <c:order val="1"/>
          <c:tx>
            <c:strRef>
              <c:f>GDP!$D$33</c:f>
              <c:strCache>
                <c:ptCount val="1"/>
                <c:pt idx="0">
                  <c:v>Satu Mare</c:v>
                </c:pt>
              </c:strCache>
            </c:strRef>
          </c:tx>
          <c:spPr>
            <a:ln w="28575" cap="rnd">
              <a:solidFill>
                <a:schemeClr val="accent1"/>
              </a:solidFill>
              <a:prstDash val="sysDot"/>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GDP!$F$33:$N$33</c:f>
              <c:numCache>
                <c:formatCode>0.00%</c:formatCode>
                <c:ptCount val="9"/>
                <c:pt idx="0">
                  <c:v>2.0455980359681547E-3</c:v>
                </c:pt>
                <c:pt idx="1">
                  <c:v>2.9093802719949213E-2</c:v>
                </c:pt>
                <c:pt idx="2">
                  <c:v>1.3462376319360425E-2</c:v>
                </c:pt>
                <c:pt idx="3">
                  <c:v>0.10142276055995758</c:v>
                </c:pt>
                <c:pt idx="4">
                  <c:v>3.0290653420852021E-2</c:v>
                </c:pt>
                <c:pt idx="5">
                  <c:v>6.1992017645138286E-2</c:v>
                </c:pt>
                <c:pt idx="6">
                  <c:v>6.8421805104940114E-2</c:v>
                </c:pt>
                <c:pt idx="7">
                  <c:v>0.14770555506375338</c:v>
                </c:pt>
                <c:pt idx="8">
                  <c:v>2.3268246541708448E-2</c:v>
                </c:pt>
              </c:numCache>
            </c:numRef>
          </c:val>
          <c:smooth val="0"/>
          <c:extLst xmlns:c16r2="http://schemas.microsoft.com/office/drawing/2015/06/chart">
            <c:ext xmlns:c16="http://schemas.microsoft.com/office/drawing/2014/chart" uri="{C3380CC4-5D6E-409C-BE32-E72D297353CC}">
              <c16:uniqueId val="{00000001-5908-4B8F-A7E9-BAC718BA574D}"/>
            </c:ext>
          </c:extLst>
        </c:ser>
        <c:ser>
          <c:idx val="3"/>
          <c:order val="2"/>
          <c:tx>
            <c:strRef>
              <c:f>GDP!$D$34</c:f>
              <c:strCache>
                <c:ptCount val="1"/>
                <c:pt idx="0">
                  <c:v>Arad</c:v>
                </c:pt>
              </c:strCache>
            </c:strRef>
          </c:tx>
          <c:spPr>
            <a:ln w="28575" cap="rnd">
              <a:solidFill>
                <a:schemeClr val="accent3">
                  <a:lumMod val="60000"/>
                  <a:lumOff val="40000"/>
                </a:schemeClr>
              </a:solidFill>
              <a:prstDash val="sysDash"/>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GDP!$F$34:$N$34</c:f>
              <c:numCache>
                <c:formatCode>0.00%</c:formatCode>
                <c:ptCount val="9"/>
                <c:pt idx="0">
                  <c:v>1.5871009570217254E-2</c:v>
                </c:pt>
                <c:pt idx="1">
                  <c:v>6.0808258105208957E-2</c:v>
                </c:pt>
                <c:pt idx="2">
                  <c:v>-3.9936818755962333E-3</c:v>
                </c:pt>
                <c:pt idx="3">
                  <c:v>6.85699830900246E-2</c:v>
                </c:pt>
                <c:pt idx="4">
                  <c:v>1.0767187955099899E-2</c:v>
                </c:pt>
                <c:pt idx="5">
                  <c:v>0.10598704535987591</c:v>
                </c:pt>
                <c:pt idx="6">
                  <c:v>7.810213746790251E-2</c:v>
                </c:pt>
                <c:pt idx="7">
                  <c:v>0.10821349757290633</c:v>
                </c:pt>
                <c:pt idx="8">
                  <c:v>3.6070561355755704E-2</c:v>
                </c:pt>
              </c:numCache>
            </c:numRef>
          </c:val>
          <c:smooth val="0"/>
          <c:extLst xmlns:c16r2="http://schemas.microsoft.com/office/drawing/2015/06/chart">
            <c:ext xmlns:c16="http://schemas.microsoft.com/office/drawing/2014/chart" uri="{C3380CC4-5D6E-409C-BE32-E72D297353CC}">
              <c16:uniqueId val="{00000002-5908-4B8F-A7E9-BAC718BA574D}"/>
            </c:ext>
          </c:extLst>
        </c:ser>
        <c:ser>
          <c:idx val="4"/>
          <c:order val="3"/>
          <c:tx>
            <c:strRef>
              <c:f>GDP!$D$35</c:f>
              <c:strCache>
                <c:ptCount val="1"/>
                <c:pt idx="0">
                  <c:v>Timis</c:v>
                </c:pt>
              </c:strCache>
            </c:strRef>
          </c:tx>
          <c:spPr>
            <a:ln w="28575" cap="rnd">
              <a:solidFill>
                <a:schemeClr val="accent3"/>
              </a:solidFill>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GDP!$F$35:$N$35</c:f>
              <c:numCache>
                <c:formatCode>0.00%</c:formatCode>
                <c:ptCount val="9"/>
                <c:pt idx="0">
                  <c:v>7.6778425806348194E-2</c:v>
                </c:pt>
                <c:pt idx="1">
                  <c:v>4.6646648447251415E-2</c:v>
                </c:pt>
                <c:pt idx="2">
                  <c:v>-6.7093202478465286E-2</c:v>
                </c:pt>
                <c:pt idx="3">
                  <c:v>0.10273832701779351</c:v>
                </c:pt>
                <c:pt idx="4">
                  <c:v>5.2783673059175751E-3</c:v>
                </c:pt>
                <c:pt idx="5">
                  <c:v>0.12641569472834324</c:v>
                </c:pt>
                <c:pt idx="6">
                  <c:v>7.9230468378795216E-2</c:v>
                </c:pt>
                <c:pt idx="7">
                  <c:v>4.4691543983304438E-2</c:v>
                </c:pt>
                <c:pt idx="8">
                  <c:v>0.15119709447664698</c:v>
                </c:pt>
              </c:numCache>
            </c:numRef>
          </c:val>
          <c:smooth val="0"/>
          <c:extLst xmlns:c16r2="http://schemas.microsoft.com/office/drawing/2015/06/chart">
            <c:ext xmlns:c16="http://schemas.microsoft.com/office/drawing/2014/chart" uri="{C3380CC4-5D6E-409C-BE32-E72D297353CC}">
              <c16:uniqueId val="{00000003-5908-4B8F-A7E9-BAC718BA574D}"/>
            </c:ext>
          </c:extLst>
        </c:ser>
        <c:dLbls>
          <c:showLegendKey val="0"/>
          <c:showVal val="0"/>
          <c:showCatName val="0"/>
          <c:showSerName val="0"/>
          <c:showPercent val="0"/>
          <c:showBubbleSize val="0"/>
        </c:dLbls>
        <c:smooth val="0"/>
        <c:axId val="708801656"/>
        <c:axId val="708804400"/>
      </c:lineChart>
      <c:catAx>
        <c:axId val="708801656"/>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8804400"/>
        <c:crosses val="autoZero"/>
        <c:auto val="1"/>
        <c:lblAlgn val="ctr"/>
        <c:lblOffset val="100"/>
        <c:tickLblSkip val="1"/>
        <c:noMultiLvlLbl val="0"/>
      </c:catAx>
      <c:valAx>
        <c:axId val="708804400"/>
        <c:scaling>
          <c:orientation val="minMax"/>
          <c:max val="0.17"/>
          <c:min val="-8.0000000000000016E-2"/>
        </c:scaling>
        <c:delete val="0"/>
        <c:axPos val="l"/>
        <c:majorGridlines>
          <c:spPr>
            <a:ln w="9525" cap="flat" cmpd="sng" algn="ctr">
              <a:no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8801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900">
          <a:latin typeface="Calibri" panose="020F0502020204030204" pitchFamily="34" charset="0"/>
          <a:cs typeface="Calibri" panose="020F0502020204030204" pitchFamily="34" charset="0"/>
        </a:defRPr>
      </a:pPr>
      <a:endParaRPr lang="ro-RO"/>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sz="1080" b="0" i="0" u="none" strike="noStrike" baseline="0">
                <a:effectLst/>
              </a:rPr>
              <a:t>GDP growth </a:t>
            </a:r>
            <a:r>
              <a:rPr lang="ro-RO" sz="1080" b="0" i="0" u="none" strike="noStrike" baseline="0">
                <a:effectLst/>
              </a:rPr>
              <a:t>in the </a:t>
            </a:r>
            <a:r>
              <a:rPr lang="en-US"/>
              <a:t>Hungarian eligible area</a:t>
            </a:r>
          </a:p>
        </c:rich>
      </c:tx>
      <c:overlay val="0"/>
      <c:spPr>
        <a:noFill/>
        <a:ln>
          <a:noFill/>
        </a:ln>
        <a:effectLst/>
      </c:spPr>
    </c:title>
    <c:autoTitleDeleted val="0"/>
    <c:plotArea>
      <c:layout>
        <c:manualLayout>
          <c:layoutTarget val="inner"/>
          <c:xMode val="edge"/>
          <c:yMode val="edge"/>
          <c:x val="0.18771243309385338"/>
          <c:y val="0.13357947920715116"/>
          <c:w val="0.76288267133013044"/>
          <c:h val="0.62704248541027208"/>
        </c:manualLayout>
      </c:layout>
      <c:lineChart>
        <c:grouping val="standard"/>
        <c:varyColors val="0"/>
        <c:ser>
          <c:idx val="1"/>
          <c:order val="0"/>
          <c:tx>
            <c:strRef>
              <c:f>GDP!$D$53</c:f>
              <c:strCache>
                <c:ptCount val="1"/>
                <c:pt idx="0">
                  <c:v>Hajdú-Bihar </c:v>
                </c:pt>
              </c:strCache>
            </c:strRef>
          </c:tx>
          <c:spPr>
            <a:ln w="28575" cap="rnd">
              <a:solidFill>
                <a:schemeClr val="accent6">
                  <a:lumMod val="75000"/>
                </a:schemeClr>
              </a:solidFill>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GDP!$F$53:$N$53</c:f>
              <c:numCache>
                <c:formatCode>0.00%</c:formatCode>
                <c:ptCount val="9"/>
                <c:pt idx="0">
                  <c:v>7.1231482225615483E-2</c:v>
                </c:pt>
                <c:pt idx="1">
                  <c:v>3.2109632889866901E-2</c:v>
                </c:pt>
                <c:pt idx="2">
                  <c:v>-1.2575111455708332E-2</c:v>
                </c:pt>
                <c:pt idx="3">
                  <c:v>-1.9311461732878676E-2</c:v>
                </c:pt>
                <c:pt idx="4">
                  <c:v>4.2035730370815205E-2</c:v>
                </c:pt>
                <c:pt idx="5">
                  <c:v>4.5022331076213895E-2</c:v>
                </c:pt>
                <c:pt idx="6">
                  <c:v>-7.352772224902937E-3</c:v>
                </c:pt>
                <c:pt idx="7">
                  <c:v>0.13006643364736914</c:v>
                </c:pt>
                <c:pt idx="8">
                  <c:v>6.5464973371569091E-2</c:v>
                </c:pt>
              </c:numCache>
            </c:numRef>
          </c:val>
          <c:smooth val="0"/>
          <c:extLst xmlns:c16r2="http://schemas.microsoft.com/office/drawing/2015/06/chart">
            <c:ext xmlns:c16="http://schemas.microsoft.com/office/drawing/2014/chart" uri="{C3380CC4-5D6E-409C-BE32-E72D297353CC}">
              <c16:uniqueId val="{00000000-2F25-4806-833D-B1E6B93D2C99}"/>
            </c:ext>
          </c:extLst>
        </c:ser>
        <c:ser>
          <c:idx val="2"/>
          <c:order val="1"/>
          <c:tx>
            <c:strRef>
              <c:f>GDP!$D$54</c:f>
              <c:strCache>
                <c:ptCount val="1"/>
                <c:pt idx="0">
                  <c:v>Sz-Sz-Bereg </c:v>
                </c:pt>
              </c:strCache>
            </c:strRef>
          </c:tx>
          <c:spPr>
            <a:ln w="28575" cap="rnd">
              <a:solidFill>
                <a:schemeClr val="accent3"/>
              </a:solidFill>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GDP!$F$54:$N$54</c:f>
              <c:numCache>
                <c:formatCode>0.00%</c:formatCode>
                <c:ptCount val="9"/>
                <c:pt idx="0">
                  <c:v>7.1625541668158821E-2</c:v>
                </c:pt>
                <c:pt idx="1">
                  <c:v>4.3912709287170282E-2</c:v>
                </c:pt>
                <c:pt idx="2">
                  <c:v>1.005218170759048E-2</c:v>
                </c:pt>
                <c:pt idx="3">
                  <c:v>2.3771037368070846E-2</c:v>
                </c:pt>
                <c:pt idx="4">
                  <c:v>5.3868301290981746E-2</c:v>
                </c:pt>
                <c:pt idx="5">
                  <c:v>5.396433712288129E-2</c:v>
                </c:pt>
                <c:pt idx="6">
                  <c:v>3.4561569764200994E-2</c:v>
                </c:pt>
                <c:pt idx="7">
                  <c:v>7.7428740772670812E-2</c:v>
                </c:pt>
                <c:pt idx="8">
                  <c:v>7.4814962992598488E-2</c:v>
                </c:pt>
              </c:numCache>
            </c:numRef>
          </c:val>
          <c:smooth val="0"/>
          <c:extLst xmlns:c16r2="http://schemas.microsoft.com/office/drawing/2015/06/chart">
            <c:ext xmlns:c16="http://schemas.microsoft.com/office/drawing/2014/chart" uri="{C3380CC4-5D6E-409C-BE32-E72D297353CC}">
              <c16:uniqueId val="{00000001-2F25-4806-833D-B1E6B93D2C99}"/>
            </c:ext>
          </c:extLst>
        </c:ser>
        <c:ser>
          <c:idx val="3"/>
          <c:order val="2"/>
          <c:tx>
            <c:strRef>
              <c:f>GDP!$D$55</c:f>
              <c:strCache>
                <c:ptCount val="1"/>
                <c:pt idx="0">
                  <c:v>Békés </c:v>
                </c:pt>
              </c:strCache>
            </c:strRef>
          </c:tx>
          <c:spPr>
            <a:ln w="28575" cap="rnd">
              <a:solidFill>
                <a:schemeClr val="accent6">
                  <a:lumMod val="75000"/>
                </a:schemeClr>
              </a:solidFill>
              <a:prstDash val="dash"/>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GDP!$F$55:$N$55</c:f>
              <c:numCache>
                <c:formatCode>0.00%</c:formatCode>
                <c:ptCount val="9"/>
                <c:pt idx="0">
                  <c:v>5.8934105573337447E-2</c:v>
                </c:pt>
                <c:pt idx="1">
                  <c:v>4.3419853188120694E-2</c:v>
                </c:pt>
                <c:pt idx="2">
                  <c:v>-2.5289681809821607E-2</c:v>
                </c:pt>
                <c:pt idx="3">
                  <c:v>3.3588074346636354E-2</c:v>
                </c:pt>
                <c:pt idx="4">
                  <c:v>1.8256503879507058E-2</c:v>
                </c:pt>
                <c:pt idx="5">
                  <c:v>8.5835948005378748E-2</c:v>
                </c:pt>
                <c:pt idx="6">
                  <c:v>1.7708978328173419E-2</c:v>
                </c:pt>
                <c:pt idx="7">
                  <c:v>6.0842054027743897E-2</c:v>
                </c:pt>
                <c:pt idx="8">
                  <c:v>5.4905559379062385E-2</c:v>
                </c:pt>
              </c:numCache>
            </c:numRef>
          </c:val>
          <c:smooth val="0"/>
          <c:extLst xmlns:c16r2="http://schemas.microsoft.com/office/drawing/2015/06/chart">
            <c:ext xmlns:c16="http://schemas.microsoft.com/office/drawing/2014/chart" uri="{C3380CC4-5D6E-409C-BE32-E72D297353CC}">
              <c16:uniqueId val="{00000002-2F25-4806-833D-B1E6B93D2C99}"/>
            </c:ext>
          </c:extLst>
        </c:ser>
        <c:ser>
          <c:idx val="4"/>
          <c:order val="3"/>
          <c:tx>
            <c:strRef>
              <c:f>GDP!$D$56</c:f>
              <c:strCache>
                <c:ptCount val="1"/>
                <c:pt idx="0">
                  <c:v>Csongrád</c:v>
                </c:pt>
              </c:strCache>
            </c:strRef>
          </c:tx>
          <c:spPr>
            <a:ln w="28575" cap="rnd">
              <a:solidFill>
                <a:schemeClr val="accent3"/>
              </a:solidFill>
              <a:prstDash val="sysDot"/>
              <a:round/>
            </a:ln>
            <a:effectLst/>
          </c:spPr>
          <c:marker>
            <c:symbol val="none"/>
          </c:marker>
          <c:cat>
            <c:numRef>
              <c:f>GDP!$F$3:$N$3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GDP!$F$56:$N$56</c:f>
              <c:numCache>
                <c:formatCode>0.00%</c:formatCode>
                <c:ptCount val="9"/>
                <c:pt idx="0">
                  <c:v>3.0766143865164075E-2</c:v>
                </c:pt>
                <c:pt idx="1">
                  <c:v>1.5605229860818248E-2</c:v>
                </c:pt>
                <c:pt idx="2">
                  <c:v>-5.8458982877588328E-3</c:v>
                </c:pt>
                <c:pt idx="3">
                  <c:v>7.808232383278213E-3</c:v>
                </c:pt>
                <c:pt idx="4">
                  <c:v>6.1918122688432442E-2</c:v>
                </c:pt>
                <c:pt idx="5">
                  <c:v>4.3895994715666964E-2</c:v>
                </c:pt>
                <c:pt idx="6">
                  <c:v>8.1109065807638547E-3</c:v>
                </c:pt>
                <c:pt idx="7">
                  <c:v>8.6134094151212537E-2</c:v>
                </c:pt>
                <c:pt idx="8">
                  <c:v>5.6345057658462316E-2</c:v>
                </c:pt>
              </c:numCache>
            </c:numRef>
          </c:val>
          <c:smooth val="0"/>
          <c:extLst xmlns:c16r2="http://schemas.microsoft.com/office/drawing/2015/06/chart">
            <c:ext xmlns:c16="http://schemas.microsoft.com/office/drawing/2014/chart" uri="{C3380CC4-5D6E-409C-BE32-E72D297353CC}">
              <c16:uniqueId val="{00000003-2F25-4806-833D-B1E6B93D2C99}"/>
            </c:ext>
          </c:extLst>
        </c:ser>
        <c:dLbls>
          <c:showLegendKey val="0"/>
          <c:showVal val="0"/>
          <c:showCatName val="0"/>
          <c:showSerName val="0"/>
          <c:showPercent val="0"/>
          <c:showBubbleSize val="0"/>
        </c:dLbls>
        <c:smooth val="0"/>
        <c:axId val="709507472"/>
        <c:axId val="709505904"/>
      </c:lineChart>
      <c:catAx>
        <c:axId val="709507472"/>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05904"/>
        <c:crosses val="autoZero"/>
        <c:auto val="1"/>
        <c:lblAlgn val="ctr"/>
        <c:lblOffset val="100"/>
        <c:tickLblSkip val="1"/>
        <c:noMultiLvlLbl val="0"/>
      </c:catAx>
      <c:valAx>
        <c:axId val="709505904"/>
        <c:scaling>
          <c:orientation val="minMax"/>
          <c:max val="0.17"/>
          <c:min val="-8.0000000000000016E-2"/>
        </c:scaling>
        <c:delete val="0"/>
        <c:axPos val="l"/>
        <c:majorGridlines>
          <c:spPr>
            <a:ln w="9525" cap="flat" cmpd="sng" algn="ctr">
              <a:no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07472"/>
        <c:crosses val="autoZero"/>
        <c:crossBetween val="between"/>
      </c:valAx>
      <c:spPr>
        <a:noFill/>
        <a:ln>
          <a:noFill/>
        </a:ln>
        <a:effectLst/>
      </c:spPr>
    </c:plotArea>
    <c:legend>
      <c:legendPos val="b"/>
      <c:layout>
        <c:manualLayout>
          <c:xMode val="edge"/>
          <c:yMode val="edge"/>
          <c:x val="1.8089901349351321E-2"/>
          <c:y val="0.86719874162639887"/>
          <c:w val="0.97369798548735798"/>
          <c:h val="0.13047914288599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900">
          <a:latin typeface="Calibri" panose="020F0502020204030204" pitchFamily="34" charset="0"/>
          <a:cs typeface="Calibri" panose="020F0502020204030204" pitchFamily="34" charset="0"/>
        </a:defRPr>
      </a:pPr>
      <a:endParaRPr lang="ro-RO"/>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ro-RO" sz="1000"/>
              <a:t>Dynamic of GDP distribution along sectors (%, 2009-2017)</a:t>
            </a:r>
            <a:endParaRPr lang="en-GB"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autoTitleDeleted val="0"/>
    <c:plotArea>
      <c:layout>
        <c:manualLayout>
          <c:layoutTarget val="inner"/>
          <c:xMode val="edge"/>
          <c:yMode val="edge"/>
          <c:x val="0.12634571726264135"/>
          <c:y val="0.20195543428831286"/>
          <c:w val="0.83096898976102962"/>
          <c:h val="0.58941179419421141"/>
        </c:manualLayout>
      </c:layout>
      <c:barChart>
        <c:barDir val="col"/>
        <c:grouping val="clustered"/>
        <c:varyColors val="0"/>
        <c:ser>
          <c:idx val="0"/>
          <c:order val="0"/>
          <c:tx>
            <c:strRef>
              <c:f>Sheet1!$K$2</c:f>
              <c:strCache>
                <c:ptCount val="1"/>
                <c:pt idx="0">
                  <c:v>A – Agri-culture</c:v>
                </c:pt>
              </c:strCache>
            </c:strRef>
          </c:tx>
          <c:spPr>
            <a:solidFill>
              <a:schemeClr val="accent1"/>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Sheet1!$K$3:$K$10</c:f>
              <c:numCache>
                <c:formatCode>0.00%</c:formatCode>
                <c:ptCount val="8"/>
                <c:pt idx="0">
                  <c:v>3.1E-2</c:v>
                </c:pt>
                <c:pt idx="1">
                  <c:v>3.599999999999999E-2</c:v>
                </c:pt>
                <c:pt idx="2">
                  <c:v>3.9000000000000007E-2</c:v>
                </c:pt>
                <c:pt idx="3">
                  <c:v>2.2000000000000006E-2</c:v>
                </c:pt>
                <c:pt idx="4">
                  <c:v>-0.03</c:v>
                </c:pt>
                <c:pt idx="5">
                  <c:v>-6.0000000000000053E-3</c:v>
                </c:pt>
                <c:pt idx="6">
                  <c:v>-6.0000000000000053E-3</c:v>
                </c:pt>
                <c:pt idx="7">
                  <c:v>-1.0000000000000002E-2</c:v>
                </c:pt>
              </c:numCache>
            </c:numRef>
          </c:val>
          <c:extLst xmlns:c16r2="http://schemas.microsoft.com/office/drawing/2015/06/chart">
            <c:ext xmlns:c16="http://schemas.microsoft.com/office/drawing/2014/chart" uri="{C3380CC4-5D6E-409C-BE32-E72D297353CC}">
              <c16:uniqueId val="{00000000-18DC-4BA4-A91B-B1E76C7ED85E}"/>
            </c:ext>
          </c:extLst>
        </c:ser>
        <c:ser>
          <c:idx val="1"/>
          <c:order val="1"/>
          <c:tx>
            <c:strRef>
              <c:f>Sheet1!$L$2</c:f>
              <c:strCache>
                <c:ptCount val="1"/>
                <c:pt idx="0">
                  <c:v>B-E Industry</c:v>
                </c:pt>
              </c:strCache>
            </c:strRef>
          </c:tx>
          <c:spPr>
            <a:solidFill>
              <a:schemeClr val="accent2"/>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Sheet1!$L$3:$L$10</c:f>
              <c:numCache>
                <c:formatCode>0.00%</c:formatCode>
                <c:ptCount val="8"/>
                <c:pt idx="0">
                  <c:v>-8.0000000000000071E-3</c:v>
                </c:pt>
                <c:pt idx="1">
                  <c:v>3.1E-2</c:v>
                </c:pt>
                <c:pt idx="2">
                  <c:v>2.8999999999999998E-2</c:v>
                </c:pt>
                <c:pt idx="3">
                  <c:v>-3.6000000000000004E-2</c:v>
                </c:pt>
                <c:pt idx="4">
                  <c:v>1.100000000000001E-2</c:v>
                </c:pt>
                <c:pt idx="5">
                  <c:v>-8.0000000000000071E-3</c:v>
                </c:pt>
                <c:pt idx="6">
                  <c:v>2.0000000000000018E-2</c:v>
                </c:pt>
                <c:pt idx="7">
                  <c:v>-2.3999999999999966E-2</c:v>
                </c:pt>
              </c:numCache>
            </c:numRef>
          </c:val>
          <c:extLst xmlns:c16r2="http://schemas.microsoft.com/office/drawing/2015/06/chart">
            <c:ext xmlns:c16="http://schemas.microsoft.com/office/drawing/2014/chart" uri="{C3380CC4-5D6E-409C-BE32-E72D297353CC}">
              <c16:uniqueId val="{00000001-18DC-4BA4-A91B-B1E76C7ED85E}"/>
            </c:ext>
          </c:extLst>
        </c:ser>
        <c:ser>
          <c:idx val="2"/>
          <c:order val="2"/>
          <c:tx>
            <c:strRef>
              <c:f>Sheet1!$M$2</c:f>
              <c:strCache>
                <c:ptCount val="1"/>
                <c:pt idx="0">
                  <c:v>F – Construc-tion</c:v>
                </c:pt>
              </c:strCache>
            </c:strRef>
          </c:tx>
          <c:spPr>
            <a:solidFill>
              <a:schemeClr val="accent3"/>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Sheet1!$M$3:$M$10</c:f>
              <c:numCache>
                <c:formatCode>0.00%</c:formatCode>
                <c:ptCount val="8"/>
                <c:pt idx="0">
                  <c:v>-2.0000000000000018E-3</c:v>
                </c:pt>
                <c:pt idx="1">
                  <c:v>-8.0000000000000002E-3</c:v>
                </c:pt>
                <c:pt idx="2">
                  <c:v>-8.0000000000000002E-3</c:v>
                </c:pt>
                <c:pt idx="3">
                  <c:v>-4.9999999999999975E-3</c:v>
                </c:pt>
                <c:pt idx="4">
                  <c:v>-6.2E-2</c:v>
                </c:pt>
                <c:pt idx="5">
                  <c:v>-2.6999999999999996E-2</c:v>
                </c:pt>
                <c:pt idx="6">
                  <c:v>-4.1000000000000002E-2</c:v>
                </c:pt>
                <c:pt idx="7">
                  <c:v>-5.5999999999999994E-2</c:v>
                </c:pt>
              </c:numCache>
            </c:numRef>
          </c:val>
          <c:extLst xmlns:c16r2="http://schemas.microsoft.com/office/drawing/2015/06/chart">
            <c:ext xmlns:c16="http://schemas.microsoft.com/office/drawing/2014/chart" uri="{C3380CC4-5D6E-409C-BE32-E72D297353CC}">
              <c16:uniqueId val="{00000002-18DC-4BA4-A91B-B1E76C7ED85E}"/>
            </c:ext>
          </c:extLst>
        </c:ser>
        <c:ser>
          <c:idx val="3"/>
          <c:order val="3"/>
          <c:tx>
            <c:strRef>
              <c:f>Sheet1!$N$2</c:f>
              <c:strCache>
                <c:ptCount val="1"/>
                <c:pt idx="0">
                  <c:v>G-I – Trade, HoReCa</c:v>
                </c:pt>
              </c:strCache>
            </c:strRef>
          </c:tx>
          <c:spPr>
            <a:solidFill>
              <a:schemeClr val="accent4"/>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Sheet1!$N$3:$N$10</c:f>
              <c:numCache>
                <c:formatCode>0.00%</c:formatCode>
                <c:ptCount val="8"/>
                <c:pt idx="0">
                  <c:v>-9.9999999999999811E-3</c:v>
                </c:pt>
                <c:pt idx="1">
                  <c:v>-1.6999999999999987E-2</c:v>
                </c:pt>
                <c:pt idx="2">
                  <c:v>-3.1E-2</c:v>
                </c:pt>
                <c:pt idx="3">
                  <c:v>7.9999999999999793E-3</c:v>
                </c:pt>
                <c:pt idx="4">
                  <c:v>8.0000000000000071E-3</c:v>
                </c:pt>
                <c:pt idx="5">
                  <c:v>1.6999999999999987E-2</c:v>
                </c:pt>
                <c:pt idx="6">
                  <c:v>4.0000000000000036E-3</c:v>
                </c:pt>
                <c:pt idx="7">
                  <c:v>1.2000000000000011E-2</c:v>
                </c:pt>
              </c:numCache>
            </c:numRef>
          </c:val>
          <c:extLst xmlns:c16r2="http://schemas.microsoft.com/office/drawing/2015/06/chart">
            <c:ext xmlns:c16="http://schemas.microsoft.com/office/drawing/2014/chart" uri="{C3380CC4-5D6E-409C-BE32-E72D297353CC}">
              <c16:uniqueId val="{00000003-18DC-4BA4-A91B-B1E76C7ED85E}"/>
            </c:ext>
          </c:extLst>
        </c:ser>
        <c:ser>
          <c:idx val="4"/>
          <c:order val="4"/>
          <c:tx>
            <c:strRef>
              <c:f>Sheet1!$O$2</c:f>
              <c:strCache>
                <c:ptCount val="1"/>
                <c:pt idx="0">
                  <c:v>J-K – ICT, Finance</c:v>
                </c:pt>
              </c:strCache>
            </c:strRef>
          </c:tx>
          <c:spPr>
            <a:solidFill>
              <a:schemeClr val="accent5"/>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Sheet1!$O$3:$O$10</c:f>
              <c:numCache>
                <c:formatCode>0.00%</c:formatCode>
                <c:ptCount val="8"/>
                <c:pt idx="0">
                  <c:v>-1.999999999999999E-2</c:v>
                </c:pt>
                <c:pt idx="1">
                  <c:v>-2.1999999999999992E-2</c:v>
                </c:pt>
                <c:pt idx="2">
                  <c:v>-2.4999999999999994E-2</c:v>
                </c:pt>
                <c:pt idx="3">
                  <c:v>-1.3999999999999985E-2</c:v>
                </c:pt>
                <c:pt idx="4">
                  <c:v>4.9999999999999906E-3</c:v>
                </c:pt>
                <c:pt idx="5">
                  <c:v>-2.6000000000000009E-2</c:v>
                </c:pt>
                <c:pt idx="6">
                  <c:v>-2.5999999999999981E-2</c:v>
                </c:pt>
                <c:pt idx="7">
                  <c:v>5.0000000000000044E-3</c:v>
                </c:pt>
              </c:numCache>
            </c:numRef>
          </c:val>
          <c:extLst xmlns:c16r2="http://schemas.microsoft.com/office/drawing/2015/06/chart">
            <c:ext xmlns:c16="http://schemas.microsoft.com/office/drawing/2014/chart" uri="{C3380CC4-5D6E-409C-BE32-E72D297353CC}">
              <c16:uniqueId val="{00000004-18DC-4BA4-A91B-B1E76C7ED85E}"/>
            </c:ext>
          </c:extLst>
        </c:ser>
        <c:ser>
          <c:idx val="5"/>
          <c:order val="5"/>
          <c:tx>
            <c:strRef>
              <c:f>Sheet1!$P$2</c:f>
              <c:strCache>
                <c:ptCount val="1"/>
                <c:pt idx="0">
                  <c:v>L-N – Other Service</c:v>
                </c:pt>
              </c:strCache>
            </c:strRef>
          </c:tx>
          <c:spPr>
            <a:solidFill>
              <a:schemeClr val="accent6"/>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Sheet1!$P$3:$P$10</c:f>
              <c:numCache>
                <c:formatCode>0.00%</c:formatCode>
                <c:ptCount val="8"/>
                <c:pt idx="0">
                  <c:v>-5.9999999999999915E-3</c:v>
                </c:pt>
                <c:pt idx="1">
                  <c:v>-5.9999999999999984E-3</c:v>
                </c:pt>
                <c:pt idx="2">
                  <c:v>-9.0000000000000011E-3</c:v>
                </c:pt>
                <c:pt idx="3">
                  <c:v>1.0000000000000009E-2</c:v>
                </c:pt>
                <c:pt idx="4">
                  <c:v>1.9E-2</c:v>
                </c:pt>
                <c:pt idx="5">
                  <c:v>1.3999999999999999E-2</c:v>
                </c:pt>
                <c:pt idx="6">
                  <c:v>2.5000000000000001E-2</c:v>
                </c:pt>
                <c:pt idx="7">
                  <c:v>3.6000000000000004E-2</c:v>
                </c:pt>
              </c:numCache>
            </c:numRef>
          </c:val>
          <c:extLst xmlns:c16r2="http://schemas.microsoft.com/office/drawing/2015/06/chart">
            <c:ext xmlns:c16="http://schemas.microsoft.com/office/drawing/2014/chart" uri="{C3380CC4-5D6E-409C-BE32-E72D297353CC}">
              <c16:uniqueId val="{00000005-18DC-4BA4-A91B-B1E76C7ED85E}"/>
            </c:ext>
          </c:extLst>
        </c:ser>
        <c:ser>
          <c:idx val="6"/>
          <c:order val="6"/>
          <c:tx>
            <c:strRef>
              <c:f>Sheet1!$Q$2</c:f>
              <c:strCache>
                <c:ptCount val="1"/>
                <c:pt idx="0">
                  <c:v>O-Q – Public Service</c:v>
                </c:pt>
              </c:strCache>
            </c:strRef>
          </c:tx>
          <c:spPr>
            <a:solidFill>
              <a:schemeClr val="accent1">
                <a:lumMod val="60000"/>
              </a:schemeClr>
            </a:solidFill>
            <a:ln>
              <a:noFill/>
            </a:ln>
            <a:effectLst/>
          </c:spPr>
          <c:invertIfNegative val="0"/>
          <c:cat>
            <c:strRef>
              <c:f>Sheet1!$J$3:$J$10</c:f>
              <c:strCache>
                <c:ptCount val="8"/>
                <c:pt idx="0">
                  <c:v>Hajdú-Bihar</c:v>
                </c:pt>
                <c:pt idx="1">
                  <c:v>Szabolcs-Szatmár-Bereg</c:v>
                </c:pt>
                <c:pt idx="2">
                  <c:v>Békés</c:v>
                </c:pt>
                <c:pt idx="3">
                  <c:v>Csongrád-Csanád</c:v>
                </c:pt>
                <c:pt idx="4">
                  <c:v>Bihor</c:v>
                </c:pt>
                <c:pt idx="5">
                  <c:v>Satu Mare</c:v>
                </c:pt>
                <c:pt idx="6">
                  <c:v>Arad</c:v>
                </c:pt>
                <c:pt idx="7">
                  <c:v>Timiș</c:v>
                </c:pt>
              </c:strCache>
            </c:strRef>
          </c:cat>
          <c:val>
            <c:numRef>
              <c:f>Sheet1!$Q$3:$Q$10</c:f>
              <c:numCache>
                <c:formatCode>0.00%</c:formatCode>
                <c:ptCount val="8"/>
                <c:pt idx="0">
                  <c:v>1.5000000000000013E-2</c:v>
                </c:pt>
                <c:pt idx="1">
                  <c:v>-1.3999999999999957E-2</c:v>
                </c:pt>
                <c:pt idx="2">
                  <c:v>6.0000000000000053E-3</c:v>
                </c:pt>
                <c:pt idx="3">
                  <c:v>1.3999999999999985E-2</c:v>
                </c:pt>
                <c:pt idx="4">
                  <c:v>5.099999999999999E-2</c:v>
                </c:pt>
                <c:pt idx="5">
                  <c:v>3.6000000000000004E-2</c:v>
                </c:pt>
                <c:pt idx="6">
                  <c:v>2.4000000000000007E-2</c:v>
                </c:pt>
                <c:pt idx="7">
                  <c:v>3.7999999999999992E-2</c:v>
                </c:pt>
              </c:numCache>
            </c:numRef>
          </c:val>
          <c:extLst xmlns:c16r2="http://schemas.microsoft.com/office/drawing/2015/06/chart">
            <c:ext xmlns:c16="http://schemas.microsoft.com/office/drawing/2014/chart" uri="{C3380CC4-5D6E-409C-BE32-E72D297353CC}">
              <c16:uniqueId val="{00000006-18DC-4BA4-A91B-B1E76C7ED85E}"/>
            </c:ext>
          </c:extLst>
        </c:ser>
        <c:dLbls>
          <c:showLegendKey val="0"/>
          <c:showVal val="0"/>
          <c:showCatName val="0"/>
          <c:showSerName val="0"/>
          <c:showPercent val="0"/>
          <c:showBubbleSize val="0"/>
        </c:dLbls>
        <c:gapWidth val="219"/>
        <c:overlap val="-27"/>
        <c:axId val="709509824"/>
        <c:axId val="709511784"/>
      </c:barChart>
      <c:catAx>
        <c:axId val="70950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11784"/>
        <c:crosses val="autoZero"/>
        <c:auto val="1"/>
        <c:lblAlgn val="ctr"/>
        <c:lblOffset val="100"/>
        <c:noMultiLvlLbl val="0"/>
      </c:catAx>
      <c:valAx>
        <c:axId val="709511784"/>
        <c:scaling>
          <c:orientation val="minMax"/>
          <c:min val="-6.0000000000000012E-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09824"/>
        <c:crosses val="autoZero"/>
        <c:crossBetween val="between"/>
      </c:valAx>
      <c:spPr>
        <a:noFill/>
        <a:ln>
          <a:noFill/>
        </a:ln>
        <a:effectLst/>
      </c:spPr>
    </c:plotArea>
    <c:legend>
      <c:legendPos val="b"/>
      <c:layout>
        <c:manualLayout>
          <c:xMode val="edge"/>
          <c:yMode val="edge"/>
          <c:x val="2.1252203777205377E-2"/>
          <c:y val="0.84593748769125554"/>
          <c:w val="0.95361480571622381"/>
          <c:h val="0.126777382704378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sz="700">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158183182470107E-2"/>
          <c:y val="4.6631671041119857E-3"/>
          <c:w val="0.93073042233357217"/>
          <c:h val="0.77053686471009319"/>
        </c:manualLayout>
      </c:layout>
      <c:barChart>
        <c:barDir val="col"/>
        <c:grouping val="clustered"/>
        <c:varyColors val="0"/>
        <c:ser>
          <c:idx val="0"/>
          <c:order val="0"/>
          <c:tx>
            <c:strRef>
              <c:f>'agri labour'!$D$23</c:f>
              <c:strCache>
                <c:ptCount val="1"/>
                <c:pt idx="0">
                  <c:v>2009</c:v>
                </c:pt>
              </c:strCache>
            </c:strRef>
          </c:tx>
          <c:spPr>
            <a:solidFill>
              <a:schemeClr val="accent3">
                <a:lumMod val="20000"/>
                <a:lumOff val="80000"/>
              </a:schemeClr>
            </a:solidFill>
            <a:ln>
              <a:noFill/>
            </a:ln>
            <a:effectLst/>
          </c:spPr>
          <c:invertIfNegative val="0"/>
          <c:dPt>
            <c:idx val="0"/>
            <c:invertIfNegative val="0"/>
            <c:bubble3D val="0"/>
            <c:spPr>
              <a:solidFill>
                <a:schemeClr val="accent3">
                  <a:lumMod val="20000"/>
                  <a:lumOff val="80000"/>
                </a:schemeClr>
              </a:solidFill>
              <a:ln>
                <a:noFill/>
              </a:ln>
              <a:effectLst/>
            </c:spPr>
            <c:extLst xmlns:c16r2="http://schemas.microsoft.com/office/drawing/2015/06/chart">
              <c:ext xmlns:c16="http://schemas.microsoft.com/office/drawing/2014/chart" uri="{C3380CC4-5D6E-409C-BE32-E72D297353CC}">
                <c16:uniqueId val="{00000001-E8B4-4B35-B79B-064BFD41B41E}"/>
              </c:ext>
            </c:extLst>
          </c:dPt>
          <c:dPt>
            <c:idx val="1"/>
            <c:invertIfNegative val="0"/>
            <c:bubble3D val="0"/>
            <c:spPr>
              <a:solidFill>
                <a:schemeClr val="accent3">
                  <a:lumMod val="20000"/>
                  <a:lumOff val="80000"/>
                </a:schemeClr>
              </a:solidFill>
              <a:ln>
                <a:noFill/>
              </a:ln>
              <a:effectLst/>
            </c:spPr>
            <c:extLst xmlns:c16r2="http://schemas.microsoft.com/office/drawing/2015/06/chart">
              <c:ext xmlns:c16="http://schemas.microsoft.com/office/drawing/2014/chart" uri="{C3380CC4-5D6E-409C-BE32-E72D297353CC}">
                <c16:uniqueId val="{00000003-E8B4-4B35-B79B-064BFD41B41E}"/>
              </c:ext>
            </c:extLst>
          </c:dPt>
          <c:dPt>
            <c:idx val="2"/>
            <c:invertIfNegative val="0"/>
            <c:bubble3D val="0"/>
            <c:spPr>
              <a:solidFill>
                <a:schemeClr val="accent3">
                  <a:lumMod val="20000"/>
                  <a:lumOff val="80000"/>
                </a:schemeClr>
              </a:solidFill>
              <a:ln>
                <a:noFill/>
              </a:ln>
              <a:effectLst/>
            </c:spPr>
            <c:extLst xmlns:c16r2="http://schemas.microsoft.com/office/drawing/2015/06/chart">
              <c:ext xmlns:c16="http://schemas.microsoft.com/office/drawing/2014/chart" uri="{C3380CC4-5D6E-409C-BE32-E72D297353CC}">
                <c16:uniqueId val="{00000005-E8B4-4B35-B79B-064BFD41B41E}"/>
              </c:ext>
            </c:extLst>
          </c:dPt>
          <c:dPt>
            <c:idx val="3"/>
            <c:invertIfNegative val="0"/>
            <c:bubble3D val="0"/>
            <c:spPr>
              <a:solidFill>
                <a:schemeClr val="accent3">
                  <a:lumMod val="20000"/>
                  <a:lumOff val="80000"/>
                </a:schemeClr>
              </a:solidFill>
              <a:ln>
                <a:noFill/>
              </a:ln>
              <a:effectLst/>
            </c:spPr>
            <c:extLst xmlns:c16r2="http://schemas.microsoft.com/office/drawing/2015/06/chart">
              <c:ext xmlns:c16="http://schemas.microsoft.com/office/drawing/2014/chart" uri="{C3380CC4-5D6E-409C-BE32-E72D297353CC}">
                <c16:uniqueId val="{00000007-E8B4-4B35-B79B-064BFD41B41E}"/>
              </c:ext>
            </c:extLst>
          </c:dPt>
          <c:dPt>
            <c:idx val="4"/>
            <c:invertIfNegative val="0"/>
            <c:bubble3D val="0"/>
            <c:spPr>
              <a:solidFill>
                <a:schemeClr val="accent2">
                  <a:lumMod val="40000"/>
                  <a:lumOff val="60000"/>
                </a:schemeClr>
              </a:solidFill>
              <a:ln>
                <a:noFill/>
              </a:ln>
              <a:effectLst/>
            </c:spPr>
            <c:extLst xmlns:c16r2="http://schemas.microsoft.com/office/drawing/2015/06/chart">
              <c:ext xmlns:c16="http://schemas.microsoft.com/office/drawing/2014/chart" uri="{C3380CC4-5D6E-409C-BE32-E72D297353CC}">
                <c16:uniqueId val="{00000009-E8B4-4B35-B79B-064BFD41B41E}"/>
              </c:ext>
            </c:extLst>
          </c:dPt>
          <c:dPt>
            <c:idx val="5"/>
            <c:invertIfNegative val="0"/>
            <c:bubble3D val="0"/>
            <c:spPr>
              <a:solidFill>
                <a:schemeClr val="accent2">
                  <a:lumMod val="40000"/>
                  <a:lumOff val="60000"/>
                </a:schemeClr>
              </a:solidFill>
              <a:ln>
                <a:noFill/>
              </a:ln>
              <a:effectLst/>
            </c:spPr>
            <c:extLst xmlns:c16r2="http://schemas.microsoft.com/office/drawing/2015/06/chart">
              <c:ext xmlns:c16="http://schemas.microsoft.com/office/drawing/2014/chart" uri="{C3380CC4-5D6E-409C-BE32-E72D297353CC}">
                <c16:uniqueId val="{0000000B-E8B4-4B35-B79B-064BFD41B41E}"/>
              </c:ext>
            </c:extLst>
          </c:dPt>
          <c:dPt>
            <c:idx val="6"/>
            <c:invertIfNegative val="0"/>
            <c:bubble3D val="0"/>
            <c:spPr>
              <a:solidFill>
                <a:schemeClr val="accent2">
                  <a:lumMod val="40000"/>
                  <a:lumOff val="60000"/>
                </a:schemeClr>
              </a:solidFill>
              <a:ln>
                <a:noFill/>
              </a:ln>
              <a:effectLst/>
            </c:spPr>
            <c:extLst xmlns:c16r2="http://schemas.microsoft.com/office/drawing/2015/06/chart">
              <c:ext xmlns:c16="http://schemas.microsoft.com/office/drawing/2014/chart" uri="{C3380CC4-5D6E-409C-BE32-E72D297353CC}">
                <c16:uniqueId val="{0000000D-E8B4-4B35-B79B-064BFD41B41E}"/>
              </c:ext>
            </c:extLst>
          </c:dPt>
          <c:dPt>
            <c:idx val="7"/>
            <c:invertIfNegative val="0"/>
            <c:bubble3D val="0"/>
            <c:spPr>
              <a:solidFill>
                <a:schemeClr val="accent2">
                  <a:lumMod val="40000"/>
                  <a:lumOff val="60000"/>
                </a:schemeClr>
              </a:solidFill>
              <a:ln>
                <a:noFill/>
              </a:ln>
              <a:effectLst/>
            </c:spPr>
            <c:extLst xmlns:c16r2="http://schemas.microsoft.com/office/drawing/2015/06/chart">
              <c:ext xmlns:c16="http://schemas.microsoft.com/office/drawing/2014/chart" uri="{C3380CC4-5D6E-409C-BE32-E72D297353CC}">
                <c16:uniqueId val="{0000000F-E8B4-4B35-B79B-064BFD41B41E}"/>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'agri labour'!$B$24:$B$31</c:f>
              <c:strCache>
                <c:ptCount val="8"/>
                <c:pt idx="0">
                  <c:v>Hajdú-Bihar</c:v>
                </c:pt>
                <c:pt idx="1">
                  <c:v>Sz-Sz-Bereg </c:v>
                </c:pt>
                <c:pt idx="2">
                  <c:v>Békés</c:v>
                </c:pt>
                <c:pt idx="3">
                  <c:v>Csongrád</c:v>
                </c:pt>
                <c:pt idx="4">
                  <c:v>Bihor</c:v>
                </c:pt>
                <c:pt idx="5">
                  <c:v>Satu Mare</c:v>
                </c:pt>
                <c:pt idx="6">
                  <c:v>Arad</c:v>
                </c:pt>
                <c:pt idx="7">
                  <c:v>Timis</c:v>
                </c:pt>
              </c:strCache>
            </c:strRef>
          </c:cat>
          <c:val>
            <c:numRef>
              <c:f>'agri labour'!$D$24:$D$31</c:f>
              <c:numCache>
                <c:formatCode>0.00%</c:formatCode>
                <c:ptCount val="8"/>
                <c:pt idx="0">
                  <c:v>6.1504063421241338E-2</c:v>
                </c:pt>
                <c:pt idx="1">
                  <c:v>4.9486660601897409E-2</c:v>
                </c:pt>
                <c:pt idx="2">
                  <c:v>8.3069831884932749E-2</c:v>
                </c:pt>
                <c:pt idx="3">
                  <c:v>6.6493598442385976E-2</c:v>
                </c:pt>
                <c:pt idx="4">
                  <c:v>0.32627276105536973</c:v>
                </c:pt>
                <c:pt idx="5">
                  <c:v>0.37704918032786883</c:v>
                </c:pt>
                <c:pt idx="6">
                  <c:v>0.23535302954431647</c:v>
                </c:pt>
                <c:pt idx="7">
                  <c:v>0.22943586511188149</c:v>
                </c:pt>
              </c:numCache>
            </c:numRef>
          </c:val>
          <c:extLst xmlns:c16r2="http://schemas.microsoft.com/office/drawing/2015/06/chart">
            <c:ext xmlns:c16="http://schemas.microsoft.com/office/drawing/2014/chart" uri="{C3380CC4-5D6E-409C-BE32-E72D297353CC}">
              <c16:uniqueId val="{00000010-E8B4-4B35-B79B-064BFD41B41E}"/>
            </c:ext>
          </c:extLst>
        </c:ser>
        <c:ser>
          <c:idx val="1"/>
          <c:order val="1"/>
          <c:tx>
            <c:strRef>
              <c:f>'agri labour'!$J$23</c:f>
              <c:strCache>
                <c:ptCount val="1"/>
                <c:pt idx="0">
                  <c:v>2015</c:v>
                </c:pt>
              </c:strCache>
            </c:strRef>
          </c:tx>
          <c:spPr>
            <a:solidFill>
              <a:schemeClr val="accent3">
                <a:lumMod val="75000"/>
              </a:schemeClr>
            </a:solidFill>
            <a:ln>
              <a:noFill/>
            </a:ln>
            <a:effectLst/>
          </c:spPr>
          <c:invertIfNegative val="0"/>
          <c:dPt>
            <c:idx val="0"/>
            <c:invertIfNegative val="0"/>
            <c:bubble3D val="0"/>
            <c:spPr>
              <a:solidFill>
                <a:schemeClr val="accent3">
                  <a:lumMod val="75000"/>
                </a:schemeClr>
              </a:solidFill>
              <a:ln>
                <a:noFill/>
              </a:ln>
              <a:effectLst/>
            </c:spPr>
            <c:extLst xmlns:c16r2="http://schemas.microsoft.com/office/drawing/2015/06/chart">
              <c:ext xmlns:c16="http://schemas.microsoft.com/office/drawing/2014/chart" uri="{C3380CC4-5D6E-409C-BE32-E72D297353CC}">
                <c16:uniqueId val="{00000012-E8B4-4B35-B79B-064BFD41B41E}"/>
              </c:ext>
            </c:extLst>
          </c:dPt>
          <c:dPt>
            <c:idx val="1"/>
            <c:invertIfNegative val="0"/>
            <c:bubble3D val="0"/>
            <c:spPr>
              <a:solidFill>
                <a:schemeClr val="accent3">
                  <a:lumMod val="75000"/>
                </a:schemeClr>
              </a:solidFill>
              <a:ln>
                <a:noFill/>
              </a:ln>
              <a:effectLst/>
            </c:spPr>
            <c:extLst xmlns:c16r2="http://schemas.microsoft.com/office/drawing/2015/06/chart">
              <c:ext xmlns:c16="http://schemas.microsoft.com/office/drawing/2014/chart" uri="{C3380CC4-5D6E-409C-BE32-E72D297353CC}">
                <c16:uniqueId val="{00000014-E8B4-4B35-B79B-064BFD41B41E}"/>
              </c:ext>
            </c:extLst>
          </c:dPt>
          <c:dPt>
            <c:idx val="2"/>
            <c:invertIfNegative val="0"/>
            <c:bubble3D val="0"/>
            <c:spPr>
              <a:solidFill>
                <a:schemeClr val="accent3">
                  <a:lumMod val="75000"/>
                </a:schemeClr>
              </a:solidFill>
              <a:ln>
                <a:noFill/>
              </a:ln>
              <a:effectLst/>
            </c:spPr>
            <c:extLst xmlns:c16r2="http://schemas.microsoft.com/office/drawing/2015/06/chart">
              <c:ext xmlns:c16="http://schemas.microsoft.com/office/drawing/2014/chart" uri="{C3380CC4-5D6E-409C-BE32-E72D297353CC}">
                <c16:uniqueId val="{00000016-E8B4-4B35-B79B-064BFD41B41E}"/>
              </c:ext>
            </c:extLst>
          </c:dPt>
          <c:dPt>
            <c:idx val="3"/>
            <c:invertIfNegative val="0"/>
            <c:bubble3D val="0"/>
            <c:spPr>
              <a:solidFill>
                <a:schemeClr val="accent3">
                  <a:lumMod val="75000"/>
                </a:schemeClr>
              </a:solidFill>
              <a:ln>
                <a:noFill/>
              </a:ln>
              <a:effectLst/>
            </c:spPr>
            <c:extLst xmlns:c16r2="http://schemas.microsoft.com/office/drawing/2015/06/chart">
              <c:ext xmlns:c16="http://schemas.microsoft.com/office/drawing/2014/chart" uri="{C3380CC4-5D6E-409C-BE32-E72D297353CC}">
                <c16:uniqueId val="{00000018-E8B4-4B35-B79B-064BFD41B41E}"/>
              </c:ext>
            </c:extLst>
          </c:dPt>
          <c:dPt>
            <c:idx val="4"/>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1A-E8B4-4B35-B79B-064BFD41B41E}"/>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1C-E8B4-4B35-B79B-064BFD41B41E}"/>
              </c:ext>
            </c:extLst>
          </c:dPt>
          <c:dPt>
            <c:idx val="6"/>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1E-E8B4-4B35-B79B-064BFD41B41E}"/>
              </c:ext>
            </c:extLst>
          </c:dPt>
          <c:dPt>
            <c:idx val="7"/>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20-E8B4-4B35-B79B-064BFD41B41E}"/>
              </c:ext>
            </c:extLst>
          </c:dPt>
          <c:dLbls>
            <c:dLbl>
              <c:idx val="0"/>
              <c:layout>
                <c:manualLayout>
                  <c:x val="2.666666666666666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E8B4-4B35-B79B-064BFD41B41E}"/>
                </c:ext>
                <c:ext xmlns:c15="http://schemas.microsoft.com/office/drawing/2012/chart" uri="{CE6537A1-D6FC-4f65-9D91-7224C49458BB}"/>
              </c:extLst>
            </c:dLbl>
            <c:dLbl>
              <c:idx val="1"/>
              <c:layout>
                <c:manualLayout>
                  <c:x val="3.393939393939394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E8B4-4B35-B79B-064BFD41B41E}"/>
                </c:ext>
                <c:ext xmlns:c15="http://schemas.microsoft.com/office/drawing/2012/chart" uri="{CE6537A1-D6FC-4f65-9D91-7224C49458BB}"/>
              </c:extLst>
            </c:dLbl>
            <c:dLbl>
              <c:idx val="2"/>
              <c:layout>
                <c:manualLayout>
                  <c:x val="2.181818181818182E-2"/>
                  <c:y val="-7.6627467283380521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E8B4-4B35-B79B-064BFD41B41E}"/>
                </c:ext>
                <c:ext xmlns:c15="http://schemas.microsoft.com/office/drawing/2012/chart" uri="{CE6537A1-D6FC-4f65-9D91-7224C49458BB}"/>
              </c:extLst>
            </c:dLbl>
            <c:dLbl>
              <c:idx val="3"/>
              <c:layout>
                <c:manualLayout>
                  <c:x val="1.9393939393939304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E8B4-4B35-B79B-064BFD41B41E}"/>
                </c:ext>
                <c:ext xmlns:c15="http://schemas.microsoft.com/office/drawing/2012/chart" uri="{CE6537A1-D6FC-4f65-9D91-7224C49458BB}"/>
              </c:extLst>
            </c:dLbl>
            <c:dLbl>
              <c:idx val="4"/>
              <c:layout>
                <c:manualLayout>
                  <c:x val="2.18181818181817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E8B4-4B35-B79B-064BFD41B41E}"/>
                </c:ext>
                <c:ext xmlns:c15="http://schemas.microsoft.com/office/drawing/2012/chart" uri="{CE6537A1-D6FC-4f65-9D91-7224C49458BB}"/>
              </c:extLst>
            </c:dLbl>
            <c:dLbl>
              <c:idx val="5"/>
              <c:layout>
                <c:manualLayout>
                  <c:x val="1.4545454545454545E-2"/>
                  <c:y val="-1.91568668208451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E8B4-4B35-B79B-064BFD41B41E}"/>
                </c:ext>
                <c:ext xmlns:c15="http://schemas.microsoft.com/office/drawing/2012/chart" uri="{CE6537A1-D6FC-4f65-9D91-7224C49458BB}"/>
              </c:extLst>
            </c:dLbl>
            <c:dLbl>
              <c:idx val="6"/>
              <c:layout>
                <c:manualLayout>
                  <c:x val="1.4545454545454457E-2"/>
                  <c:y val="-4.179728317659352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E8B4-4B35-B79B-064BFD41B41E}"/>
                </c:ext>
                <c:ext xmlns:c15="http://schemas.microsoft.com/office/drawing/2012/chart" uri="{CE6537A1-D6FC-4f65-9D91-7224C49458BB}"/>
              </c:extLst>
            </c:dLbl>
            <c:dLbl>
              <c:idx val="7"/>
              <c:layout>
                <c:manualLayout>
                  <c:x val="2.181818181818182E-2"/>
                  <c:y val="-1.253918495297805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E8B4-4B35-B79B-064BFD41B41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'agri labour'!$B$24:$B$31</c:f>
              <c:strCache>
                <c:ptCount val="8"/>
                <c:pt idx="0">
                  <c:v>Hajdú-Bihar</c:v>
                </c:pt>
                <c:pt idx="1">
                  <c:v>Sz-Sz-Bereg </c:v>
                </c:pt>
                <c:pt idx="2">
                  <c:v>Békés</c:v>
                </c:pt>
                <c:pt idx="3">
                  <c:v>Csongrád</c:v>
                </c:pt>
                <c:pt idx="4">
                  <c:v>Bihor</c:v>
                </c:pt>
                <c:pt idx="5">
                  <c:v>Satu Mare</c:v>
                </c:pt>
                <c:pt idx="6">
                  <c:v>Arad</c:v>
                </c:pt>
                <c:pt idx="7">
                  <c:v>Timis</c:v>
                </c:pt>
              </c:strCache>
            </c:strRef>
          </c:cat>
          <c:val>
            <c:numRef>
              <c:f>'agri labour'!$J$24:$J$31</c:f>
              <c:numCache>
                <c:formatCode>0.00%</c:formatCode>
                <c:ptCount val="8"/>
                <c:pt idx="0">
                  <c:v>7.0138819451388196E-2</c:v>
                </c:pt>
                <c:pt idx="1">
                  <c:v>5.560536337670581E-2</c:v>
                </c:pt>
                <c:pt idx="2">
                  <c:v>8.8067473798811607E-2</c:v>
                </c:pt>
                <c:pt idx="3">
                  <c:v>7.4852493364236897E-2</c:v>
                </c:pt>
                <c:pt idx="4">
                  <c:v>0.2773972602739726</c:v>
                </c:pt>
                <c:pt idx="5">
                  <c:v>0.31452167928423952</c:v>
                </c:pt>
                <c:pt idx="6">
                  <c:v>0.1888045540796964</c:v>
                </c:pt>
                <c:pt idx="7">
                  <c:v>0.17878077373974208</c:v>
                </c:pt>
              </c:numCache>
            </c:numRef>
          </c:val>
          <c:extLst xmlns:c16r2="http://schemas.microsoft.com/office/drawing/2015/06/chart">
            <c:ext xmlns:c16="http://schemas.microsoft.com/office/drawing/2014/chart" uri="{C3380CC4-5D6E-409C-BE32-E72D297353CC}">
              <c16:uniqueId val="{00000021-E8B4-4B35-B79B-064BFD41B41E}"/>
            </c:ext>
          </c:extLst>
        </c:ser>
        <c:dLbls>
          <c:dLblPos val="outEnd"/>
          <c:showLegendKey val="0"/>
          <c:showVal val="1"/>
          <c:showCatName val="0"/>
          <c:showSerName val="0"/>
          <c:showPercent val="0"/>
          <c:showBubbleSize val="0"/>
        </c:dLbls>
        <c:gapWidth val="219"/>
        <c:overlap val="-27"/>
        <c:axId val="709508256"/>
        <c:axId val="709507080"/>
      </c:barChart>
      <c:catAx>
        <c:axId val="7095082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07080"/>
        <c:crosses val="autoZero"/>
        <c:auto val="1"/>
        <c:lblAlgn val="ctr"/>
        <c:lblOffset val="100"/>
        <c:tickLblSkip val="1"/>
        <c:noMultiLvlLbl val="0"/>
      </c:catAx>
      <c:valAx>
        <c:axId val="709507080"/>
        <c:scaling>
          <c:orientation val="minMax"/>
        </c:scaling>
        <c:delete val="1"/>
        <c:axPos val="l"/>
        <c:majorGridlines>
          <c:spPr>
            <a:ln w="9525" cap="flat" cmpd="sng" algn="ctr">
              <a:noFill/>
              <a:round/>
            </a:ln>
            <a:effectLst/>
          </c:spPr>
        </c:majorGridlines>
        <c:numFmt formatCode="0.00%" sourceLinked="1"/>
        <c:majorTickMark val="out"/>
        <c:minorTickMark val="none"/>
        <c:tickLblPos val="nextTo"/>
        <c:crossAx val="709508256"/>
        <c:crossesAt val="1"/>
        <c:crossBetween val="between"/>
      </c:valAx>
      <c:spPr>
        <a:noFill/>
        <a:ln w="25400">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sz="700">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480942298732882E-2"/>
          <c:y val="5.9173695850052978E-2"/>
          <c:w val="0.94527586350374149"/>
          <c:h val="0.70073924371581109"/>
        </c:manualLayout>
      </c:layout>
      <c:barChart>
        <c:barDir val="col"/>
        <c:grouping val="clustered"/>
        <c:varyColors val="0"/>
        <c:ser>
          <c:idx val="0"/>
          <c:order val="0"/>
          <c:tx>
            <c:strRef>
              <c:f>tourism!$B$17</c:f>
              <c:strCache>
                <c:ptCount val="1"/>
                <c:pt idx="0">
                  <c:v>no. of beds</c:v>
                </c:pt>
              </c:strCache>
            </c:strRef>
          </c:tx>
          <c:spPr>
            <a:solidFill>
              <a:schemeClr val="accent1">
                <a:lumMod val="20000"/>
                <a:lumOff val="80000"/>
              </a:schemeClr>
            </a:solidFill>
            <a:ln>
              <a:noFill/>
            </a:ln>
            <a:effectLst/>
          </c:spPr>
          <c:invertIfNegative val="0"/>
          <c:dPt>
            <c:idx val="3"/>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1-FFAB-460B-8934-CDE7AAB164AF}"/>
              </c:ext>
            </c:extLst>
          </c:dPt>
          <c:dPt>
            <c:idx val="4"/>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3-FFAB-460B-8934-CDE7AAB164AF}"/>
              </c:ext>
            </c:extLst>
          </c:dPt>
          <c:dPt>
            <c:idx val="5"/>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5-FFAB-460B-8934-CDE7AAB164AF}"/>
              </c:ext>
            </c:extLst>
          </c:dPt>
          <c:dPt>
            <c:idx val="7"/>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7-FFAB-460B-8934-CDE7AAB164AF}"/>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tourism!$B$48:$B$55</c:f>
              <c:strCache>
                <c:ptCount val="8"/>
                <c:pt idx="0">
                  <c:v>Satu Mare</c:v>
                </c:pt>
                <c:pt idx="1">
                  <c:v>Arad</c:v>
                </c:pt>
                <c:pt idx="2">
                  <c:v>Timis</c:v>
                </c:pt>
                <c:pt idx="3">
                  <c:v>Sz-Sz-Bereg </c:v>
                </c:pt>
                <c:pt idx="4">
                  <c:v>Békés</c:v>
                </c:pt>
                <c:pt idx="5">
                  <c:v>Csongrád</c:v>
                </c:pt>
                <c:pt idx="6">
                  <c:v>Bihor</c:v>
                </c:pt>
                <c:pt idx="7">
                  <c:v>Hajdú-Bihar</c:v>
                </c:pt>
              </c:strCache>
            </c:strRef>
          </c:cat>
          <c:val>
            <c:numRef>
              <c:f>tourism!$M$48:$M$55</c:f>
              <c:numCache>
                <c:formatCode>#,##0</c:formatCode>
                <c:ptCount val="8"/>
                <c:pt idx="0">
                  <c:v>2379</c:v>
                </c:pt>
                <c:pt idx="1">
                  <c:v>5898</c:v>
                </c:pt>
                <c:pt idx="2">
                  <c:v>7998</c:v>
                </c:pt>
                <c:pt idx="3">
                  <c:v>8747</c:v>
                </c:pt>
                <c:pt idx="4">
                  <c:v>9379</c:v>
                </c:pt>
                <c:pt idx="5">
                  <c:v>12596</c:v>
                </c:pt>
                <c:pt idx="6">
                  <c:v>14203</c:v>
                </c:pt>
                <c:pt idx="7">
                  <c:v>16829</c:v>
                </c:pt>
              </c:numCache>
            </c:numRef>
          </c:val>
          <c:extLst xmlns:c16r2="http://schemas.microsoft.com/office/drawing/2015/06/chart">
            <c:ext xmlns:c16="http://schemas.microsoft.com/office/drawing/2014/chart" uri="{C3380CC4-5D6E-409C-BE32-E72D297353CC}">
              <c16:uniqueId val="{00000008-FFAB-460B-8934-CDE7AAB164AF}"/>
            </c:ext>
          </c:extLst>
        </c:ser>
        <c:dLbls>
          <c:dLblPos val="outEnd"/>
          <c:showLegendKey val="0"/>
          <c:showVal val="1"/>
          <c:showCatName val="0"/>
          <c:showSerName val="0"/>
          <c:showPercent val="0"/>
          <c:showBubbleSize val="0"/>
        </c:dLbls>
        <c:gapWidth val="219"/>
        <c:overlap val="-27"/>
        <c:axId val="709512176"/>
        <c:axId val="709507864"/>
      </c:barChart>
      <c:catAx>
        <c:axId val="7095121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9507864"/>
        <c:crosses val="autoZero"/>
        <c:auto val="1"/>
        <c:lblAlgn val="ctr"/>
        <c:lblOffset val="100"/>
        <c:tickLblSkip val="1"/>
        <c:noMultiLvlLbl val="0"/>
      </c:catAx>
      <c:valAx>
        <c:axId val="709507864"/>
        <c:scaling>
          <c:orientation val="minMax"/>
        </c:scaling>
        <c:delete val="1"/>
        <c:axPos val="l"/>
        <c:majorGridlines>
          <c:spPr>
            <a:ln w="9525" cap="flat" cmpd="sng" algn="ctr">
              <a:no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number of beds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title>
        <c:numFmt formatCode="#,##0" sourceLinked="1"/>
        <c:majorTickMark val="out"/>
        <c:minorTickMark val="none"/>
        <c:tickLblPos val="nextTo"/>
        <c:crossAx val="709512176"/>
        <c:crossesAt val="1"/>
        <c:crossBetween val="between"/>
      </c:valAx>
      <c:spPr>
        <a:noFill/>
        <a:ln w="25400">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98135870359113"/>
          <c:y val="5.4187625526736338E-2"/>
          <c:w val="0.87465557018895768"/>
          <c:h val="0.90410783183326615"/>
        </c:manualLayout>
      </c:layout>
      <c:barChart>
        <c:barDir val="col"/>
        <c:grouping val="stacked"/>
        <c:varyColors val="0"/>
        <c:ser>
          <c:idx val="0"/>
          <c:order val="0"/>
          <c:tx>
            <c:strRef>
              <c:f>'support for tourism 3'!$B$21</c:f>
              <c:strCache>
                <c:ptCount val="1"/>
                <c:pt idx="0">
                  <c:v>HU regions</c:v>
                </c:pt>
              </c:strCache>
            </c:strRef>
          </c:tx>
          <c:spPr>
            <a:solidFill>
              <a:schemeClr val="accent3">
                <a:lumMod val="60000"/>
                <a:lumOff val="40000"/>
              </a:schemeClr>
            </a:solidFill>
            <a:ln>
              <a:noFill/>
            </a:ln>
            <a:effectLst/>
          </c:spPr>
          <c:invertIfNegative val="0"/>
          <c:cat>
            <c:numRef>
              <c:f>'support for tourism 3'!$D$20:$M$20</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'support for tourism 3'!$D$21:$M$21</c:f>
              <c:numCache>
                <c:formatCode>#,##0</c:formatCode>
                <c:ptCount val="10"/>
                <c:pt idx="0">
                  <c:v>2091977</c:v>
                </c:pt>
                <c:pt idx="1">
                  <c:v>2111134</c:v>
                </c:pt>
                <c:pt idx="2">
                  <c:v>2111032</c:v>
                </c:pt>
                <c:pt idx="3">
                  <c:v>2142545</c:v>
                </c:pt>
                <c:pt idx="4">
                  <c:v>2316689</c:v>
                </c:pt>
                <c:pt idx="5">
                  <c:v>2564115</c:v>
                </c:pt>
                <c:pt idx="6">
                  <c:v>2791727</c:v>
                </c:pt>
                <c:pt idx="7">
                  <c:v>2937090</c:v>
                </c:pt>
                <c:pt idx="8">
                  <c:v>3140132</c:v>
                </c:pt>
                <c:pt idx="9">
                  <c:v>3401721</c:v>
                </c:pt>
              </c:numCache>
            </c:numRef>
          </c:val>
          <c:extLst xmlns:c16r2="http://schemas.microsoft.com/office/drawing/2015/06/chart">
            <c:ext xmlns:c16="http://schemas.microsoft.com/office/drawing/2014/chart" uri="{C3380CC4-5D6E-409C-BE32-E72D297353CC}">
              <c16:uniqueId val="{00000000-5E97-4E37-9215-5C13E05A6E09}"/>
            </c:ext>
          </c:extLst>
        </c:ser>
        <c:ser>
          <c:idx val="1"/>
          <c:order val="1"/>
          <c:tx>
            <c:strRef>
              <c:f>'support for tourism 3'!$B$22</c:f>
              <c:strCache>
                <c:ptCount val="1"/>
                <c:pt idx="0">
                  <c:v>RO regions</c:v>
                </c:pt>
              </c:strCache>
            </c:strRef>
          </c:tx>
          <c:spPr>
            <a:solidFill>
              <a:schemeClr val="accent2"/>
            </a:solidFill>
            <a:ln>
              <a:noFill/>
            </a:ln>
            <a:effectLst/>
          </c:spPr>
          <c:invertIfNegative val="0"/>
          <c:cat>
            <c:numRef>
              <c:f>'support for tourism 3'!$D$20:$M$20</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'support for tourism 3'!$D$22:$M$22</c:f>
              <c:numCache>
                <c:formatCode>#,##0</c:formatCode>
                <c:ptCount val="10"/>
                <c:pt idx="0">
                  <c:v>2013899</c:v>
                </c:pt>
                <c:pt idx="1">
                  <c:v>1859115</c:v>
                </c:pt>
                <c:pt idx="2">
                  <c:v>2061286</c:v>
                </c:pt>
                <c:pt idx="3">
                  <c:v>2102301</c:v>
                </c:pt>
                <c:pt idx="4">
                  <c:v>2094277</c:v>
                </c:pt>
                <c:pt idx="5">
                  <c:v>2257595</c:v>
                </c:pt>
                <c:pt idx="6">
                  <c:v>2472032</c:v>
                </c:pt>
                <c:pt idx="7">
                  <c:v>2788649</c:v>
                </c:pt>
                <c:pt idx="8">
                  <c:v>2690943</c:v>
                </c:pt>
                <c:pt idx="9">
                  <c:v>2929665</c:v>
                </c:pt>
              </c:numCache>
            </c:numRef>
          </c:val>
          <c:extLst xmlns:c16r2="http://schemas.microsoft.com/office/drawing/2015/06/chart">
            <c:ext xmlns:c16="http://schemas.microsoft.com/office/drawing/2014/chart" uri="{C3380CC4-5D6E-409C-BE32-E72D297353CC}">
              <c16:uniqueId val="{00000001-5E97-4E37-9215-5C13E05A6E09}"/>
            </c:ext>
          </c:extLst>
        </c:ser>
        <c:dLbls>
          <c:showLegendKey val="0"/>
          <c:showVal val="0"/>
          <c:showCatName val="0"/>
          <c:showSerName val="0"/>
          <c:showPercent val="0"/>
          <c:showBubbleSize val="0"/>
        </c:dLbls>
        <c:gapWidth val="219"/>
        <c:overlap val="100"/>
        <c:axId val="709510216"/>
        <c:axId val="709510608"/>
      </c:barChart>
      <c:catAx>
        <c:axId val="7095102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30" b="0" i="0" u="none" strike="noStrike" kern="1200" baseline="0">
                <a:solidFill>
                  <a:sysClr val="windowText" lastClr="000000"/>
                </a:solidFill>
                <a:latin typeface="+mn-lt"/>
                <a:ea typeface="+mn-ea"/>
                <a:cs typeface="+mn-cs"/>
              </a:defRPr>
            </a:pPr>
            <a:endParaRPr lang="ro-RO"/>
          </a:p>
        </c:txPr>
        <c:crossAx val="709510608"/>
        <c:crosses val="autoZero"/>
        <c:auto val="1"/>
        <c:lblAlgn val="ctr"/>
        <c:lblOffset val="100"/>
        <c:noMultiLvlLbl val="0"/>
      </c:catAx>
      <c:valAx>
        <c:axId val="709510608"/>
        <c:scaling>
          <c:orientation val="minMax"/>
        </c:scaling>
        <c:delete val="0"/>
        <c:axPos val="l"/>
        <c:majorGridlines>
          <c:spPr>
            <a:ln w="9525" cap="flat" cmpd="sng" algn="ctr">
              <a:no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709510216"/>
        <c:crossesAt val="1"/>
        <c:crossBetween val="between"/>
      </c:valAx>
      <c:spPr>
        <a:noFill/>
        <a:ln w="25400">
          <a:noFill/>
        </a:ln>
        <a:effectLst/>
      </c:spPr>
    </c:plotArea>
    <c:legend>
      <c:legendPos val="t"/>
      <c:layout>
        <c:manualLayout>
          <c:xMode val="edge"/>
          <c:yMode val="edge"/>
          <c:x val="0.33696244881418547"/>
          <c:y val="2.7586206896551724E-2"/>
          <c:w val="0.32956203155017993"/>
          <c:h val="7.8671879301800571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480942298732882E-2"/>
          <c:y val="5.9173695850052978E-2"/>
          <c:w val="0.89162496305096151"/>
          <c:h val="0.76830045728819996"/>
        </c:manualLayout>
      </c:layout>
      <c:barChart>
        <c:barDir val="col"/>
        <c:grouping val="clustered"/>
        <c:varyColors val="0"/>
        <c:ser>
          <c:idx val="0"/>
          <c:order val="0"/>
          <c:tx>
            <c:strRef>
              <c:f>'buss infra'!$B$2</c:f>
              <c:strCache>
                <c:ptCount val="1"/>
                <c:pt idx="0">
                  <c:v>Business infrastructure - industrial parks / incubators / logistic zones</c:v>
                </c:pt>
              </c:strCache>
            </c:strRef>
          </c:tx>
          <c:spPr>
            <a:solidFill>
              <a:schemeClr val="accent6">
                <a:lumMod val="20000"/>
                <a:lumOff val="80000"/>
              </a:schemeClr>
            </a:solidFill>
            <a:ln>
              <a:noFill/>
            </a:ln>
            <a:effectLst/>
          </c:spPr>
          <c:invertIfNegative val="0"/>
          <c:dPt>
            <c:idx val="0"/>
            <c:invertIfNegative val="0"/>
            <c:bubble3D val="0"/>
            <c:spPr>
              <a:solidFill>
                <a:schemeClr val="accent3">
                  <a:lumMod val="40000"/>
                  <a:lumOff val="60000"/>
                </a:schemeClr>
              </a:solidFill>
              <a:ln>
                <a:solidFill>
                  <a:schemeClr val="accent6">
                    <a:lumMod val="20000"/>
                    <a:lumOff val="80000"/>
                  </a:schemeClr>
                </a:solidFill>
              </a:ln>
              <a:effectLst/>
            </c:spPr>
            <c:extLst xmlns:c16r2="http://schemas.microsoft.com/office/drawing/2015/06/chart">
              <c:ext xmlns:c16="http://schemas.microsoft.com/office/drawing/2014/chart" uri="{C3380CC4-5D6E-409C-BE32-E72D297353CC}">
                <c16:uniqueId val="{00000001-19E5-4680-8CA6-FCB7DEA65338}"/>
              </c:ext>
            </c:extLst>
          </c:dPt>
          <c:dPt>
            <c:idx val="1"/>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C-19E5-4680-8CA6-FCB7DEA65338}"/>
              </c:ext>
            </c:extLst>
          </c:dPt>
          <c:dPt>
            <c:idx val="2"/>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D-19E5-4680-8CA6-FCB7DEA65338}"/>
              </c:ext>
            </c:extLst>
          </c:dPt>
          <c:dPt>
            <c:idx val="3"/>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E-19E5-4680-8CA6-FCB7DEA65338}"/>
              </c:ext>
            </c:extLst>
          </c:dPt>
          <c:dPt>
            <c:idx val="4"/>
            <c:invertIfNegative val="0"/>
            <c:bubble3D val="0"/>
            <c:spPr>
              <a:solidFill>
                <a:srgbClr val="00B0F0"/>
              </a:solidFill>
              <a:ln>
                <a:solidFill>
                  <a:schemeClr val="accent4">
                    <a:lumMod val="20000"/>
                    <a:lumOff val="80000"/>
                  </a:schemeClr>
                </a:solidFill>
              </a:ln>
              <a:effectLst/>
            </c:spPr>
            <c:extLst xmlns:c16r2="http://schemas.microsoft.com/office/drawing/2015/06/chart">
              <c:ext xmlns:c16="http://schemas.microsoft.com/office/drawing/2014/chart" uri="{C3380CC4-5D6E-409C-BE32-E72D297353CC}">
                <c16:uniqueId val="{00000003-19E5-4680-8CA6-FCB7DEA65338}"/>
              </c:ext>
            </c:extLst>
          </c:dPt>
          <c:dPt>
            <c:idx val="5"/>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5-19E5-4680-8CA6-FCB7DEA65338}"/>
              </c:ext>
            </c:extLst>
          </c:dPt>
          <c:dPt>
            <c:idx val="6"/>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7-19E5-4680-8CA6-FCB7DEA65338}"/>
              </c:ext>
            </c:extLst>
          </c:dPt>
          <c:dPt>
            <c:idx val="7"/>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9-19E5-4680-8CA6-FCB7DEA653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'buss infra'!$B$5:$B$12</c:f>
              <c:strCache>
                <c:ptCount val="8"/>
                <c:pt idx="0">
                  <c:v>Hajdú-Bihar</c:v>
                </c:pt>
                <c:pt idx="1">
                  <c:v>Sz-Sz-Bereg </c:v>
                </c:pt>
                <c:pt idx="2">
                  <c:v>Békés</c:v>
                </c:pt>
                <c:pt idx="3">
                  <c:v>Csongrád</c:v>
                </c:pt>
                <c:pt idx="4">
                  <c:v>Bihor</c:v>
                </c:pt>
                <c:pt idx="5">
                  <c:v>Satu Mare</c:v>
                </c:pt>
                <c:pt idx="6">
                  <c:v>Arad</c:v>
                </c:pt>
                <c:pt idx="7">
                  <c:v>Timis</c:v>
                </c:pt>
              </c:strCache>
            </c:strRef>
          </c:cat>
          <c:val>
            <c:numRef>
              <c:f>'buss infra'!$D$5:$D$12</c:f>
              <c:numCache>
                <c:formatCode>General</c:formatCode>
                <c:ptCount val="8"/>
                <c:pt idx="0">
                  <c:v>14</c:v>
                </c:pt>
                <c:pt idx="1">
                  <c:v>10</c:v>
                </c:pt>
                <c:pt idx="2">
                  <c:v>7</c:v>
                </c:pt>
                <c:pt idx="3">
                  <c:v>13</c:v>
                </c:pt>
                <c:pt idx="4">
                  <c:v>7</c:v>
                </c:pt>
                <c:pt idx="5">
                  <c:v>2</c:v>
                </c:pt>
                <c:pt idx="6">
                  <c:v>1</c:v>
                </c:pt>
                <c:pt idx="7">
                  <c:v>3</c:v>
                </c:pt>
              </c:numCache>
            </c:numRef>
          </c:val>
          <c:extLst xmlns:c16r2="http://schemas.microsoft.com/office/drawing/2015/06/chart">
            <c:ext xmlns:c16="http://schemas.microsoft.com/office/drawing/2014/chart" uri="{C3380CC4-5D6E-409C-BE32-E72D297353CC}">
              <c16:uniqueId val="{0000000A-19E5-4680-8CA6-FCB7DEA65338}"/>
            </c:ext>
          </c:extLst>
        </c:ser>
        <c:dLbls>
          <c:dLblPos val="outEnd"/>
          <c:showLegendKey val="0"/>
          <c:showVal val="1"/>
          <c:showCatName val="0"/>
          <c:showSerName val="0"/>
          <c:showPercent val="0"/>
          <c:showBubbleSize val="0"/>
        </c:dLbls>
        <c:gapWidth val="219"/>
        <c:overlap val="-27"/>
        <c:axId val="709509432"/>
        <c:axId val="709511000"/>
      </c:barChart>
      <c:catAx>
        <c:axId val="7095094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ro-RO"/>
          </a:p>
        </c:txPr>
        <c:crossAx val="709511000"/>
        <c:crosses val="autoZero"/>
        <c:auto val="1"/>
        <c:lblAlgn val="ctr"/>
        <c:lblOffset val="100"/>
        <c:tickLblSkip val="1"/>
        <c:noMultiLvlLbl val="0"/>
      </c:catAx>
      <c:valAx>
        <c:axId val="709511000"/>
        <c:scaling>
          <c:orientation val="minMax"/>
        </c:scaling>
        <c:delete val="1"/>
        <c:axPos val="l"/>
        <c:majorGridlines>
          <c:spPr>
            <a:ln w="9525" cap="flat" cmpd="sng" algn="ctr">
              <a:no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900">
                    <a:latin typeface="Calibri" panose="020F0502020204030204" pitchFamily="34" charset="0"/>
                    <a:cs typeface="Calibri" panose="020F0502020204030204" pitchFamily="34" charset="0"/>
                  </a:rPr>
                  <a:t>No. of business structures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numFmt formatCode="General" sourceLinked="1"/>
        <c:majorTickMark val="out"/>
        <c:minorTickMark val="none"/>
        <c:tickLblPos val="nextTo"/>
        <c:crossAx val="709509432"/>
        <c:crossesAt val="1"/>
        <c:crossBetween val="between"/>
      </c:valAx>
      <c:spPr>
        <a:noFill/>
        <a:ln w="25400">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sz="1100"/>
              <a:t>Number and surface burnt (ha) by wildfires at national level, 2011-2019</a:t>
            </a:r>
          </a:p>
        </c:rich>
      </c:tx>
      <c:layout>
        <c:manualLayout>
          <c:xMode val="edge"/>
          <c:yMode val="edge"/>
          <c:x val="0.14819376026272579"/>
          <c:y val="1.3888888888888888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autoTitleDeleted val="0"/>
    <c:plotArea>
      <c:layout>
        <c:manualLayout>
          <c:layoutTarget val="inner"/>
          <c:xMode val="edge"/>
          <c:yMode val="edge"/>
          <c:x val="0.11711467101095122"/>
          <c:y val="0.17064814814814816"/>
          <c:w val="0.75667772131931788"/>
          <c:h val="0.6413094196558764"/>
        </c:manualLayout>
      </c:layout>
      <c:barChart>
        <c:barDir val="col"/>
        <c:grouping val="clustered"/>
        <c:varyColors val="0"/>
        <c:ser>
          <c:idx val="0"/>
          <c:order val="0"/>
          <c:tx>
            <c:strRef>
              <c:f>'effis-nf-2019'!$B$1</c:f>
              <c:strCache>
                <c:ptCount val="1"/>
                <c:pt idx="0">
                  <c:v>HU (fires) </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'effis-nf-2019'!$A$2:$A$10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'effis-nf-2019'!$B$2:$B$10</c:f>
              <c:numCache>
                <c:formatCode>General</c:formatCode>
                <c:ptCount val="9"/>
                <c:pt idx="0">
                  <c:v>0</c:v>
                </c:pt>
                <c:pt idx="1">
                  <c:v>2</c:v>
                </c:pt>
                <c:pt idx="2">
                  <c:v>1</c:v>
                </c:pt>
                <c:pt idx="3">
                  <c:v>0</c:v>
                </c:pt>
                <c:pt idx="4">
                  <c:v>2</c:v>
                </c:pt>
                <c:pt idx="5">
                  <c:v>0</c:v>
                </c:pt>
                <c:pt idx="6">
                  <c:v>3</c:v>
                </c:pt>
                <c:pt idx="7">
                  <c:v>2</c:v>
                </c:pt>
                <c:pt idx="8">
                  <c:v>10</c:v>
                </c:pt>
              </c:numCache>
            </c:numRef>
          </c:val>
          <c:extLst xmlns:c16r2="http://schemas.microsoft.com/office/drawing/2015/06/chart">
            <c:ext xmlns:c16="http://schemas.microsoft.com/office/drawing/2014/chart" uri="{C3380CC4-5D6E-409C-BE32-E72D297353CC}">
              <c16:uniqueId val="{00000000-C5CC-4A05-A307-EFD7EFFBD48E}"/>
            </c:ext>
          </c:extLst>
        </c:ser>
        <c:ser>
          <c:idx val="1"/>
          <c:order val="1"/>
          <c:tx>
            <c:strRef>
              <c:f>'effis-nf-2019'!$C$1</c:f>
              <c:strCache>
                <c:ptCount val="1"/>
                <c:pt idx="0">
                  <c:v>RO (fires)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'effis-nf-2019'!$A$2:$A$10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'effis-nf-2019'!$C$2:$C$10</c:f>
              <c:numCache>
                <c:formatCode>General</c:formatCode>
                <c:ptCount val="9"/>
                <c:pt idx="0">
                  <c:v>1</c:v>
                </c:pt>
                <c:pt idx="1">
                  <c:v>23</c:v>
                </c:pt>
                <c:pt idx="2">
                  <c:v>7</c:v>
                </c:pt>
                <c:pt idx="3">
                  <c:v>8</c:v>
                </c:pt>
                <c:pt idx="4">
                  <c:v>15</c:v>
                </c:pt>
                <c:pt idx="5">
                  <c:v>11</c:v>
                </c:pt>
                <c:pt idx="6">
                  <c:v>65</c:v>
                </c:pt>
                <c:pt idx="7">
                  <c:v>42</c:v>
                </c:pt>
                <c:pt idx="8">
                  <c:v>242</c:v>
                </c:pt>
              </c:numCache>
            </c:numRef>
          </c:val>
          <c:extLst xmlns:c16r2="http://schemas.microsoft.com/office/drawing/2015/06/chart">
            <c:ext xmlns:c16="http://schemas.microsoft.com/office/drawing/2014/chart" uri="{C3380CC4-5D6E-409C-BE32-E72D297353CC}">
              <c16:uniqueId val="{00000001-C5CC-4A05-A307-EFD7EFFBD48E}"/>
            </c:ext>
          </c:extLst>
        </c:ser>
        <c:dLbls>
          <c:showLegendKey val="0"/>
          <c:showVal val="0"/>
          <c:showCatName val="0"/>
          <c:showSerName val="0"/>
          <c:showPercent val="0"/>
          <c:showBubbleSize val="0"/>
        </c:dLbls>
        <c:gapWidth val="150"/>
        <c:axId val="709512960"/>
        <c:axId val="709505512"/>
      </c:barChart>
      <c:lineChart>
        <c:grouping val="standard"/>
        <c:varyColors val="0"/>
        <c:ser>
          <c:idx val="2"/>
          <c:order val="2"/>
          <c:tx>
            <c:strRef>
              <c:f>'effis-nf-2019'!$D$1</c:f>
              <c:strCache>
                <c:ptCount val="1"/>
                <c:pt idx="0">
                  <c:v>HU (hectares) </c:v>
                </c:pt>
              </c:strCache>
            </c:strRef>
          </c:tx>
          <c:spPr>
            <a:ln w="19050" cap="rnd">
              <a:solidFill>
                <a:schemeClr val="accent3"/>
              </a:solidFill>
              <a:round/>
            </a:ln>
            <a:effectLst/>
          </c:spPr>
          <c:marker>
            <c:symbol val="none"/>
          </c:marker>
          <c:cat>
            <c:numRef>
              <c:f>'effis-nf-2019'!$A$2:$A$10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'effis-nf-2019'!$D$2:$D$10</c:f>
              <c:numCache>
                <c:formatCode>General</c:formatCode>
                <c:ptCount val="9"/>
                <c:pt idx="0">
                  <c:v>0</c:v>
                </c:pt>
                <c:pt idx="1">
                  <c:v>960</c:v>
                </c:pt>
                <c:pt idx="2">
                  <c:v>138</c:v>
                </c:pt>
                <c:pt idx="3">
                  <c:v>0</c:v>
                </c:pt>
                <c:pt idx="4">
                  <c:v>1610</c:v>
                </c:pt>
                <c:pt idx="5">
                  <c:v>0</c:v>
                </c:pt>
                <c:pt idx="6">
                  <c:v>458</c:v>
                </c:pt>
                <c:pt idx="7">
                  <c:v>96</c:v>
                </c:pt>
                <c:pt idx="8">
                  <c:v>601</c:v>
                </c:pt>
              </c:numCache>
            </c:numRef>
          </c:val>
          <c:smooth val="0"/>
          <c:extLst xmlns:c16r2="http://schemas.microsoft.com/office/drawing/2015/06/chart">
            <c:ext xmlns:c16="http://schemas.microsoft.com/office/drawing/2014/chart" uri="{C3380CC4-5D6E-409C-BE32-E72D297353CC}">
              <c16:uniqueId val="{00000002-C5CC-4A05-A307-EFD7EFFBD48E}"/>
            </c:ext>
          </c:extLst>
        </c:ser>
        <c:ser>
          <c:idx val="3"/>
          <c:order val="3"/>
          <c:tx>
            <c:strRef>
              <c:f>'effis-nf-2019'!$E$1</c:f>
              <c:strCache>
                <c:ptCount val="1"/>
                <c:pt idx="0">
                  <c:v>RO (hectares) </c:v>
                </c:pt>
              </c:strCache>
            </c:strRef>
          </c:tx>
          <c:spPr>
            <a:ln w="19050" cap="rnd">
              <a:solidFill>
                <a:schemeClr val="accent1">
                  <a:lumMod val="50000"/>
                </a:schemeClr>
              </a:solidFill>
              <a:round/>
            </a:ln>
            <a:effectLst/>
          </c:spPr>
          <c:marker>
            <c:symbol val="none"/>
          </c:marker>
          <c:cat>
            <c:numRef>
              <c:f>'effis-nf-2019'!$A$2:$A$10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'effis-nf-2019'!$E$2:$E$10</c:f>
              <c:numCache>
                <c:formatCode>General</c:formatCode>
                <c:ptCount val="9"/>
                <c:pt idx="0">
                  <c:v>333</c:v>
                </c:pt>
                <c:pt idx="1">
                  <c:v>3097</c:v>
                </c:pt>
                <c:pt idx="2">
                  <c:v>3101</c:v>
                </c:pt>
                <c:pt idx="3">
                  <c:v>2403</c:v>
                </c:pt>
                <c:pt idx="4">
                  <c:v>7320</c:v>
                </c:pt>
                <c:pt idx="5">
                  <c:v>4368</c:v>
                </c:pt>
                <c:pt idx="6">
                  <c:v>30481</c:v>
                </c:pt>
                <c:pt idx="7">
                  <c:v>3339</c:v>
                </c:pt>
                <c:pt idx="8">
                  <c:v>73445</c:v>
                </c:pt>
              </c:numCache>
            </c:numRef>
          </c:val>
          <c:smooth val="0"/>
          <c:extLst xmlns:c16r2="http://schemas.microsoft.com/office/drawing/2015/06/chart">
            <c:ext xmlns:c16="http://schemas.microsoft.com/office/drawing/2014/chart" uri="{C3380CC4-5D6E-409C-BE32-E72D297353CC}">
              <c16:uniqueId val="{00000003-C5CC-4A05-A307-EFD7EFFBD48E}"/>
            </c:ext>
          </c:extLst>
        </c:ser>
        <c:dLbls>
          <c:showLegendKey val="0"/>
          <c:showVal val="0"/>
          <c:showCatName val="0"/>
          <c:showSerName val="0"/>
          <c:showPercent val="0"/>
          <c:showBubbleSize val="0"/>
        </c:dLbls>
        <c:marker val="1"/>
        <c:smooth val="0"/>
        <c:axId val="596667328"/>
        <c:axId val="596662624"/>
      </c:lineChart>
      <c:catAx>
        <c:axId val="70951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05512"/>
        <c:crosses val="autoZero"/>
        <c:auto val="1"/>
        <c:lblAlgn val="ctr"/>
        <c:lblOffset val="100"/>
        <c:noMultiLvlLbl val="0"/>
      </c:catAx>
      <c:valAx>
        <c:axId val="709505512"/>
        <c:scaling>
          <c:orientation val="minMax"/>
          <c:max val="2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9512960"/>
        <c:crosses val="autoZero"/>
        <c:crossBetween val="between"/>
      </c:valAx>
      <c:valAx>
        <c:axId val="596662624"/>
        <c:scaling>
          <c:orientation val="minMax"/>
          <c:max val="75000"/>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596667328"/>
        <c:crosses val="max"/>
        <c:crossBetween val="between"/>
      </c:valAx>
      <c:catAx>
        <c:axId val="596667328"/>
        <c:scaling>
          <c:orientation val="minMax"/>
        </c:scaling>
        <c:delete val="1"/>
        <c:axPos val="b"/>
        <c:numFmt formatCode="General" sourceLinked="1"/>
        <c:majorTickMark val="none"/>
        <c:minorTickMark val="none"/>
        <c:tickLblPos val="nextTo"/>
        <c:crossAx val="596662624"/>
        <c:crosses val="autoZero"/>
        <c:auto val="1"/>
        <c:lblAlgn val="ctr"/>
        <c:lblOffset val="100"/>
        <c:noMultiLvlLbl val="0"/>
      </c:catAx>
      <c:spPr>
        <a:noFill/>
        <a:ln>
          <a:noFill/>
        </a:ln>
        <a:effectLst/>
      </c:spPr>
    </c:plotArea>
    <c:legend>
      <c:legendPos val="b"/>
      <c:layout>
        <c:manualLayout>
          <c:xMode val="edge"/>
          <c:yMode val="edge"/>
          <c:x val="0"/>
          <c:y val="0.87576552930883644"/>
          <c:w val="0.99400850755724501"/>
          <c:h val="9.6456692913385822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none"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ro-RO" cap="none"/>
              <a:t>Total irrigated</a:t>
            </a:r>
            <a:r>
              <a:rPr lang="ro-RO" cap="none" baseline="0"/>
              <a:t> area for agricultural activities </a:t>
            </a:r>
            <a:endParaRPr lang="ro-RO" cap="none"/>
          </a:p>
        </c:rich>
      </c:tx>
      <c:overlay val="0"/>
      <c:spPr>
        <a:noFill/>
        <a:ln>
          <a:noFill/>
        </a:ln>
        <a:effectLst/>
      </c:spPr>
      <c:txPr>
        <a:bodyPr rot="0" spcFirstLastPara="1" vertOverflow="ellipsis" vert="horz" wrap="square" anchor="ctr" anchorCtr="1"/>
        <a:lstStyle/>
        <a:p>
          <a:pPr>
            <a:defRPr sz="960" b="1" i="0" u="none" strike="noStrike" kern="1200" cap="none"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autoTitleDeleted val="0"/>
    <c:plotArea>
      <c:layout/>
      <c:barChart>
        <c:barDir val="col"/>
        <c:grouping val="clustered"/>
        <c:varyColors val="0"/>
        <c:ser>
          <c:idx val="0"/>
          <c:order val="0"/>
          <c:tx>
            <c:strRef>
              <c:f>irrigation!$N$16</c:f>
              <c:strCache>
                <c:ptCount val="1"/>
                <c:pt idx="0">
                  <c:v>2009</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irrigation!$M$17:$M$24</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irrigation!$N$17:$N$24</c:f>
              <c:numCache>
                <c:formatCode>General</c:formatCode>
                <c:ptCount val="8"/>
                <c:pt idx="0">
                  <c:v>14174</c:v>
                </c:pt>
                <c:pt idx="1">
                  <c:v>4312</c:v>
                </c:pt>
                <c:pt idx="2">
                  <c:v>20439</c:v>
                </c:pt>
                <c:pt idx="3">
                  <c:v>14743</c:v>
                </c:pt>
                <c:pt idx="4">
                  <c:v>5805</c:v>
                </c:pt>
                <c:pt idx="5">
                  <c:v>4692</c:v>
                </c:pt>
                <c:pt idx="6">
                  <c:v>29124</c:v>
                </c:pt>
                <c:pt idx="7">
                  <c:v>15510</c:v>
                </c:pt>
              </c:numCache>
            </c:numRef>
          </c:val>
          <c:extLst xmlns:c16r2="http://schemas.microsoft.com/office/drawing/2015/06/chart">
            <c:ext xmlns:c16="http://schemas.microsoft.com/office/drawing/2014/chart" uri="{C3380CC4-5D6E-409C-BE32-E72D297353CC}">
              <c16:uniqueId val="{00000000-D34A-4A9D-B225-820A0E261403}"/>
            </c:ext>
          </c:extLst>
        </c:ser>
        <c:ser>
          <c:idx val="1"/>
          <c:order val="1"/>
          <c:tx>
            <c:strRef>
              <c:f>irrigation!$O$16</c:f>
              <c:strCache>
                <c:ptCount val="1"/>
                <c:pt idx="0">
                  <c:v>2018</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irrigation!$M$17:$M$24</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irrigation!$O$17:$O$24</c:f>
              <c:numCache>
                <c:formatCode>General</c:formatCode>
                <c:ptCount val="8"/>
                <c:pt idx="0">
                  <c:v>8927</c:v>
                </c:pt>
                <c:pt idx="1">
                  <c:v>8415</c:v>
                </c:pt>
                <c:pt idx="2">
                  <c:v>21057</c:v>
                </c:pt>
                <c:pt idx="3">
                  <c:v>12781</c:v>
                </c:pt>
                <c:pt idx="4">
                  <c:v>5805</c:v>
                </c:pt>
                <c:pt idx="5">
                  <c:v>4692</c:v>
                </c:pt>
                <c:pt idx="6">
                  <c:v>29124</c:v>
                </c:pt>
                <c:pt idx="7">
                  <c:v>15510</c:v>
                </c:pt>
              </c:numCache>
            </c:numRef>
          </c:val>
          <c:extLst xmlns:c16r2="http://schemas.microsoft.com/office/drawing/2015/06/chart">
            <c:ext xmlns:c16="http://schemas.microsoft.com/office/drawing/2014/chart" uri="{C3380CC4-5D6E-409C-BE32-E72D297353CC}">
              <c16:uniqueId val="{00000001-D34A-4A9D-B225-820A0E261403}"/>
            </c:ext>
          </c:extLst>
        </c:ser>
        <c:dLbls>
          <c:dLblPos val="outEnd"/>
          <c:showLegendKey val="0"/>
          <c:showVal val="1"/>
          <c:showCatName val="0"/>
          <c:showSerName val="0"/>
          <c:showPercent val="0"/>
          <c:showBubbleSize val="0"/>
        </c:dLbls>
        <c:gapWidth val="444"/>
        <c:overlap val="-90"/>
        <c:axId val="596666152"/>
        <c:axId val="596663016"/>
      </c:barChart>
      <c:catAx>
        <c:axId val="596666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596663016"/>
        <c:crosses val="autoZero"/>
        <c:auto val="1"/>
        <c:lblAlgn val="ctr"/>
        <c:lblOffset val="100"/>
        <c:noMultiLvlLbl val="0"/>
      </c:catAx>
      <c:valAx>
        <c:axId val="596663016"/>
        <c:scaling>
          <c:orientation val="minMax"/>
        </c:scaling>
        <c:delete val="1"/>
        <c:axPos val="l"/>
        <c:numFmt formatCode="General" sourceLinked="1"/>
        <c:majorTickMark val="none"/>
        <c:minorTickMark val="none"/>
        <c:tickLblPos val="nextTo"/>
        <c:crossAx val="5966661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sz="800">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Sheet5!$AC$28</c:f>
              <c:strCache>
                <c:ptCount val="1"/>
                <c:pt idx="0">
                  <c:v>urban pop trends </c:v>
                </c:pt>
              </c:strCache>
            </c:strRef>
          </c:tx>
          <c:spPr>
            <a:solidFill>
              <a:srgbClr val="C00000"/>
            </a:solidFill>
          </c:spPr>
          <c:invertIfNegative val="0"/>
          <c:dLbls>
            <c:dLbl>
              <c:idx val="0"/>
              <c:layout>
                <c:manualLayout>
                  <c:x val="-8.8641514695035669E-3"/>
                  <c:y val="6.7866170050178212E-3"/>
                </c:manualLayout>
              </c:layout>
              <c:tx>
                <c:rich>
                  <a:bodyPr/>
                  <a:lstStyle/>
                  <a:p>
                    <a:r>
                      <a:rPr lang="en-US"/>
                      <a:t>-1,84%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3C2-4589-89E3-8BE20281B9EE}"/>
                </c:ext>
                <c:ext xmlns:c15="http://schemas.microsoft.com/office/drawing/2012/chart" uri="{CE6537A1-D6FC-4f65-9D91-7224C49458BB}"/>
              </c:extLst>
            </c:dLbl>
            <c:dLbl>
              <c:idx val="1"/>
              <c:layout>
                <c:manualLayout>
                  <c:x val="4.4312167004532405E-3"/>
                  <c:y val="3.396187765862002E-3"/>
                </c:manualLayout>
              </c:layout>
              <c:tx>
                <c:rich>
                  <a:bodyPr/>
                  <a:lstStyle/>
                  <a:p>
                    <a:r>
                      <a:rPr lang="en-US"/>
                      <a:t>-1,67%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3C2-4589-89E3-8BE20281B9EE}"/>
                </c:ext>
                <c:ext xmlns:c15="http://schemas.microsoft.com/office/drawing/2012/chart" uri="{CE6537A1-D6FC-4f65-9D91-7224C49458BB}"/>
              </c:extLst>
            </c:dLbl>
            <c:dLbl>
              <c:idx val="2"/>
              <c:layout>
                <c:manualLayout>
                  <c:x val="-8.862433400906481E-3"/>
                  <c:y val="6.792375531724004E-3"/>
                </c:manualLayout>
              </c:layout>
              <c:tx>
                <c:rich>
                  <a:bodyPr/>
                  <a:lstStyle/>
                  <a:p>
                    <a:r>
                      <a:rPr lang="en-US"/>
                      <a:t>-6,81%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3C2-4589-89E3-8BE20281B9EE}"/>
                </c:ext>
                <c:ext xmlns:c15="http://schemas.microsoft.com/office/drawing/2012/chart" uri="{CE6537A1-D6FC-4f65-9D91-7224C49458BB}"/>
              </c:extLst>
            </c:dLbl>
            <c:dLbl>
              <c:idx val="3"/>
              <c:layout>
                <c:manualLayout>
                  <c:x val="-1.329365010135972E-2"/>
                  <c:y val="3.396187765862002E-3"/>
                </c:manualLayout>
              </c:layout>
              <c:tx>
                <c:rich>
                  <a:bodyPr/>
                  <a:lstStyle/>
                  <a:p>
                    <a:r>
                      <a:rPr lang="en-US"/>
                      <a:t>-3,03%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3C2-4589-89E3-8BE20281B9EE}"/>
                </c:ext>
                <c:ext xmlns:c15="http://schemas.microsoft.com/office/drawing/2012/chart" uri="{CE6537A1-D6FC-4f65-9D91-7224C49458BB}"/>
              </c:extLst>
            </c:dLbl>
            <c:dLbl>
              <c:idx val="4"/>
              <c:layout>
                <c:manualLayout>
                  <c:x val="6.6468250506798599E-3"/>
                  <c:y val="6.792375531724004E-3"/>
                </c:manualLayout>
              </c:layout>
              <c:tx>
                <c:rich>
                  <a:bodyPr/>
                  <a:lstStyle/>
                  <a:p>
                    <a:r>
                      <a:rPr lang="en-US"/>
                      <a:t>-2,69%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3C2-4589-89E3-8BE20281B9EE}"/>
                </c:ext>
                <c:ext xmlns:c15="http://schemas.microsoft.com/office/drawing/2012/chart" uri="{CE6537A1-D6FC-4f65-9D91-7224C49458BB}"/>
              </c:extLst>
            </c:dLbl>
            <c:dLbl>
              <c:idx val="5"/>
              <c:layout>
                <c:manualLayout>
                  <c:x val="2.2156083502266203E-3"/>
                  <c:y val="6.792375531724004E-3"/>
                </c:manualLayout>
              </c:layout>
              <c:tx>
                <c:rich>
                  <a:bodyPr/>
                  <a:lstStyle/>
                  <a:p>
                    <a:r>
                      <a:rPr lang="en-US"/>
                      <a:t>-4,51%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3C2-4589-89E3-8BE20281B9EE}"/>
                </c:ext>
                <c:ext xmlns:c15="http://schemas.microsoft.com/office/drawing/2012/chart" uri="{CE6537A1-D6FC-4f65-9D91-7224C49458BB}"/>
              </c:extLst>
            </c:dLbl>
            <c:dLbl>
              <c:idx val="6"/>
              <c:layout>
                <c:manualLayout>
                  <c:x val="-8.862433400906481E-3"/>
                  <c:y val="3.396187765862002E-3"/>
                </c:manualLayout>
              </c:layout>
              <c:tx>
                <c:rich>
                  <a:bodyPr/>
                  <a:lstStyle/>
                  <a:p>
                    <a:r>
                      <a:rPr lang="en-US"/>
                      <a:t>-2,71%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3C2-4589-89E3-8BE20281B9EE}"/>
                </c:ext>
                <c:ext xmlns:c15="http://schemas.microsoft.com/office/drawing/2012/chart" uri="{CE6537A1-D6FC-4f65-9D91-7224C49458BB}"/>
              </c:extLst>
            </c:dLbl>
            <c:dLbl>
              <c:idx val="7"/>
              <c:layout>
                <c:manualLayout>
                  <c:x val="8.862433400906481E-3"/>
                  <c:y val="6.792375531724004E-3"/>
                </c:manualLayout>
              </c:layout>
              <c:tx>
                <c:rich>
                  <a:bodyPr/>
                  <a:lstStyle/>
                  <a:p>
                    <a:r>
                      <a:rPr lang="en-US"/>
                      <a:t>-1,47%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3C2-4589-89E3-8BE20281B9E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Sheet5!$AB$29:$AB$36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Sheet5!$AC$29:$AC$36</c:f>
              <c:numCache>
                <c:formatCode>0.00</c:formatCode>
                <c:ptCount val="8"/>
                <c:pt idx="0">
                  <c:v>-1.836369775932519</c:v>
                </c:pt>
                <c:pt idx="1">
                  <c:v>-1.6740099228642487</c:v>
                </c:pt>
                <c:pt idx="2">
                  <c:v>-6.8092404958449517</c:v>
                </c:pt>
                <c:pt idx="3">
                  <c:v>-3.033112790935236</c:v>
                </c:pt>
                <c:pt idx="4">
                  <c:v>-2.6916163524911276</c:v>
                </c:pt>
                <c:pt idx="5">
                  <c:v>-4.5146009351160696</c:v>
                </c:pt>
                <c:pt idx="6">
                  <c:v>-2.7081804775638001</c:v>
                </c:pt>
                <c:pt idx="7">
                  <c:v>-1.4733210611234757</c:v>
                </c:pt>
              </c:numCache>
            </c:numRef>
          </c:val>
          <c:extLst xmlns:c16r2="http://schemas.microsoft.com/office/drawing/2015/06/chart">
            <c:ext xmlns:c16="http://schemas.microsoft.com/office/drawing/2014/chart" uri="{C3380CC4-5D6E-409C-BE32-E72D297353CC}">
              <c16:uniqueId val="{00000008-93C2-4589-89E3-8BE20281B9EE}"/>
            </c:ext>
          </c:extLst>
        </c:ser>
        <c:ser>
          <c:idx val="1"/>
          <c:order val="1"/>
          <c:tx>
            <c:strRef>
              <c:f>Sheet5!$AD$28</c:f>
              <c:strCache>
                <c:ptCount val="1"/>
                <c:pt idx="0">
                  <c:v>rural population trends</c:v>
                </c:pt>
              </c:strCache>
            </c:strRef>
          </c:tx>
          <c:spPr>
            <a:solidFill>
              <a:srgbClr val="0070C0"/>
            </a:solidFill>
          </c:spPr>
          <c:invertIfNegative val="0"/>
          <c:dLbls>
            <c:dLbl>
              <c:idx val="0"/>
              <c:layout>
                <c:manualLayout>
                  <c:x val="1.107908849523557E-2"/>
                  <c:y val="6.7653664794128177E-3"/>
                </c:manualLayout>
              </c:layout>
              <c:tx>
                <c:rich>
                  <a:bodyPr/>
                  <a:lstStyle/>
                  <a:p>
                    <a:r>
                      <a:rPr lang="en-US"/>
                      <a:t>-1,66%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3C2-4589-89E3-8BE20281B9EE}"/>
                </c:ext>
                <c:ext xmlns:c15="http://schemas.microsoft.com/office/drawing/2012/chart" uri="{CE6537A1-D6FC-4f65-9D91-7224C49458BB}"/>
              </c:extLst>
            </c:dLbl>
            <c:dLbl>
              <c:idx val="1"/>
              <c:layout>
                <c:manualLayout>
                  <c:x val="-2.2156083502266203E-3"/>
                  <c:y val="1.0188563297586006E-2"/>
                </c:manualLayout>
              </c:layout>
              <c:tx>
                <c:rich>
                  <a:bodyPr/>
                  <a:lstStyle/>
                  <a:p>
                    <a:r>
                      <a:rPr lang="en-US"/>
                      <a:t>1,68%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3C2-4589-89E3-8BE20281B9EE}"/>
                </c:ext>
                <c:ext xmlns:c15="http://schemas.microsoft.com/office/drawing/2012/chart" uri="{CE6537A1-D6FC-4f65-9D91-7224C49458BB}"/>
              </c:extLst>
            </c:dLbl>
            <c:dLbl>
              <c:idx val="2"/>
              <c:tx>
                <c:rich>
                  <a:bodyPr/>
                  <a:lstStyle/>
                  <a:p>
                    <a:r>
                      <a:rPr lang="en-US"/>
                      <a:t>-8,80%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3C2-4589-89E3-8BE20281B9EE}"/>
                </c:ext>
                <c:ext xmlns:c15="http://schemas.microsoft.com/office/drawing/2012/chart" uri="{CE6537A1-D6FC-4f65-9D91-7224C49458BB}"/>
              </c:extLst>
            </c:dLbl>
            <c:dLbl>
              <c:idx val="3"/>
              <c:layout>
                <c:manualLayout>
                  <c:x val="8.862433400906481E-3"/>
                  <c:y val="6.792375531724004E-3"/>
                </c:manualLayout>
              </c:layout>
              <c:tx>
                <c:rich>
                  <a:bodyPr/>
                  <a:lstStyle/>
                  <a:p>
                    <a:r>
                      <a:rPr lang="en-US"/>
                      <a:t>-2,80%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3C2-4589-89E3-8BE20281B9EE}"/>
                </c:ext>
                <c:ext xmlns:c15="http://schemas.microsoft.com/office/drawing/2012/chart" uri="{CE6537A1-D6FC-4f65-9D91-7224C49458BB}"/>
              </c:extLst>
            </c:dLbl>
            <c:dLbl>
              <c:idx val="4"/>
              <c:tx>
                <c:rich>
                  <a:bodyPr/>
                  <a:lstStyle/>
                  <a:p>
                    <a:r>
                      <a:rPr lang="en-US"/>
                      <a:t>0,56%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3C2-4589-89E3-8BE20281B9EE}"/>
                </c:ext>
                <c:ext xmlns:c15="http://schemas.microsoft.com/office/drawing/2012/chart" uri="{CE6537A1-D6FC-4f65-9D91-7224C49458BB}"/>
              </c:extLst>
            </c:dLbl>
            <c:dLbl>
              <c:idx val="5"/>
              <c:tx>
                <c:rich>
                  <a:bodyPr/>
                  <a:lstStyle/>
                  <a:p>
                    <a:r>
                      <a:rPr lang="en-US"/>
                      <a:t>0,85%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3C2-4589-89E3-8BE20281B9EE}"/>
                </c:ext>
                <c:ext xmlns:c15="http://schemas.microsoft.com/office/drawing/2012/chart" uri="{CE6537A1-D6FC-4f65-9D91-7224C49458BB}"/>
              </c:extLst>
            </c:dLbl>
            <c:dLbl>
              <c:idx val="6"/>
              <c:layout>
                <c:manualLayout>
                  <c:x val="8.862433400906481E-3"/>
                  <c:y val="6.792375531724004E-3"/>
                </c:manualLayout>
              </c:layout>
              <c:tx>
                <c:rich>
                  <a:bodyPr/>
                  <a:lstStyle/>
                  <a:p>
                    <a:r>
                      <a:rPr lang="en-US"/>
                      <a:t>-0,98%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3C2-4589-89E3-8BE20281B9EE}"/>
                </c:ext>
                <c:ext xmlns:c15="http://schemas.microsoft.com/office/drawing/2012/chart" uri="{CE6537A1-D6FC-4f65-9D91-7224C49458BB}"/>
              </c:extLst>
            </c:dLbl>
            <c:dLbl>
              <c:idx val="7"/>
              <c:tx>
                <c:rich>
                  <a:bodyPr/>
                  <a:lstStyle/>
                  <a:p>
                    <a:r>
                      <a:rPr lang="en-US"/>
                      <a:t>12,36%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93C2-4589-89E3-8BE20281B9E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Sheet5!$AB$29:$AB$36</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Sheet5!$AD$29:$AD$36</c:f>
              <c:numCache>
                <c:formatCode>0.00</c:formatCode>
                <c:ptCount val="8"/>
                <c:pt idx="0">
                  <c:v>-1.6582406471183013</c:v>
                </c:pt>
                <c:pt idx="1">
                  <c:v>1.6820691355442163</c:v>
                </c:pt>
                <c:pt idx="2">
                  <c:v>-8.8005172262645743</c:v>
                </c:pt>
                <c:pt idx="3">
                  <c:v>-2.7968774714590099</c:v>
                </c:pt>
                <c:pt idx="4">
                  <c:v>0.56098268691362796</c:v>
                </c:pt>
                <c:pt idx="5">
                  <c:v>0.84734391229369288</c:v>
                </c:pt>
                <c:pt idx="6">
                  <c:v>-0.98183103981089948</c:v>
                </c:pt>
                <c:pt idx="7">
                  <c:v>12.355597189695551</c:v>
                </c:pt>
              </c:numCache>
            </c:numRef>
          </c:val>
          <c:extLst xmlns:c16r2="http://schemas.microsoft.com/office/drawing/2015/06/chart">
            <c:ext xmlns:c16="http://schemas.microsoft.com/office/drawing/2014/chart" uri="{C3380CC4-5D6E-409C-BE32-E72D297353CC}">
              <c16:uniqueId val="{00000011-93C2-4589-89E3-8BE20281B9EE}"/>
            </c:ext>
          </c:extLst>
        </c:ser>
        <c:dLbls>
          <c:showLegendKey val="0"/>
          <c:showVal val="1"/>
          <c:showCatName val="0"/>
          <c:showSerName val="0"/>
          <c:showPercent val="0"/>
          <c:showBubbleSize val="0"/>
        </c:dLbls>
        <c:gapWidth val="75"/>
        <c:axId val="116577512"/>
        <c:axId val="116578688"/>
      </c:barChart>
      <c:catAx>
        <c:axId val="116577512"/>
        <c:scaling>
          <c:orientation val="minMax"/>
        </c:scaling>
        <c:delete val="1"/>
        <c:axPos val="b"/>
        <c:numFmt formatCode="General" sourceLinked="0"/>
        <c:majorTickMark val="none"/>
        <c:minorTickMark val="none"/>
        <c:tickLblPos val="nextTo"/>
        <c:crossAx val="116578688"/>
        <c:crosses val="autoZero"/>
        <c:auto val="1"/>
        <c:lblAlgn val="ctr"/>
        <c:lblOffset val="100"/>
        <c:noMultiLvlLbl val="0"/>
      </c:catAx>
      <c:valAx>
        <c:axId val="116578688"/>
        <c:scaling>
          <c:orientation val="minMax"/>
        </c:scaling>
        <c:delete val="0"/>
        <c:axPos val="l"/>
        <c:numFmt formatCode="0.00" sourceLinked="1"/>
        <c:majorTickMark val="none"/>
        <c:minorTickMark val="none"/>
        <c:tickLblPos val="nextTo"/>
        <c:txPr>
          <a:bodyPr/>
          <a:lstStyle/>
          <a:p>
            <a:pPr>
              <a:defRPr sz="600"/>
            </a:pPr>
            <a:endParaRPr lang="ro-RO"/>
          </a:p>
        </c:txPr>
        <c:crossAx val="116577512"/>
        <c:crosses val="autoZero"/>
        <c:crossBetween val="between"/>
      </c:valAx>
      <c:spPr>
        <a:noFill/>
        <a:ln w="25400">
          <a:noFill/>
        </a:ln>
      </c:spPr>
    </c:plotArea>
    <c:legend>
      <c:legendPos val="b"/>
      <c:overlay val="0"/>
    </c:legend>
    <c:plotVisOnly val="1"/>
    <c:dispBlanksAs val="gap"/>
    <c:showDLblsOverMax val="0"/>
  </c:chart>
  <c:spPr>
    <a:ln w="28575">
      <a:solidFill>
        <a:schemeClr val="bg2"/>
      </a:solidFill>
    </a:ln>
  </c:spPr>
  <c:txPr>
    <a:bodyPr/>
    <a:lstStyle/>
    <a:p>
      <a:pPr>
        <a:defRPr sz="700"/>
      </a:pPr>
      <a:endParaRPr lang="ro-RO"/>
    </a:p>
  </c:tx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none"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ro-RO" cap="none"/>
              <a:t>Quantity</a:t>
            </a:r>
            <a:r>
              <a:rPr lang="ro-RO" cap="none" baseline="0"/>
              <a:t> of chemical fertilizers applied in agricultur</a:t>
            </a:r>
            <a:r>
              <a:rPr lang="en-US" cap="none" baseline="0"/>
              <a:t>e</a:t>
            </a:r>
            <a:r>
              <a:rPr lang="ro-RO" cap="none" baseline="0"/>
              <a:t> (tonnes)</a:t>
            </a:r>
            <a:endParaRPr lang="ro-RO" cap="none"/>
          </a:p>
        </c:rich>
      </c:tx>
      <c:overlay val="0"/>
      <c:spPr>
        <a:noFill/>
        <a:ln>
          <a:noFill/>
        </a:ln>
        <a:effectLst/>
      </c:spPr>
      <c:txPr>
        <a:bodyPr rot="0" spcFirstLastPara="1" vertOverflow="ellipsis" vert="horz" wrap="square" anchor="ctr" anchorCtr="1"/>
        <a:lstStyle/>
        <a:p>
          <a:pPr>
            <a:defRPr sz="960" b="1" i="0" u="none" strike="noStrike" kern="1200" cap="none"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autoTitleDeleted val="0"/>
    <c:plotArea>
      <c:layout/>
      <c:barChart>
        <c:barDir val="col"/>
        <c:grouping val="clustered"/>
        <c:varyColors val="0"/>
        <c:ser>
          <c:idx val="0"/>
          <c:order val="0"/>
          <c:tx>
            <c:strRef>
              <c:f>ferilizers!$C$15</c:f>
              <c:strCache>
                <c:ptCount val="1"/>
                <c:pt idx="0">
                  <c:v>2009</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ferilizers!$B$16:$B$23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ferilizers!$C$16:$C$23</c:f>
              <c:numCache>
                <c:formatCode>General</c:formatCode>
                <c:ptCount val="8"/>
                <c:pt idx="0">
                  <c:v>66167</c:v>
                </c:pt>
                <c:pt idx="1">
                  <c:v>64350</c:v>
                </c:pt>
                <c:pt idx="2">
                  <c:v>75849</c:v>
                </c:pt>
                <c:pt idx="3">
                  <c:v>38442</c:v>
                </c:pt>
                <c:pt idx="4">
                  <c:v>6937</c:v>
                </c:pt>
                <c:pt idx="5">
                  <c:v>7223</c:v>
                </c:pt>
                <c:pt idx="6">
                  <c:v>14820</c:v>
                </c:pt>
                <c:pt idx="7">
                  <c:v>33201</c:v>
                </c:pt>
              </c:numCache>
            </c:numRef>
          </c:val>
          <c:extLst xmlns:c16r2="http://schemas.microsoft.com/office/drawing/2015/06/chart">
            <c:ext xmlns:c16="http://schemas.microsoft.com/office/drawing/2014/chart" uri="{C3380CC4-5D6E-409C-BE32-E72D297353CC}">
              <c16:uniqueId val="{00000000-CBEC-429F-BD20-0EA58F4C5B8C}"/>
            </c:ext>
          </c:extLst>
        </c:ser>
        <c:ser>
          <c:idx val="1"/>
          <c:order val="1"/>
          <c:tx>
            <c:strRef>
              <c:f>ferilizers!$D$15</c:f>
              <c:strCache>
                <c:ptCount val="1"/>
                <c:pt idx="0">
                  <c:v>2012</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ferilizers!$B$16:$B$23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ferilizers!$D$16:$D$23</c:f>
              <c:numCache>
                <c:formatCode>General</c:formatCode>
                <c:ptCount val="8"/>
                <c:pt idx="0">
                  <c:v>63577</c:v>
                </c:pt>
                <c:pt idx="1">
                  <c:v>63280</c:v>
                </c:pt>
                <c:pt idx="2">
                  <c:v>78968</c:v>
                </c:pt>
                <c:pt idx="3">
                  <c:v>51063</c:v>
                </c:pt>
                <c:pt idx="4">
                  <c:v>11336</c:v>
                </c:pt>
                <c:pt idx="5">
                  <c:v>6716</c:v>
                </c:pt>
                <c:pt idx="6">
                  <c:v>14892</c:v>
                </c:pt>
                <c:pt idx="7">
                  <c:v>25940</c:v>
                </c:pt>
              </c:numCache>
            </c:numRef>
          </c:val>
          <c:extLst xmlns:c16r2="http://schemas.microsoft.com/office/drawing/2015/06/chart">
            <c:ext xmlns:c16="http://schemas.microsoft.com/office/drawing/2014/chart" uri="{C3380CC4-5D6E-409C-BE32-E72D297353CC}">
              <c16:uniqueId val="{00000001-CBEC-429F-BD20-0EA58F4C5B8C}"/>
            </c:ext>
          </c:extLst>
        </c:ser>
        <c:ser>
          <c:idx val="2"/>
          <c:order val="2"/>
          <c:tx>
            <c:strRef>
              <c:f>ferilizers!$E$15</c:f>
              <c:strCache>
                <c:ptCount val="1"/>
                <c:pt idx="0">
                  <c:v>2015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ferilizers!$B$16:$B$23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ferilizers!$E$16:$E$23</c:f>
              <c:numCache>
                <c:formatCode>General</c:formatCode>
                <c:ptCount val="8"/>
                <c:pt idx="0">
                  <c:v>71219</c:v>
                </c:pt>
                <c:pt idx="1">
                  <c:v>69030</c:v>
                </c:pt>
                <c:pt idx="2">
                  <c:v>84986</c:v>
                </c:pt>
                <c:pt idx="3">
                  <c:v>51906</c:v>
                </c:pt>
                <c:pt idx="4">
                  <c:v>10900</c:v>
                </c:pt>
                <c:pt idx="5">
                  <c:v>13312</c:v>
                </c:pt>
                <c:pt idx="6">
                  <c:v>15774</c:v>
                </c:pt>
                <c:pt idx="7">
                  <c:v>25940</c:v>
                </c:pt>
              </c:numCache>
            </c:numRef>
          </c:val>
          <c:extLst xmlns:c16r2="http://schemas.microsoft.com/office/drawing/2015/06/chart">
            <c:ext xmlns:c16="http://schemas.microsoft.com/office/drawing/2014/chart" uri="{C3380CC4-5D6E-409C-BE32-E72D297353CC}">
              <c16:uniqueId val="{00000002-CBEC-429F-BD20-0EA58F4C5B8C}"/>
            </c:ext>
          </c:extLst>
        </c:ser>
        <c:ser>
          <c:idx val="3"/>
          <c:order val="3"/>
          <c:tx>
            <c:strRef>
              <c:f>ferilizers!$F$15</c:f>
              <c:strCache>
                <c:ptCount val="1"/>
                <c:pt idx="0">
                  <c:v>2018</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Calibri" panose="020F0502020204030204" pitchFamily="34" charset="0"/>
                    <a:ea typeface="+mn-ea"/>
                    <a:cs typeface="Calibri" panose="020F0502020204030204" pitchFamily="34" charset="0"/>
                  </a:defRPr>
                </a:pPr>
                <a:endParaRPr lang="ro-R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ferilizers!$B$16:$B$23</c:f>
              <c:strCache>
                <c:ptCount val="8"/>
                <c:pt idx="0">
                  <c:v>Hajdú-Bihar</c:v>
                </c:pt>
                <c:pt idx="1">
                  <c:v>Szabolcs-Szatmár-Bereg</c:v>
                </c:pt>
                <c:pt idx="2">
                  <c:v>Békés</c:v>
                </c:pt>
                <c:pt idx="3">
                  <c:v>Csongrád</c:v>
                </c:pt>
                <c:pt idx="4">
                  <c:v>Bihor</c:v>
                </c:pt>
                <c:pt idx="5">
                  <c:v>Satu Mare</c:v>
                </c:pt>
                <c:pt idx="6">
                  <c:v>Arad</c:v>
                </c:pt>
                <c:pt idx="7">
                  <c:v>Timis</c:v>
                </c:pt>
              </c:strCache>
            </c:strRef>
          </c:cat>
          <c:val>
            <c:numRef>
              <c:f>ferilizers!$F$16:$F$23</c:f>
              <c:numCache>
                <c:formatCode>General</c:formatCode>
                <c:ptCount val="8"/>
                <c:pt idx="0">
                  <c:v>74203</c:v>
                </c:pt>
                <c:pt idx="1">
                  <c:v>63129</c:v>
                </c:pt>
                <c:pt idx="2">
                  <c:v>99816</c:v>
                </c:pt>
                <c:pt idx="3">
                  <c:v>54058</c:v>
                </c:pt>
                <c:pt idx="4">
                  <c:v>6890</c:v>
                </c:pt>
                <c:pt idx="5">
                  <c:v>29670</c:v>
                </c:pt>
                <c:pt idx="6">
                  <c:v>22235</c:v>
                </c:pt>
                <c:pt idx="7">
                  <c:v>124124</c:v>
                </c:pt>
              </c:numCache>
            </c:numRef>
          </c:val>
          <c:extLst xmlns:c16r2="http://schemas.microsoft.com/office/drawing/2015/06/chart">
            <c:ext xmlns:c16="http://schemas.microsoft.com/office/drawing/2014/chart" uri="{C3380CC4-5D6E-409C-BE32-E72D297353CC}">
              <c16:uniqueId val="{00000003-CBEC-429F-BD20-0EA58F4C5B8C}"/>
            </c:ext>
          </c:extLst>
        </c:ser>
        <c:dLbls>
          <c:dLblPos val="outEnd"/>
          <c:showLegendKey val="0"/>
          <c:showVal val="1"/>
          <c:showCatName val="0"/>
          <c:showSerName val="0"/>
          <c:showPercent val="0"/>
          <c:showBubbleSize val="0"/>
        </c:dLbls>
        <c:gapWidth val="444"/>
        <c:overlap val="-90"/>
        <c:axId val="596666936"/>
        <c:axId val="596666544"/>
      </c:barChart>
      <c:catAx>
        <c:axId val="596666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596666544"/>
        <c:crosses val="autoZero"/>
        <c:auto val="1"/>
        <c:lblAlgn val="ctr"/>
        <c:lblOffset val="100"/>
        <c:noMultiLvlLbl val="0"/>
      </c:catAx>
      <c:valAx>
        <c:axId val="596666544"/>
        <c:scaling>
          <c:orientation val="minMax"/>
        </c:scaling>
        <c:delete val="1"/>
        <c:axPos val="l"/>
        <c:numFmt formatCode="General" sourceLinked="1"/>
        <c:majorTickMark val="none"/>
        <c:minorTickMark val="none"/>
        <c:tickLblPos val="nextTo"/>
        <c:crossAx val="5966669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sz="800">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en-GB" sz="900" b="1"/>
              <a:t>Number of road accidents per 1,000 inhabitants, 2009-2018</a:t>
            </a: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0768995008359578"/>
          <c:y val="0.14045517882025083"/>
          <c:w val="0.84857508381100299"/>
          <c:h val="0.61542692672008659"/>
        </c:manualLayout>
      </c:layout>
      <c:lineChart>
        <c:grouping val="standard"/>
        <c:varyColors val="0"/>
        <c:ser>
          <c:idx val="0"/>
          <c:order val="0"/>
          <c:tx>
            <c:strRef>
              <c:f>Sheet1!$B$16</c:f>
              <c:strCache>
                <c:ptCount val="1"/>
                <c:pt idx="0">
                  <c:v>Hajdú-Bihar</c:v>
                </c:pt>
              </c:strCache>
            </c:strRef>
          </c:tx>
          <c:spPr>
            <a:ln w="28575" cap="rnd">
              <a:solidFill>
                <a:schemeClr val="accent3">
                  <a:lumMod val="75000"/>
                </a:schemeClr>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Sheet1!$C$16:$L$16</c:f>
              <c:numCache>
                <c:formatCode>General</c:formatCode>
                <c:ptCount val="10"/>
                <c:pt idx="0">
                  <c:v>1.1564169150411663</c:v>
                </c:pt>
                <c:pt idx="1">
                  <c:v>1.1620216590000001</c:v>
                </c:pt>
                <c:pt idx="2">
                  <c:v>1.00616298</c:v>
                </c:pt>
                <c:pt idx="3">
                  <c:v>0.96</c:v>
                </c:pt>
                <c:pt idx="4">
                  <c:v>1.1200000000000001</c:v>
                </c:pt>
                <c:pt idx="5">
                  <c:v>1.07</c:v>
                </c:pt>
                <c:pt idx="6">
                  <c:v>1.1299999999999999</c:v>
                </c:pt>
                <c:pt idx="7">
                  <c:v>1.04</c:v>
                </c:pt>
                <c:pt idx="8">
                  <c:v>0.96544133249999997</c:v>
                </c:pt>
                <c:pt idx="9">
                  <c:v>1.078301261</c:v>
                </c:pt>
              </c:numCache>
            </c:numRef>
          </c:val>
          <c:smooth val="0"/>
          <c:extLst xmlns:c16r2="http://schemas.microsoft.com/office/drawing/2015/06/chart">
            <c:ext xmlns:c16="http://schemas.microsoft.com/office/drawing/2014/chart" uri="{C3380CC4-5D6E-409C-BE32-E72D297353CC}">
              <c16:uniqueId val="{00000000-FD63-4066-B691-CAC5C4573544}"/>
            </c:ext>
          </c:extLst>
        </c:ser>
        <c:ser>
          <c:idx val="1"/>
          <c:order val="1"/>
          <c:tx>
            <c:strRef>
              <c:f>Sheet1!$B$17</c:f>
              <c:strCache>
                <c:ptCount val="1"/>
                <c:pt idx="0">
                  <c:v>Szabolcs-Szatmár-Bereg</c:v>
                </c:pt>
              </c:strCache>
            </c:strRef>
          </c:tx>
          <c:spPr>
            <a:ln w="28575" cap="rnd">
              <a:solidFill>
                <a:schemeClr val="accent4"/>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Sheet1!$C$17:$L$17</c:f>
              <c:numCache>
                <c:formatCode>General</c:formatCode>
                <c:ptCount val="10"/>
                <c:pt idx="0">
                  <c:v>1.2789080989999999</c:v>
                </c:pt>
                <c:pt idx="1">
                  <c:v>1.274024007</c:v>
                </c:pt>
                <c:pt idx="2">
                  <c:v>1.234932385</c:v>
                </c:pt>
                <c:pt idx="3">
                  <c:v>1.05</c:v>
                </c:pt>
                <c:pt idx="4">
                  <c:v>1.2</c:v>
                </c:pt>
                <c:pt idx="5">
                  <c:v>1.22</c:v>
                </c:pt>
                <c:pt idx="6">
                  <c:v>1.23</c:v>
                </c:pt>
                <c:pt idx="7">
                  <c:v>1.22</c:v>
                </c:pt>
                <c:pt idx="8">
                  <c:v>1.060388785</c:v>
                </c:pt>
                <c:pt idx="9">
                  <c:v>1.2285958370000001</c:v>
                </c:pt>
              </c:numCache>
            </c:numRef>
          </c:val>
          <c:smooth val="0"/>
          <c:extLst xmlns:c16r2="http://schemas.microsoft.com/office/drawing/2015/06/chart">
            <c:ext xmlns:c16="http://schemas.microsoft.com/office/drawing/2014/chart" uri="{C3380CC4-5D6E-409C-BE32-E72D297353CC}">
              <c16:uniqueId val="{00000001-FD63-4066-B691-CAC5C4573544}"/>
            </c:ext>
          </c:extLst>
        </c:ser>
        <c:ser>
          <c:idx val="2"/>
          <c:order val="2"/>
          <c:tx>
            <c:strRef>
              <c:f>Sheet1!$B$18</c:f>
              <c:strCache>
                <c:ptCount val="1"/>
                <c:pt idx="0">
                  <c:v>Békés</c:v>
                </c:pt>
              </c:strCache>
            </c:strRef>
          </c:tx>
          <c:spPr>
            <a:ln w="28575" cap="rnd">
              <a:solidFill>
                <a:schemeClr val="accent3"/>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Sheet1!$C$18:$L$18</c:f>
              <c:numCache>
                <c:formatCode>General</c:formatCode>
                <c:ptCount val="10"/>
                <c:pt idx="0">
                  <c:v>1.9794140929999999</c:v>
                </c:pt>
                <c:pt idx="1">
                  <c:v>1.964229204</c:v>
                </c:pt>
                <c:pt idx="2">
                  <c:v>2.3769907300000002</c:v>
                </c:pt>
                <c:pt idx="3">
                  <c:v>2.27</c:v>
                </c:pt>
                <c:pt idx="4">
                  <c:v>2.4300000000000002</c:v>
                </c:pt>
                <c:pt idx="5">
                  <c:v>2.33</c:v>
                </c:pt>
                <c:pt idx="6">
                  <c:v>2.62</c:v>
                </c:pt>
                <c:pt idx="7">
                  <c:v>2.79</c:v>
                </c:pt>
                <c:pt idx="8">
                  <c:v>2.3653916910000001</c:v>
                </c:pt>
                <c:pt idx="9">
                  <c:v>2.6950669330000001</c:v>
                </c:pt>
              </c:numCache>
            </c:numRef>
          </c:val>
          <c:smooth val="0"/>
          <c:extLst xmlns:c16r2="http://schemas.microsoft.com/office/drawing/2015/06/chart">
            <c:ext xmlns:c16="http://schemas.microsoft.com/office/drawing/2014/chart" uri="{C3380CC4-5D6E-409C-BE32-E72D297353CC}">
              <c16:uniqueId val="{00000002-FD63-4066-B691-CAC5C4573544}"/>
            </c:ext>
          </c:extLst>
        </c:ser>
        <c:ser>
          <c:idx val="3"/>
          <c:order val="3"/>
          <c:tx>
            <c:strRef>
              <c:f>Sheet1!$B$19</c:f>
              <c:strCache>
                <c:ptCount val="1"/>
                <c:pt idx="0">
                  <c:v>Csongrád</c:v>
                </c:pt>
              </c:strCache>
            </c:strRef>
          </c:tx>
          <c:spPr>
            <a:ln w="28575" cap="rnd">
              <a:solidFill>
                <a:schemeClr val="accent5"/>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Sheet1!$C$19:$L$19</c:f>
              <c:numCache>
                <c:formatCode>General</c:formatCode>
                <c:ptCount val="10"/>
                <c:pt idx="0">
                  <c:v>2.1376697039999999</c:v>
                </c:pt>
                <c:pt idx="1">
                  <c:v>1.502693507</c:v>
                </c:pt>
                <c:pt idx="2">
                  <c:v>1.9700019200000001</c:v>
                </c:pt>
                <c:pt idx="3">
                  <c:v>1.98</c:v>
                </c:pt>
                <c:pt idx="4">
                  <c:v>2.08</c:v>
                </c:pt>
                <c:pt idx="5">
                  <c:v>2.3199999999999998</c:v>
                </c:pt>
                <c:pt idx="6">
                  <c:v>2.27</c:v>
                </c:pt>
                <c:pt idx="7">
                  <c:v>2.42</c:v>
                </c:pt>
                <c:pt idx="8">
                  <c:v>2.064916594</c:v>
                </c:pt>
                <c:pt idx="9">
                  <c:v>2.3236174479999998</c:v>
                </c:pt>
              </c:numCache>
            </c:numRef>
          </c:val>
          <c:smooth val="0"/>
          <c:extLst xmlns:c16r2="http://schemas.microsoft.com/office/drawing/2015/06/chart">
            <c:ext xmlns:c16="http://schemas.microsoft.com/office/drawing/2014/chart" uri="{C3380CC4-5D6E-409C-BE32-E72D297353CC}">
              <c16:uniqueId val="{00000003-FD63-4066-B691-CAC5C4573544}"/>
            </c:ext>
          </c:extLst>
        </c:ser>
        <c:ser>
          <c:idx val="4"/>
          <c:order val="4"/>
          <c:tx>
            <c:strRef>
              <c:f>Sheet1!$B$20</c:f>
              <c:strCache>
                <c:ptCount val="1"/>
                <c:pt idx="0">
                  <c:v>Bihor</c:v>
                </c:pt>
              </c:strCache>
            </c:strRef>
          </c:tx>
          <c:spPr>
            <a:ln w="28575" cap="rnd">
              <a:solidFill>
                <a:schemeClr val="accent1"/>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Sheet1!$C$20:$L$20</c:f>
              <c:numCache>
                <c:formatCode>General</c:formatCode>
                <c:ptCount val="10"/>
                <c:pt idx="0">
                  <c:v>1.03772536</c:v>
                </c:pt>
                <c:pt idx="1">
                  <c:v>0.96802972220000005</c:v>
                </c:pt>
                <c:pt idx="2">
                  <c:v>0.99824464079999997</c:v>
                </c:pt>
                <c:pt idx="3">
                  <c:v>1.03</c:v>
                </c:pt>
                <c:pt idx="4">
                  <c:v>0.95</c:v>
                </c:pt>
                <c:pt idx="5">
                  <c:v>0.81</c:v>
                </c:pt>
                <c:pt idx="6">
                  <c:v>0.83</c:v>
                </c:pt>
                <c:pt idx="7">
                  <c:v>0.95</c:v>
                </c:pt>
                <c:pt idx="8">
                  <c:v>1.059409944</c:v>
                </c:pt>
                <c:pt idx="9">
                  <c:v>0.88812623089999998</c:v>
                </c:pt>
              </c:numCache>
            </c:numRef>
          </c:val>
          <c:smooth val="0"/>
          <c:extLst xmlns:c16r2="http://schemas.microsoft.com/office/drawing/2015/06/chart">
            <c:ext xmlns:c16="http://schemas.microsoft.com/office/drawing/2014/chart" uri="{C3380CC4-5D6E-409C-BE32-E72D297353CC}">
              <c16:uniqueId val="{00000004-FD63-4066-B691-CAC5C4573544}"/>
            </c:ext>
          </c:extLst>
        </c:ser>
        <c:ser>
          <c:idx val="5"/>
          <c:order val="5"/>
          <c:tx>
            <c:strRef>
              <c:f>Sheet1!$B$21</c:f>
              <c:strCache>
                <c:ptCount val="1"/>
                <c:pt idx="0">
                  <c:v>Satu Mare</c:v>
                </c:pt>
              </c:strCache>
            </c:strRef>
          </c:tx>
          <c:spPr>
            <a:ln w="28575" cap="rnd">
              <a:solidFill>
                <a:schemeClr val="tx2"/>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Sheet1!$C$21:$L$21</c:f>
              <c:numCache>
                <c:formatCode>General</c:formatCode>
                <c:ptCount val="10"/>
                <c:pt idx="0">
                  <c:v>0.74416975829999998</c:v>
                </c:pt>
                <c:pt idx="1">
                  <c:v>0.62809074129999998</c:v>
                </c:pt>
                <c:pt idx="2">
                  <c:v>0.65476714499999999</c:v>
                </c:pt>
                <c:pt idx="3">
                  <c:v>0.83</c:v>
                </c:pt>
                <c:pt idx="4">
                  <c:v>0.85</c:v>
                </c:pt>
                <c:pt idx="5">
                  <c:v>0.79</c:v>
                </c:pt>
                <c:pt idx="6">
                  <c:v>0.94</c:v>
                </c:pt>
                <c:pt idx="7">
                  <c:v>0.96</c:v>
                </c:pt>
                <c:pt idx="8">
                  <c:v>0.89447830520000005</c:v>
                </c:pt>
                <c:pt idx="9">
                  <c:v>0.86052862750000003</c:v>
                </c:pt>
              </c:numCache>
            </c:numRef>
          </c:val>
          <c:smooth val="0"/>
          <c:extLst xmlns:c16r2="http://schemas.microsoft.com/office/drawing/2015/06/chart">
            <c:ext xmlns:c16="http://schemas.microsoft.com/office/drawing/2014/chart" uri="{C3380CC4-5D6E-409C-BE32-E72D297353CC}">
              <c16:uniqueId val="{00000005-FD63-4066-B691-CAC5C4573544}"/>
            </c:ext>
          </c:extLst>
        </c:ser>
        <c:ser>
          <c:idx val="6"/>
          <c:order val="6"/>
          <c:tx>
            <c:strRef>
              <c:f>Sheet1!$B$22</c:f>
              <c:strCache>
                <c:ptCount val="1"/>
                <c:pt idx="0">
                  <c:v>Arad</c:v>
                </c:pt>
              </c:strCache>
            </c:strRef>
          </c:tx>
          <c:spPr>
            <a:ln w="28575" cap="rnd">
              <a:solidFill>
                <a:schemeClr val="accent6"/>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Sheet1!$C$22:$L$22</c:f>
              <c:numCache>
                <c:formatCode>General</c:formatCode>
                <c:ptCount val="10"/>
                <c:pt idx="0">
                  <c:v>1.123973882</c:v>
                </c:pt>
                <c:pt idx="1">
                  <c:v>0.97041123920000005</c:v>
                </c:pt>
                <c:pt idx="2">
                  <c:v>1.386429253</c:v>
                </c:pt>
                <c:pt idx="3">
                  <c:v>1.59</c:v>
                </c:pt>
                <c:pt idx="4">
                  <c:v>1.29</c:v>
                </c:pt>
                <c:pt idx="5">
                  <c:v>1.27</c:v>
                </c:pt>
                <c:pt idx="6">
                  <c:v>1.29</c:v>
                </c:pt>
                <c:pt idx="7">
                  <c:v>1.44</c:v>
                </c:pt>
                <c:pt idx="8">
                  <c:v>1.5025655</c:v>
                </c:pt>
                <c:pt idx="9">
                  <c:v>1.511827547</c:v>
                </c:pt>
              </c:numCache>
            </c:numRef>
          </c:val>
          <c:smooth val="0"/>
          <c:extLst xmlns:c16r2="http://schemas.microsoft.com/office/drawing/2015/06/chart">
            <c:ext xmlns:c16="http://schemas.microsoft.com/office/drawing/2014/chart" uri="{C3380CC4-5D6E-409C-BE32-E72D297353CC}">
              <c16:uniqueId val="{00000006-FD63-4066-B691-CAC5C4573544}"/>
            </c:ext>
          </c:extLst>
        </c:ser>
        <c:ser>
          <c:idx val="7"/>
          <c:order val="7"/>
          <c:tx>
            <c:strRef>
              <c:f>Sheet1!$B$23</c:f>
              <c:strCache>
                <c:ptCount val="1"/>
                <c:pt idx="0">
                  <c:v>Timis</c:v>
                </c:pt>
              </c:strCache>
            </c:strRef>
          </c:tx>
          <c:spPr>
            <a:ln w="28575" cap="rnd">
              <a:solidFill>
                <a:schemeClr val="accent6">
                  <a:lumMod val="60000"/>
                  <a:lumOff val="40000"/>
                </a:schemeClr>
              </a:solidFill>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Sheet1!$C$23:$L$23</c:f>
              <c:numCache>
                <c:formatCode>General</c:formatCode>
                <c:ptCount val="10"/>
                <c:pt idx="0">
                  <c:v>1.1443609910000001</c:v>
                </c:pt>
                <c:pt idx="1">
                  <c:v>1.004721602</c:v>
                </c:pt>
                <c:pt idx="2">
                  <c:v>0.92872821729999999</c:v>
                </c:pt>
                <c:pt idx="3">
                  <c:v>1.05</c:v>
                </c:pt>
                <c:pt idx="4">
                  <c:v>0.8</c:v>
                </c:pt>
                <c:pt idx="5">
                  <c:v>0.95</c:v>
                </c:pt>
                <c:pt idx="6">
                  <c:v>1.42</c:v>
                </c:pt>
                <c:pt idx="7">
                  <c:v>1.41</c:v>
                </c:pt>
                <c:pt idx="8">
                  <c:v>1.383436852</c:v>
                </c:pt>
                <c:pt idx="9">
                  <c:v>1.267286197</c:v>
                </c:pt>
              </c:numCache>
            </c:numRef>
          </c:val>
          <c:smooth val="0"/>
          <c:extLst xmlns:c16r2="http://schemas.microsoft.com/office/drawing/2015/06/chart">
            <c:ext xmlns:c16="http://schemas.microsoft.com/office/drawing/2014/chart" uri="{C3380CC4-5D6E-409C-BE32-E72D297353CC}">
              <c16:uniqueId val="{00000007-FD63-4066-B691-CAC5C4573544}"/>
            </c:ext>
          </c:extLst>
        </c:ser>
        <c:ser>
          <c:idx val="8"/>
          <c:order val="8"/>
          <c:tx>
            <c:strRef>
              <c:f>Sheet1!$B$24</c:f>
              <c:strCache>
                <c:ptCount val="1"/>
                <c:pt idx="0">
                  <c:v>HU side</c:v>
                </c:pt>
              </c:strCache>
            </c:strRef>
          </c:tx>
          <c:spPr>
            <a:ln w="28575" cap="rnd">
              <a:solidFill>
                <a:schemeClr val="accent3"/>
              </a:solidFill>
              <a:prstDash val="sysDash"/>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Sheet1!$C$24:$L$24</c:f>
              <c:numCache>
                <c:formatCode>General</c:formatCode>
                <c:ptCount val="10"/>
                <c:pt idx="0">
                  <c:v>1.5720047554326404</c:v>
                </c:pt>
                <c:pt idx="1">
                  <c:v>1.4268925093694342</c:v>
                </c:pt>
                <c:pt idx="2">
                  <c:v>1.5541843486184526</c:v>
                </c:pt>
                <c:pt idx="3">
                  <c:v>1.4597532385122094</c:v>
                </c:pt>
                <c:pt idx="4">
                  <c:v>1.6074896636600065</c:v>
                </c:pt>
                <c:pt idx="5">
                  <c:v>1.6270685826579818</c:v>
                </c:pt>
                <c:pt idx="6">
                  <c:v>1.6941503884267881</c:v>
                </c:pt>
                <c:pt idx="7">
                  <c:v>1.7236476016535771</c:v>
                </c:pt>
                <c:pt idx="8">
                  <c:v>1.4953513014832753</c:v>
                </c:pt>
                <c:pt idx="9">
                  <c:v>1.696141619889135</c:v>
                </c:pt>
              </c:numCache>
            </c:numRef>
          </c:val>
          <c:smooth val="0"/>
          <c:extLst xmlns:c16r2="http://schemas.microsoft.com/office/drawing/2015/06/chart">
            <c:ext xmlns:c16="http://schemas.microsoft.com/office/drawing/2014/chart" uri="{C3380CC4-5D6E-409C-BE32-E72D297353CC}">
              <c16:uniqueId val="{00000008-FD63-4066-B691-CAC5C4573544}"/>
            </c:ext>
          </c:extLst>
        </c:ser>
        <c:ser>
          <c:idx val="9"/>
          <c:order val="9"/>
          <c:tx>
            <c:strRef>
              <c:f>Sheet1!$B$25</c:f>
              <c:strCache>
                <c:ptCount val="1"/>
                <c:pt idx="0">
                  <c:v>RO side</c:v>
                </c:pt>
              </c:strCache>
            </c:strRef>
          </c:tx>
          <c:spPr>
            <a:ln w="28575" cap="rnd">
              <a:solidFill>
                <a:schemeClr val="accent1"/>
              </a:solidFill>
              <a:prstDash val="sysDash"/>
              <a:round/>
            </a:ln>
            <a:effectLst/>
          </c:spPr>
          <c:marker>
            <c:symbol val="none"/>
          </c:marker>
          <c:cat>
            <c:numRef>
              <c:f>Sheet1!$C$15:$L$15</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Sheet1!$C$25:$L$25</c:f>
              <c:numCache>
                <c:formatCode>General</c:formatCode>
                <c:ptCount val="10"/>
                <c:pt idx="0">
                  <c:v>1.0397652882768376</c:v>
                </c:pt>
                <c:pt idx="1">
                  <c:v>0.92120472735303993</c:v>
                </c:pt>
                <c:pt idx="2">
                  <c:v>1.0004775115047737</c:v>
                </c:pt>
                <c:pt idx="3">
                  <c:v>1.1214457464392993</c:v>
                </c:pt>
                <c:pt idx="4">
                  <c:v>0.95496266518007877</c:v>
                </c:pt>
                <c:pt idx="5">
                  <c:v>0.95198096038079238</c:v>
                </c:pt>
                <c:pt idx="6">
                  <c:v>1.1474864196899623</c:v>
                </c:pt>
                <c:pt idx="7">
                  <c:v>1.2115713197350026</c:v>
                </c:pt>
                <c:pt idx="8">
                  <c:v>1.2362411940676241</c:v>
                </c:pt>
                <c:pt idx="9">
                  <c:v>1.1447550709381742</c:v>
                </c:pt>
              </c:numCache>
            </c:numRef>
          </c:val>
          <c:smooth val="0"/>
          <c:extLst xmlns:c16r2="http://schemas.microsoft.com/office/drawing/2015/06/chart">
            <c:ext xmlns:c16="http://schemas.microsoft.com/office/drawing/2014/chart" uri="{C3380CC4-5D6E-409C-BE32-E72D297353CC}">
              <c16:uniqueId val="{00000009-FD63-4066-B691-CAC5C4573544}"/>
            </c:ext>
          </c:extLst>
        </c:ser>
        <c:dLbls>
          <c:showLegendKey val="0"/>
          <c:showVal val="0"/>
          <c:showCatName val="0"/>
          <c:showSerName val="0"/>
          <c:showPercent val="0"/>
          <c:showBubbleSize val="0"/>
        </c:dLbls>
        <c:smooth val="0"/>
        <c:axId val="596663408"/>
        <c:axId val="596664584"/>
      </c:lineChart>
      <c:catAx>
        <c:axId val="59666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4584"/>
        <c:crosses val="autoZero"/>
        <c:auto val="1"/>
        <c:lblAlgn val="ctr"/>
        <c:lblOffset val="100"/>
        <c:noMultiLvlLbl val="0"/>
      </c:catAx>
      <c:valAx>
        <c:axId val="596664584"/>
        <c:scaling>
          <c:orientation val="minMax"/>
          <c:min val="0.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ro-RO"/>
          </a:p>
        </c:txPr>
        <c:crossAx val="596663408"/>
        <c:crosses val="autoZero"/>
        <c:crossBetween val="between"/>
      </c:valAx>
      <c:spPr>
        <a:noFill/>
        <a:ln>
          <a:noFill/>
        </a:ln>
        <a:effectLst/>
      </c:spPr>
    </c:plotArea>
    <c:legend>
      <c:legendPos val="b"/>
      <c:layout>
        <c:manualLayout>
          <c:xMode val="edge"/>
          <c:yMode val="edge"/>
          <c:x val="0"/>
          <c:y val="0.84352578895589747"/>
          <c:w val="0.99831121044267002"/>
          <c:h val="0.1553446039979757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en-GB" sz="900" b="1"/>
              <a:t>No. of road accidents, total, 2009-2018</a:t>
            </a: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4262289823405433"/>
          <c:y val="0.14647099930118798"/>
          <c:w val="0.8046572359619677"/>
          <c:h val="0.56815801588742698"/>
        </c:manualLayout>
      </c:layout>
      <c:barChart>
        <c:barDir val="col"/>
        <c:grouping val="stacked"/>
        <c:varyColors val="0"/>
        <c:ser>
          <c:idx val="0"/>
          <c:order val="0"/>
          <c:tx>
            <c:strRef>
              <c:f>Sheet1!$B$29</c:f>
              <c:strCache>
                <c:ptCount val="1"/>
                <c:pt idx="0">
                  <c:v>Hajdú-Bihar</c:v>
                </c:pt>
              </c:strCache>
            </c:strRef>
          </c:tx>
          <c:spPr>
            <a:solidFill>
              <a:schemeClr val="accent3">
                <a:lumMod val="50000"/>
              </a:schemeClr>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Sheet1!$C$29:$L$29</c:f>
              <c:numCache>
                <c:formatCode>General</c:formatCode>
                <c:ptCount val="10"/>
                <c:pt idx="0">
                  <c:v>627</c:v>
                </c:pt>
                <c:pt idx="1">
                  <c:v>629</c:v>
                </c:pt>
                <c:pt idx="2">
                  <c:v>543</c:v>
                </c:pt>
                <c:pt idx="3">
                  <c:v>519</c:v>
                </c:pt>
                <c:pt idx="4">
                  <c:v>606</c:v>
                </c:pt>
                <c:pt idx="5">
                  <c:v>575</c:v>
                </c:pt>
                <c:pt idx="6">
                  <c:v>609</c:v>
                </c:pt>
                <c:pt idx="7">
                  <c:v>555</c:v>
                </c:pt>
                <c:pt idx="8">
                  <c:v>514</c:v>
                </c:pt>
                <c:pt idx="9">
                  <c:v>572</c:v>
                </c:pt>
              </c:numCache>
            </c:numRef>
          </c:val>
          <c:extLst xmlns:c16r2="http://schemas.microsoft.com/office/drawing/2015/06/chart">
            <c:ext xmlns:c16="http://schemas.microsoft.com/office/drawing/2014/chart" uri="{C3380CC4-5D6E-409C-BE32-E72D297353CC}">
              <c16:uniqueId val="{00000000-C04E-4557-A383-50E9221F6595}"/>
            </c:ext>
          </c:extLst>
        </c:ser>
        <c:ser>
          <c:idx val="1"/>
          <c:order val="1"/>
          <c:tx>
            <c:strRef>
              <c:f>Sheet1!$B$30</c:f>
              <c:strCache>
                <c:ptCount val="1"/>
                <c:pt idx="0">
                  <c:v>Szabolcs-Szatmár-Bereg</c:v>
                </c:pt>
              </c:strCache>
            </c:strRef>
          </c:tx>
          <c:spPr>
            <a:solidFill>
              <a:schemeClr val="accent3"/>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Sheet1!$C$30:$L$30</c:f>
              <c:numCache>
                <c:formatCode>General</c:formatCode>
                <c:ptCount val="10"/>
                <c:pt idx="0">
                  <c:v>723</c:v>
                </c:pt>
                <c:pt idx="1">
                  <c:v>714</c:v>
                </c:pt>
                <c:pt idx="2">
                  <c:v>686</c:v>
                </c:pt>
                <c:pt idx="3">
                  <c:v>591</c:v>
                </c:pt>
                <c:pt idx="4">
                  <c:v>679</c:v>
                </c:pt>
                <c:pt idx="5">
                  <c:v>683</c:v>
                </c:pt>
                <c:pt idx="6">
                  <c:v>694</c:v>
                </c:pt>
                <c:pt idx="7">
                  <c:v>687</c:v>
                </c:pt>
                <c:pt idx="8">
                  <c:v>596</c:v>
                </c:pt>
                <c:pt idx="9">
                  <c:v>686</c:v>
                </c:pt>
              </c:numCache>
            </c:numRef>
          </c:val>
          <c:extLst xmlns:c16r2="http://schemas.microsoft.com/office/drawing/2015/06/chart">
            <c:ext xmlns:c16="http://schemas.microsoft.com/office/drawing/2014/chart" uri="{C3380CC4-5D6E-409C-BE32-E72D297353CC}">
              <c16:uniqueId val="{00000001-C04E-4557-A383-50E9221F6595}"/>
            </c:ext>
          </c:extLst>
        </c:ser>
        <c:ser>
          <c:idx val="2"/>
          <c:order val="2"/>
          <c:tx>
            <c:strRef>
              <c:f>Sheet1!$B$31</c:f>
              <c:strCache>
                <c:ptCount val="1"/>
                <c:pt idx="0">
                  <c:v>Békés</c:v>
                </c:pt>
              </c:strCache>
            </c:strRef>
          </c:tx>
          <c:spPr>
            <a:solidFill>
              <a:schemeClr val="accent4"/>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Sheet1!$C$31:$L$31</c:f>
              <c:numCache>
                <c:formatCode>General</c:formatCode>
                <c:ptCount val="10"/>
                <c:pt idx="0">
                  <c:v>735</c:v>
                </c:pt>
                <c:pt idx="1">
                  <c:v>720</c:v>
                </c:pt>
                <c:pt idx="2">
                  <c:v>860</c:v>
                </c:pt>
                <c:pt idx="3">
                  <c:v>823</c:v>
                </c:pt>
                <c:pt idx="4">
                  <c:v>874</c:v>
                </c:pt>
                <c:pt idx="5">
                  <c:v>827</c:v>
                </c:pt>
                <c:pt idx="6">
                  <c:v>920</c:v>
                </c:pt>
                <c:pt idx="7">
                  <c:v>968</c:v>
                </c:pt>
                <c:pt idx="8">
                  <c:v>810</c:v>
                </c:pt>
                <c:pt idx="9">
                  <c:v>911</c:v>
                </c:pt>
              </c:numCache>
            </c:numRef>
          </c:val>
          <c:extLst xmlns:c16r2="http://schemas.microsoft.com/office/drawing/2015/06/chart">
            <c:ext xmlns:c16="http://schemas.microsoft.com/office/drawing/2014/chart" uri="{C3380CC4-5D6E-409C-BE32-E72D297353CC}">
              <c16:uniqueId val="{00000002-C04E-4557-A383-50E9221F6595}"/>
            </c:ext>
          </c:extLst>
        </c:ser>
        <c:ser>
          <c:idx val="3"/>
          <c:order val="3"/>
          <c:tx>
            <c:strRef>
              <c:f>Sheet1!$B$32</c:f>
              <c:strCache>
                <c:ptCount val="1"/>
                <c:pt idx="0">
                  <c:v>Csongrád</c:v>
                </c:pt>
              </c:strCache>
            </c:strRef>
          </c:tx>
          <c:spPr>
            <a:solidFill>
              <a:schemeClr val="accent5"/>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Sheet1!$C$32:$L$32</c:f>
              <c:numCache>
                <c:formatCode>General</c:formatCode>
                <c:ptCount val="10"/>
                <c:pt idx="0">
                  <c:v>906</c:v>
                </c:pt>
                <c:pt idx="1">
                  <c:v>636</c:v>
                </c:pt>
                <c:pt idx="2">
                  <c:v>831</c:v>
                </c:pt>
                <c:pt idx="3">
                  <c:v>816</c:v>
                </c:pt>
                <c:pt idx="4">
                  <c:v>853</c:v>
                </c:pt>
                <c:pt idx="5">
                  <c:v>947</c:v>
                </c:pt>
                <c:pt idx="6">
                  <c:v>923</c:v>
                </c:pt>
                <c:pt idx="7">
                  <c:v>978</c:v>
                </c:pt>
                <c:pt idx="8">
                  <c:v>829</c:v>
                </c:pt>
                <c:pt idx="9">
                  <c:v>930</c:v>
                </c:pt>
              </c:numCache>
            </c:numRef>
          </c:val>
          <c:extLst xmlns:c16r2="http://schemas.microsoft.com/office/drawing/2015/06/chart">
            <c:ext xmlns:c16="http://schemas.microsoft.com/office/drawing/2014/chart" uri="{C3380CC4-5D6E-409C-BE32-E72D297353CC}">
              <c16:uniqueId val="{00000003-C04E-4557-A383-50E9221F6595}"/>
            </c:ext>
          </c:extLst>
        </c:ser>
        <c:ser>
          <c:idx val="4"/>
          <c:order val="4"/>
          <c:tx>
            <c:strRef>
              <c:f>Sheet1!$B$33</c:f>
              <c:strCache>
                <c:ptCount val="1"/>
                <c:pt idx="0">
                  <c:v>Bihor</c:v>
                </c:pt>
              </c:strCache>
            </c:strRef>
          </c:tx>
          <c:spPr>
            <a:solidFill>
              <a:schemeClr val="accent6">
                <a:lumMod val="40000"/>
                <a:lumOff val="60000"/>
              </a:schemeClr>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Sheet1!$C$33:$L$33</c:f>
              <c:numCache>
                <c:formatCode>General</c:formatCode>
                <c:ptCount val="10"/>
                <c:pt idx="0">
                  <c:v>616</c:v>
                </c:pt>
                <c:pt idx="1">
                  <c:v>574</c:v>
                </c:pt>
                <c:pt idx="2">
                  <c:v>592</c:v>
                </c:pt>
                <c:pt idx="3">
                  <c:v>591</c:v>
                </c:pt>
                <c:pt idx="4">
                  <c:v>548</c:v>
                </c:pt>
                <c:pt idx="5">
                  <c:v>467</c:v>
                </c:pt>
                <c:pt idx="6">
                  <c:v>476</c:v>
                </c:pt>
                <c:pt idx="7">
                  <c:v>542</c:v>
                </c:pt>
                <c:pt idx="8">
                  <c:v>600</c:v>
                </c:pt>
                <c:pt idx="9">
                  <c:v>501</c:v>
                </c:pt>
              </c:numCache>
            </c:numRef>
          </c:val>
          <c:extLst xmlns:c16r2="http://schemas.microsoft.com/office/drawing/2015/06/chart">
            <c:ext xmlns:c16="http://schemas.microsoft.com/office/drawing/2014/chart" uri="{C3380CC4-5D6E-409C-BE32-E72D297353CC}">
              <c16:uniqueId val="{00000004-C04E-4557-A383-50E9221F6595}"/>
            </c:ext>
          </c:extLst>
        </c:ser>
        <c:ser>
          <c:idx val="5"/>
          <c:order val="5"/>
          <c:tx>
            <c:strRef>
              <c:f>Sheet1!$B$34</c:f>
              <c:strCache>
                <c:ptCount val="1"/>
                <c:pt idx="0">
                  <c:v>Satu Mare</c:v>
                </c:pt>
              </c:strCache>
            </c:strRef>
          </c:tx>
          <c:spPr>
            <a:solidFill>
              <a:schemeClr val="accent6"/>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Sheet1!$C$34:$L$34</c:f>
              <c:numCache>
                <c:formatCode>General</c:formatCode>
                <c:ptCount val="10"/>
                <c:pt idx="0">
                  <c:v>272</c:v>
                </c:pt>
                <c:pt idx="1">
                  <c:v>229</c:v>
                </c:pt>
                <c:pt idx="2">
                  <c:v>238</c:v>
                </c:pt>
                <c:pt idx="3">
                  <c:v>286</c:v>
                </c:pt>
                <c:pt idx="4">
                  <c:v>292</c:v>
                </c:pt>
                <c:pt idx="5">
                  <c:v>270</c:v>
                </c:pt>
                <c:pt idx="6">
                  <c:v>320</c:v>
                </c:pt>
                <c:pt idx="7">
                  <c:v>323</c:v>
                </c:pt>
                <c:pt idx="8">
                  <c:v>301</c:v>
                </c:pt>
                <c:pt idx="9">
                  <c:v>288</c:v>
                </c:pt>
              </c:numCache>
            </c:numRef>
          </c:val>
          <c:extLst xmlns:c16r2="http://schemas.microsoft.com/office/drawing/2015/06/chart">
            <c:ext xmlns:c16="http://schemas.microsoft.com/office/drawing/2014/chart" uri="{C3380CC4-5D6E-409C-BE32-E72D297353CC}">
              <c16:uniqueId val="{00000005-C04E-4557-A383-50E9221F6595}"/>
            </c:ext>
          </c:extLst>
        </c:ser>
        <c:ser>
          <c:idx val="6"/>
          <c:order val="6"/>
          <c:tx>
            <c:strRef>
              <c:f>Sheet1!$B$35</c:f>
              <c:strCache>
                <c:ptCount val="1"/>
                <c:pt idx="0">
                  <c:v>Arad</c:v>
                </c:pt>
              </c:strCache>
            </c:strRef>
          </c:tx>
          <c:spPr>
            <a:solidFill>
              <a:schemeClr val="accent1">
                <a:lumMod val="60000"/>
              </a:schemeClr>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Sheet1!$C$35:$L$35</c:f>
              <c:numCache>
                <c:formatCode>General</c:formatCode>
                <c:ptCount val="10"/>
                <c:pt idx="0">
                  <c:v>514</c:v>
                </c:pt>
                <c:pt idx="1">
                  <c:v>442</c:v>
                </c:pt>
                <c:pt idx="2">
                  <c:v>631</c:v>
                </c:pt>
                <c:pt idx="3">
                  <c:v>686</c:v>
                </c:pt>
                <c:pt idx="4">
                  <c:v>556</c:v>
                </c:pt>
                <c:pt idx="5">
                  <c:v>545</c:v>
                </c:pt>
                <c:pt idx="6">
                  <c:v>550</c:v>
                </c:pt>
                <c:pt idx="7">
                  <c:v>612</c:v>
                </c:pt>
                <c:pt idx="8">
                  <c:v>634</c:v>
                </c:pt>
                <c:pt idx="9">
                  <c:v>634</c:v>
                </c:pt>
              </c:numCache>
            </c:numRef>
          </c:val>
          <c:extLst xmlns:c16r2="http://schemas.microsoft.com/office/drawing/2015/06/chart">
            <c:ext xmlns:c16="http://schemas.microsoft.com/office/drawing/2014/chart" uri="{C3380CC4-5D6E-409C-BE32-E72D297353CC}">
              <c16:uniqueId val="{00000006-C04E-4557-A383-50E9221F6595}"/>
            </c:ext>
          </c:extLst>
        </c:ser>
        <c:ser>
          <c:idx val="7"/>
          <c:order val="7"/>
          <c:tx>
            <c:strRef>
              <c:f>Sheet1!$B$36</c:f>
              <c:strCache>
                <c:ptCount val="1"/>
                <c:pt idx="0">
                  <c:v>Timis</c:v>
                </c:pt>
              </c:strCache>
            </c:strRef>
          </c:tx>
          <c:spPr>
            <a:solidFill>
              <a:schemeClr val="accent2">
                <a:lumMod val="60000"/>
              </a:schemeClr>
            </a:solidFill>
            <a:ln>
              <a:noFill/>
            </a:ln>
            <a:effectLst/>
          </c:spPr>
          <c:invertIfNegative val="0"/>
          <c:cat>
            <c:numRef>
              <c:f>Sheet1!$C$28:$L$28</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Sheet1!$C$36:$L$36</c:f>
              <c:numCache>
                <c:formatCode>General</c:formatCode>
                <c:ptCount val="10"/>
                <c:pt idx="0">
                  <c:v>774</c:v>
                </c:pt>
                <c:pt idx="1">
                  <c:v>682</c:v>
                </c:pt>
                <c:pt idx="2">
                  <c:v>630</c:v>
                </c:pt>
                <c:pt idx="3">
                  <c:v>720</c:v>
                </c:pt>
                <c:pt idx="4">
                  <c:v>550</c:v>
                </c:pt>
                <c:pt idx="5">
                  <c:v>656</c:v>
                </c:pt>
                <c:pt idx="6">
                  <c:v>988</c:v>
                </c:pt>
                <c:pt idx="7">
                  <c:v>980</c:v>
                </c:pt>
                <c:pt idx="8">
                  <c:v>966</c:v>
                </c:pt>
                <c:pt idx="9">
                  <c:v>889</c:v>
                </c:pt>
              </c:numCache>
            </c:numRef>
          </c:val>
          <c:extLst xmlns:c16r2="http://schemas.microsoft.com/office/drawing/2015/06/chart">
            <c:ext xmlns:c16="http://schemas.microsoft.com/office/drawing/2014/chart" uri="{C3380CC4-5D6E-409C-BE32-E72D297353CC}">
              <c16:uniqueId val="{00000007-C04E-4557-A383-50E9221F6595}"/>
            </c:ext>
          </c:extLst>
        </c:ser>
        <c:dLbls>
          <c:showLegendKey val="0"/>
          <c:showVal val="0"/>
          <c:showCatName val="0"/>
          <c:showSerName val="0"/>
          <c:showPercent val="0"/>
          <c:showBubbleSize val="0"/>
        </c:dLbls>
        <c:gapWidth val="150"/>
        <c:overlap val="100"/>
        <c:axId val="596664192"/>
        <c:axId val="596664976"/>
      </c:barChart>
      <c:catAx>
        <c:axId val="59666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4976"/>
        <c:crosses val="autoZero"/>
        <c:auto val="1"/>
        <c:lblAlgn val="ctr"/>
        <c:lblOffset val="100"/>
        <c:noMultiLvlLbl val="0"/>
      </c:catAx>
      <c:valAx>
        <c:axId val="596664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4192"/>
        <c:crosses val="autoZero"/>
        <c:crossBetween val="between"/>
      </c:valAx>
      <c:spPr>
        <a:noFill/>
        <a:ln>
          <a:noFill/>
        </a:ln>
        <a:effectLst/>
      </c:spPr>
    </c:plotArea>
    <c:legend>
      <c:legendPos val="b"/>
      <c:layout>
        <c:manualLayout>
          <c:xMode val="edge"/>
          <c:yMode val="edge"/>
          <c:x val="3.5054303556882979E-2"/>
          <c:y val="0.783804777567361"/>
          <c:w val="0.92558104805864783"/>
          <c:h val="0.1908787667364364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sz="700"/>
      </a:pPr>
      <a:endParaRPr lang="ro-RO"/>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o-RO"/>
              <a:t>Number of road border crossings at county level, 2019</a:t>
            </a:r>
            <a:endParaRPr lang="en-GB"/>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Sheet5!$E$51</c:f>
              <c:strCache>
                <c:ptCount val="1"/>
                <c:pt idx="0">
                  <c:v>HU - RO crossings</c:v>
                </c:pt>
              </c:strCache>
            </c:strRef>
          </c:tx>
          <c:spPr>
            <a:solidFill>
              <a:schemeClr val="accent1"/>
            </a:solidFill>
            <a:ln>
              <a:noFill/>
            </a:ln>
            <a:effectLst/>
          </c:spPr>
          <c:invertIfNegative val="0"/>
          <c:dLbls>
            <c:dLbl>
              <c:idx val="0"/>
              <c:layout>
                <c:manualLayout>
                  <c:x val="0"/>
                  <c:y val="-0.12324657242281851"/>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B58-414B-88D3-0F3D79FD443C}"/>
                </c:ext>
                <c:ext xmlns:c15="http://schemas.microsoft.com/office/drawing/2012/chart" uri="{CE6537A1-D6FC-4f65-9D91-7224C49458BB}"/>
              </c:extLst>
            </c:dLbl>
            <c:dLbl>
              <c:idx val="1"/>
              <c:layout>
                <c:manualLayout>
                  <c:x val="-8.1299873825050065E-17"/>
                  <c:y val="-3.781917849694541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B58-414B-88D3-0F3D79FD443C}"/>
                </c:ext>
                <c:ext xmlns:c15="http://schemas.microsoft.com/office/drawing/2012/chart" uri="{CE6537A1-D6FC-4f65-9D91-7224C49458BB}"/>
              </c:extLst>
            </c:dLbl>
            <c:dLbl>
              <c:idx val="2"/>
              <c:layout>
                <c:manualLayout>
                  <c:x val="0"/>
                  <c:y val="-8.7123703516316722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B58-414B-88D3-0F3D79FD443C}"/>
                </c:ext>
                <c:ext xmlns:c15="http://schemas.microsoft.com/office/drawing/2012/chart" uri="{CE6537A1-D6FC-4f65-9D91-7224C49458BB}"/>
              </c:extLst>
            </c:dLbl>
            <c:dLbl>
              <c:idx val="3"/>
              <c:layout>
                <c:manualLayout>
                  <c:x val="0"/>
                  <c:y val="-7.198639127862621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B58-414B-88D3-0F3D79FD443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Sheet5!$B$52:$B$55</c:f>
              <c:strCache>
                <c:ptCount val="4"/>
                <c:pt idx="0">
                  <c:v>HU-CS - RO-TM/AR</c:v>
                </c:pt>
                <c:pt idx="1">
                  <c:v>HU-BE - RO-AR/BH</c:v>
                </c:pt>
                <c:pt idx="2">
                  <c:v>HU-HB - RO-BH</c:v>
                </c:pt>
                <c:pt idx="3">
                  <c:v>HU-SZ - RO-SM</c:v>
                </c:pt>
              </c:strCache>
            </c:strRef>
          </c:cat>
          <c:val>
            <c:numRef>
              <c:f>Sheet5!$E$52:$E$55</c:f>
              <c:numCache>
                <c:formatCode>General</c:formatCode>
                <c:ptCount val="4"/>
                <c:pt idx="0">
                  <c:v>4582136</c:v>
                </c:pt>
                <c:pt idx="1">
                  <c:v>873246</c:v>
                </c:pt>
                <c:pt idx="2">
                  <c:v>2915104</c:v>
                </c:pt>
                <c:pt idx="3">
                  <c:v>2683509</c:v>
                </c:pt>
              </c:numCache>
            </c:numRef>
          </c:val>
          <c:extLst xmlns:c16r2="http://schemas.microsoft.com/office/drawing/2015/06/chart">
            <c:ext xmlns:c16="http://schemas.microsoft.com/office/drawing/2014/chart" uri="{C3380CC4-5D6E-409C-BE32-E72D297353CC}">
              <c16:uniqueId val="{00000000-2E9C-4B2B-AE1D-684CA08028EB}"/>
            </c:ext>
          </c:extLst>
        </c:ser>
        <c:ser>
          <c:idx val="1"/>
          <c:order val="1"/>
          <c:tx>
            <c:strRef>
              <c:f>Sheet5!$F$51</c:f>
              <c:strCache>
                <c:ptCount val="1"/>
                <c:pt idx="0">
                  <c:v>RO - HU crossings</c:v>
                </c:pt>
              </c:strCache>
            </c:strRef>
          </c:tx>
          <c:spPr>
            <a:solidFill>
              <a:schemeClr val="accent2"/>
            </a:solidFill>
            <a:ln>
              <a:noFill/>
            </a:ln>
            <a:effectLst/>
          </c:spPr>
          <c:invertIfNegative val="0"/>
          <c:dLbls>
            <c:dLbl>
              <c:idx val="0"/>
              <c:layout>
                <c:manualLayout>
                  <c:x val="0"/>
                  <c:y val="-0.14064071740589729"/>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B58-414B-88D3-0F3D79FD443C}"/>
                </c:ext>
                <c:ext xmlns:c15="http://schemas.microsoft.com/office/drawing/2012/chart" uri="{CE6537A1-D6FC-4f65-9D91-7224C49458BB}"/>
              </c:extLst>
            </c:dLbl>
            <c:dLbl>
              <c:idx val="1"/>
              <c:layout>
                <c:manualLayout>
                  <c:x val="0"/>
                  <c:y val="-4.9091789152462699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B58-414B-88D3-0F3D79FD443C}"/>
                </c:ext>
                <c:ext xmlns:c15="http://schemas.microsoft.com/office/drawing/2012/chart" uri="{CE6537A1-D6FC-4f65-9D91-7224C49458BB}"/>
              </c:extLst>
            </c:dLbl>
            <c:dLbl>
              <c:idx val="2"/>
              <c:layout>
                <c:manualLayout>
                  <c:x val="0"/>
                  <c:y val="-0.1172098934129566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B58-414B-88D3-0F3D79FD443C}"/>
                </c:ext>
                <c:ext xmlns:c15="http://schemas.microsoft.com/office/drawing/2012/chart" uri="{CE6537A1-D6FC-4f65-9D91-7224C49458BB}"/>
              </c:extLst>
            </c:dLbl>
            <c:dLbl>
              <c:idx val="3"/>
              <c:layout>
                <c:manualLayout>
                  <c:x val="0"/>
                  <c:y val="-9.2844465780001731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B58-414B-88D3-0F3D79FD443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Sheet5!$B$52:$B$55</c:f>
              <c:strCache>
                <c:ptCount val="4"/>
                <c:pt idx="0">
                  <c:v>HU-CS - RO-TM/AR</c:v>
                </c:pt>
                <c:pt idx="1">
                  <c:v>HU-BE - RO-AR/BH</c:v>
                </c:pt>
                <c:pt idx="2">
                  <c:v>HU-HB - RO-BH</c:v>
                </c:pt>
                <c:pt idx="3">
                  <c:v>HU-SZ - RO-SM</c:v>
                </c:pt>
              </c:strCache>
            </c:strRef>
          </c:cat>
          <c:val>
            <c:numRef>
              <c:f>Sheet5!$F$52:$F$55</c:f>
              <c:numCache>
                <c:formatCode>General</c:formatCode>
                <c:ptCount val="4"/>
                <c:pt idx="0">
                  <c:v>5618352</c:v>
                </c:pt>
                <c:pt idx="1">
                  <c:v>1159983</c:v>
                </c:pt>
                <c:pt idx="2">
                  <c:v>4537036</c:v>
                </c:pt>
                <c:pt idx="3">
                  <c:v>2945622</c:v>
                </c:pt>
              </c:numCache>
            </c:numRef>
          </c:val>
          <c:extLst xmlns:c16r2="http://schemas.microsoft.com/office/drawing/2015/06/chart">
            <c:ext xmlns:c16="http://schemas.microsoft.com/office/drawing/2014/chart" uri="{C3380CC4-5D6E-409C-BE32-E72D297353CC}">
              <c16:uniqueId val="{00000001-2E9C-4B2B-AE1D-684CA08028EB}"/>
            </c:ext>
          </c:extLst>
        </c:ser>
        <c:dLbls>
          <c:dLblPos val="inEnd"/>
          <c:showLegendKey val="0"/>
          <c:showVal val="1"/>
          <c:showCatName val="0"/>
          <c:showSerName val="0"/>
          <c:showPercent val="0"/>
          <c:showBubbleSize val="0"/>
        </c:dLbls>
        <c:gapWidth val="150"/>
        <c:overlap val="100"/>
        <c:axId val="596665760"/>
        <c:axId val="596668112"/>
      </c:barChart>
      <c:catAx>
        <c:axId val="59666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8112"/>
        <c:crosses val="autoZero"/>
        <c:auto val="1"/>
        <c:lblAlgn val="ctr"/>
        <c:lblOffset val="100"/>
        <c:noMultiLvlLbl val="0"/>
      </c:catAx>
      <c:valAx>
        <c:axId val="596668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GB" sz="900"/>
              <a:t>Number of r</a:t>
            </a:r>
            <a:r>
              <a:rPr lang="ro-RO" sz="900"/>
              <a:t>ail</a:t>
            </a:r>
            <a:r>
              <a:rPr lang="en-GB" sz="900"/>
              <a:t> border crossings at county level, 2019</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Sheet5!$E$51</c:f>
              <c:strCache>
                <c:ptCount val="1"/>
                <c:pt idx="0">
                  <c:v>HU - RO crossings</c:v>
                </c:pt>
              </c:strCache>
            </c:strRef>
          </c:tx>
          <c:spPr>
            <a:solidFill>
              <a:schemeClr val="accent3">
                <a:lumMod val="75000"/>
              </a:schemeClr>
            </a:solidFill>
            <a:ln>
              <a:noFill/>
            </a:ln>
            <a:effectLst/>
          </c:spPr>
          <c:invertIfNegative val="0"/>
          <c:dLbls>
            <c:dLbl>
              <c:idx val="1"/>
              <c:layout>
                <c:manualLayout>
                  <c:x val="0"/>
                  <c:y val="-0.13608705492751388"/>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066-4AF9-9979-A2DA4EC81505}"/>
                </c:ext>
                <c:ext xmlns:c15="http://schemas.microsoft.com/office/drawing/2012/chart" uri="{CE6537A1-D6FC-4f65-9D91-7224C49458BB}"/>
              </c:extLst>
            </c:dLbl>
            <c:dLbl>
              <c:idx val="2"/>
              <c:layout>
                <c:manualLayout>
                  <c:x val="0"/>
                  <c:y val="-0.12510314047355275"/>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066-4AF9-9979-A2DA4EC8150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Sheet5!$B$56:$B$59</c:f>
              <c:strCache>
                <c:ptCount val="4"/>
                <c:pt idx="0">
                  <c:v>HU-CS - RO-TM/AR</c:v>
                </c:pt>
                <c:pt idx="1">
                  <c:v>HU-BE - RO-AR/BH</c:v>
                </c:pt>
                <c:pt idx="2">
                  <c:v>HU-HB - RO-BH</c:v>
                </c:pt>
                <c:pt idx="3">
                  <c:v>HU-SZ - RO-SM</c:v>
                </c:pt>
              </c:strCache>
            </c:strRef>
          </c:cat>
          <c:val>
            <c:numRef>
              <c:f>Sheet5!$E$56:$E$59</c:f>
              <c:numCache>
                <c:formatCode>General</c:formatCode>
                <c:ptCount val="4"/>
                <c:pt idx="0">
                  <c:v>0</c:v>
                </c:pt>
                <c:pt idx="1">
                  <c:v>93903</c:v>
                </c:pt>
                <c:pt idx="2">
                  <c:v>103094</c:v>
                </c:pt>
                <c:pt idx="3">
                  <c:v>1702</c:v>
                </c:pt>
              </c:numCache>
            </c:numRef>
          </c:val>
          <c:extLst xmlns:c16r2="http://schemas.microsoft.com/office/drawing/2015/06/chart">
            <c:ext xmlns:c16="http://schemas.microsoft.com/office/drawing/2014/chart" uri="{C3380CC4-5D6E-409C-BE32-E72D297353CC}">
              <c16:uniqueId val="{00000000-9760-43E3-BB1B-D19D0FF1E67E}"/>
            </c:ext>
          </c:extLst>
        </c:ser>
        <c:ser>
          <c:idx val="1"/>
          <c:order val="1"/>
          <c:tx>
            <c:strRef>
              <c:f>Sheet5!$F$51</c:f>
              <c:strCache>
                <c:ptCount val="1"/>
                <c:pt idx="0">
                  <c:v>RO - HU crossings</c:v>
                </c:pt>
              </c:strCache>
            </c:strRef>
          </c:tx>
          <c:spPr>
            <a:solidFill>
              <a:schemeClr val="accent3">
                <a:lumMod val="40000"/>
                <a:lumOff val="60000"/>
              </a:schemeClr>
            </a:solidFill>
            <a:ln>
              <a:noFill/>
            </a:ln>
            <a:effectLst/>
          </c:spPr>
          <c:invertIfNegative val="0"/>
          <c:dLbls>
            <c:dLbl>
              <c:idx val="3"/>
              <c:layout>
                <c:manualLayout>
                  <c:x val="0"/>
                  <c:y val="-4.0733637493497885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066-4AF9-9979-A2DA4EC8150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o-R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Sheet5!$B$56:$B$59</c:f>
              <c:strCache>
                <c:ptCount val="4"/>
                <c:pt idx="0">
                  <c:v>HU-CS - RO-TM/AR</c:v>
                </c:pt>
                <c:pt idx="1">
                  <c:v>HU-BE - RO-AR/BH</c:v>
                </c:pt>
                <c:pt idx="2">
                  <c:v>HU-HB - RO-BH</c:v>
                </c:pt>
                <c:pt idx="3">
                  <c:v>HU-SZ - RO-SM</c:v>
                </c:pt>
              </c:strCache>
            </c:strRef>
          </c:cat>
          <c:val>
            <c:numRef>
              <c:f>Sheet5!$F$56:$F$59</c:f>
              <c:numCache>
                <c:formatCode>General</c:formatCode>
                <c:ptCount val="4"/>
                <c:pt idx="0">
                  <c:v>0</c:v>
                </c:pt>
                <c:pt idx="1">
                  <c:v>94454</c:v>
                </c:pt>
                <c:pt idx="2">
                  <c:v>102183</c:v>
                </c:pt>
                <c:pt idx="3">
                  <c:v>1728</c:v>
                </c:pt>
              </c:numCache>
            </c:numRef>
          </c:val>
          <c:extLst xmlns:c16r2="http://schemas.microsoft.com/office/drawing/2015/06/chart">
            <c:ext xmlns:c16="http://schemas.microsoft.com/office/drawing/2014/chart" uri="{C3380CC4-5D6E-409C-BE32-E72D297353CC}">
              <c16:uniqueId val="{00000001-9760-43E3-BB1B-D19D0FF1E67E}"/>
            </c:ext>
          </c:extLst>
        </c:ser>
        <c:dLbls>
          <c:dLblPos val="inEnd"/>
          <c:showLegendKey val="0"/>
          <c:showVal val="1"/>
          <c:showCatName val="0"/>
          <c:showSerName val="0"/>
          <c:showPercent val="0"/>
          <c:showBubbleSize val="0"/>
        </c:dLbls>
        <c:gapWidth val="150"/>
        <c:overlap val="100"/>
        <c:axId val="596668896"/>
        <c:axId val="596669288"/>
      </c:barChart>
      <c:catAx>
        <c:axId val="59666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9288"/>
        <c:crosses val="autoZero"/>
        <c:auto val="1"/>
        <c:lblAlgn val="ctr"/>
        <c:lblOffset val="100"/>
        <c:noMultiLvlLbl val="0"/>
      </c:catAx>
      <c:valAx>
        <c:axId val="596669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59666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r>
              <a:rPr lang="ro-RO" sz="1000" b="1"/>
              <a:t>Cross-border road traffic dynamic at</a:t>
            </a:r>
            <a:r>
              <a:rPr lang="ro-RO" sz="1000" b="1" baseline="0"/>
              <a:t> county level</a:t>
            </a:r>
            <a:r>
              <a:rPr lang="ro-RO" sz="1000" b="1"/>
              <a:t> (2009-2019)</a:t>
            </a:r>
            <a:endParaRPr lang="en-GB" sz="1000" b="1"/>
          </a:p>
        </c:rich>
      </c:tx>
      <c:layout>
        <c:manualLayout>
          <c:xMode val="edge"/>
          <c:yMode val="edge"/>
          <c:x val="0.1632851513157397"/>
          <c:y val="1.2422360248447204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7582427556785948"/>
          <c:y val="0.1356124243016214"/>
          <c:w val="0.78190867351955651"/>
          <c:h val="0.61761693736319689"/>
        </c:manualLayout>
      </c:layout>
      <c:lineChart>
        <c:grouping val="standard"/>
        <c:varyColors val="0"/>
        <c:ser>
          <c:idx val="0"/>
          <c:order val="0"/>
          <c:tx>
            <c:strRef>
              <c:f>'Sheet4 (2)'!$B$32</c:f>
              <c:strCache>
                <c:ptCount val="1"/>
                <c:pt idx="0">
                  <c:v>Csongrád &lt;-&gt; Timiș / Arad</c:v>
                </c:pt>
              </c:strCache>
            </c:strRef>
          </c:tx>
          <c:spPr>
            <a:ln w="28575" cap="rnd">
              <a:solidFill>
                <a:schemeClr val="accent1"/>
              </a:solidFill>
              <a:round/>
            </a:ln>
            <a:effectLst/>
          </c:spPr>
          <c:marker>
            <c:symbol val="none"/>
          </c:marker>
          <c:cat>
            <c:numRef>
              <c:f>'Sheet4 (2)'!$C$31:$M$31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(2)'!$C$32:$M$32</c:f>
              <c:numCache>
                <c:formatCode>General</c:formatCode>
                <c:ptCount val="11"/>
                <c:pt idx="0">
                  <c:v>5576760</c:v>
                </c:pt>
                <c:pt idx="1">
                  <c:v>5658085</c:v>
                </c:pt>
                <c:pt idx="2">
                  <c:v>4942131</c:v>
                </c:pt>
                <c:pt idx="3">
                  <c:v>5106729</c:v>
                </c:pt>
                <c:pt idx="4">
                  <c:v>5758006</c:v>
                </c:pt>
                <c:pt idx="5">
                  <c:v>6660252</c:v>
                </c:pt>
                <c:pt idx="6">
                  <c:v>7656323</c:v>
                </c:pt>
                <c:pt idx="7">
                  <c:v>10816050</c:v>
                </c:pt>
                <c:pt idx="8">
                  <c:v>11013675</c:v>
                </c:pt>
                <c:pt idx="9">
                  <c:v>9939193</c:v>
                </c:pt>
                <c:pt idx="10">
                  <c:v>10200488</c:v>
                </c:pt>
              </c:numCache>
            </c:numRef>
          </c:val>
          <c:smooth val="0"/>
          <c:extLst xmlns:c16r2="http://schemas.microsoft.com/office/drawing/2015/06/chart">
            <c:ext xmlns:c16="http://schemas.microsoft.com/office/drawing/2014/chart" uri="{C3380CC4-5D6E-409C-BE32-E72D297353CC}">
              <c16:uniqueId val="{00000000-C131-435F-95CA-FBFC30AB7AFC}"/>
            </c:ext>
          </c:extLst>
        </c:ser>
        <c:ser>
          <c:idx val="1"/>
          <c:order val="1"/>
          <c:tx>
            <c:strRef>
              <c:f>'Sheet4 (2)'!$B$33</c:f>
              <c:strCache>
                <c:ptCount val="1"/>
                <c:pt idx="0">
                  <c:v>Békés &lt;-&gt; Arad / Bihor</c:v>
                </c:pt>
              </c:strCache>
            </c:strRef>
          </c:tx>
          <c:spPr>
            <a:ln w="28575" cap="rnd">
              <a:solidFill>
                <a:schemeClr val="accent2"/>
              </a:solidFill>
              <a:round/>
            </a:ln>
            <a:effectLst/>
          </c:spPr>
          <c:marker>
            <c:symbol val="none"/>
          </c:marker>
          <c:cat>
            <c:numRef>
              <c:f>'Sheet4 (2)'!$C$31:$M$31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(2)'!$C$33:$M$33</c:f>
              <c:numCache>
                <c:formatCode>General</c:formatCode>
                <c:ptCount val="11"/>
                <c:pt idx="0">
                  <c:v>3026504</c:v>
                </c:pt>
                <c:pt idx="1">
                  <c:v>2320833</c:v>
                </c:pt>
                <c:pt idx="2">
                  <c:v>1902322</c:v>
                </c:pt>
                <c:pt idx="3">
                  <c:v>1730805</c:v>
                </c:pt>
                <c:pt idx="4">
                  <c:v>1590600</c:v>
                </c:pt>
                <c:pt idx="5">
                  <c:v>1813882</c:v>
                </c:pt>
                <c:pt idx="6">
                  <c:v>1892074</c:v>
                </c:pt>
                <c:pt idx="7">
                  <c:v>1815253</c:v>
                </c:pt>
                <c:pt idx="8">
                  <c:v>1792608</c:v>
                </c:pt>
                <c:pt idx="9">
                  <c:v>1964489</c:v>
                </c:pt>
                <c:pt idx="10">
                  <c:v>2033229</c:v>
                </c:pt>
              </c:numCache>
            </c:numRef>
          </c:val>
          <c:smooth val="0"/>
          <c:extLst xmlns:c16r2="http://schemas.microsoft.com/office/drawing/2015/06/chart">
            <c:ext xmlns:c16="http://schemas.microsoft.com/office/drawing/2014/chart" uri="{C3380CC4-5D6E-409C-BE32-E72D297353CC}">
              <c16:uniqueId val="{00000001-C131-435F-95CA-FBFC30AB7AFC}"/>
            </c:ext>
          </c:extLst>
        </c:ser>
        <c:ser>
          <c:idx val="2"/>
          <c:order val="2"/>
          <c:tx>
            <c:strRef>
              <c:f>'Sheet4 (2)'!$B$34</c:f>
              <c:strCache>
                <c:ptCount val="1"/>
                <c:pt idx="0">
                  <c:v>Hajdú-Bihar &lt;-&gt; Bihor</c:v>
                </c:pt>
              </c:strCache>
            </c:strRef>
          </c:tx>
          <c:spPr>
            <a:ln w="28575" cap="rnd">
              <a:solidFill>
                <a:schemeClr val="accent3"/>
              </a:solidFill>
              <a:round/>
            </a:ln>
            <a:effectLst/>
          </c:spPr>
          <c:marker>
            <c:symbol val="none"/>
          </c:marker>
          <c:cat>
            <c:numRef>
              <c:f>'Sheet4 (2)'!$C$31:$M$31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(2)'!$C$34:$M$34</c:f>
              <c:numCache>
                <c:formatCode>General</c:formatCode>
                <c:ptCount val="11"/>
                <c:pt idx="0">
                  <c:v>4038008</c:v>
                </c:pt>
                <c:pt idx="1">
                  <c:v>4378082</c:v>
                </c:pt>
                <c:pt idx="2">
                  <c:v>5413071</c:v>
                </c:pt>
                <c:pt idx="3">
                  <c:v>5441513</c:v>
                </c:pt>
                <c:pt idx="4">
                  <c:v>4885988</c:v>
                </c:pt>
                <c:pt idx="5">
                  <c:v>5221075</c:v>
                </c:pt>
                <c:pt idx="6">
                  <c:v>6177477</c:v>
                </c:pt>
                <c:pt idx="7">
                  <c:v>6796092</c:v>
                </c:pt>
                <c:pt idx="8">
                  <c:v>6167909</c:v>
                </c:pt>
                <c:pt idx="9">
                  <c:v>6741372</c:v>
                </c:pt>
                <c:pt idx="10">
                  <c:v>7452140</c:v>
                </c:pt>
              </c:numCache>
            </c:numRef>
          </c:val>
          <c:smooth val="0"/>
          <c:extLst xmlns:c16r2="http://schemas.microsoft.com/office/drawing/2015/06/chart">
            <c:ext xmlns:c16="http://schemas.microsoft.com/office/drawing/2014/chart" uri="{C3380CC4-5D6E-409C-BE32-E72D297353CC}">
              <c16:uniqueId val="{00000002-C131-435F-95CA-FBFC30AB7AFC}"/>
            </c:ext>
          </c:extLst>
        </c:ser>
        <c:ser>
          <c:idx val="3"/>
          <c:order val="3"/>
          <c:tx>
            <c:strRef>
              <c:f>'Sheet4 (2)'!$B$35</c:f>
              <c:strCache>
                <c:ptCount val="1"/>
                <c:pt idx="0">
                  <c:v>Sz-Sz-Bg &lt;-&gt; Satu Mare</c:v>
                </c:pt>
              </c:strCache>
            </c:strRef>
          </c:tx>
          <c:spPr>
            <a:ln w="28575" cap="rnd">
              <a:solidFill>
                <a:schemeClr val="accent4"/>
              </a:solidFill>
              <a:round/>
            </a:ln>
            <a:effectLst/>
          </c:spPr>
          <c:marker>
            <c:symbol val="none"/>
          </c:marker>
          <c:cat>
            <c:numRef>
              <c:f>'Sheet4 (2)'!$C$31:$M$31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(2)'!$C$35:$M$35</c:f>
              <c:numCache>
                <c:formatCode>General</c:formatCode>
                <c:ptCount val="11"/>
                <c:pt idx="0">
                  <c:v>2027448</c:v>
                </c:pt>
                <c:pt idx="1">
                  <c:v>1733375</c:v>
                </c:pt>
                <c:pt idx="2">
                  <c:v>1868761</c:v>
                </c:pt>
                <c:pt idx="3">
                  <c:v>1943315</c:v>
                </c:pt>
                <c:pt idx="4">
                  <c:v>1872845</c:v>
                </c:pt>
                <c:pt idx="5">
                  <c:v>2198964</c:v>
                </c:pt>
                <c:pt idx="6">
                  <c:v>2591004</c:v>
                </c:pt>
                <c:pt idx="7">
                  <c:v>4052834</c:v>
                </c:pt>
                <c:pt idx="8">
                  <c:v>4115470</c:v>
                </c:pt>
                <c:pt idx="9">
                  <c:v>4771585</c:v>
                </c:pt>
                <c:pt idx="10">
                  <c:v>5629131</c:v>
                </c:pt>
              </c:numCache>
            </c:numRef>
          </c:val>
          <c:smooth val="0"/>
          <c:extLst xmlns:c16r2="http://schemas.microsoft.com/office/drawing/2015/06/chart">
            <c:ext xmlns:c16="http://schemas.microsoft.com/office/drawing/2014/chart" uri="{C3380CC4-5D6E-409C-BE32-E72D297353CC}">
              <c16:uniqueId val="{00000003-C131-435F-95CA-FBFC30AB7AFC}"/>
            </c:ext>
          </c:extLst>
        </c:ser>
        <c:dLbls>
          <c:showLegendKey val="0"/>
          <c:showVal val="0"/>
          <c:showCatName val="0"/>
          <c:showSerName val="0"/>
          <c:showPercent val="0"/>
          <c:showBubbleSize val="0"/>
        </c:dLbls>
        <c:smooth val="0"/>
        <c:axId val="706218392"/>
        <c:axId val="706220352"/>
      </c:lineChart>
      <c:catAx>
        <c:axId val="706218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6220352"/>
        <c:crosses val="autoZero"/>
        <c:auto val="1"/>
        <c:lblAlgn val="ctr"/>
        <c:lblOffset val="100"/>
        <c:noMultiLvlLbl val="0"/>
      </c:catAx>
      <c:valAx>
        <c:axId val="706220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6218392"/>
        <c:crosses val="autoZero"/>
        <c:crossBetween val="between"/>
      </c:valAx>
      <c:spPr>
        <a:noFill/>
        <a:ln>
          <a:noFill/>
        </a:ln>
        <a:effectLst/>
      </c:spPr>
    </c:plotArea>
    <c:legend>
      <c:legendPos val="b"/>
      <c:layout>
        <c:manualLayout>
          <c:xMode val="edge"/>
          <c:yMode val="edge"/>
          <c:x val="1.0549517045239662E-2"/>
          <c:y val="0.86532155311571957"/>
          <c:w val="0.94028999977308314"/>
          <c:h val="0.1158991041612756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900"/>
      </a:pPr>
      <a:endParaRPr lang="ro-RO"/>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b="1" i="0" baseline="0">
                <a:effectLst/>
              </a:rPr>
              <a:t>Cross-border rail traffic (2009-2019)</a:t>
            </a:r>
            <a:endParaRPr lang="en-GB" sz="1100">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7107813446396122"/>
          <c:y val="0.14930483689538807"/>
          <c:w val="0.78862882524299849"/>
          <c:h val="0.5252634420697414"/>
        </c:manualLayout>
      </c:layout>
      <c:barChart>
        <c:barDir val="col"/>
        <c:grouping val="stacked"/>
        <c:varyColors val="0"/>
        <c:ser>
          <c:idx val="0"/>
          <c:order val="0"/>
          <c:tx>
            <c:strRef>
              <c:f>'Sheet4 (3)'!$A$2</c:f>
              <c:strCache>
                <c:ptCount val="1"/>
                <c:pt idx="0">
                  <c:v>Lökösháza - Curtici</c:v>
                </c:pt>
              </c:strCache>
            </c:strRef>
          </c:tx>
          <c:spPr>
            <a:solidFill>
              <a:schemeClr val="accent1"/>
            </a:solidFill>
            <a:ln>
              <a:noFill/>
            </a:ln>
            <a:effectLst/>
          </c:spPr>
          <c:invertIfNegative val="0"/>
          <c:cat>
            <c:numRef>
              <c:f>'Sheet4 (3)'!$B$1:$L$1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(3)'!$B$2:$L$2</c:f>
              <c:numCache>
                <c:formatCode>General</c:formatCode>
                <c:ptCount val="11"/>
                <c:pt idx="0">
                  <c:v>394075</c:v>
                </c:pt>
                <c:pt idx="1">
                  <c:v>347411</c:v>
                </c:pt>
                <c:pt idx="2">
                  <c:v>276810</c:v>
                </c:pt>
                <c:pt idx="3">
                  <c:v>245338</c:v>
                </c:pt>
                <c:pt idx="4">
                  <c:v>214564</c:v>
                </c:pt>
                <c:pt idx="5">
                  <c:v>211895</c:v>
                </c:pt>
                <c:pt idx="6">
                  <c:v>201242</c:v>
                </c:pt>
                <c:pt idx="7">
                  <c:v>183850</c:v>
                </c:pt>
                <c:pt idx="8">
                  <c:v>176754</c:v>
                </c:pt>
                <c:pt idx="9">
                  <c:v>173651</c:v>
                </c:pt>
                <c:pt idx="10">
                  <c:v>179088</c:v>
                </c:pt>
              </c:numCache>
            </c:numRef>
          </c:val>
          <c:extLst xmlns:c16r2="http://schemas.microsoft.com/office/drawing/2015/06/chart">
            <c:ext xmlns:c16="http://schemas.microsoft.com/office/drawing/2014/chart" uri="{C3380CC4-5D6E-409C-BE32-E72D297353CC}">
              <c16:uniqueId val="{00000000-A9E5-4773-93EB-C9E03595999B}"/>
            </c:ext>
          </c:extLst>
        </c:ser>
        <c:ser>
          <c:idx val="1"/>
          <c:order val="1"/>
          <c:tx>
            <c:strRef>
              <c:f>'Sheet4 (3)'!$A$3</c:f>
              <c:strCache>
                <c:ptCount val="1"/>
                <c:pt idx="0">
                  <c:v>Kötegyán - Salonta</c:v>
                </c:pt>
              </c:strCache>
            </c:strRef>
          </c:tx>
          <c:spPr>
            <a:solidFill>
              <a:schemeClr val="accent2"/>
            </a:solidFill>
            <a:ln>
              <a:noFill/>
            </a:ln>
            <a:effectLst/>
          </c:spPr>
          <c:invertIfNegative val="0"/>
          <c:cat>
            <c:numRef>
              <c:f>'Sheet4 (3)'!$B$1:$L$1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(3)'!$B$3:$L$3</c:f>
              <c:numCache>
                <c:formatCode>General</c:formatCode>
                <c:ptCount val="11"/>
                <c:pt idx="0">
                  <c:v>10975</c:v>
                </c:pt>
                <c:pt idx="1">
                  <c:v>10816</c:v>
                </c:pt>
                <c:pt idx="2">
                  <c:v>11258</c:v>
                </c:pt>
                <c:pt idx="3">
                  <c:v>9465</c:v>
                </c:pt>
                <c:pt idx="4">
                  <c:v>10505</c:v>
                </c:pt>
                <c:pt idx="5">
                  <c:v>7463</c:v>
                </c:pt>
                <c:pt idx="6">
                  <c:v>9078</c:v>
                </c:pt>
                <c:pt idx="7">
                  <c:v>8778</c:v>
                </c:pt>
                <c:pt idx="8">
                  <c:v>8074</c:v>
                </c:pt>
                <c:pt idx="9">
                  <c:v>8883</c:v>
                </c:pt>
                <c:pt idx="10">
                  <c:v>9269</c:v>
                </c:pt>
              </c:numCache>
            </c:numRef>
          </c:val>
          <c:extLst xmlns:c16r2="http://schemas.microsoft.com/office/drawing/2015/06/chart">
            <c:ext xmlns:c16="http://schemas.microsoft.com/office/drawing/2014/chart" uri="{C3380CC4-5D6E-409C-BE32-E72D297353CC}">
              <c16:uniqueId val="{00000001-A9E5-4773-93EB-C9E03595999B}"/>
            </c:ext>
          </c:extLst>
        </c:ser>
        <c:ser>
          <c:idx val="2"/>
          <c:order val="2"/>
          <c:tx>
            <c:strRef>
              <c:f>'Sheet4 (3)'!$A$4</c:f>
              <c:strCache>
                <c:ptCount val="1"/>
                <c:pt idx="0">
                  <c:v>Biharkeresztes - Borș</c:v>
                </c:pt>
              </c:strCache>
            </c:strRef>
          </c:tx>
          <c:spPr>
            <a:solidFill>
              <a:schemeClr val="accent3"/>
            </a:solidFill>
            <a:ln>
              <a:noFill/>
            </a:ln>
            <a:effectLst/>
          </c:spPr>
          <c:invertIfNegative val="0"/>
          <c:cat>
            <c:numRef>
              <c:f>'Sheet4 (3)'!$B$1:$L$1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(3)'!$B$4:$L$4</c:f>
              <c:numCache>
                <c:formatCode>General</c:formatCode>
                <c:ptCount val="11"/>
                <c:pt idx="0">
                  <c:v>119617</c:v>
                </c:pt>
                <c:pt idx="1">
                  <c:v>120653</c:v>
                </c:pt>
                <c:pt idx="2">
                  <c:v>137895</c:v>
                </c:pt>
                <c:pt idx="3">
                  <c:v>106935</c:v>
                </c:pt>
                <c:pt idx="4">
                  <c:v>115176</c:v>
                </c:pt>
                <c:pt idx="5">
                  <c:v>81105</c:v>
                </c:pt>
                <c:pt idx="6">
                  <c:v>108656</c:v>
                </c:pt>
                <c:pt idx="7">
                  <c:v>133611</c:v>
                </c:pt>
                <c:pt idx="8">
                  <c:v>84954</c:v>
                </c:pt>
                <c:pt idx="9">
                  <c:v>127924</c:v>
                </c:pt>
                <c:pt idx="10">
                  <c:v>173995</c:v>
                </c:pt>
              </c:numCache>
            </c:numRef>
          </c:val>
          <c:extLst xmlns:c16r2="http://schemas.microsoft.com/office/drawing/2015/06/chart">
            <c:ext xmlns:c16="http://schemas.microsoft.com/office/drawing/2014/chart" uri="{C3380CC4-5D6E-409C-BE32-E72D297353CC}">
              <c16:uniqueId val="{00000002-A9E5-4773-93EB-C9E03595999B}"/>
            </c:ext>
          </c:extLst>
        </c:ser>
        <c:ser>
          <c:idx val="3"/>
          <c:order val="3"/>
          <c:tx>
            <c:strRef>
              <c:f>'Sheet4 (3)'!$A$5</c:f>
              <c:strCache>
                <c:ptCount val="1"/>
                <c:pt idx="0">
                  <c:v>Nyirábrány - Valea lui Mihai</c:v>
                </c:pt>
              </c:strCache>
            </c:strRef>
          </c:tx>
          <c:spPr>
            <a:solidFill>
              <a:schemeClr val="accent4"/>
            </a:solidFill>
            <a:ln>
              <a:noFill/>
            </a:ln>
            <a:effectLst/>
          </c:spPr>
          <c:invertIfNegative val="0"/>
          <c:cat>
            <c:numRef>
              <c:f>'Sheet4 (3)'!$B$1:$L$1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(3)'!$B$5:$L$5</c:f>
              <c:numCache>
                <c:formatCode>General</c:formatCode>
                <c:ptCount val="11"/>
                <c:pt idx="0">
                  <c:v>17386</c:v>
                </c:pt>
                <c:pt idx="1">
                  <c:v>17949</c:v>
                </c:pt>
                <c:pt idx="2">
                  <c:v>23753</c:v>
                </c:pt>
                <c:pt idx="3">
                  <c:v>33865</c:v>
                </c:pt>
                <c:pt idx="4">
                  <c:v>29562</c:v>
                </c:pt>
                <c:pt idx="5">
                  <c:v>51055</c:v>
                </c:pt>
                <c:pt idx="6">
                  <c:v>29983</c:v>
                </c:pt>
                <c:pt idx="7">
                  <c:v>28796</c:v>
                </c:pt>
                <c:pt idx="8">
                  <c:v>68749</c:v>
                </c:pt>
                <c:pt idx="9">
                  <c:v>37010</c:v>
                </c:pt>
                <c:pt idx="10">
                  <c:v>31282</c:v>
                </c:pt>
              </c:numCache>
            </c:numRef>
          </c:val>
          <c:extLst xmlns:c16r2="http://schemas.microsoft.com/office/drawing/2015/06/chart">
            <c:ext xmlns:c16="http://schemas.microsoft.com/office/drawing/2014/chart" uri="{C3380CC4-5D6E-409C-BE32-E72D297353CC}">
              <c16:uniqueId val="{00000003-A9E5-4773-93EB-C9E03595999B}"/>
            </c:ext>
          </c:extLst>
        </c:ser>
        <c:ser>
          <c:idx val="4"/>
          <c:order val="4"/>
          <c:tx>
            <c:strRef>
              <c:f>'Sheet4 (3)'!$A$6</c:f>
              <c:strCache>
                <c:ptCount val="1"/>
                <c:pt idx="0">
                  <c:v>Mátészalka (Ágerdőmajor)</c:v>
                </c:pt>
              </c:strCache>
            </c:strRef>
          </c:tx>
          <c:spPr>
            <a:solidFill>
              <a:schemeClr val="accent5"/>
            </a:solidFill>
            <a:ln>
              <a:noFill/>
            </a:ln>
            <a:effectLst/>
          </c:spPr>
          <c:invertIfNegative val="0"/>
          <c:cat>
            <c:numRef>
              <c:f>'Sheet4 (3)'!$B$1:$L$1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(3)'!$B$6:$L$6</c:f>
              <c:numCache>
                <c:formatCode>General</c:formatCode>
                <c:ptCount val="11"/>
                <c:pt idx="0">
                  <c:v>3190</c:v>
                </c:pt>
                <c:pt idx="1">
                  <c:v>2699</c:v>
                </c:pt>
                <c:pt idx="2">
                  <c:v>2904</c:v>
                </c:pt>
                <c:pt idx="3">
                  <c:v>2937</c:v>
                </c:pt>
                <c:pt idx="4">
                  <c:v>3470</c:v>
                </c:pt>
                <c:pt idx="5">
                  <c:v>3179</c:v>
                </c:pt>
                <c:pt idx="6">
                  <c:v>3073</c:v>
                </c:pt>
                <c:pt idx="7">
                  <c:v>3101</c:v>
                </c:pt>
                <c:pt idx="8">
                  <c:v>3227</c:v>
                </c:pt>
                <c:pt idx="9">
                  <c:v>3323</c:v>
                </c:pt>
                <c:pt idx="10">
                  <c:v>3430</c:v>
                </c:pt>
              </c:numCache>
            </c:numRef>
          </c:val>
          <c:extLst xmlns:c16r2="http://schemas.microsoft.com/office/drawing/2015/06/chart">
            <c:ext xmlns:c16="http://schemas.microsoft.com/office/drawing/2014/chart" uri="{C3380CC4-5D6E-409C-BE32-E72D297353CC}">
              <c16:uniqueId val="{00000004-A9E5-4773-93EB-C9E03595999B}"/>
            </c:ext>
          </c:extLst>
        </c:ser>
        <c:ser>
          <c:idx val="5"/>
          <c:order val="5"/>
          <c:tx>
            <c:strRef>
              <c:f>'Sheet4 (3)'!$A$7</c:f>
              <c:strCache>
                <c:ptCount val="1"/>
                <c:pt idx="0">
                  <c:v>Bagamér - Voivozi</c:v>
                </c:pt>
              </c:strCache>
            </c:strRef>
          </c:tx>
          <c:spPr>
            <a:solidFill>
              <a:schemeClr val="accent6"/>
            </a:solidFill>
            <a:ln>
              <a:noFill/>
            </a:ln>
            <a:effectLst/>
          </c:spPr>
          <c:invertIfNegative val="0"/>
          <c:cat>
            <c:numRef>
              <c:f>'Sheet4 (3)'!$B$1:$L$1</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'Sheet4 (3)'!$B$7:$L$7</c:f>
              <c:numCache>
                <c:formatCode>General</c:formatCode>
                <c:ptCount val="11"/>
                <c:pt idx="0">
                  <c:v>0</c:v>
                </c:pt>
                <c:pt idx="1">
                  <c:v>0</c:v>
                </c:pt>
                <c:pt idx="2">
                  <c:v>0</c:v>
                </c:pt>
                <c:pt idx="3">
                  <c:v>0</c:v>
                </c:pt>
                <c:pt idx="4">
                  <c:v>0</c:v>
                </c:pt>
                <c:pt idx="5">
                  <c:v>0</c:v>
                </c:pt>
                <c:pt idx="6">
                  <c:v>0</c:v>
                </c:pt>
                <c:pt idx="7">
                  <c:v>0</c:v>
                </c:pt>
                <c:pt idx="8">
                  <c:v>1505</c:v>
                </c:pt>
                <c:pt idx="9">
                  <c:v>1178</c:v>
                </c:pt>
                <c:pt idx="10">
                  <c:v>1052</c:v>
                </c:pt>
              </c:numCache>
            </c:numRef>
          </c:val>
          <c:extLst xmlns:c16r2="http://schemas.microsoft.com/office/drawing/2015/06/chart">
            <c:ext xmlns:c16="http://schemas.microsoft.com/office/drawing/2014/chart" uri="{C3380CC4-5D6E-409C-BE32-E72D297353CC}">
              <c16:uniqueId val="{00000005-A9E5-4773-93EB-C9E03595999B}"/>
            </c:ext>
          </c:extLst>
        </c:ser>
        <c:dLbls>
          <c:showLegendKey val="0"/>
          <c:showVal val="0"/>
          <c:showCatName val="0"/>
          <c:showSerName val="0"/>
          <c:showPercent val="0"/>
          <c:showBubbleSize val="0"/>
        </c:dLbls>
        <c:gapWidth val="150"/>
        <c:overlap val="100"/>
        <c:axId val="706219960"/>
        <c:axId val="706218784"/>
      </c:barChart>
      <c:catAx>
        <c:axId val="70621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6218784"/>
        <c:crosses val="autoZero"/>
        <c:auto val="1"/>
        <c:lblAlgn val="ctr"/>
        <c:lblOffset val="100"/>
        <c:noMultiLvlLbl val="0"/>
      </c:catAx>
      <c:valAx>
        <c:axId val="70621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6219960"/>
        <c:crosses val="autoZero"/>
        <c:crossBetween val="between"/>
      </c:valAx>
      <c:spPr>
        <a:noFill/>
        <a:ln>
          <a:noFill/>
        </a:ln>
        <a:effectLst/>
      </c:spPr>
    </c:plotArea>
    <c:legend>
      <c:legendPos val="b"/>
      <c:layout>
        <c:manualLayout>
          <c:xMode val="edge"/>
          <c:yMode val="edge"/>
          <c:x val="0"/>
          <c:y val="0.78173468316460437"/>
          <c:w val="1"/>
          <c:h val="0.195408173978252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sz="1050" b="1">
                <a:latin typeface="Calibri" panose="020F0502020204030204" pitchFamily="34" charset="0"/>
                <a:cs typeface="Calibri" panose="020F0502020204030204" pitchFamily="34" charset="0"/>
              </a:rPr>
              <a:t>Road freight transport loading/ unloading </a:t>
            </a:r>
          </a:p>
          <a:p>
            <a:pPr>
              <a:defRPr sz="1050" b="1">
                <a:latin typeface="Calibri" panose="020F0502020204030204" pitchFamily="34" charset="0"/>
                <a:cs typeface="Calibri" panose="020F0502020204030204" pitchFamily="34" charset="0"/>
              </a:defRPr>
            </a:pPr>
            <a:r>
              <a:rPr lang="en-GB" sz="1050" b="1">
                <a:latin typeface="Calibri" panose="020F0502020204030204" pitchFamily="34" charset="0"/>
                <a:cs typeface="Calibri" panose="020F0502020204030204" pitchFamily="34" charset="0"/>
              </a:rPr>
              <a:t>Trends 2015-2018 (% increase or decrease)</a:t>
            </a:r>
          </a:p>
        </c:rich>
      </c:tx>
      <c:overlay val="0"/>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autoTitleDeleted val="0"/>
    <c:plotArea>
      <c:layout/>
      <c:barChart>
        <c:barDir val="col"/>
        <c:grouping val="clustered"/>
        <c:varyColors val="0"/>
        <c:ser>
          <c:idx val="0"/>
          <c:order val="0"/>
          <c:tx>
            <c:strRef>
              <c:f>'7.1.12'!$B$4</c:f>
              <c:strCache>
                <c:ptCount val="1"/>
                <c:pt idx="0">
                  <c:v>Hajdú-Bihar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'7.1.12'!$T$2:$U$2</c:f>
              <c:strCache>
                <c:ptCount val="2"/>
                <c:pt idx="0">
                  <c:v>loading</c:v>
                </c:pt>
                <c:pt idx="1">
                  <c:v>unloading</c:v>
                </c:pt>
              </c:strCache>
            </c:strRef>
          </c:cat>
          <c:val>
            <c:numRef>
              <c:f>'7.1.12'!$T$4:$U$4</c:f>
              <c:numCache>
                <c:formatCode>0.00%</c:formatCode>
                <c:ptCount val="2"/>
                <c:pt idx="0">
                  <c:v>0.63078175895765476</c:v>
                </c:pt>
                <c:pt idx="1">
                  <c:v>0.50103092783505154</c:v>
                </c:pt>
              </c:numCache>
            </c:numRef>
          </c:val>
          <c:extLst xmlns:c16r2="http://schemas.microsoft.com/office/drawing/2015/06/chart">
            <c:ext xmlns:c16="http://schemas.microsoft.com/office/drawing/2014/chart" uri="{C3380CC4-5D6E-409C-BE32-E72D297353CC}">
              <c16:uniqueId val="{00000000-4047-4913-BC42-E53EF89DED93}"/>
            </c:ext>
          </c:extLst>
        </c:ser>
        <c:ser>
          <c:idx val="1"/>
          <c:order val="1"/>
          <c:tx>
            <c:strRef>
              <c:f>'7.1.12'!$B$5</c:f>
              <c:strCache>
                <c:ptCount val="1"/>
                <c:pt idx="0">
                  <c:v>Szabolcs-Szatmár-Bereg</c:v>
                </c:pt>
              </c:strCache>
            </c:strRef>
          </c:tx>
          <c:spPr>
            <a:solidFill>
              <a:schemeClr val="accent2"/>
            </a:solidFill>
            <a:ln>
              <a:noFill/>
            </a:ln>
            <a:effectLst/>
          </c:spPr>
          <c:invertIfNegative val="0"/>
          <c:cat>
            <c:strRef>
              <c:f>'7.1.12'!$T$2:$U$2</c:f>
              <c:strCache>
                <c:ptCount val="2"/>
                <c:pt idx="0">
                  <c:v>loading</c:v>
                </c:pt>
                <c:pt idx="1">
                  <c:v>unloading</c:v>
                </c:pt>
              </c:strCache>
            </c:strRef>
          </c:cat>
          <c:val>
            <c:numRef>
              <c:f>'7.1.12'!$T$5:$U$5</c:f>
              <c:numCache>
                <c:formatCode>0.00%</c:formatCode>
                <c:ptCount val="2"/>
                <c:pt idx="0">
                  <c:v>0.22352197281062283</c:v>
                </c:pt>
                <c:pt idx="1">
                  <c:v>0.15488126649076517</c:v>
                </c:pt>
              </c:numCache>
            </c:numRef>
          </c:val>
          <c:extLst xmlns:c16r2="http://schemas.microsoft.com/office/drawing/2015/06/chart">
            <c:ext xmlns:c16="http://schemas.microsoft.com/office/drawing/2014/chart" uri="{C3380CC4-5D6E-409C-BE32-E72D297353CC}">
              <c16:uniqueId val="{00000001-4047-4913-BC42-E53EF89DED93}"/>
            </c:ext>
          </c:extLst>
        </c:ser>
        <c:ser>
          <c:idx val="2"/>
          <c:order val="2"/>
          <c:tx>
            <c:strRef>
              <c:f>'7.1.12'!$B$6</c:f>
              <c:strCache>
                <c:ptCount val="1"/>
                <c:pt idx="0">
                  <c:v>Békés</c:v>
                </c:pt>
              </c:strCache>
            </c:strRef>
          </c:tx>
          <c:spPr>
            <a:solidFill>
              <a:schemeClr val="accent3"/>
            </a:solidFill>
            <a:ln>
              <a:noFill/>
            </a:ln>
            <a:effectLst/>
          </c:spPr>
          <c:invertIfNegative val="0"/>
          <c:cat>
            <c:strRef>
              <c:f>'7.1.12'!$T$2:$U$2</c:f>
              <c:strCache>
                <c:ptCount val="2"/>
                <c:pt idx="0">
                  <c:v>loading</c:v>
                </c:pt>
                <c:pt idx="1">
                  <c:v>unloading</c:v>
                </c:pt>
              </c:strCache>
            </c:strRef>
          </c:cat>
          <c:val>
            <c:numRef>
              <c:f>'7.1.12'!$T$6:$U$6</c:f>
              <c:numCache>
                <c:formatCode>0.00%</c:formatCode>
                <c:ptCount val="2"/>
                <c:pt idx="0">
                  <c:v>0.19743808710503843</c:v>
                </c:pt>
                <c:pt idx="1">
                  <c:v>0.1900734120651133</c:v>
                </c:pt>
              </c:numCache>
            </c:numRef>
          </c:val>
          <c:extLst xmlns:c16r2="http://schemas.microsoft.com/office/drawing/2015/06/chart">
            <c:ext xmlns:c16="http://schemas.microsoft.com/office/drawing/2014/chart" uri="{C3380CC4-5D6E-409C-BE32-E72D297353CC}">
              <c16:uniqueId val="{00000002-4047-4913-BC42-E53EF89DED93}"/>
            </c:ext>
          </c:extLst>
        </c:ser>
        <c:ser>
          <c:idx val="3"/>
          <c:order val="3"/>
          <c:tx>
            <c:strRef>
              <c:f>'7.1.12'!$B$7</c:f>
              <c:strCache>
                <c:ptCount val="1"/>
                <c:pt idx="0">
                  <c:v>Csongrád</c:v>
                </c:pt>
              </c:strCache>
            </c:strRef>
          </c:tx>
          <c:spPr>
            <a:solidFill>
              <a:schemeClr val="accent4"/>
            </a:solidFill>
            <a:ln>
              <a:noFill/>
            </a:ln>
            <a:effectLst/>
          </c:spPr>
          <c:invertIfNegative val="0"/>
          <c:dLbls>
            <c:dLbl>
              <c:idx val="0"/>
              <c:layout>
                <c:manualLayout>
                  <c:x val="-2.8226515084755644E-17"/>
                  <c:y val="-3.12499999999999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047-4913-BC42-E53EF89DED9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'7.1.12'!$T$2:$U$2</c:f>
              <c:strCache>
                <c:ptCount val="2"/>
                <c:pt idx="0">
                  <c:v>loading</c:v>
                </c:pt>
                <c:pt idx="1">
                  <c:v>unloading</c:v>
                </c:pt>
              </c:strCache>
            </c:strRef>
          </c:cat>
          <c:val>
            <c:numRef>
              <c:f>'7.1.12'!$T$7:$U$7</c:f>
              <c:numCache>
                <c:formatCode>0.00%</c:formatCode>
                <c:ptCount val="2"/>
                <c:pt idx="0">
                  <c:v>-3.9628313746925391E-3</c:v>
                </c:pt>
                <c:pt idx="1">
                  <c:v>-7.0739171374764598E-2</c:v>
                </c:pt>
              </c:numCache>
            </c:numRef>
          </c:val>
          <c:extLst xmlns:c16r2="http://schemas.microsoft.com/office/drawing/2015/06/chart">
            <c:ext xmlns:c16="http://schemas.microsoft.com/office/drawing/2014/chart" uri="{C3380CC4-5D6E-409C-BE32-E72D297353CC}">
              <c16:uniqueId val="{00000004-4047-4913-BC42-E53EF89DED93}"/>
            </c:ext>
          </c:extLst>
        </c:ser>
        <c:ser>
          <c:idx val="4"/>
          <c:order val="4"/>
          <c:tx>
            <c:strRef>
              <c:f>'7.1.12'!$B$8</c:f>
              <c:strCache>
                <c:ptCount val="1"/>
                <c:pt idx="0">
                  <c:v>Bihor</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'7.1.12'!$T$2:$U$2</c:f>
              <c:strCache>
                <c:ptCount val="2"/>
                <c:pt idx="0">
                  <c:v>loading</c:v>
                </c:pt>
                <c:pt idx="1">
                  <c:v>unloading</c:v>
                </c:pt>
              </c:strCache>
            </c:strRef>
          </c:cat>
          <c:val>
            <c:numRef>
              <c:f>'7.1.12'!$T$8:$U$8</c:f>
              <c:numCache>
                <c:formatCode>0.00%</c:formatCode>
                <c:ptCount val="2"/>
                <c:pt idx="0">
                  <c:v>0.63644859813084109</c:v>
                </c:pt>
                <c:pt idx="1">
                  <c:v>0.51403148528405207</c:v>
                </c:pt>
              </c:numCache>
            </c:numRef>
          </c:val>
          <c:extLst xmlns:c16r2="http://schemas.microsoft.com/office/drawing/2015/06/chart">
            <c:ext xmlns:c16="http://schemas.microsoft.com/office/drawing/2014/chart" uri="{C3380CC4-5D6E-409C-BE32-E72D297353CC}">
              <c16:uniqueId val="{00000005-4047-4913-BC42-E53EF89DED93}"/>
            </c:ext>
          </c:extLst>
        </c:ser>
        <c:ser>
          <c:idx val="5"/>
          <c:order val="5"/>
          <c:tx>
            <c:strRef>
              <c:f>'7.1.12'!$B$9</c:f>
              <c:strCache>
                <c:ptCount val="1"/>
                <c:pt idx="0">
                  <c:v>Satu Mare</c:v>
                </c:pt>
              </c:strCache>
            </c:strRef>
          </c:tx>
          <c:spPr>
            <a:solidFill>
              <a:schemeClr val="accent6"/>
            </a:solidFill>
            <a:ln>
              <a:noFill/>
            </a:ln>
            <a:effectLst/>
          </c:spPr>
          <c:invertIfNegative val="0"/>
          <c:cat>
            <c:strRef>
              <c:f>'7.1.12'!$T$2:$U$2</c:f>
              <c:strCache>
                <c:ptCount val="2"/>
                <c:pt idx="0">
                  <c:v>loading</c:v>
                </c:pt>
                <c:pt idx="1">
                  <c:v>unloading</c:v>
                </c:pt>
              </c:strCache>
            </c:strRef>
          </c:cat>
          <c:val>
            <c:numRef>
              <c:f>'7.1.12'!$T$9:$U$9</c:f>
              <c:numCache>
                <c:formatCode>0.00%</c:formatCode>
                <c:ptCount val="2"/>
                <c:pt idx="0">
                  <c:v>0.2463551401869159</c:v>
                </c:pt>
                <c:pt idx="1">
                  <c:v>0.36052202283849921</c:v>
                </c:pt>
              </c:numCache>
            </c:numRef>
          </c:val>
          <c:extLst xmlns:c16r2="http://schemas.microsoft.com/office/drawing/2015/06/chart">
            <c:ext xmlns:c16="http://schemas.microsoft.com/office/drawing/2014/chart" uri="{C3380CC4-5D6E-409C-BE32-E72D297353CC}">
              <c16:uniqueId val="{00000006-4047-4913-BC42-E53EF89DED93}"/>
            </c:ext>
          </c:extLst>
        </c:ser>
        <c:ser>
          <c:idx val="6"/>
          <c:order val="6"/>
          <c:tx>
            <c:strRef>
              <c:f>'7.1.12'!$B$10</c:f>
              <c:strCache>
                <c:ptCount val="1"/>
                <c:pt idx="0">
                  <c:v>Arad</c:v>
                </c:pt>
              </c:strCache>
            </c:strRef>
          </c:tx>
          <c:spPr>
            <a:solidFill>
              <a:schemeClr val="accent1">
                <a:lumMod val="60000"/>
              </a:schemeClr>
            </a:solidFill>
            <a:ln>
              <a:noFill/>
            </a:ln>
            <a:effectLst/>
          </c:spPr>
          <c:invertIfNegative val="0"/>
          <c:cat>
            <c:strRef>
              <c:f>'7.1.12'!$T$2:$U$2</c:f>
              <c:strCache>
                <c:ptCount val="2"/>
                <c:pt idx="0">
                  <c:v>loading</c:v>
                </c:pt>
                <c:pt idx="1">
                  <c:v>unloading</c:v>
                </c:pt>
              </c:strCache>
            </c:strRef>
          </c:cat>
          <c:val>
            <c:numRef>
              <c:f>'7.1.12'!$T$10:$U$10</c:f>
              <c:numCache>
                <c:formatCode>0.00%</c:formatCode>
                <c:ptCount val="2"/>
                <c:pt idx="0">
                  <c:v>-0.1477292202227935</c:v>
                </c:pt>
                <c:pt idx="1">
                  <c:v>-0.1726235741444867</c:v>
                </c:pt>
              </c:numCache>
            </c:numRef>
          </c:val>
          <c:extLst xmlns:c16r2="http://schemas.microsoft.com/office/drawing/2015/06/chart">
            <c:ext xmlns:c16="http://schemas.microsoft.com/office/drawing/2014/chart" uri="{C3380CC4-5D6E-409C-BE32-E72D297353CC}">
              <c16:uniqueId val="{00000007-4047-4913-BC42-E53EF89DED93}"/>
            </c:ext>
          </c:extLst>
        </c:ser>
        <c:ser>
          <c:idx val="7"/>
          <c:order val="7"/>
          <c:tx>
            <c:strRef>
              <c:f>'7.1.12'!$B$11</c:f>
              <c:strCache>
                <c:ptCount val="1"/>
                <c:pt idx="0">
                  <c:v>Timis</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'7.1.12'!$T$2:$U$2</c:f>
              <c:strCache>
                <c:ptCount val="2"/>
                <c:pt idx="0">
                  <c:v>loading</c:v>
                </c:pt>
                <c:pt idx="1">
                  <c:v>unloading</c:v>
                </c:pt>
              </c:strCache>
            </c:strRef>
          </c:cat>
          <c:val>
            <c:numRef>
              <c:f>'7.1.12'!$T$11:$U$11</c:f>
              <c:numCache>
                <c:formatCode>0.00%</c:formatCode>
                <c:ptCount val="2"/>
                <c:pt idx="0">
                  <c:v>-0.33649386787591468</c:v>
                </c:pt>
                <c:pt idx="1">
                  <c:v>-0.28671119529458677</c:v>
                </c:pt>
              </c:numCache>
            </c:numRef>
          </c:val>
          <c:extLst xmlns:c16r2="http://schemas.microsoft.com/office/drawing/2015/06/chart">
            <c:ext xmlns:c16="http://schemas.microsoft.com/office/drawing/2014/chart" uri="{C3380CC4-5D6E-409C-BE32-E72D297353CC}">
              <c16:uniqueId val="{00000008-4047-4913-BC42-E53EF89DED93}"/>
            </c:ext>
          </c:extLst>
        </c:ser>
        <c:dLbls>
          <c:showLegendKey val="0"/>
          <c:showVal val="0"/>
          <c:showCatName val="0"/>
          <c:showSerName val="0"/>
          <c:showPercent val="0"/>
          <c:showBubbleSize val="0"/>
        </c:dLbls>
        <c:gapWidth val="219"/>
        <c:overlap val="-27"/>
        <c:axId val="706217608"/>
        <c:axId val="706219176"/>
      </c:barChart>
      <c:catAx>
        <c:axId val="706217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6219176"/>
        <c:crosses val="autoZero"/>
        <c:auto val="1"/>
        <c:lblAlgn val="ctr"/>
        <c:lblOffset val="100"/>
        <c:noMultiLvlLbl val="0"/>
      </c:catAx>
      <c:valAx>
        <c:axId val="7062191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62176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GB"/>
              <a:t>Frequency of internet access: once a week (including every day)</a:t>
            </a:r>
            <a:r>
              <a:rPr lang="ro-RO"/>
              <a:t> - %</a:t>
            </a:r>
            <a:r>
              <a:rPr lang="ro-RO" baseline="0"/>
              <a:t> of population</a:t>
            </a:r>
            <a:endParaRPr lang="en-GB"/>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'Sheet 1'!$A$23</c:f>
              <c:strCache>
                <c:ptCount val="1"/>
                <c:pt idx="0">
                  <c:v>Hungary</c:v>
                </c:pt>
              </c:strCache>
            </c:strRef>
          </c:tx>
          <c:spPr>
            <a:ln w="28575" cap="rnd">
              <a:solidFill>
                <a:schemeClr val="accent1"/>
              </a:solidFill>
              <a:round/>
            </a:ln>
            <a:effectLst/>
          </c:spPr>
          <c:marker>
            <c:symbol val="none"/>
          </c:marker>
          <c:cat>
            <c:strRef>
              <c:f>'Sheet 1'!$B$22:$L$22</c:f>
              <c:strCache>
                <c:ptCount val="9"/>
                <c:pt idx="0">
                  <c:v>2011</c:v>
                </c:pt>
                <c:pt idx="1">
                  <c:v>2012</c:v>
                </c:pt>
                <c:pt idx="2">
                  <c:v>2013</c:v>
                </c:pt>
                <c:pt idx="3">
                  <c:v>2014</c:v>
                </c:pt>
                <c:pt idx="4">
                  <c:v>2015</c:v>
                </c:pt>
                <c:pt idx="5">
                  <c:v>2016</c:v>
                </c:pt>
                <c:pt idx="6">
                  <c:v>2017</c:v>
                </c:pt>
                <c:pt idx="7">
                  <c:v>2018</c:v>
                </c:pt>
                <c:pt idx="8">
                  <c:v>2019</c:v>
                </c:pt>
              </c:strCache>
              <c:extLst xmlns:c16r2="http://schemas.microsoft.com/office/drawing/2015/06/chart"/>
            </c:strRef>
          </c:cat>
          <c:val>
            <c:numRef>
              <c:f>'Sheet 1'!$B$23:$L$23</c:f>
              <c:numCache>
                <c:formatCode>#,##0</c:formatCode>
                <c:ptCount val="9"/>
                <c:pt idx="0">
                  <c:v>55</c:v>
                </c:pt>
                <c:pt idx="1">
                  <c:v>58</c:v>
                </c:pt>
                <c:pt idx="2">
                  <c:v>62</c:v>
                </c:pt>
                <c:pt idx="3">
                  <c:v>66</c:v>
                </c:pt>
                <c:pt idx="4">
                  <c:v>63</c:v>
                </c:pt>
                <c:pt idx="5">
                  <c:v>71</c:v>
                </c:pt>
                <c:pt idx="6">
                  <c:v>69</c:v>
                </c:pt>
                <c:pt idx="7">
                  <c:v>69</c:v>
                </c:pt>
                <c:pt idx="8">
                  <c:v>75</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30D5-48F2-AE16-CB5D9B2487D4}"/>
            </c:ext>
          </c:extLst>
        </c:ser>
        <c:ser>
          <c:idx val="1"/>
          <c:order val="1"/>
          <c:tx>
            <c:strRef>
              <c:f>'Sheet 1'!$A$24</c:f>
              <c:strCache>
                <c:ptCount val="1"/>
                <c:pt idx="0">
                  <c:v>Észak-Alföld</c:v>
                </c:pt>
              </c:strCache>
            </c:strRef>
          </c:tx>
          <c:spPr>
            <a:ln w="28575" cap="rnd">
              <a:solidFill>
                <a:schemeClr val="accent2"/>
              </a:solidFill>
              <a:round/>
            </a:ln>
            <a:effectLst/>
          </c:spPr>
          <c:marker>
            <c:symbol val="none"/>
          </c:marker>
          <c:cat>
            <c:strRef>
              <c:f>'Sheet 1'!$B$22:$L$22</c:f>
              <c:strCache>
                <c:ptCount val="9"/>
                <c:pt idx="0">
                  <c:v>2011</c:v>
                </c:pt>
                <c:pt idx="1">
                  <c:v>2012</c:v>
                </c:pt>
                <c:pt idx="2">
                  <c:v>2013</c:v>
                </c:pt>
                <c:pt idx="3">
                  <c:v>2014</c:v>
                </c:pt>
                <c:pt idx="4">
                  <c:v>2015</c:v>
                </c:pt>
                <c:pt idx="5">
                  <c:v>2016</c:v>
                </c:pt>
                <c:pt idx="6">
                  <c:v>2017</c:v>
                </c:pt>
                <c:pt idx="7">
                  <c:v>2018</c:v>
                </c:pt>
                <c:pt idx="8">
                  <c:v>2019</c:v>
                </c:pt>
              </c:strCache>
              <c:extLst xmlns:c16r2="http://schemas.microsoft.com/office/drawing/2015/06/chart"/>
            </c:strRef>
          </c:cat>
          <c:val>
            <c:numRef>
              <c:f>'Sheet 1'!$B$24:$L$24</c:f>
              <c:numCache>
                <c:formatCode>#,##0</c:formatCode>
                <c:ptCount val="9"/>
                <c:pt idx="0">
                  <c:v>49</c:v>
                </c:pt>
                <c:pt idx="1">
                  <c:v>50</c:v>
                </c:pt>
                <c:pt idx="2">
                  <c:v>53</c:v>
                </c:pt>
                <c:pt idx="3">
                  <c:v>58</c:v>
                </c:pt>
                <c:pt idx="4">
                  <c:v>54</c:v>
                </c:pt>
                <c:pt idx="5">
                  <c:v>63</c:v>
                </c:pt>
                <c:pt idx="6">
                  <c:v>62</c:v>
                </c:pt>
                <c:pt idx="7">
                  <c:v>64</c:v>
                </c:pt>
                <c:pt idx="8">
                  <c:v>71</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1-30D5-48F2-AE16-CB5D9B2487D4}"/>
            </c:ext>
          </c:extLst>
        </c:ser>
        <c:ser>
          <c:idx val="2"/>
          <c:order val="2"/>
          <c:tx>
            <c:strRef>
              <c:f>'Sheet 1'!$A$25</c:f>
              <c:strCache>
                <c:ptCount val="1"/>
                <c:pt idx="0">
                  <c:v>Dél-Alföld</c:v>
                </c:pt>
              </c:strCache>
            </c:strRef>
          </c:tx>
          <c:spPr>
            <a:ln w="28575" cap="rnd">
              <a:solidFill>
                <a:schemeClr val="accent3"/>
              </a:solidFill>
              <a:round/>
            </a:ln>
            <a:effectLst/>
          </c:spPr>
          <c:marker>
            <c:symbol val="none"/>
          </c:marker>
          <c:cat>
            <c:strRef>
              <c:f>'Sheet 1'!$B$22:$L$22</c:f>
              <c:strCache>
                <c:ptCount val="9"/>
                <c:pt idx="0">
                  <c:v>2011</c:v>
                </c:pt>
                <c:pt idx="1">
                  <c:v>2012</c:v>
                </c:pt>
                <c:pt idx="2">
                  <c:v>2013</c:v>
                </c:pt>
                <c:pt idx="3">
                  <c:v>2014</c:v>
                </c:pt>
                <c:pt idx="4">
                  <c:v>2015</c:v>
                </c:pt>
                <c:pt idx="5">
                  <c:v>2016</c:v>
                </c:pt>
                <c:pt idx="6">
                  <c:v>2017</c:v>
                </c:pt>
                <c:pt idx="7">
                  <c:v>2018</c:v>
                </c:pt>
                <c:pt idx="8">
                  <c:v>2019</c:v>
                </c:pt>
              </c:strCache>
              <c:extLst xmlns:c16r2="http://schemas.microsoft.com/office/drawing/2015/06/chart"/>
            </c:strRef>
          </c:cat>
          <c:val>
            <c:numRef>
              <c:f>'Sheet 1'!$B$25:$L$25</c:f>
              <c:numCache>
                <c:formatCode>#,##0</c:formatCode>
                <c:ptCount val="9"/>
                <c:pt idx="0">
                  <c:v>51</c:v>
                </c:pt>
                <c:pt idx="1">
                  <c:v>55</c:v>
                </c:pt>
                <c:pt idx="2">
                  <c:v>58</c:v>
                </c:pt>
                <c:pt idx="3">
                  <c:v>62</c:v>
                </c:pt>
                <c:pt idx="4">
                  <c:v>59</c:v>
                </c:pt>
                <c:pt idx="5">
                  <c:v>66</c:v>
                </c:pt>
                <c:pt idx="6">
                  <c:v>66</c:v>
                </c:pt>
                <c:pt idx="7">
                  <c:v>65</c:v>
                </c:pt>
                <c:pt idx="8">
                  <c:v>72</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2-30D5-48F2-AE16-CB5D9B2487D4}"/>
            </c:ext>
          </c:extLst>
        </c:ser>
        <c:ser>
          <c:idx val="3"/>
          <c:order val="3"/>
          <c:tx>
            <c:strRef>
              <c:f>'Sheet 1'!$A$26</c:f>
              <c:strCache>
                <c:ptCount val="1"/>
                <c:pt idx="0">
                  <c:v>Romania</c:v>
                </c:pt>
              </c:strCache>
            </c:strRef>
          </c:tx>
          <c:spPr>
            <a:ln w="28575" cap="rnd">
              <a:solidFill>
                <a:schemeClr val="accent4"/>
              </a:solidFill>
              <a:round/>
            </a:ln>
            <a:effectLst/>
          </c:spPr>
          <c:marker>
            <c:symbol val="none"/>
          </c:marker>
          <c:cat>
            <c:strRef>
              <c:f>'Sheet 1'!$B$22:$L$22</c:f>
              <c:strCache>
                <c:ptCount val="9"/>
                <c:pt idx="0">
                  <c:v>2011</c:v>
                </c:pt>
                <c:pt idx="1">
                  <c:v>2012</c:v>
                </c:pt>
                <c:pt idx="2">
                  <c:v>2013</c:v>
                </c:pt>
                <c:pt idx="3">
                  <c:v>2014</c:v>
                </c:pt>
                <c:pt idx="4">
                  <c:v>2015</c:v>
                </c:pt>
                <c:pt idx="5">
                  <c:v>2016</c:v>
                </c:pt>
                <c:pt idx="6">
                  <c:v>2017</c:v>
                </c:pt>
                <c:pt idx="7">
                  <c:v>2018</c:v>
                </c:pt>
                <c:pt idx="8">
                  <c:v>2019</c:v>
                </c:pt>
              </c:strCache>
              <c:extLst xmlns:c16r2="http://schemas.microsoft.com/office/drawing/2015/06/chart"/>
            </c:strRef>
          </c:cat>
          <c:val>
            <c:numRef>
              <c:f>'Sheet 1'!$B$26:$L$26</c:f>
              <c:numCache>
                <c:formatCode>#,##0</c:formatCode>
                <c:ptCount val="9"/>
                <c:pt idx="0">
                  <c:v>24</c:v>
                </c:pt>
                <c:pt idx="1">
                  <c:v>29</c:v>
                </c:pt>
                <c:pt idx="2">
                  <c:v>32</c:v>
                </c:pt>
                <c:pt idx="3">
                  <c:v>32</c:v>
                </c:pt>
                <c:pt idx="4">
                  <c:v>37</c:v>
                </c:pt>
                <c:pt idx="5">
                  <c:v>42</c:v>
                </c:pt>
                <c:pt idx="6">
                  <c:v>47</c:v>
                </c:pt>
                <c:pt idx="7">
                  <c:v>53</c:v>
                </c:pt>
                <c:pt idx="8">
                  <c:v>57</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3-30D5-48F2-AE16-CB5D9B2487D4}"/>
            </c:ext>
          </c:extLst>
        </c:ser>
        <c:ser>
          <c:idx val="4"/>
          <c:order val="4"/>
          <c:tx>
            <c:strRef>
              <c:f>'Sheet 1'!$A$27</c:f>
              <c:strCache>
                <c:ptCount val="1"/>
                <c:pt idx="0">
                  <c:v>Nord-Vest</c:v>
                </c:pt>
              </c:strCache>
            </c:strRef>
          </c:tx>
          <c:spPr>
            <a:ln w="28575" cap="rnd">
              <a:solidFill>
                <a:schemeClr val="accent5"/>
              </a:solidFill>
              <a:round/>
            </a:ln>
            <a:effectLst/>
          </c:spPr>
          <c:marker>
            <c:symbol val="none"/>
          </c:marker>
          <c:cat>
            <c:strRef>
              <c:f>'Sheet 1'!$B$22:$L$22</c:f>
              <c:strCache>
                <c:ptCount val="9"/>
                <c:pt idx="0">
                  <c:v>2011</c:v>
                </c:pt>
                <c:pt idx="1">
                  <c:v>2012</c:v>
                </c:pt>
                <c:pt idx="2">
                  <c:v>2013</c:v>
                </c:pt>
                <c:pt idx="3">
                  <c:v>2014</c:v>
                </c:pt>
                <c:pt idx="4">
                  <c:v>2015</c:v>
                </c:pt>
                <c:pt idx="5">
                  <c:v>2016</c:v>
                </c:pt>
                <c:pt idx="6">
                  <c:v>2017</c:v>
                </c:pt>
                <c:pt idx="7">
                  <c:v>2018</c:v>
                </c:pt>
                <c:pt idx="8">
                  <c:v>2019</c:v>
                </c:pt>
              </c:strCache>
              <c:extLst xmlns:c16r2="http://schemas.microsoft.com/office/drawing/2015/06/chart"/>
            </c:strRef>
          </c:cat>
          <c:val>
            <c:numRef>
              <c:f>'Sheet 1'!$B$27:$L$27</c:f>
              <c:numCache>
                <c:formatCode>#,##0</c:formatCode>
                <c:ptCount val="9"/>
                <c:pt idx="0">
                  <c:v>21</c:v>
                </c:pt>
                <c:pt idx="1">
                  <c:v>28</c:v>
                </c:pt>
                <c:pt idx="2">
                  <c:v>31</c:v>
                </c:pt>
                <c:pt idx="3">
                  <c:v>32</c:v>
                </c:pt>
                <c:pt idx="4">
                  <c:v>38</c:v>
                </c:pt>
                <c:pt idx="5">
                  <c:v>45</c:v>
                </c:pt>
                <c:pt idx="6">
                  <c:v>50</c:v>
                </c:pt>
                <c:pt idx="7">
                  <c:v>61</c:v>
                </c:pt>
                <c:pt idx="8">
                  <c:v>65</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4-30D5-48F2-AE16-CB5D9B2487D4}"/>
            </c:ext>
          </c:extLst>
        </c:ser>
        <c:ser>
          <c:idx val="5"/>
          <c:order val="5"/>
          <c:tx>
            <c:strRef>
              <c:f>'Sheet 1'!$A$28</c:f>
              <c:strCache>
                <c:ptCount val="1"/>
                <c:pt idx="0">
                  <c:v>Vest</c:v>
                </c:pt>
              </c:strCache>
            </c:strRef>
          </c:tx>
          <c:spPr>
            <a:ln w="28575" cap="rnd">
              <a:solidFill>
                <a:schemeClr val="accent6"/>
              </a:solidFill>
              <a:round/>
            </a:ln>
            <a:effectLst/>
          </c:spPr>
          <c:marker>
            <c:symbol val="none"/>
          </c:marker>
          <c:cat>
            <c:strRef>
              <c:f>'Sheet 1'!$B$22:$L$22</c:f>
              <c:strCache>
                <c:ptCount val="9"/>
                <c:pt idx="0">
                  <c:v>2011</c:v>
                </c:pt>
                <c:pt idx="1">
                  <c:v>2012</c:v>
                </c:pt>
                <c:pt idx="2">
                  <c:v>2013</c:v>
                </c:pt>
                <c:pt idx="3">
                  <c:v>2014</c:v>
                </c:pt>
                <c:pt idx="4">
                  <c:v>2015</c:v>
                </c:pt>
                <c:pt idx="5">
                  <c:v>2016</c:v>
                </c:pt>
                <c:pt idx="6">
                  <c:v>2017</c:v>
                </c:pt>
                <c:pt idx="7">
                  <c:v>2018</c:v>
                </c:pt>
                <c:pt idx="8">
                  <c:v>2019</c:v>
                </c:pt>
              </c:strCache>
              <c:extLst xmlns:c16r2="http://schemas.microsoft.com/office/drawing/2015/06/chart"/>
            </c:strRef>
          </c:cat>
          <c:val>
            <c:numRef>
              <c:f>'Sheet 1'!$B$28:$L$28</c:f>
              <c:numCache>
                <c:formatCode>#,##0</c:formatCode>
                <c:ptCount val="9"/>
                <c:pt idx="0">
                  <c:v>24</c:v>
                </c:pt>
                <c:pt idx="1">
                  <c:v>33</c:v>
                </c:pt>
                <c:pt idx="2">
                  <c:v>33</c:v>
                </c:pt>
                <c:pt idx="3">
                  <c:v>31</c:v>
                </c:pt>
                <c:pt idx="4">
                  <c:v>41</c:v>
                </c:pt>
                <c:pt idx="5">
                  <c:v>48</c:v>
                </c:pt>
                <c:pt idx="6">
                  <c:v>52</c:v>
                </c:pt>
                <c:pt idx="7">
                  <c:v>59</c:v>
                </c:pt>
                <c:pt idx="8">
                  <c:v>60</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5-30D5-48F2-AE16-CB5D9B2487D4}"/>
            </c:ext>
          </c:extLst>
        </c:ser>
        <c:dLbls>
          <c:showLegendKey val="0"/>
          <c:showVal val="0"/>
          <c:showCatName val="0"/>
          <c:showSerName val="0"/>
          <c:showPercent val="0"/>
          <c:showBubbleSize val="0"/>
        </c:dLbls>
        <c:smooth val="0"/>
        <c:axId val="708777552"/>
        <c:axId val="708777160"/>
      </c:lineChart>
      <c:catAx>
        <c:axId val="70877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777160"/>
        <c:crosses val="autoZero"/>
        <c:auto val="1"/>
        <c:lblAlgn val="ctr"/>
        <c:lblOffset val="100"/>
        <c:noMultiLvlLbl val="0"/>
      </c:catAx>
      <c:valAx>
        <c:axId val="708777160"/>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77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o-RO"/>
              <a:t>Internet use for selling goods or services (% individuals)</a:t>
            </a:r>
            <a:r>
              <a:rPr lang="ro-RO" baseline="0"/>
              <a:t> </a:t>
            </a:r>
            <a:endParaRPr lang="en-GB"/>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'Sheet 1'!$A$49</c:f>
              <c:strCache>
                <c:ptCount val="1"/>
                <c:pt idx="0">
                  <c:v>Hungary</c:v>
                </c:pt>
              </c:strCache>
            </c:strRef>
          </c:tx>
          <c:spPr>
            <a:ln w="28575" cap="rnd">
              <a:solidFill>
                <a:schemeClr val="accent1"/>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1'!$B$49:$L$49</c:f>
              <c:numCache>
                <c:formatCode>#,##0</c:formatCode>
                <c:ptCount val="11"/>
                <c:pt idx="0">
                  <c:v>5</c:v>
                </c:pt>
                <c:pt idx="1">
                  <c:v>8</c:v>
                </c:pt>
                <c:pt idx="2">
                  <c:v>12</c:v>
                </c:pt>
                <c:pt idx="3">
                  <c:v>10</c:v>
                </c:pt>
                <c:pt idx="4">
                  <c:v>16</c:v>
                </c:pt>
                <c:pt idx="5">
                  <c:v>18</c:v>
                </c:pt>
                <c:pt idx="6">
                  <c:v>18</c:v>
                </c:pt>
                <c:pt idx="7">
                  <c:v>11</c:v>
                </c:pt>
                <c:pt idx="8">
                  <c:v>11</c:v>
                </c:pt>
                <c:pt idx="9">
                  <c:v>11</c:v>
                </c:pt>
                <c:pt idx="10">
                  <c:v>13</c:v>
                </c:pt>
              </c:numCache>
            </c:numRef>
          </c:val>
          <c:smooth val="0"/>
          <c:extLst xmlns:c16r2="http://schemas.microsoft.com/office/drawing/2015/06/chart">
            <c:ext xmlns:c16="http://schemas.microsoft.com/office/drawing/2014/chart" uri="{C3380CC4-5D6E-409C-BE32-E72D297353CC}">
              <c16:uniqueId val="{00000000-CE97-4B9E-8AA4-EB64B227A6F9}"/>
            </c:ext>
          </c:extLst>
        </c:ser>
        <c:ser>
          <c:idx val="1"/>
          <c:order val="1"/>
          <c:tx>
            <c:strRef>
              <c:f>'Sheet 1'!$A$50</c:f>
              <c:strCache>
                <c:ptCount val="1"/>
                <c:pt idx="0">
                  <c:v>Észak-Alföld</c:v>
                </c:pt>
              </c:strCache>
            </c:strRef>
          </c:tx>
          <c:spPr>
            <a:ln w="28575" cap="rnd">
              <a:solidFill>
                <a:schemeClr val="accent2"/>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1'!$B$50:$L$50</c:f>
              <c:numCache>
                <c:formatCode>#,##0</c:formatCode>
                <c:ptCount val="11"/>
                <c:pt idx="0">
                  <c:v>0</c:v>
                </c:pt>
                <c:pt idx="1">
                  <c:v>0</c:v>
                </c:pt>
                <c:pt idx="2">
                  <c:v>10</c:v>
                </c:pt>
                <c:pt idx="3">
                  <c:v>7</c:v>
                </c:pt>
                <c:pt idx="4">
                  <c:v>12</c:v>
                </c:pt>
                <c:pt idx="5">
                  <c:v>14</c:v>
                </c:pt>
                <c:pt idx="6">
                  <c:v>14</c:v>
                </c:pt>
                <c:pt idx="7">
                  <c:v>9</c:v>
                </c:pt>
                <c:pt idx="8">
                  <c:v>7</c:v>
                </c:pt>
                <c:pt idx="9">
                  <c:v>11</c:v>
                </c:pt>
                <c:pt idx="10">
                  <c:v>14</c:v>
                </c:pt>
              </c:numCache>
            </c:numRef>
          </c:val>
          <c:smooth val="0"/>
          <c:extLst xmlns:c16r2="http://schemas.microsoft.com/office/drawing/2015/06/chart">
            <c:ext xmlns:c16="http://schemas.microsoft.com/office/drawing/2014/chart" uri="{C3380CC4-5D6E-409C-BE32-E72D297353CC}">
              <c16:uniqueId val="{00000001-CE97-4B9E-8AA4-EB64B227A6F9}"/>
            </c:ext>
          </c:extLst>
        </c:ser>
        <c:ser>
          <c:idx val="2"/>
          <c:order val="2"/>
          <c:tx>
            <c:strRef>
              <c:f>'Sheet 1'!$A$51</c:f>
              <c:strCache>
                <c:ptCount val="1"/>
                <c:pt idx="0">
                  <c:v>Dél-Alföld</c:v>
                </c:pt>
              </c:strCache>
            </c:strRef>
          </c:tx>
          <c:spPr>
            <a:ln w="28575" cap="rnd">
              <a:solidFill>
                <a:schemeClr val="accent3"/>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1'!$B$51:$L$51</c:f>
              <c:numCache>
                <c:formatCode>#,##0</c:formatCode>
                <c:ptCount val="11"/>
                <c:pt idx="0">
                  <c:v>0</c:v>
                </c:pt>
                <c:pt idx="1">
                  <c:v>0</c:v>
                </c:pt>
                <c:pt idx="2">
                  <c:v>11</c:v>
                </c:pt>
                <c:pt idx="3">
                  <c:v>8</c:v>
                </c:pt>
                <c:pt idx="4">
                  <c:v>13</c:v>
                </c:pt>
                <c:pt idx="5">
                  <c:v>15</c:v>
                </c:pt>
                <c:pt idx="6">
                  <c:v>17</c:v>
                </c:pt>
                <c:pt idx="7">
                  <c:v>9</c:v>
                </c:pt>
                <c:pt idx="8">
                  <c:v>6</c:v>
                </c:pt>
                <c:pt idx="9">
                  <c:v>7</c:v>
                </c:pt>
                <c:pt idx="10">
                  <c:v>10</c:v>
                </c:pt>
              </c:numCache>
            </c:numRef>
          </c:val>
          <c:smooth val="0"/>
          <c:extLst xmlns:c16r2="http://schemas.microsoft.com/office/drawing/2015/06/chart">
            <c:ext xmlns:c16="http://schemas.microsoft.com/office/drawing/2014/chart" uri="{C3380CC4-5D6E-409C-BE32-E72D297353CC}">
              <c16:uniqueId val="{00000002-CE97-4B9E-8AA4-EB64B227A6F9}"/>
            </c:ext>
          </c:extLst>
        </c:ser>
        <c:ser>
          <c:idx val="3"/>
          <c:order val="3"/>
          <c:tx>
            <c:strRef>
              <c:f>'Sheet 1'!$A$52</c:f>
              <c:strCache>
                <c:ptCount val="1"/>
                <c:pt idx="0">
                  <c:v>Romania</c:v>
                </c:pt>
              </c:strCache>
            </c:strRef>
          </c:tx>
          <c:spPr>
            <a:ln w="28575" cap="rnd">
              <a:solidFill>
                <a:schemeClr val="accent4"/>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1'!$B$52:$L$52</c:f>
              <c:numCache>
                <c:formatCode>#,##0</c:formatCode>
                <c:ptCount val="11"/>
                <c:pt idx="0">
                  <c:v>1</c:v>
                </c:pt>
                <c:pt idx="1">
                  <c:v>1</c:v>
                </c:pt>
                <c:pt idx="2">
                  <c:v>3</c:v>
                </c:pt>
                <c:pt idx="3">
                  <c:v>2</c:v>
                </c:pt>
                <c:pt idx="4">
                  <c:v>2</c:v>
                </c:pt>
                <c:pt idx="5">
                  <c:v>2</c:v>
                </c:pt>
                <c:pt idx="6">
                  <c:v>3</c:v>
                </c:pt>
                <c:pt idx="7">
                  <c:v>3</c:v>
                </c:pt>
                <c:pt idx="8">
                  <c:v>3</c:v>
                </c:pt>
                <c:pt idx="9">
                  <c:v>3</c:v>
                </c:pt>
                <c:pt idx="10">
                  <c:v>3</c:v>
                </c:pt>
              </c:numCache>
            </c:numRef>
          </c:val>
          <c:smooth val="0"/>
          <c:extLst xmlns:c16r2="http://schemas.microsoft.com/office/drawing/2015/06/chart">
            <c:ext xmlns:c16="http://schemas.microsoft.com/office/drawing/2014/chart" uri="{C3380CC4-5D6E-409C-BE32-E72D297353CC}">
              <c16:uniqueId val="{00000003-CE97-4B9E-8AA4-EB64B227A6F9}"/>
            </c:ext>
          </c:extLst>
        </c:ser>
        <c:ser>
          <c:idx val="4"/>
          <c:order val="4"/>
          <c:tx>
            <c:strRef>
              <c:f>'Sheet 1'!$A$53</c:f>
              <c:strCache>
                <c:ptCount val="1"/>
                <c:pt idx="0">
                  <c:v>Nord-Vest</c:v>
                </c:pt>
              </c:strCache>
            </c:strRef>
          </c:tx>
          <c:spPr>
            <a:ln w="28575" cap="rnd">
              <a:solidFill>
                <a:schemeClr val="accent5"/>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1'!$B$53:$L$53</c:f>
              <c:numCache>
                <c:formatCode>#,##0</c:formatCode>
                <c:ptCount val="11"/>
                <c:pt idx="0">
                  <c:v>0</c:v>
                </c:pt>
                <c:pt idx="1">
                  <c:v>0</c:v>
                </c:pt>
                <c:pt idx="2">
                  <c:v>3</c:v>
                </c:pt>
                <c:pt idx="3">
                  <c:v>1</c:v>
                </c:pt>
                <c:pt idx="4">
                  <c:v>2</c:v>
                </c:pt>
                <c:pt idx="5">
                  <c:v>1</c:v>
                </c:pt>
                <c:pt idx="6">
                  <c:v>3</c:v>
                </c:pt>
                <c:pt idx="7">
                  <c:v>4</c:v>
                </c:pt>
                <c:pt idx="8">
                  <c:v>4</c:v>
                </c:pt>
                <c:pt idx="9">
                  <c:v>5</c:v>
                </c:pt>
                <c:pt idx="10">
                  <c:v>4</c:v>
                </c:pt>
              </c:numCache>
            </c:numRef>
          </c:val>
          <c:smooth val="0"/>
          <c:extLst xmlns:c16r2="http://schemas.microsoft.com/office/drawing/2015/06/chart">
            <c:ext xmlns:c16="http://schemas.microsoft.com/office/drawing/2014/chart" uri="{C3380CC4-5D6E-409C-BE32-E72D297353CC}">
              <c16:uniqueId val="{00000004-CE97-4B9E-8AA4-EB64B227A6F9}"/>
            </c:ext>
          </c:extLst>
        </c:ser>
        <c:ser>
          <c:idx val="5"/>
          <c:order val="5"/>
          <c:tx>
            <c:strRef>
              <c:f>'Sheet 1'!$A$54</c:f>
              <c:strCache>
                <c:ptCount val="1"/>
                <c:pt idx="0">
                  <c:v>Vest</c:v>
                </c:pt>
              </c:strCache>
            </c:strRef>
          </c:tx>
          <c:spPr>
            <a:ln w="28575" cap="rnd">
              <a:solidFill>
                <a:schemeClr val="accent6"/>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1'!$B$54:$L$54</c:f>
              <c:numCache>
                <c:formatCode>#,##0</c:formatCode>
                <c:ptCount val="11"/>
                <c:pt idx="0">
                  <c:v>0</c:v>
                </c:pt>
                <c:pt idx="1">
                  <c:v>0</c:v>
                </c:pt>
                <c:pt idx="2">
                  <c:v>4</c:v>
                </c:pt>
                <c:pt idx="3">
                  <c:v>2</c:v>
                </c:pt>
                <c:pt idx="4">
                  <c:v>2</c:v>
                </c:pt>
                <c:pt idx="5">
                  <c:v>2</c:v>
                </c:pt>
                <c:pt idx="6">
                  <c:v>3</c:v>
                </c:pt>
                <c:pt idx="7">
                  <c:v>2</c:v>
                </c:pt>
                <c:pt idx="8">
                  <c:v>4</c:v>
                </c:pt>
                <c:pt idx="9">
                  <c:v>3</c:v>
                </c:pt>
                <c:pt idx="10">
                  <c:v>1</c:v>
                </c:pt>
              </c:numCache>
            </c:numRef>
          </c:val>
          <c:smooth val="0"/>
          <c:extLst xmlns:c16r2="http://schemas.microsoft.com/office/drawing/2015/06/chart">
            <c:ext xmlns:c16="http://schemas.microsoft.com/office/drawing/2014/chart" uri="{C3380CC4-5D6E-409C-BE32-E72D297353CC}">
              <c16:uniqueId val="{00000005-CE97-4B9E-8AA4-EB64B227A6F9}"/>
            </c:ext>
          </c:extLst>
        </c:ser>
        <c:dLbls>
          <c:showLegendKey val="0"/>
          <c:showVal val="0"/>
          <c:showCatName val="0"/>
          <c:showSerName val="0"/>
          <c:showPercent val="0"/>
          <c:showBubbleSize val="0"/>
        </c:dLbls>
        <c:smooth val="0"/>
        <c:axId val="708779120"/>
        <c:axId val="708783432"/>
      </c:lineChart>
      <c:catAx>
        <c:axId val="70877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783432"/>
        <c:crosses val="autoZero"/>
        <c:auto val="1"/>
        <c:lblAlgn val="ctr"/>
        <c:lblOffset val="100"/>
        <c:noMultiLvlLbl val="0"/>
      </c:catAx>
      <c:valAx>
        <c:axId val="708783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77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sz="1200"/>
              <a:t>Urban settlement size by population size (log scale, 2019)</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title>
    <c:autoTitleDeleted val="0"/>
    <c:plotArea>
      <c:layout>
        <c:manualLayout>
          <c:layoutTarget val="inner"/>
          <c:xMode val="edge"/>
          <c:yMode val="edge"/>
          <c:x val="9.4963281105013383E-2"/>
          <c:y val="0.19811320754716982"/>
          <c:w val="0.88034536087029525"/>
          <c:h val="0.76829549393804342"/>
        </c:manualLayout>
      </c:layout>
      <c:barChart>
        <c:barDir val="col"/>
        <c:grouping val="clustered"/>
        <c:varyColors val="0"/>
        <c:ser>
          <c:idx val="0"/>
          <c:order val="0"/>
          <c:tx>
            <c:strRef>
              <c:f>Sheet4!$L$15</c:f>
              <c:strCache>
                <c:ptCount val="1"/>
                <c:pt idx="0">
                  <c:v>Hungary</c:v>
                </c:pt>
              </c:strCache>
            </c:strRef>
          </c:tx>
          <c:spPr>
            <a:solidFill>
              <a:schemeClr val="accent3"/>
            </a:solidFill>
            <a:ln>
              <a:noFill/>
            </a:ln>
            <a:effectLst/>
          </c:spPr>
          <c:invertIfNegative val="0"/>
          <c:cat>
            <c:numRef>
              <c:f>Sheet4!$K$16:$K$97</c:f>
              <c:numCache>
                <c:formatCode>General</c:formatCode>
                <c:ptCount val="8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numCache>
            </c:numRef>
          </c:cat>
          <c:val>
            <c:numRef>
              <c:f>Sheet4!$L$16:$L$97</c:f>
              <c:numCache>
                <c:formatCode>General</c:formatCode>
                <c:ptCount val="82"/>
                <c:pt idx="0">
                  <c:v>202402</c:v>
                </c:pt>
                <c:pt idx="1">
                  <c:v>162868</c:v>
                </c:pt>
                <c:pt idx="2">
                  <c:v>119767</c:v>
                </c:pt>
                <c:pt idx="3">
                  <c:v>59542</c:v>
                </c:pt>
                <c:pt idx="4">
                  <c:v>44808</c:v>
                </c:pt>
                <c:pt idx="5">
                  <c:v>30854</c:v>
                </c:pt>
                <c:pt idx="6">
                  <c:v>30501</c:v>
                </c:pt>
                <c:pt idx="7">
                  <c:v>28647</c:v>
                </c:pt>
                <c:pt idx="8">
                  <c:v>27468</c:v>
                </c:pt>
                <c:pt idx="9">
                  <c:v>24185</c:v>
                </c:pt>
                <c:pt idx="10">
                  <c:v>23362</c:v>
                </c:pt>
                <c:pt idx="11">
                  <c:v>19444</c:v>
                </c:pt>
                <c:pt idx="12">
                  <c:v>17618</c:v>
                </c:pt>
                <c:pt idx="13">
                  <c:v>17093</c:v>
                </c:pt>
                <c:pt idx="14">
                  <c:v>17059</c:v>
                </c:pt>
                <c:pt idx="15">
                  <c:v>16910</c:v>
                </c:pt>
                <c:pt idx="16">
                  <c:v>16635</c:v>
                </c:pt>
                <c:pt idx="17">
                  <c:v>15887</c:v>
                </c:pt>
                <c:pt idx="18">
                  <c:v>14895</c:v>
                </c:pt>
                <c:pt idx="19">
                  <c:v>14517</c:v>
                </c:pt>
                <c:pt idx="20">
                  <c:v>14315</c:v>
                </c:pt>
                <c:pt idx="21">
                  <c:v>13514</c:v>
                </c:pt>
                <c:pt idx="22">
                  <c:v>13394</c:v>
                </c:pt>
                <c:pt idx="23">
                  <c:v>13138</c:v>
                </c:pt>
                <c:pt idx="24">
                  <c:v>12795</c:v>
                </c:pt>
                <c:pt idx="25">
                  <c:v>12199</c:v>
                </c:pt>
                <c:pt idx="26">
                  <c:v>10280</c:v>
                </c:pt>
                <c:pt idx="27">
                  <c:v>10198</c:v>
                </c:pt>
                <c:pt idx="28">
                  <c:v>9730</c:v>
                </c:pt>
                <c:pt idx="29">
                  <c:v>9055</c:v>
                </c:pt>
                <c:pt idx="30">
                  <c:v>8933</c:v>
                </c:pt>
                <c:pt idx="31">
                  <c:v>8900</c:v>
                </c:pt>
                <c:pt idx="32">
                  <c:v>8767</c:v>
                </c:pt>
                <c:pt idx="33">
                  <c:v>8715</c:v>
                </c:pt>
                <c:pt idx="34">
                  <c:v>8348</c:v>
                </c:pt>
                <c:pt idx="35">
                  <c:v>8107</c:v>
                </c:pt>
                <c:pt idx="36">
                  <c:v>8082</c:v>
                </c:pt>
                <c:pt idx="37">
                  <c:v>7890</c:v>
                </c:pt>
                <c:pt idx="38">
                  <c:v>7537</c:v>
                </c:pt>
                <c:pt idx="39">
                  <c:v>7478</c:v>
                </c:pt>
                <c:pt idx="40">
                  <c:v>7274</c:v>
                </c:pt>
                <c:pt idx="41">
                  <c:v>7079</c:v>
                </c:pt>
                <c:pt idx="42">
                  <c:v>6983</c:v>
                </c:pt>
                <c:pt idx="43">
                  <c:v>6933</c:v>
                </c:pt>
                <c:pt idx="44">
                  <c:v>6755</c:v>
                </c:pt>
                <c:pt idx="45">
                  <c:v>6467</c:v>
                </c:pt>
                <c:pt idx="46">
                  <c:v>6449</c:v>
                </c:pt>
                <c:pt idx="47">
                  <c:v>6312</c:v>
                </c:pt>
                <c:pt idx="48">
                  <c:v>6238</c:v>
                </c:pt>
                <c:pt idx="49">
                  <c:v>5955</c:v>
                </c:pt>
                <c:pt idx="50">
                  <c:v>5894</c:v>
                </c:pt>
                <c:pt idx="51">
                  <c:v>5847</c:v>
                </c:pt>
                <c:pt idx="52">
                  <c:v>5839</c:v>
                </c:pt>
                <c:pt idx="53">
                  <c:v>5773</c:v>
                </c:pt>
                <c:pt idx="54">
                  <c:v>5650</c:v>
                </c:pt>
                <c:pt idx="55">
                  <c:v>5562</c:v>
                </c:pt>
                <c:pt idx="56">
                  <c:v>5562</c:v>
                </c:pt>
                <c:pt idx="57">
                  <c:v>5379</c:v>
                </c:pt>
                <c:pt idx="58">
                  <c:v>5335</c:v>
                </c:pt>
                <c:pt idx="59">
                  <c:v>5235</c:v>
                </c:pt>
                <c:pt idx="60">
                  <c:v>5103</c:v>
                </c:pt>
                <c:pt idx="61">
                  <c:v>5090</c:v>
                </c:pt>
                <c:pt idx="62">
                  <c:v>5084</c:v>
                </c:pt>
                <c:pt idx="63">
                  <c:v>5073</c:v>
                </c:pt>
                <c:pt idx="64">
                  <c:v>4972</c:v>
                </c:pt>
                <c:pt idx="65">
                  <c:v>4906</c:v>
                </c:pt>
                <c:pt idx="66">
                  <c:v>4816</c:v>
                </c:pt>
                <c:pt idx="67">
                  <c:v>4653</c:v>
                </c:pt>
                <c:pt idx="68">
                  <c:v>4644</c:v>
                </c:pt>
                <c:pt idx="69">
                  <c:v>4538</c:v>
                </c:pt>
                <c:pt idx="70">
                  <c:v>4468</c:v>
                </c:pt>
                <c:pt idx="71">
                  <c:v>4386</c:v>
                </c:pt>
                <c:pt idx="72">
                  <c:v>4334</c:v>
                </c:pt>
                <c:pt idx="73">
                  <c:v>4328</c:v>
                </c:pt>
                <c:pt idx="74">
                  <c:v>4100</c:v>
                </c:pt>
                <c:pt idx="75">
                  <c:v>3770</c:v>
                </c:pt>
                <c:pt idx="76">
                  <c:v>3751</c:v>
                </c:pt>
                <c:pt idx="77">
                  <c:v>3683</c:v>
                </c:pt>
                <c:pt idx="78">
                  <c:v>3569</c:v>
                </c:pt>
                <c:pt idx="79">
                  <c:v>2821</c:v>
                </c:pt>
                <c:pt idx="80">
                  <c:v>2770</c:v>
                </c:pt>
                <c:pt idx="81">
                  <c:v>1938</c:v>
                </c:pt>
              </c:numCache>
            </c:numRef>
          </c:val>
          <c:extLst xmlns:c16r2="http://schemas.microsoft.com/office/drawing/2015/06/chart">
            <c:ext xmlns:c16="http://schemas.microsoft.com/office/drawing/2014/chart" uri="{C3380CC4-5D6E-409C-BE32-E72D297353CC}">
              <c16:uniqueId val="{00000000-F02E-4ADB-98E7-4DC2B6930FC7}"/>
            </c:ext>
          </c:extLst>
        </c:ser>
        <c:ser>
          <c:idx val="1"/>
          <c:order val="1"/>
          <c:tx>
            <c:strRef>
              <c:f>Sheet4!$M$15</c:f>
              <c:strCache>
                <c:ptCount val="1"/>
                <c:pt idx="0">
                  <c:v>Romania</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02E-4ADB-98E7-4DC2B6930F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ro-RO"/>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Sheet4!$K$16:$K$97</c:f>
              <c:numCache>
                <c:formatCode>General</c:formatCode>
                <c:ptCount val="8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numCache>
            </c:numRef>
          </c:cat>
          <c:val>
            <c:numRef>
              <c:f>Sheet4!$M$16:$M$97</c:f>
              <c:numCache>
                <c:formatCode>General</c:formatCode>
                <c:ptCount val="82"/>
                <c:pt idx="0">
                  <c:v>328480</c:v>
                </c:pt>
                <c:pt idx="1">
                  <c:v>221567</c:v>
                </c:pt>
                <c:pt idx="2">
                  <c:v>177006</c:v>
                </c:pt>
                <c:pt idx="3">
                  <c:v>119896</c:v>
                </c:pt>
                <c:pt idx="4">
                  <c:v>46858</c:v>
                </c:pt>
                <c:pt idx="5">
                  <c:v>24205</c:v>
                </c:pt>
                <c:pt idx="6">
                  <c:v>18963</c:v>
                </c:pt>
                <c:pt idx="7">
                  <c:v>17769</c:v>
                </c:pt>
                <c:pt idx="8">
                  <c:v>16832</c:v>
                </c:pt>
                <c:pt idx="9">
                  <c:v>15694</c:v>
                </c:pt>
                <c:pt idx="10">
                  <c:v>14600</c:v>
                </c:pt>
                <c:pt idx="11">
                  <c:v>14120</c:v>
                </c:pt>
                <c:pt idx="12">
                  <c:v>13466</c:v>
                </c:pt>
                <c:pt idx="13">
                  <c:v>12643</c:v>
                </c:pt>
                <c:pt idx="14">
                  <c:v>11223</c:v>
                </c:pt>
                <c:pt idx="15">
                  <c:v>11199</c:v>
                </c:pt>
                <c:pt idx="16">
                  <c:v>11093</c:v>
                </c:pt>
                <c:pt idx="17">
                  <c:v>10866</c:v>
                </c:pt>
                <c:pt idx="18">
                  <c:v>9885</c:v>
                </c:pt>
                <c:pt idx="19">
                  <c:v>9588</c:v>
                </c:pt>
                <c:pt idx="20">
                  <c:v>9321</c:v>
                </c:pt>
                <c:pt idx="21">
                  <c:v>8825</c:v>
                </c:pt>
                <c:pt idx="22">
                  <c:v>8377</c:v>
                </c:pt>
                <c:pt idx="23">
                  <c:v>8291</c:v>
                </c:pt>
                <c:pt idx="24">
                  <c:v>8187</c:v>
                </c:pt>
                <c:pt idx="25">
                  <c:v>7913</c:v>
                </c:pt>
                <c:pt idx="26">
                  <c:v>7623</c:v>
                </c:pt>
                <c:pt idx="27">
                  <c:v>7582</c:v>
                </c:pt>
                <c:pt idx="28">
                  <c:v>7534</c:v>
                </c:pt>
                <c:pt idx="29">
                  <c:v>7322</c:v>
                </c:pt>
                <c:pt idx="30">
                  <c:v>7134</c:v>
                </c:pt>
                <c:pt idx="31">
                  <c:v>6528</c:v>
                </c:pt>
                <c:pt idx="32">
                  <c:v>6358</c:v>
                </c:pt>
                <c:pt idx="33">
                  <c:v>5446</c:v>
                </c:pt>
                <c:pt idx="34">
                  <c:v>2082</c:v>
                </c:pt>
              </c:numCache>
            </c:numRef>
          </c:val>
          <c:extLst xmlns:c16r2="http://schemas.microsoft.com/office/drawing/2015/06/chart">
            <c:ext xmlns:c16="http://schemas.microsoft.com/office/drawing/2014/chart" uri="{C3380CC4-5D6E-409C-BE32-E72D297353CC}">
              <c16:uniqueId val="{00000001-F02E-4ADB-98E7-4DC2B6930FC7}"/>
            </c:ext>
          </c:extLst>
        </c:ser>
        <c:dLbls>
          <c:showLegendKey val="0"/>
          <c:showVal val="0"/>
          <c:showCatName val="0"/>
          <c:showSerName val="0"/>
          <c:showPercent val="0"/>
          <c:showBubbleSize val="0"/>
        </c:dLbls>
        <c:gapWidth val="0"/>
        <c:overlap val="-50"/>
        <c:axId val="707053888"/>
        <c:axId val="707052712"/>
      </c:barChart>
      <c:catAx>
        <c:axId val="707053888"/>
        <c:scaling>
          <c:orientation val="minMax"/>
        </c:scaling>
        <c:delete val="1"/>
        <c:axPos val="b"/>
        <c:numFmt formatCode="General" sourceLinked="1"/>
        <c:majorTickMark val="none"/>
        <c:minorTickMark val="none"/>
        <c:tickLblPos val="nextTo"/>
        <c:crossAx val="707052712"/>
        <c:crosses val="autoZero"/>
        <c:auto val="1"/>
        <c:lblAlgn val="ctr"/>
        <c:lblOffset val="100"/>
        <c:noMultiLvlLbl val="0"/>
      </c:catAx>
      <c:valAx>
        <c:axId val="707052712"/>
        <c:scaling>
          <c:logBase val="10"/>
          <c:orientation val="minMax"/>
          <c:max val="1000000"/>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crossAx val="707053888"/>
        <c:crosses val="autoZero"/>
        <c:crossBetween val="between"/>
      </c:valAx>
      <c:spPr>
        <a:noFill/>
        <a:ln>
          <a:noFill/>
        </a:ln>
        <a:effectLst/>
      </c:spPr>
    </c:plotArea>
    <c:legend>
      <c:legendPos val="b"/>
      <c:layout>
        <c:manualLayout>
          <c:xMode val="edge"/>
          <c:yMode val="edge"/>
          <c:x val="0.38843995510662177"/>
          <c:y val="0.21169172035313766"/>
          <c:w val="0.22311991304117287"/>
          <c:h val="9.64843802757931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a:latin typeface="Calibri" panose="020F0502020204030204" pitchFamily="34" charset="0"/>
          <a:cs typeface="Calibri" panose="020F0502020204030204" pitchFamily="34" charset="0"/>
        </a:defRPr>
      </a:pPr>
      <a:endParaRPr lang="ro-RO"/>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ro-RO"/>
              <a:t>Internet</a:t>
            </a:r>
            <a:r>
              <a:rPr lang="ro-RO" baseline="0"/>
              <a:t> Banking use (% individuals)</a:t>
            </a:r>
            <a:endParaRPr lang="en-GB"/>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lineChart>
        <c:grouping val="standard"/>
        <c:varyColors val="0"/>
        <c:ser>
          <c:idx val="0"/>
          <c:order val="0"/>
          <c:tx>
            <c:strRef>
              <c:f>'Sheet 1'!$A$36</c:f>
              <c:strCache>
                <c:ptCount val="1"/>
                <c:pt idx="0">
                  <c:v>Hungary</c:v>
                </c:pt>
              </c:strCache>
            </c:strRef>
          </c:tx>
          <c:spPr>
            <a:ln w="28575" cap="rnd">
              <a:solidFill>
                <a:schemeClr val="accent1"/>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1'!$B$36:$L$36</c:f>
              <c:numCache>
                <c:formatCode>#,##0</c:formatCode>
                <c:ptCount val="11"/>
                <c:pt idx="0">
                  <c:v>16</c:v>
                </c:pt>
                <c:pt idx="1">
                  <c:v>19</c:v>
                </c:pt>
                <c:pt idx="2">
                  <c:v>21</c:v>
                </c:pt>
                <c:pt idx="3">
                  <c:v>26</c:v>
                </c:pt>
                <c:pt idx="4">
                  <c:v>27</c:v>
                </c:pt>
                <c:pt idx="5">
                  <c:v>31</c:v>
                </c:pt>
                <c:pt idx="6">
                  <c:v>34</c:v>
                </c:pt>
                <c:pt idx="7">
                  <c:v>35</c:v>
                </c:pt>
                <c:pt idx="8">
                  <c:v>38</c:v>
                </c:pt>
                <c:pt idx="9">
                  <c:v>41</c:v>
                </c:pt>
                <c:pt idx="10">
                  <c:v>47</c:v>
                </c:pt>
              </c:numCache>
            </c:numRef>
          </c:val>
          <c:smooth val="0"/>
          <c:extLst xmlns:c16r2="http://schemas.microsoft.com/office/drawing/2015/06/chart">
            <c:ext xmlns:c16="http://schemas.microsoft.com/office/drawing/2014/chart" uri="{C3380CC4-5D6E-409C-BE32-E72D297353CC}">
              <c16:uniqueId val="{00000000-E361-4D27-AEED-3F694940B261}"/>
            </c:ext>
          </c:extLst>
        </c:ser>
        <c:ser>
          <c:idx val="1"/>
          <c:order val="1"/>
          <c:tx>
            <c:strRef>
              <c:f>'Sheet 1'!$A$37</c:f>
              <c:strCache>
                <c:ptCount val="1"/>
                <c:pt idx="0">
                  <c:v>Észak-Alföld</c:v>
                </c:pt>
              </c:strCache>
            </c:strRef>
          </c:tx>
          <c:spPr>
            <a:ln w="28575" cap="rnd">
              <a:solidFill>
                <a:schemeClr val="accent2"/>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1'!$B$37:$L$37</c:f>
              <c:numCache>
                <c:formatCode>#,##0</c:formatCode>
                <c:ptCount val="11"/>
                <c:pt idx="0">
                  <c:v>0</c:v>
                </c:pt>
                <c:pt idx="1">
                  <c:v>0</c:v>
                </c:pt>
                <c:pt idx="2">
                  <c:v>16</c:v>
                </c:pt>
                <c:pt idx="3">
                  <c:v>17</c:v>
                </c:pt>
                <c:pt idx="4">
                  <c:v>19</c:v>
                </c:pt>
                <c:pt idx="5">
                  <c:v>22</c:v>
                </c:pt>
                <c:pt idx="6">
                  <c:v>23</c:v>
                </c:pt>
                <c:pt idx="7">
                  <c:v>26</c:v>
                </c:pt>
                <c:pt idx="8">
                  <c:v>28</c:v>
                </c:pt>
                <c:pt idx="9">
                  <c:v>32</c:v>
                </c:pt>
                <c:pt idx="10">
                  <c:v>40</c:v>
                </c:pt>
              </c:numCache>
            </c:numRef>
          </c:val>
          <c:smooth val="0"/>
          <c:extLst xmlns:c16r2="http://schemas.microsoft.com/office/drawing/2015/06/chart">
            <c:ext xmlns:c16="http://schemas.microsoft.com/office/drawing/2014/chart" uri="{C3380CC4-5D6E-409C-BE32-E72D297353CC}">
              <c16:uniqueId val="{00000001-E361-4D27-AEED-3F694940B261}"/>
            </c:ext>
          </c:extLst>
        </c:ser>
        <c:ser>
          <c:idx val="2"/>
          <c:order val="2"/>
          <c:tx>
            <c:strRef>
              <c:f>'Sheet 1'!$A$38</c:f>
              <c:strCache>
                <c:ptCount val="1"/>
                <c:pt idx="0">
                  <c:v>Dél-Alföld</c:v>
                </c:pt>
              </c:strCache>
            </c:strRef>
          </c:tx>
          <c:spPr>
            <a:ln w="28575" cap="rnd">
              <a:solidFill>
                <a:schemeClr val="accent3"/>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1'!$B$38:$L$38</c:f>
              <c:numCache>
                <c:formatCode>#,##0</c:formatCode>
                <c:ptCount val="11"/>
                <c:pt idx="0">
                  <c:v>0</c:v>
                </c:pt>
                <c:pt idx="1">
                  <c:v>0</c:v>
                </c:pt>
                <c:pt idx="2">
                  <c:v>16</c:v>
                </c:pt>
                <c:pt idx="3">
                  <c:v>20</c:v>
                </c:pt>
                <c:pt idx="4">
                  <c:v>23</c:v>
                </c:pt>
                <c:pt idx="5">
                  <c:v>26</c:v>
                </c:pt>
                <c:pt idx="6">
                  <c:v>32</c:v>
                </c:pt>
                <c:pt idx="7">
                  <c:v>30</c:v>
                </c:pt>
                <c:pt idx="8">
                  <c:v>32</c:v>
                </c:pt>
                <c:pt idx="9">
                  <c:v>36</c:v>
                </c:pt>
                <c:pt idx="10">
                  <c:v>40</c:v>
                </c:pt>
              </c:numCache>
            </c:numRef>
          </c:val>
          <c:smooth val="0"/>
          <c:extLst xmlns:c16r2="http://schemas.microsoft.com/office/drawing/2015/06/chart">
            <c:ext xmlns:c16="http://schemas.microsoft.com/office/drawing/2014/chart" uri="{C3380CC4-5D6E-409C-BE32-E72D297353CC}">
              <c16:uniqueId val="{00000002-E361-4D27-AEED-3F694940B261}"/>
            </c:ext>
          </c:extLst>
        </c:ser>
        <c:ser>
          <c:idx val="3"/>
          <c:order val="3"/>
          <c:tx>
            <c:strRef>
              <c:f>'Sheet 1'!$A$39</c:f>
              <c:strCache>
                <c:ptCount val="1"/>
                <c:pt idx="0">
                  <c:v>Romania</c:v>
                </c:pt>
              </c:strCache>
            </c:strRef>
          </c:tx>
          <c:spPr>
            <a:ln w="28575" cap="rnd">
              <a:solidFill>
                <a:schemeClr val="accent4"/>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1'!$B$39:$L$39</c:f>
              <c:numCache>
                <c:formatCode>#,##0</c:formatCode>
                <c:ptCount val="11"/>
                <c:pt idx="0">
                  <c:v>2</c:v>
                </c:pt>
                <c:pt idx="1">
                  <c:v>3</c:v>
                </c:pt>
                <c:pt idx="2">
                  <c:v>4</c:v>
                </c:pt>
                <c:pt idx="3">
                  <c:v>3</c:v>
                </c:pt>
                <c:pt idx="4">
                  <c:v>4</c:v>
                </c:pt>
                <c:pt idx="5">
                  <c:v>4</c:v>
                </c:pt>
                <c:pt idx="6">
                  <c:v>5</c:v>
                </c:pt>
                <c:pt idx="7">
                  <c:v>5</c:v>
                </c:pt>
                <c:pt idx="8">
                  <c:v>7</c:v>
                </c:pt>
                <c:pt idx="9">
                  <c:v>7</c:v>
                </c:pt>
                <c:pt idx="10">
                  <c:v>8</c:v>
                </c:pt>
              </c:numCache>
            </c:numRef>
          </c:val>
          <c:smooth val="0"/>
          <c:extLst xmlns:c16r2="http://schemas.microsoft.com/office/drawing/2015/06/chart">
            <c:ext xmlns:c16="http://schemas.microsoft.com/office/drawing/2014/chart" uri="{C3380CC4-5D6E-409C-BE32-E72D297353CC}">
              <c16:uniqueId val="{00000003-E361-4D27-AEED-3F694940B261}"/>
            </c:ext>
          </c:extLst>
        </c:ser>
        <c:ser>
          <c:idx val="4"/>
          <c:order val="4"/>
          <c:tx>
            <c:strRef>
              <c:f>'Sheet 1'!$A$40</c:f>
              <c:strCache>
                <c:ptCount val="1"/>
                <c:pt idx="0">
                  <c:v>Nord-Vest</c:v>
                </c:pt>
              </c:strCache>
            </c:strRef>
          </c:tx>
          <c:spPr>
            <a:ln w="28575" cap="rnd">
              <a:solidFill>
                <a:schemeClr val="accent5"/>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1'!$B$40:$L$40</c:f>
              <c:numCache>
                <c:formatCode>#,##0</c:formatCode>
                <c:ptCount val="11"/>
                <c:pt idx="0">
                  <c:v>0</c:v>
                </c:pt>
                <c:pt idx="1">
                  <c:v>0</c:v>
                </c:pt>
                <c:pt idx="2">
                  <c:v>5</c:v>
                </c:pt>
                <c:pt idx="3">
                  <c:v>5</c:v>
                </c:pt>
                <c:pt idx="4">
                  <c:v>5</c:v>
                </c:pt>
                <c:pt idx="5">
                  <c:v>5</c:v>
                </c:pt>
                <c:pt idx="6">
                  <c:v>10</c:v>
                </c:pt>
                <c:pt idx="7">
                  <c:v>10</c:v>
                </c:pt>
                <c:pt idx="8">
                  <c:v>11</c:v>
                </c:pt>
                <c:pt idx="9">
                  <c:v>9</c:v>
                </c:pt>
                <c:pt idx="10">
                  <c:v>13</c:v>
                </c:pt>
              </c:numCache>
            </c:numRef>
          </c:val>
          <c:smooth val="0"/>
          <c:extLst xmlns:c16r2="http://schemas.microsoft.com/office/drawing/2015/06/chart">
            <c:ext xmlns:c16="http://schemas.microsoft.com/office/drawing/2014/chart" uri="{C3380CC4-5D6E-409C-BE32-E72D297353CC}">
              <c16:uniqueId val="{00000004-E361-4D27-AEED-3F694940B261}"/>
            </c:ext>
          </c:extLst>
        </c:ser>
        <c:ser>
          <c:idx val="5"/>
          <c:order val="5"/>
          <c:tx>
            <c:strRef>
              <c:f>'Sheet 1'!$A$41</c:f>
              <c:strCache>
                <c:ptCount val="1"/>
                <c:pt idx="0">
                  <c:v>Vest</c:v>
                </c:pt>
              </c:strCache>
            </c:strRef>
          </c:tx>
          <c:spPr>
            <a:ln w="28575" cap="rnd">
              <a:solidFill>
                <a:schemeClr val="accent6"/>
              </a:solidFill>
              <a:round/>
            </a:ln>
            <a:effectLst/>
          </c:spPr>
          <c:marker>
            <c:symbol val="none"/>
          </c:marker>
          <c:cat>
            <c:strRef>
              <c:f>'Sheet 1'!$B$22:$L$22</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'Sheet 1'!$B$41:$L$41</c:f>
              <c:numCache>
                <c:formatCode>#,##0</c:formatCode>
                <c:ptCount val="11"/>
                <c:pt idx="0">
                  <c:v>0</c:v>
                </c:pt>
                <c:pt idx="1">
                  <c:v>0</c:v>
                </c:pt>
                <c:pt idx="2">
                  <c:v>3</c:v>
                </c:pt>
                <c:pt idx="3">
                  <c:v>4</c:v>
                </c:pt>
                <c:pt idx="4">
                  <c:v>3</c:v>
                </c:pt>
                <c:pt idx="5">
                  <c:v>3</c:v>
                </c:pt>
                <c:pt idx="6">
                  <c:v>3</c:v>
                </c:pt>
                <c:pt idx="7">
                  <c:v>4</c:v>
                </c:pt>
                <c:pt idx="8">
                  <c:v>4</c:v>
                </c:pt>
                <c:pt idx="9">
                  <c:v>4</c:v>
                </c:pt>
                <c:pt idx="10">
                  <c:v>6</c:v>
                </c:pt>
              </c:numCache>
            </c:numRef>
          </c:val>
          <c:smooth val="0"/>
          <c:extLst xmlns:c16r2="http://schemas.microsoft.com/office/drawing/2015/06/chart">
            <c:ext xmlns:c16="http://schemas.microsoft.com/office/drawing/2014/chart" uri="{C3380CC4-5D6E-409C-BE32-E72D297353CC}">
              <c16:uniqueId val="{00000005-E361-4D27-AEED-3F694940B261}"/>
            </c:ext>
          </c:extLst>
        </c:ser>
        <c:dLbls>
          <c:showLegendKey val="0"/>
          <c:showVal val="0"/>
          <c:showCatName val="0"/>
          <c:showSerName val="0"/>
          <c:showPercent val="0"/>
          <c:showBubbleSize val="0"/>
        </c:dLbls>
        <c:smooth val="0"/>
        <c:axId val="708777944"/>
        <c:axId val="708778336"/>
      </c:lineChart>
      <c:catAx>
        <c:axId val="70877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778336"/>
        <c:crosses val="autoZero"/>
        <c:auto val="1"/>
        <c:lblAlgn val="ctr"/>
        <c:lblOffset val="100"/>
        <c:noMultiLvlLbl val="0"/>
      </c:catAx>
      <c:valAx>
        <c:axId val="708778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crossAx val="708777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tx1">
          <a:lumMod val="15000"/>
          <a:lumOff val="85000"/>
        </a:schemeClr>
      </a:solidFill>
      <a:round/>
    </a:ln>
    <a:effectLst/>
  </c:spPr>
  <c:txPr>
    <a:bodyPr/>
    <a:lstStyle/>
    <a:p>
      <a:pPr>
        <a:defRPr sz="700"/>
      </a:pPr>
      <a:endParaRPr lang="ro-RO"/>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0"/>
              <a:t>Individuals using internet interacting with authorities in</a:t>
            </a:r>
            <a:r>
              <a:rPr lang="en-GB" sz="1000" b="0" baseline="0"/>
              <a:t> the last 12 months </a:t>
            </a:r>
            <a:r>
              <a:rPr lang="en-GB" sz="1000" b="0"/>
              <a:t>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clustered"/>
        <c:varyColors val="0"/>
        <c:ser>
          <c:idx val="0"/>
          <c:order val="0"/>
          <c:tx>
            <c:strRef>
              <c:f>Sheet1!$A$4</c:f>
              <c:strCache>
                <c:ptCount val="1"/>
                <c:pt idx="0">
                  <c:v>EU-27</c:v>
                </c:pt>
              </c:strCache>
            </c:strRef>
          </c:tx>
          <c:spPr>
            <a:solidFill>
              <a:schemeClr val="accent1"/>
            </a:solidFill>
            <a:ln>
              <a:noFill/>
            </a:ln>
            <a:effectLst/>
          </c:spPr>
          <c:invertIfNegative val="0"/>
          <c:cat>
            <c:strRef>
              <c:f>Sheet1!$B$3:$E$3</c:f>
              <c:strCache>
                <c:ptCount val="4"/>
                <c:pt idx="0">
                  <c:v>% citizens interacting with public authorities online*</c:v>
                </c:pt>
                <c:pt idx="1">
                  <c:v>% citizens obtaining information from public authorities' websites*</c:v>
                </c:pt>
                <c:pt idx="2">
                  <c:v>% citizens downloading official forms online*</c:v>
                </c:pt>
                <c:pt idx="3">
                  <c:v>% citizens submitting completed forms online*</c:v>
                </c:pt>
              </c:strCache>
            </c:strRef>
          </c:cat>
          <c:val>
            <c:numRef>
              <c:f>Sheet1!$B$4:$E$4</c:f>
              <c:numCache>
                <c:formatCode>0%</c:formatCode>
                <c:ptCount val="4"/>
                <c:pt idx="0">
                  <c:v>0.53</c:v>
                </c:pt>
                <c:pt idx="1">
                  <c:v>0.44</c:v>
                </c:pt>
                <c:pt idx="2">
                  <c:v>0.32</c:v>
                </c:pt>
                <c:pt idx="3">
                  <c:v>0.36</c:v>
                </c:pt>
              </c:numCache>
            </c:numRef>
          </c:val>
          <c:extLst xmlns:c16r2="http://schemas.microsoft.com/office/drawing/2015/06/chart">
            <c:ext xmlns:c16="http://schemas.microsoft.com/office/drawing/2014/chart" uri="{C3380CC4-5D6E-409C-BE32-E72D297353CC}">
              <c16:uniqueId val="{00000000-145E-4851-B93E-F8759FF95BAE}"/>
            </c:ext>
          </c:extLst>
        </c:ser>
        <c:ser>
          <c:idx val="1"/>
          <c:order val="1"/>
          <c:tx>
            <c:strRef>
              <c:f>Sheet1!$A$5</c:f>
              <c:strCache>
                <c:ptCount val="1"/>
                <c:pt idx="0">
                  <c:v>Hungary</c:v>
                </c:pt>
              </c:strCache>
            </c:strRef>
          </c:tx>
          <c:spPr>
            <a:solidFill>
              <a:schemeClr val="accent3">
                <a:lumMod val="40000"/>
                <a:lumOff val="60000"/>
              </a:schemeClr>
            </a:solidFill>
            <a:ln>
              <a:noFill/>
            </a:ln>
            <a:effectLst/>
          </c:spPr>
          <c:invertIfNegative val="0"/>
          <c:cat>
            <c:strRef>
              <c:f>Sheet1!$B$3:$E$3</c:f>
              <c:strCache>
                <c:ptCount val="4"/>
                <c:pt idx="0">
                  <c:v>% citizens interacting with public authorities online*</c:v>
                </c:pt>
                <c:pt idx="1">
                  <c:v>% citizens obtaining information from public authorities' websites*</c:v>
                </c:pt>
                <c:pt idx="2">
                  <c:v>% citizens downloading official forms online*</c:v>
                </c:pt>
                <c:pt idx="3">
                  <c:v>% citizens submitting completed forms online*</c:v>
                </c:pt>
              </c:strCache>
            </c:strRef>
          </c:cat>
          <c:val>
            <c:numRef>
              <c:f>Sheet1!$B$5:$E$5</c:f>
              <c:numCache>
                <c:formatCode>0%</c:formatCode>
                <c:ptCount val="4"/>
                <c:pt idx="0">
                  <c:v>0.53</c:v>
                </c:pt>
                <c:pt idx="1">
                  <c:v>0.5</c:v>
                </c:pt>
                <c:pt idx="2">
                  <c:v>0.41</c:v>
                </c:pt>
                <c:pt idx="3">
                  <c:v>0.39</c:v>
                </c:pt>
              </c:numCache>
            </c:numRef>
          </c:val>
          <c:extLst xmlns:c16r2="http://schemas.microsoft.com/office/drawing/2015/06/chart">
            <c:ext xmlns:c16="http://schemas.microsoft.com/office/drawing/2014/chart" uri="{C3380CC4-5D6E-409C-BE32-E72D297353CC}">
              <c16:uniqueId val="{00000001-145E-4851-B93E-F8759FF95BAE}"/>
            </c:ext>
          </c:extLst>
        </c:ser>
        <c:ser>
          <c:idx val="2"/>
          <c:order val="2"/>
          <c:tx>
            <c:strRef>
              <c:f>Sheet1!$A$6</c:f>
              <c:strCache>
                <c:ptCount val="1"/>
                <c:pt idx="0">
                  <c:v>Romania</c:v>
                </c:pt>
              </c:strCache>
            </c:strRef>
          </c:tx>
          <c:spPr>
            <a:solidFill>
              <a:schemeClr val="accent3"/>
            </a:solidFill>
            <a:ln>
              <a:noFill/>
            </a:ln>
            <a:effectLst/>
          </c:spPr>
          <c:invertIfNegative val="0"/>
          <c:cat>
            <c:strRef>
              <c:f>Sheet1!$B$3:$E$3</c:f>
              <c:strCache>
                <c:ptCount val="4"/>
                <c:pt idx="0">
                  <c:v>% citizens interacting with public authorities online*</c:v>
                </c:pt>
                <c:pt idx="1">
                  <c:v>% citizens obtaining information from public authorities' websites*</c:v>
                </c:pt>
                <c:pt idx="2">
                  <c:v>% citizens downloading official forms online*</c:v>
                </c:pt>
                <c:pt idx="3">
                  <c:v>% citizens submitting completed forms online*</c:v>
                </c:pt>
              </c:strCache>
            </c:strRef>
          </c:cat>
          <c:val>
            <c:numRef>
              <c:f>Sheet1!$B$6:$E$6</c:f>
              <c:numCache>
                <c:formatCode>0%</c:formatCode>
                <c:ptCount val="4"/>
                <c:pt idx="0">
                  <c:v>0.12</c:v>
                </c:pt>
                <c:pt idx="1">
                  <c:v>0.09</c:v>
                </c:pt>
                <c:pt idx="2">
                  <c:v>0.06</c:v>
                </c:pt>
                <c:pt idx="3">
                  <c:v>0.06</c:v>
                </c:pt>
              </c:numCache>
            </c:numRef>
          </c:val>
          <c:extLst xmlns:c16r2="http://schemas.microsoft.com/office/drawing/2015/06/chart">
            <c:ext xmlns:c16="http://schemas.microsoft.com/office/drawing/2014/chart" uri="{C3380CC4-5D6E-409C-BE32-E72D297353CC}">
              <c16:uniqueId val="{00000002-145E-4851-B93E-F8759FF95BAE}"/>
            </c:ext>
          </c:extLst>
        </c:ser>
        <c:dLbls>
          <c:showLegendKey val="0"/>
          <c:showVal val="0"/>
          <c:showCatName val="0"/>
          <c:showSerName val="0"/>
          <c:showPercent val="0"/>
          <c:showBubbleSize val="0"/>
        </c:dLbls>
        <c:gapWidth val="219"/>
        <c:overlap val="-27"/>
        <c:axId val="708776376"/>
        <c:axId val="708778728"/>
      </c:barChart>
      <c:catAx>
        <c:axId val="708776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8778728"/>
        <c:crosses val="autoZero"/>
        <c:auto val="1"/>
        <c:lblAlgn val="ctr"/>
        <c:lblOffset val="100"/>
        <c:noMultiLvlLbl val="0"/>
      </c:catAx>
      <c:valAx>
        <c:axId val="708778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0877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28575" cap="flat" cmpd="sng" algn="ctr">
      <a:solidFill>
        <a:schemeClr val="bg2"/>
      </a:solidFill>
      <a:round/>
    </a:ln>
    <a:effectLst/>
  </c:spPr>
  <c:txPr>
    <a:bodyPr/>
    <a:lstStyle/>
    <a:p>
      <a:pPr>
        <a:defRPr/>
      </a:pPr>
      <a:endParaRPr lang="ro-R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Calibri" panose="020F0502020204030204" pitchFamily="34" charset="0"/>
                <a:cs typeface="Calibri" panose="020F0502020204030204" pitchFamily="34" charset="0"/>
              </a:defRPr>
            </a:pPr>
            <a:r>
              <a:rPr lang="ro-RO" sz="1100">
                <a:latin typeface="Calibri" panose="020F0502020204030204" pitchFamily="34" charset="0"/>
                <a:cs typeface="Calibri" panose="020F0502020204030204" pitchFamily="34" charset="0"/>
              </a:rPr>
              <a:t>Major cities population</a:t>
            </a:r>
            <a:r>
              <a:rPr lang="ro-RO" sz="1100" baseline="0">
                <a:latin typeface="Calibri" panose="020F0502020204030204" pitchFamily="34" charset="0"/>
                <a:cs typeface="Calibri" panose="020F0502020204030204" pitchFamily="34" charset="0"/>
              </a:rPr>
              <a:t> (2018)</a:t>
            </a:r>
            <a:endParaRPr lang="en-US" sz="1100">
              <a:latin typeface="Calibri" panose="020F0502020204030204" pitchFamily="34" charset="0"/>
              <a:cs typeface="Calibri" panose="020F0502020204030204" pitchFamily="34" charset="0"/>
            </a:endParaRPr>
          </a:p>
        </c:rich>
      </c:tx>
      <c:layout>
        <c:manualLayout>
          <c:xMode val="edge"/>
          <c:yMode val="edge"/>
          <c:x val="0.17056000000000002"/>
          <c:y val="5.4024851431658562E-3"/>
        </c:manualLayout>
      </c:layout>
      <c:overlay val="0"/>
    </c:title>
    <c:autoTitleDeleted val="0"/>
    <c:plotArea>
      <c:layout/>
      <c:barChart>
        <c:barDir val="col"/>
        <c:grouping val="clustered"/>
        <c:varyColors val="0"/>
        <c:ser>
          <c:idx val="0"/>
          <c:order val="0"/>
          <c:tx>
            <c:strRef>
              <c:f>Sheet4!$B$4</c:f>
              <c:strCache>
                <c:ptCount val="1"/>
                <c:pt idx="0">
                  <c:v>2018 population</c:v>
                </c:pt>
              </c:strCache>
            </c:strRef>
          </c:tx>
          <c:invertIfNegative val="0"/>
          <c:dPt>
            <c:idx val="0"/>
            <c:invertIfNegative val="0"/>
            <c:bubble3D val="0"/>
            <c:spPr>
              <a:solidFill>
                <a:srgbClr val="C00000"/>
              </a:solidFill>
            </c:spPr>
            <c:extLst xmlns:c16r2="http://schemas.microsoft.com/office/drawing/2015/06/chart">
              <c:ext xmlns:c16="http://schemas.microsoft.com/office/drawing/2014/chart" uri="{C3380CC4-5D6E-409C-BE32-E72D297353CC}">
                <c16:uniqueId val="{00000001-860A-4205-B61C-E4881344964D}"/>
              </c:ext>
            </c:extLst>
          </c:dPt>
          <c:dPt>
            <c:idx val="1"/>
            <c:invertIfNegative val="0"/>
            <c:bubble3D val="0"/>
            <c:spPr>
              <a:solidFill>
                <a:srgbClr val="C00000"/>
              </a:solidFill>
            </c:spPr>
            <c:extLst xmlns:c16r2="http://schemas.microsoft.com/office/drawing/2015/06/chart">
              <c:ext xmlns:c16="http://schemas.microsoft.com/office/drawing/2014/chart" uri="{C3380CC4-5D6E-409C-BE32-E72D297353CC}">
                <c16:uniqueId val="{00000003-860A-4205-B61C-E4881344964D}"/>
              </c:ext>
            </c:extLst>
          </c:dPt>
          <c:dPt>
            <c:idx val="2"/>
            <c:invertIfNegative val="0"/>
            <c:bubble3D val="0"/>
            <c:spPr>
              <a:solidFill>
                <a:srgbClr val="C00000"/>
              </a:solidFill>
            </c:spPr>
            <c:extLst xmlns:c16r2="http://schemas.microsoft.com/office/drawing/2015/06/chart">
              <c:ext xmlns:c16="http://schemas.microsoft.com/office/drawing/2014/chart" uri="{C3380CC4-5D6E-409C-BE32-E72D297353CC}">
                <c16:uniqueId val="{00000005-860A-4205-B61C-E4881344964D}"/>
              </c:ext>
            </c:extLst>
          </c:dPt>
          <c:dPt>
            <c:idx val="3"/>
            <c:invertIfNegative val="0"/>
            <c:bubble3D val="0"/>
            <c:spPr>
              <a:solidFill>
                <a:srgbClr val="C00000"/>
              </a:solidFill>
            </c:spPr>
            <c:extLst xmlns:c16r2="http://schemas.microsoft.com/office/drawing/2015/06/chart">
              <c:ext xmlns:c16="http://schemas.microsoft.com/office/drawing/2014/chart" uri="{C3380CC4-5D6E-409C-BE32-E72D297353CC}">
                <c16:uniqueId val="{00000007-860A-4205-B61C-E4881344964D}"/>
              </c:ext>
            </c:extLst>
          </c:dPt>
          <c:dPt>
            <c:idx val="4"/>
            <c:invertIfNegative val="0"/>
            <c:bubble3D val="0"/>
            <c:spPr>
              <a:solidFill>
                <a:srgbClr val="0070C0"/>
              </a:solidFill>
            </c:spPr>
            <c:extLst xmlns:c16r2="http://schemas.microsoft.com/office/drawing/2015/06/chart">
              <c:ext xmlns:c16="http://schemas.microsoft.com/office/drawing/2014/chart" uri="{C3380CC4-5D6E-409C-BE32-E72D297353CC}">
                <c16:uniqueId val="{00000009-860A-4205-B61C-E4881344964D}"/>
              </c:ext>
            </c:extLst>
          </c:dPt>
          <c:dPt>
            <c:idx val="5"/>
            <c:invertIfNegative val="0"/>
            <c:bubble3D val="0"/>
            <c:spPr>
              <a:solidFill>
                <a:srgbClr val="0070C0"/>
              </a:solidFill>
            </c:spPr>
            <c:extLst xmlns:c16r2="http://schemas.microsoft.com/office/drawing/2015/06/chart">
              <c:ext xmlns:c16="http://schemas.microsoft.com/office/drawing/2014/chart" uri="{C3380CC4-5D6E-409C-BE32-E72D297353CC}">
                <c16:uniqueId val="{0000000B-860A-4205-B61C-E4881344964D}"/>
              </c:ext>
            </c:extLst>
          </c:dPt>
          <c:dPt>
            <c:idx val="6"/>
            <c:invertIfNegative val="0"/>
            <c:bubble3D val="0"/>
            <c:spPr>
              <a:solidFill>
                <a:srgbClr val="0070C0"/>
              </a:solidFill>
            </c:spPr>
            <c:extLst xmlns:c16r2="http://schemas.microsoft.com/office/drawing/2015/06/chart">
              <c:ext xmlns:c16="http://schemas.microsoft.com/office/drawing/2014/chart" uri="{C3380CC4-5D6E-409C-BE32-E72D297353CC}">
                <c16:uniqueId val="{0000000D-860A-4205-B61C-E4881344964D}"/>
              </c:ext>
            </c:extLst>
          </c:dPt>
          <c:dPt>
            <c:idx val="7"/>
            <c:invertIfNegative val="0"/>
            <c:bubble3D val="0"/>
            <c:spPr>
              <a:solidFill>
                <a:srgbClr val="0070C0"/>
              </a:solidFill>
            </c:spPr>
            <c:extLst xmlns:c16r2="http://schemas.microsoft.com/office/drawing/2015/06/chart">
              <c:ext xmlns:c16="http://schemas.microsoft.com/office/drawing/2014/chart" uri="{C3380CC4-5D6E-409C-BE32-E72D297353CC}">
                <c16:uniqueId val="{0000000F-860A-4205-B61C-E4881344964D}"/>
              </c:ext>
            </c:extLst>
          </c:dPt>
          <c:dLbls>
            <c:spPr>
              <a:noFill/>
              <a:ln>
                <a:noFill/>
              </a:ln>
              <a:effectLst/>
            </c:spPr>
            <c:txPr>
              <a:bodyPr wrap="square" lIns="38100" tIns="19050" rIns="38100" bIns="19050" anchor="ctr">
                <a:spAutoFit/>
              </a:bodyPr>
              <a:lstStyle/>
              <a:p>
                <a:pPr>
                  <a:defRPr sz="800">
                    <a:latin typeface="Calibri" panose="020F0502020204030204" pitchFamily="34" charset="0"/>
                    <a:cs typeface="Calibri" panose="020F0502020204030204" pitchFamily="34" charset="0"/>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Sheet4!$A$5:$A$12</c:f>
              <c:strCache>
                <c:ptCount val="8"/>
                <c:pt idx="0">
                  <c:v>Debrecen</c:v>
                </c:pt>
                <c:pt idx="1">
                  <c:v>Nyíregyháza</c:v>
                </c:pt>
                <c:pt idx="2">
                  <c:v>Békéscsaba</c:v>
                </c:pt>
                <c:pt idx="3">
                  <c:v>Szeged</c:v>
                </c:pt>
                <c:pt idx="4">
                  <c:v>Municipiul Oradea</c:v>
                </c:pt>
                <c:pt idx="5">
                  <c:v>Municipiul Satu Mare</c:v>
                </c:pt>
                <c:pt idx="6">
                  <c:v>Municipiul Arad</c:v>
                </c:pt>
                <c:pt idx="7">
                  <c:v>Municipiul Timişoara</c:v>
                </c:pt>
              </c:strCache>
            </c:strRef>
          </c:cat>
          <c:val>
            <c:numRef>
              <c:f>Sheet4!$B$5:$B$12</c:f>
              <c:numCache>
                <c:formatCode>General</c:formatCode>
                <c:ptCount val="8"/>
                <c:pt idx="0">
                  <c:v>203493</c:v>
                </c:pt>
                <c:pt idx="1">
                  <c:v>120086</c:v>
                </c:pt>
                <c:pt idx="2">
                  <c:v>60137</c:v>
                </c:pt>
                <c:pt idx="3">
                  <c:v>163763</c:v>
                </c:pt>
                <c:pt idx="4">
                  <c:v>221897</c:v>
                </c:pt>
                <c:pt idx="5">
                  <c:v>120800</c:v>
                </c:pt>
                <c:pt idx="6">
                  <c:v>177601</c:v>
                </c:pt>
                <c:pt idx="7">
                  <c:v>330209</c:v>
                </c:pt>
              </c:numCache>
            </c:numRef>
          </c:val>
          <c:extLst xmlns:c16r2="http://schemas.microsoft.com/office/drawing/2015/06/chart">
            <c:ext xmlns:c16="http://schemas.microsoft.com/office/drawing/2014/chart" uri="{C3380CC4-5D6E-409C-BE32-E72D297353CC}">
              <c16:uniqueId val="{00000010-860A-4205-B61C-E4881344964D}"/>
            </c:ext>
          </c:extLst>
        </c:ser>
        <c:dLbls>
          <c:showLegendKey val="0"/>
          <c:showVal val="1"/>
          <c:showCatName val="0"/>
          <c:showSerName val="0"/>
          <c:showPercent val="0"/>
          <c:showBubbleSize val="0"/>
        </c:dLbls>
        <c:gapWidth val="150"/>
        <c:overlap val="-25"/>
        <c:axId val="707054280"/>
        <c:axId val="707051536"/>
      </c:barChart>
      <c:catAx>
        <c:axId val="707054280"/>
        <c:scaling>
          <c:orientation val="minMax"/>
        </c:scaling>
        <c:delete val="0"/>
        <c:axPos val="b"/>
        <c:numFmt formatCode="General" sourceLinked="0"/>
        <c:majorTickMark val="none"/>
        <c:minorTickMark val="none"/>
        <c:tickLblPos val="nextTo"/>
        <c:txPr>
          <a:bodyPr/>
          <a:lstStyle/>
          <a:p>
            <a:pPr>
              <a:defRPr sz="800">
                <a:latin typeface="Calibri" panose="020F0502020204030204" pitchFamily="34" charset="0"/>
                <a:cs typeface="Calibri" panose="020F0502020204030204" pitchFamily="34" charset="0"/>
              </a:defRPr>
            </a:pPr>
            <a:endParaRPr lang="ro-RO"/>
          </a:p>
        </c:txPr>
        <c:crossAx val="707051536"/>
        <c:crosses val="autoZero"/>
        <c:auto val="1"/>
        <c:lblAlgn val="ctr"/>
        <c:lblOffset val="100"/>
        <c:noMultiLvlLbl val="0"/>
      </c:catAx>
      <c:valAx>
        <c:axId val="707051536"/>
        <c:scaling>
          <c:orientation val="minMax"/>
        </c:scaling>
        <c:delete val="1"/>
        <c:axPos val="l"/>
        <c:numFmt formatCode="General" sourceLinked="1"/>
        <c:majorTickMark val="none"/>
        <c:minorTickMark val="none"/>
        <c:tickLblPos val="nextTo"/>
        <c:crossAx val="707054280"/>
        <c:crosses val="autoZero"/>
        <c:crossBetween val="between"/>
      </c:valAx>
    </c:plotArea>
    <c:plotVisOnly val="1"/>
    <c:dispBlanksAs val="gap"/>
    <c:showDLblsOverMax val="0"/>
  </c:chart>
  <c:spPr>
    <a:ln w="28575">
      <a:solidFill>
        <a:schemeClr val="bg2"/>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ro-RO" sz="900"/>
              <a:t>Major cities p</a:t>
            </a:r>
            <a:r>
              <a:rPr lang="en-US" sz="900"/>
              <a:t>opulation density</a:t>
            </a:r>
            <a:r>
              <a:rPr lang="ro-RO" sz="900"/>
              <a:t> 2018 (pop/km2)</a:t>
            </a:r>
            <a:endParaRPr lang="en-US" sz="900"/>
          </a:p>
        </c:rich>
      </c:tx>
      <c:layout>
        <c:manualLayout>
          <c:xMode val="edge"/>
          <c:yMode val="edge"/>
          <c:x val="0.1461256304447501"/>
          <c:y val="2.9446407538280331E-2"/>
        </c:manualLayout>
      </c:layout>
      <c:overlay val="0"/>
    </c:title>
    <c:autoTitleDeleted val="0"/>
    <c:plotArea>
      <c:layout>
        <c:manualLayout>
          <c:layoutTarget val="inner"/>
          <c:xMode val="edge"/>
          <c:yMode val="edge"/>
          <c:x val="9.343146068227029E-2"/>
          <c:y val="0.19146054181389871"/>
          <c:w val="0.85613295930855959"/>
          <c:h val="0.41367658106340949"/>
        </c:manualLayout>
      </c:layout>
      <c:barChart>
        <c:barDir val="col"/>
        <c:grouping val="clustered"/>
        <c:varyColors val="0"/>
        <c:ser>
          <c:idx val="0"/>
          <c:order val="0"/>
          <c:tx>
            <c:strRef>
              <c:f>Sheet4!$B$45</c:f>
              <c:strCache>
                <c:ptCount val="1"/>
                <c:pt idx="0">
                  <c:v>Population density</c:v>
                </c:pt>
              </c:strCache>
            </c:strRef>
          </c:tx>
          <c:spPr>
            <a:solidFill>
              <a:srgbClr val="C00000"/>
            </a:solidFill>
          </c:spPr>
          <c:invertIfNegative val="0"/>
          <c:dPt>
            <c:idx val="4"/>
            <c:invertIfNegative val="0"/>
            <c:bubble3D val="0"/>
            <c:spPr>
              <a:solidFill>
                <a:srgbClr val="0070C0"/>
              </a:solidFill>
            </c:spPr>
            <c:extLst xmlns:c16r2="http://schemas.microsoft.com/office/drawing/2015/06/chart">
              <c:ext xmlns:c16="http://schemas.microsoft.com/office/drawing/2014/chart" uri="{C3380CC4-5D6E-409C-BE32-E72D297353CC}">
                <c16:uniqueId val="{00000001-8AAB-4C9A-B44B-27B93AFB9C26}"/>
              </c:ext>
            </c:extLst>
          </c:dPt>
          <c:dPt>
            <c:idx val="5"/>
            <c:invertIfNegative val="0"/>
            <c:bubble3D val="0"/>
            <c:spPr>
              <a:solidFill>
                <a:srgbClr val="0070C0"/>
              </a:solidFill>
            </c:spPr>
            <c:extLst xmlns:c16r2="http://schemas.microsoft.com/office/drawing/2015/06/chart">
              <c:ext xmlns:c16="http://schemas.microsoft.com/office/drawing/2014/chart" uri="{C3380CC4-5D6E-409C-BE32-E72D297353CC}">
                <c16:uniqueId val="{00000003-8AAB-4C9A-B44B-27B93AFB9C26}"/>
              </c:ext>
            </c:extLst>
          </c:dPt>
          <c:dPt>
            <c:idx val="6"/>
            <c:invertIfNegative val="0"/>
            <c:bubble3D val="0"/>
            <c:spPr>
              <a:solidFill>
                <a:srgbClr val="0070C0"/>
              </a:solidFill>
            </c:spPr>
            <c:extLst xmlns:c16r2="http://schemas.microsoft.com/office/drawing/2015/06/chart">
              <c:ext xmlns:c16="http://schemas.microsoft.com/office/drawing/2014/chart" uri="{C3380CC4-5D6E-409C-BE32-E72D297353CC}">
                <c16:uniqueId val="{00000005-8AAB-4C9A-B44B-27B93AFB9C26}"/>
              </c:ext>
            </c:extLst>
          </c:dPt>
          <c:dPt>
            <c:idx val="7"/>
            <c:invertIfNegative val="0"/>
            <c:bubble3D val="0"/>
            <c:spPr>
              <a:solidFill>
                <a:srgbClr val="0070C0"/>
              </a:solidFill>
            </c:spPr>
            <c:extLst xmlns:c16r2="http://schemas.microsoft.com/office/drawing/2015/06/chart">
              <c:ext xmlns:c16="http://schemas.microsoft.com/office/drawing/2014/chart" uri="{C3380CC4-5D6E-409C-BE32-E72D297353CC}">
                <c16:uniqueId val="{00000007-8AAB-4C9A-B44B-27B93AFB9C26}"/>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Sheet4!$A$46:$A$53</c:f>
              <c:strCache>
                <c:ptCount val="8"/>
                <c:pt idx="0">
                  <c:v>Debrecen</c:v>
                </c:pt>
                <c:pt idx="1">
                  <c:v>Nyíregyháza</c:v>
                </c:pt>
                <c:pt idx="2">
                  <c:v>Békéscsaba</c:v>
                </c:pt>
                <c:pt idx="3">
                  <c:v>Szeged</c:v>
                </c:pt>
                <c:pt idx="4">
                  <c:v>Municipiul Oradea</c:v>
                </c:pt>
                <c:pt idx="5">
                  <c:v>Municipiul Satu Mare</c:v>
                </c:pt>
                <c:pt idx="6">
                  <c:v>Municipiul Arad</c:v>
                </c:pt>
                <c:pt idx="7">
                  <c:v>Municipiul Timişoara</c:v>
                </c:pt>
              </c:strCache>
            </c:strRef>
          </c:cat>
          <c:val>
            <c:numRef>
              <c:f>Sheet4!$B$46:$B$53</c:f>
              <c:numCache>
                <c:formatCode>0.00</c:formatCode>
                <c:ptCount val="8"/>
                <c:pt idx="0">
                  <c:v>440.78542650435384</c:v>
                </c:pt>
                <c:pt idx="1">
                  <c:v>437.4080279740657</c:v>
                </c:pt>
                <c:pt idx="2">
                  <c:v>310.09642654566079</c:v>
                </c:pt>
                <c:pt idx="3">
                  <c:v>582.8072173386953</c:v>
                </c:pt>
                <c:pt idx="4">
                  <c:v>1925.5206525511976</c:v>
                </c:pt>
                <c:pt idx="5">
                  <c:v>811.55525697010421</c:v>
                </c:pt>
                <c:pt idx="6">
                  <c:v>741.33238719372207</c:v>
                </c:pt>
                <c:pt idx="7">
                  <c:v>2553.8205723124515</c:v>
                </c:pt>
              </c:numCache>
            </c:numRef>
          </c:val>
          <c:extLst xmlns:c16r2="http://schemas.microsoft.com/office/drawing/2015/06/chart">
            <c:ext xmlns:c16="http://schemas.microsoft.com/office/drawing/2014/chart" uri="{C3380CC4-5D6E-409C-BE32-E72D297353CC}">
              <c16:uniqueId val="{00000008-8AAB-4C9A-B44B-27B93AFB9C26}"/>
            </c:ext>
          </c:extLst>
        </c:ser>
        <c:dLbls>
          <c:showLegendKey val="0"/>
          <c:showVal val="1"/>
          <c:showCatName val="0"/>
          <c:showSerName val="0"/>
          <c:showPercent val="0"/>
          <c:showBubbleSize val="0"/>
        </c:dLbls>
        <c:gapWidth val="150"/>
        <c:overlap val="-25"/>
        <c:axId val="707055064"/>
        <c:axId val="707053104"/>
      </c:barChart>
      <c:catAx>
        <c:axId val="707055064"/>
        <c:scaling>
          <c:orientation val="minMax"/>
        </c:scaling>
        <c:delete val="0"/>
        <c:axPos val="b"/>
        <c:numFmt formatCode="General" sourceLinked="0"/>
        <c:majorTickMark val="none"/>
        <c:minorTickMark val="none"/>
        <c:tickLblPos val="nextTo"/>
        <c:crossAx val="707053104"/>
        <c:crosses val="autoZero"/>
        <c:auto val="1"/>
        <c:lblAlgn val="ctr"/>
        <c:lblOffset val="100"/>
        <c:noMultiLvlLbl val="0"/>
      </c:catAx>
      <c:valAx>
        <c:axId val="707053104"/>
        <c:scaling>
          <c:orientation val="minMax"/>
        </c:scaling>
        <c:delete val="1"/>
        <c:axPos val="l"/>
        <c:numFmt formatCode="0.00" sourceLinked="1"/>
        <c:majorTickMark val="out"/>
        <c:minorTickMark val="none"/>
        <c:tickLblPos val="nextTo"/>
        <c:crossAx val="707055064"/>
        <c:crosses val="autoZero"/>
        <c:crossBetween val="between"/>
      </c:valAx>
    </c:plotArea>
    <c:plotVisOnly val="1"/>
    <c:dispBlanksAs val="gap"/>
    <c:showDLblsOverMax val="0"/>
  </c:chart>
  <c:spPr>
    <a:ln w="28575">
      <a:solidFill>
        <a:schemeClr val="bg2"/>
      </a:solidFill>
    </a:ln>
  </c:spPr>
  <c:txPr>
    <a:bodyPr/>
    <a:lstStyle/>
    <a:p>
      <a:pPr>
        <a:defRPr sz="700"/>
      </a:pPr>
      <a:endParaRPr lang="ro-R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3891456887727"/>
          <c:y val="4.2487446890691387E-2"/>
          <c:w val="0.83412817324959887"/>
          <c:h val="0.74022834341535804"/>
        </c:manualLayout>
      </c:layout>
      <c:lineChart>
        <c:grouping val="standard"/>
        <c:varyColors val="0"/>
        <c:ser>
          <c:idx val="1"/>
          <c:order val="1"/>
          <c:tx>
            <c:strRef>
              <c:f>Sheet2!$A$89</c:f>
              <c:strCache>
                <c:ptCount val="1"/>
                <c:pt idx="0">
                  <c:v>Hajdú-Bihar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Sheet2!$B$89:$K$89</c:f>
              <c:numCache>
                <c:formatCode>#,##0.0</c:formatCode>
                <c:ptCount val="10"/>
                <c:pt idx="0">
                  <c:v>-2.1</c:v>
                </c:pt>
                <c:pt idx="1">
                  <c:v>-2.7</c:v>
                </c:pt>
                <c:pt idx="2">
                  <c:v>-2.5</c:v>
                </c:pt>
                <c:pt idx="3">
                  <c:v>-2.5</c:v>
                </c:pt>
                <c:pt idx="4">
                  <c:v>-2.1</c:v>
                </c:pt>
                <c:pt idx="5">
                  <c:v>-1.5</c:v>
                </c:pt>
                <c:pt idx="6">
                  <c:v>-2.1</c:v>
                </c:pt>
                <c:pt idx="7">
                  <c:v>-1</c:v>
                </c:pt>
                <c:pt idx="8">
                  <c:v>-1.7</c:v>
                </c:pt>
                <c:pt idx="9">
                  <c:v>-2.2000000000000002</c:v>
                </c:pt>
              </c:numCache>
            </c:numRef>
          </c:val>
          <c:smooth val="0"/>
          <c:extLst xmlns:c16r2="http://schemas.microsoft.com/office/drawing/2015/06/chart">
            <c:ext xmlns:c16="http://schemas.microsoft.com/office/drawing/2014/chart" uri="{C3380CC4-5D6E-409C-BE32-E72D297353CC}">
              <c16:uniqueId val="{00000000-F04B-4BA9-984D-96B2C963AA28}"/>
            </c:ext>
          </c:extLst>
        </c:ser>
        <c:ser>
          <c:idx val="2"/>
          <c:order val="2"/>
          <c:tx>
            <c:strRef>
              <c:f>Sheet2!$A$90</c:f>
              <c:strCache>
                <c:ptCount val="1"/>
                <c:pt idx="0">
                  <c:v>Szabolcs-Szatmár-Bereg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Sheet2!$B$90:$K$90</c:f>
              <c:numCache>
                <c:formatCode>#,##0.0</c:formatCode>
                <c:ptCount val="10"/>
                <c:pt idx="0">
                  <c:v>-1.6</c:v>
                </c:pt>
                <c:pt idx="1">
                  <c:v>-2.7</c:v>
                </c:pt>
                <c:pt idx="2">
                  <c:v>-2.1</c:v>
                </c:pt>
                <c:pt idx="3">
                  <c:v>-1.9</c:v>
                </c:pt>
                <c:pt idx="4">
                  <c:v>-1.6</c:v>
                </c:pt>
                <c:pt idx="5">
                  <c:v>-1.1000000000000001</c:v>
                </c:pt>
                <c:pt idx="6">
                  <c:v>-1.6</c:v>
                </c:pt>
                <c:pt idx="7">
                  <c:v>-0.7</c:v>
                </c:pt>
                <c:pt idx="8">
                  <c:v>-1.2</c:v>
                </c:pt>
                <c:pt idx="9">
                  <c:v>-2</c:v>
                </c:pt>
              </c:numCache>
            </c:numRef>
          </c:val>
          <c:smooth val="0"/>
          <c:extLst xmlns:c16r2="http://schemas.microsoft.com/office/drawing/2015/06/chart">
            <c:ext xmlns:c16="http://schemas.microsoft.com/office/drawing/2014/chart" uri="{C3380CC4-5D6E-409C-BE32-E72D297353CC}">
              <c16:uniqueId val="{00000001-F04B-4BA9-984D-96B2C963AA28}"/>
            </c:ext>
          </c:extLst>
        </c:ser>
        <c:ser>
          <c:idx val="3"/>
          <c:order val="3"/>
          <c:tx>
            <c:strRef>
              <c:f>Sheet2!$A$91</c:f>
              <c:strCache>
                <c:ptCount val="1"/>
                <c:pt idx="0">
                  <c:v>Békés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Sheet2!$B$91:$K$91</c:f>
              <c:numCache>
                <c:formatCode>#,##0.0</c:formatCode>
                <c:ptCount val="10"/>
                <c:pt idx="0">
                  <c:v>-7</c:v>
                </c:pt>
                <c:pt idx="1">
                  <c:v>-8.1</c:v>
                </c:pt>
                <c:pt idx="2">
                  <c:v>-7.8</c:v>
                </c:pt>
                <c:pt idx="3">
                  <c:v>-7.9</c:v>
                </c:pt>
                <c:pt idx="4">
                  <c:v>-7.2</c:v>
                </c:pt>
                <c:pt idx="5">
                  <c:v>-7.3</c:v>
                </c:pt>
                <c:pt idx="6">
                  <c:v>-7.7</c:v>
                </c:pt>
                <c:pt idx="7">
                  <c:v>-7.2</c:v>
                </c:pt>
                <c:pt idx="8">
                  <c:v>-8.1999999999999993</c:v>
                </c:pt>
                <c:pt idx="9">
                  <c:v>-7.4</c:v>
                </c:pt>
              </c:numCache>
            </c:numRef>
          </c:val>
          <c:smooth val="0"/>
          <c:extLst xmlns:c16r2="http://schemas.microsoft.com/office/drawing/2015/06/chart">
            <c:ext xmlns:c16="http://schemas.microsoft.com/office/drawing/2014/chart" uri="{C3380CC4-5D6E-409C-BE32-E72D297353CC}">
              <c16:uniqueId val="{00000002-F04B-4BA9-984D-96B2C963AA28}"/>
            </c:ext>
          </c:extLst>
        </c:ser>
        <c:ser>
          <c:idx val="4"/>
          <c:order val="4"/>
          <c:tx>
            <c:strRef>
              <c:f>Sheet2!$A$92</c:f>
              <c:strCache>
                <c:ptCount val="1"/>
                <c:pt idx="0">
                  <c:v>Csongrád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Sheet2!$B$92:$K$92</c:f>
              <c:numCache>
                <c:formatCode>#,##0.0</c:formatCode>
                <c:ptCount val="10"/>
                <c:pt idx="0">
                  <c:v>-4.5</c:v>
                </c:pt>
                <c:pt idx="1">
                  <c:v>-4.7</c:v>
                </c:pt>
                <c:pt idx="2">
                  <c:v>-5.3</c:v>
                </c:pt>
                <c:pt idx="3">
                  <c:v>-5.2</c:v>
                </c:pt>
                <c:pt idx="4">
                  <c:v>-4.7</c:v>
                </c:pt>
                <c:pt idx="5">
                  <c:v>-4.5</c:v>
                </c:pt>
                <c:pt idx="6">
                  <c:v>-5.6</c:v>
                </c:pt>
                <c:pt idx="7">
                  <c:v>-4.2</c:v>
                </c:pt>
                <c:pt idx="8">
                  <c:v>-4.5999999999999996</c:v>
                </c:pt>
                <c:pt idx="9">
                  <c:v>-5.2</c:v>
                </c:pt>
              </c:numCache>
            </c:numRef>
          </c:val>
          <c:smooth val="0"/>
          <c:extLst xmlns:c16r2="http://schemas.microsoft.com/office/drawing/2015/06/chart">
            <c:ext xmlns:c16="http://schemas.microsoft.com/office/drawing/2014/chart" uri="{C3380CC4-5D6E-409C-BE32-E72D297353CC}">
              <c16:uniqueId val="{00000003-F04B-4BA9-984D-96B2C963AA28}"/>
            </c:ext>
          </c:extLst>
        </c:ser>
        <c:dLbls>
          <c:showLegendKey val="0"/>
          <c:showVal val="0"/>
          <c:showCatName val="0"/>
          <c:showSerName val="0"/>
          <c:showPercent val="0"/>
          <c:showBubbleSize val="0"/>
        </c:dLbls>
        <c:marker val="1"/>
        <c:smooth val="0"/>
        <c:axId val="707094096"/>
        <c:axId val="707094488"/>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Sheet2!$A$88</c15:sqref>
                        </c15:formulaRef>
                      </c:ext>
                    </c:extLst>
                    <c:strCache>
                      <c:ptCount val="1"/>
                      <c:pt idx="0">
                        <c:v>Hungary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xmlns:c16r2="http://schemas.microsoft.com/office/drawing/2015/06/chart">
                      <c:ext uri="{02D57815-91ED-43cb-92C2-25804820EDAC}">
                        <c15:formulaRef>
                          <c15:sqref>Sheet2!$B$87:$K$87</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xmlns:c16r2="http://schemas.microsoft.com/office/drawing/2015/06/chart">
                      <c:ext uri="{02D57815-91ED-43cb-92C2-25804820EDAC}">
                        <c15:formulaRef>
                          <c15:sqref>Sheet2!$B$88:$K$88</c15:sqref>
                        </c15:formulaRef>
                      </c:ext>
                    </c:extLst>
                    <c:numCache>
                      <c:formatCode>#,##0.0</c:formatCode>
                      <c:ptCount val="10"/>
                      <c:pt idx="0">
                        <c:v>-3.4</c:v>
                      </c:pt>
                      <c:pt idx="1">
                        <c:v>-4</c:v>
                      </c:pt>
                      <c:pt idx="2">
                        <c:v>-4.0999999999999996</c:v>
                      </c:pt>
                      <c:pt idx="3">
                        <c:v>-3.9</c:v>
                      </c:pt>
                      <c:pt idx="4">
                        <c:v>-3.8</c:v>
                      </c:pt>
                      <c:pt idx="5">
                        <c:v>-3.3</c:v>
                      </c:pt>
                      <c:pt idx="6">
                        <c:v>-4</c:v>
                      </c:pt>
                      <c:pt idx="7">
                        <c:v>-3.2</c:v>
                      </c:pt>
                      <c:pt idx="8">
                        <c:v>-3.8</c:v>
                      </c:pt>
                      <c:pt idx="9">
                        <c:v>-3.9</c:v>
                      </c:pt>
                    </c:numCache>
                  </c:numRef>
                </c:val>
                <c:smooth val="0"/>
                <c:extLst xmlns:c16r2="http://schemas.microsoft.com/office/drawing/2015/06/chart">
                  <c:ext xmlns:c16="http://schemas.microsoft.com/office/drawing/2014/chart" uri="{C3380CC4-5D6E-409C-BE32-E72D297353CC}">
                    <c16:uniqueId val="{00000004-F04B-4BA9-984D-96B2C963AA28}"/>
                  </c:ext>
                </c:extLst>
              </c15:ser>
            </c15:filteredLineSeries>
          </c:ext>
        </c:extLst>
      </c:lineChart>
      <c:catAx>
        <c:axId val="70709409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o-RO"/>
          </a:p>
        </c:txPr>
        <c:crossAx val="707094488"/>
        <c:crosses val="autoZero"/>
        <c:auto val="1"/>
        <c:lblAlgn val="ctr"/>
        <c:lblOffset val="100"/>
        <c:noMultiLvlLbl val="0"/>
      </c:catAx>
      <c:valAx>
        <c:axId val="7070944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o-RO"/>
          </a:p>
        </c:txPr>
        <c:crossAx val="707094096"/>
        <c:crosses val="autoZero"/>
        <c:crossBetween val="between"/>
      </c:valAx>
      <c:spPr>
        <a:noFill/>
        <a:ln w="25400">
          <a:noFill/>
        </a:ln>
        <a:effectLst/>
      </c:spPr>
    </c:plotArea>
    <c:legend>
      <c:legendPos val="b"/>
      <c:layout>
        <c:manualLayout>
          <c:xMode val="edge"/>
          <c:yMode val="edge"/>
          <c:x val="3.2065841016104144E-2"/>
          <c:y val="0.84209692319928542"/>
          <c:w val="0.9679341589838959"/>
          <c:h val="0.13459305349069128"/>
        </c:manualLayout>
      </c:layout>
      <c:overlay val="0"/>
      <c:spPr>
        <a:noFill/>
        <a:ln>
          <a:noFill/>
        </a:ln>
        <a:effectLst/>
      </c:spPr>
      <c:txPr>
        <a:bodyPr rot="0" vert="horz"/>
        <a:lstStyle/>
        <a:p>
          <a:pPr>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1242226797122"/>
          <c:y val="4.2830948094536685E-2"/>
          <c:w val="0.80945978450806855"/>
          <c:h val="0.7380880507719445"/>
        </c:manualLayout>
      </c:layout>
      <c:lineChart>
        <c:grouping val="standard"/>
        <c:varyColors val="0"/>
        <c:ser>
          <c:idx val="0"/>
          <c:order val="0"/>
          <c:tx>
            <c:strRef>
              <c:f>Sheet2!$A$94</c:f>
              <c:strCache>
                <c:ptCount val="1"/>
                <c:pt idx="0">
                  <c:v>Bihor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Sheet2!$B$94:$K$94</c:f>
              <c:numCache>
                <c:formatCode>#,##0.0</c:formatCode>
                <c:ptCount val="10"/>
                <c:pt idx="0">
                  <c:v>-1.7</c:v>
                </c:pt>
                <c:pt idx="1">
                  <c:v>-1.8</c:v>
                </c:pt>
                <c:pt idx="2">
                  <c:v>-2.2000000000000002</c:v>
                </c:pt>
                <c:pt idx="3">
                  <c:v>-2</c:v>
                </c:pt>
                <c:pt idx="4">
                  <c:v>-3.1</c:v>
                </c:pt>
                <c:pt idx="5">
                  <c:v>-2.4</c:v>
                </c:pt>
                <c:pt idx="6">
                  <c:v>-3</c:v>
                </c:pt>
                <c:pt idx="7">
                  <c:v>-2.2999999999999998</c:v>
                </c:pt>
                <c:pt idx="8">
                  <c:v>-2.2999999999999998</c:v>
                </c:pt>
                <c:pt idx="9">
                  <c:v>-2.5</c:v>
                </c:pt>
              </c:numCache>
            </c:numRef>
          </c:val>
          <c:smooth val="0"/>
          <c:extLst xmlns:c16r2="http://schemas.microsoft.com/office/drawing/2015/06/chart">
            <c:ext xmlns:c16="http://schemas.microsoft.com/office/drawing/2014/chart" uri="{C3380CC4-5D6E-409C-BE32-E72D297353CC}">
              <c16:uniqueId val="{00000000-888D-4660-92E1-D94B0DA0E2E2}"/>
            </c:ext>
          </c:extLst>
        </c:ser>
        <c:ser>
          <c:idx val="1"/>
          <c:order val="1"/>
          <c:tx>
            <c:strRef>
              <c:f>Sheet2!$A$95</c:f>
              <c:strCache>
                <c:ptCount val="1"/>
                <c:pt idx="0">
                  <c:v>Satu Mare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Sheet2!$B$95:$K$95</c:f>
              <c:numCache>
                <c:formatCode>#,##0.0</c:formatCode>
                <c:ptCount val="10"/>
                <c:pt idx="0">
                  <c:v>-2.1</c:v>
                </c:pt>
                <c:pt idx="1">
                  <c:v>-2.5</c:v>
                </c:pt>
                <c:pt idx="2">
                  <c:v>-2.7</c:v>
                </c:pt>
                <c:pt idx="3">
                  <c:v>-2.2000000000000002</c:v>
                </c:pt>
                <c:pt idx="4">
                  <c:v>-2.8</c:v>
                </c:pt>
                <c:pt idx="5">
                  <c:v>-1.9</c:v>
                </c:pt>
                <c:pt idx="6">
                  <c:v>-2.8</c:v>
                </c:pt>
                <c:pt idx="7">
                  <c:v>-1.8</c:v>
                </c:pt>
                <c:pt idx="8">
                  <c:v>-2</c:v>
                </c:pt>
                <c:pt idx="9">
                  <c:v>-2.7</c:v>
                </c:pt>
              </c:numCache>
            </c:numRef>
          </c:val>
          <c:smooth val="0"/>
          <c:extLst xmlns:c16r2="http://schemas.microsoft.com/office/drawing/2015/06/chart">
            <c:ext xmlns:c16="http://schemas.microsoft.com/office/drawing/2014/chart" uri="{C3380CC4-5D6E-409C-BE32-E72D297353CC}">
              <c16:uniqueId val="{00000001-888D-4660-92E1-D94B0DA0E2E2}"/>
            </c:ext>
          </c:extLst>
        </c:ser>
        <c:ser>
          <c:idx val="2"/>
          <c:order val="2"/>
          <c:tx>
            <c:strRef>
              <c:f>Sheet2!$A$96</c:f>
              <c:strCache>
                <c:ptCount val="1"/>
                <c:pt idx="0">
                  <c:v>Arad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Sheet2!$B$96:$K$96</c:f>
              <c:numCache>
                <c:formatCode>#,##0.0</c:formatCode>
                <c:ptCount val="10"/>
                <c:pt idx="0">
                  <c:v>-3.9</c:v>
                </c:pt>
                <c:pt idx="1">
                  <c:v>-4.0999999999999996</c:v>
                </c:pt>
                <c:pt idx="2">
                  <c:v>-4.0999999999999996</c:v>
                </c:pt>
                <c:pt idx="3">
                  <c:v>-4.3</c:v>
                </c:pt>
                <c:pt idx="4">
                  <c:v>-4.5999999999999996</c:v>
                </c:pt>
                <c:pt idx="5">
                  <c:v>-4</c:v>
                </c:pt>
                <c:pt idx="6">
                  <c:v>-4.7</c:v>
                </c:pt>
                <c:pt idx="7">
                  <c:v>-3.8</c:v>
                </c:pt>
                <c:pt idx="8">
                  <c:v>-5</c:v>
                </c:pt>
                <c:pt idx="9">
                  <c:v>-4</c:v>
                </c:pt>
              </c:numCache>
            </c:numRef>
          </c:val>
          <c:smooth val="0"/>
          <c:extLst xmlns:c16r2="http://schemas.microsoft.com/office/drawing/2015/06/chart">
            <c:ext xmlns:c16="http://schemas.microsoft.com/office/drawing/2014/chart" uri="{C3380CC4-5D6E-409C-BE32-E72D297353CC}">
              <c16:uniqueId val="{00000002-888D-4660-92E1-D94B0DA0E2E2}"/>
            </c:ext>
          </c:extLst>
        </c:ser>
        <c:ser>
          <c:idx val="3"/>
          <c:order val="3"/>
          <c:tx>
            <c:strRef>
              <c:f>Sheet2!$A$97</c:f>
              <c:strCache>
                <c:ptCount val="1"/>
                <c:pt idx="0">
                  <c:v>Timis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Sheet2!$B$87:$K$87</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Sheet2!$B$97:$K$97</c:f>
              <c:numCache>
                <c:formatCode>#,##0.0</c:formatCode>
                <c:ptCount val="10"/>
                <c:pt idx="0">
                  <c:v>-1</c:v>
                </c:pt>
                <c:pt idx="1">
                  <c:v>-1.5</c:v>
                </c:pt>
                <c:pt idx="2">
                  <c:v>-1.8</c:v>
                </c:pt>
                <c:pt idx="3">
                  <c:v>-1.4</c:v>
                </c:pt>
                <c:pt idx="4">
                  <c:v>-1.3</c:v>
                </c:pt>
                <c:pt idx="5">
                  <c:v>-0.9</c:v>
                </c:pt>
                <c:pt idx="6">
                  <c:v>-1.1000000000000001</c:v>
                </c:pt>
                <c:pt idx="7">
                  <c:v>-0.1</c:v>
                </c:pt>
                <c:pt idx="8">
                  <c:v>-0.6</c:v>
                </c:pt>
                <c:pt idx="9">
                  <c:v>0.1</c:v>
                </c:pt>
              </c:numCache>
            </c:numRef>
          </c:val>
          <c:smooth val="0"/>
          <c:extLst xmlns:c16r2="http://schemas.microsoft.com/office/drawing/2015/06/chart">
            <c:ext xmlns:c16="http://schemas.microsoft.com/office/drawing/2014/chart" uri="{C3380CC4-5D6E-409C-BE32-E72D297353CC}">
              <c16:uniqueId val="{00000003-888D-4660-92E1-D94B0DA0E2E2}"/>
            </c:ext>
          </c:extLst>
        </c:ser>
        <c:dLbls>
          <c:showLegendKey val="0"/>
          <c:showVal val="0"/>
          <c:showCatName val="0"/>
          <c:showSerName val="0"/>
          <c:showPercent val="0"/>
          <c:showBubbleSize val="0"/>
        </c:dLbls>
        <c:marker val="1"/>
        <c:smooth val="0"/>
        <c:axId val="707092528"/>
        <c:axId val="707094880"/>
      </c:lineChart>
      <c:catAx>
        <c:axId val="70709252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o-RO"/>
          </a:p>
        </c:txPr>
        <c:crossAx val="707094880"/>
        <c:crosses val="autoZero"/>
        <c:auto val="1"/>
        <c:lblAlgn val="ctr"/>
        <c:lblOffset val="100"/>
        <c:noMultiLvlLbl val="0"/>
      </c:catAx>
      <c:valAx>
        <c:axId val="707094880"/>
        <c:scaling>
          <c:orientation val="minMax"/>
          <c:min val="-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o-RO"/>
          </a:p>
        </c:txPr>
        <c:crossAx val="707092528"/>
        <c:crosses val="autoZero"/>
        <c:crossBetween val="between"/>
      </c:valAx>
      <c:spPr>
        <a:noFill/>
        <a:ln>
          <a:noFill/>
        </a:ln>
        <a:effectLst/>
      </c:spPr>
    </c:plotArea>
    <c:legend>
      <c:legendPos val="b"/>
      <c:layout>
        <c:manualLayout>
          <c:xMode val="edge"/>
          <c:yMode val="edge"/>
          <c:x val="5.000000000000001E-2"/>
          <c:y val="0.88285386093481966"/>
          <c:w val="0.9"/>
          <c:h val="5.9409418510907842E-2"/>
        </c:manualLayout>
      </c:layout>
      <c:overlay val="0"/>
      <c:spPr>
        <a:noFill/>
        <a:ln>
          <a:noFill/>
        </a:ln>
        <a:effectLst/>
      </c:spPr>
      <c:txPr>
        <a:bodyPr rot="0" vert="horz"/>
        <a:lstStyle/>
        <a:p>
          <a:pPr>
            <a:defRPr/>
          </a:pPr>
          <a:endParaRPr lang="ro-RO"/>
        </a:p>
      </c:txPr>
    </c:legend>
    <c:plotVisOnly val="1"/>
    <c:dispBlanksAs val="gap"/>
    <c:showDLblsOverMax val="0"/>
  </c:chart>
  <c:spPr>
    <a:solidFill>
      <a:schemeClr val="bg1"/>
    </a:solidFill>
    <a:ln w="28575" cap="flat" cmpd="sng" algn="ctr">
      <a:solidFill>
        <a:schemeClr val="bg2"/>
      </a:solidFill>
      <a:round/>
    </a:ln>
    <a:effectLst/>
  </c:spPr>
  <c:txPr>
    <a:bodyPr/>
    <a:lstStyle/>
    <a:p>
      <a:pPr>
        <a:defRPr sz="700"/>
      </a:pPr>
      <a:endParaRPr lang="ro-R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0.31112</cdr:x>
      <cdr:y>0.09131</cdr:y>
    </cdr:from>
    <cdr:to>
      <cdr:x>0.62293</cdr:x>
      <cdr:y>0.16824</cdr:y>
    </cdr:to>
    <cdr:sp macro="" textlink="">
      <cdr:nvSpPr>
        <cdr:cNvPr id="2" name="TextBox 1"/>
        <cdr:cNvSpPr txBox="1"/>
      </cdr:nvSpPr>
      <cdr:spPr>
        <a:xfrm xmlns:a="http://schemas.openxmlformats.org/drawingml/2006/main">
          <a:off x="1783978" y="275704"/>
          <a:ext cx="1787934" cy="2322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Calibri" panose="020F0502020204030204" pitchFamily="34" charset="0"/>
              <a:cs typeface="Calibri" panose="020F0502020204030204" pitchFamily="34" charset="0"/>
            </a:rPr>
            <a:t>RO</a:t>
          </a:r>
          <a:r>
            <a:rPr lang="en-US" sz="1100" b="1" baseline="0">
              <a:latin typeface="Calibri" panose="020F0502020204030204" pitchFamily="34" charset="0"/>
              <a:cs typeface="Calibri" panose="020F0502020204030204" pitchFamily="34" charset="0"/>
            </a:rPr>
            <a:t> urban </a:t>
          </a:r>
          <a:r>
            <a:rPr lang="ro-RO" sz="1100" b="1" baseline="0">
              <a:latin typeface="Calibri" panose="020F0502020204030204" pitchFamily="34" charset="0"/>
              <a:cs typeface="Calibri" panose="020F0502020204030204" pitchFamily="34" charset="0"/>
            </a:rPr>
            <a:t>  </a:t>
          </a:r>
          <a:r>
            <a:rPr lang="en-US" sz="1100" b="1" baseline="0">
              <a:latin typeface="Calibri" panose="020F0502020204030204" pitchFamily="34" charset="0"/>
              <a:cs typeface="Calibri" panose="020F0502020204030204" pitchFamily="34" charset="0"/>
            </a:rPr>
            <a:t>      RO rural </a:t>
          </a:r>
          <a:r>
            <a:rPr lang="ro-RO" sz="1100" b="1" baseline="0">
              <a:latin typeface="Calibri" panose="020F0502020204030204" pitchFamily="34" charset="0"/>
              <a:cs typeface="Calibri" panose="020F0502020204030204" pitchFamily="34" charset="0"/>
            </a:rPr>
            <a:t>   </a:t>
          </a:r>
          <a:r>
            <a:rPr lang="en-US" sz="1100" b="1" baseline="0">
              <a:latin typeface="Calibri" panose="020F0502020204030204" pitchFamily="34" charset="0"/>
              <a:cs typeface="Calibri" panose="020F0502020204030204" pitchFamily="34" charset="0"/>
            </a:rPr>
            <a:t>       HU urban  </a:t>
          </a:r>
          <a:r>
            <a:rPr lang="ro-RO" sz="1100" b="1" baseline="0">
              <a:latin typeface="Calibri" panose="020F0502020204030204" pitchFamily="34" charset="0"/>
              <a:cs typeface="Calibri" panose="020F0502020204030204" pitchFamily="34" charset="0"/>
            </a:rPr>
            <a:t>   </a:t>
          </a:r>
          <a:r>
            <a:rPr lang="en-US" sz="1100" b="1" baseline="0">
              <a:latin typeface="Calibri" panose="020F0502020204030204" pitchFamily="34" charset="0"/>
              <a:cs typeface="Calibri" panose="020F0502020204030204" pitchFamily="34" charset="0"/>
            </a:rPr>
            <a:t>      HU rural      </a:t>
          </a:r>
          <a:endParaRPr lang="en-US" sz="1100" b="1">
            <a:latin typeface="Calibri" panose="020F0502020204030204" pitchFamily="34" charset="0"/>
            <a:cs typeface="Calibri" panose="020F0502020204030204" pitchFamily="34" charset="0"/>
          </a:endParaRPr>
        </a:p>
      </cdr:txBody>
    </cdr:sp>
  </cdr:relSizeAnchor>
  <cdr:relSizeAnchor xmlns:cdr="http://schemas.openxmlformats.org/drawingml/2006/chartDrawing">
    <cdr:from>
      <cdr:x>0.30702</cdr:x>
      <cdr:y>0.12195</cdr:y>
    </cdr:from>
    <cdr:to>
      <cdr:x>0.32286</cdr:x>
      <cdr:y>0.14634</cdr:y>
    </cdr:to>
    <cdr:sp macro="" textlink="">
      <cdr:nvSpPr>
        <cdr:cNvPr id="3" name="Rectangle 2"/>
        <cdr:cNvSpPr/>
      </cdr:nvSpPr>
      <cdr:spPr>
        <a:xfrm xmlns:a="http://schemas.openxmlformats.org/drawingml/2006/main">
          <a:off x="1759671" y="437139"/>
          <a:ext cx="90787" cy="87428"/>
        </a:xfrm>
        <a:prstGeom xmlns:a="http://schemas.openxmlformats.org/drawingml/2006/main" prst="rect">
          <a:avLst/>
        </a:prstGeom>
        <a:solidFill xmlns:a="http://schemas.openxmlformats.org/drawingml/2006/main">
          <a:srgbClr val="0070C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0.59776</cdr:x>
      <cdr:y>0.12018</cdr:y>
    </cdr:from>
    <cdr:to>
      <cdr:x>0.61359</cdr:x>
      <cdr:y>0.14457</cdr:y>
    </cdr:to>
    <cdr:sp macro="" textlink="">
      <cdr:nvSpPr>
        <cdr:cNvPr id="4" name="Rectangle 3"/>
        <cdr:cNvSpPr/>
      </cdr:nvSpPr>
      <cdr:spPr>
        <a:xfrm xmlns:a="http://schemas.openxmlformats.org/drawingml/2006/main">
          <a:off x="3426061" y="430789"/>
          <a:ext cx="90729" cy="87428"/>
        </a:xfrm>
        <a:prstGeom xmlns:a="http://schemas.openxmlformats.org/drawingml/2006/main" prst="rect">
          <a:avLst/>
        </a:prstGeom>
        <a:solidFill xmlns:a="http://schemas.openxmlformats.org/drawingml/2006/main">
          <a:schemeClr val="accent3">
            <a:lumMod val="7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0.75492</cdr:x>
      <cdr:y>0.11841</cdr:y>
    </cdr:from>
    <cdr:to>
      <cdr:x>0.77075</cdr:x>
      <cdr:y>0.1428</cdr:y>
    </cdr:to>
    <cdr:sp macro="" textlink="">
      <cdr:nvSpPr>
        <cdr:cNvPr id="5" name="Rectangle 4"/>
        <cdr:cNvSpPr/>
      </cdr:nvSpPr>
      <cdr:spPr>
        <a:xfrm xmlns:a="http://schemas.openxmlformats.org/drawingml/2006/main">
          <a:off x="4326837" y="424439"/>
          <a:ext cx="90729" cy="87428"/>
        </a:xfrm>
        <a:prstGeom xmlns:a="http://schemas.openxmlformats.org/drawingml/2006/main" prst="rect">
          <a:avLst/>
        </a:prstGeom>
        <a:solidFill xmlns:a="http://schemas.openxmlformats.org/drawingml/2006/main">
          <a:schemeClr val="accent3">
            <a:lumMod val="40000"/>
            <a:lumOff val="6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0.45067</cdr:x>
      <cdr:y>0.12195</cdr:y>
    </cdr:from>
    <cdr:to>
      <cdr:x>0.4665</cdr:x>
      <cdr:y>0.14634</cdr:y>
    </cdr:to>
    <cdr:sp macro="" textlink="">
      <cdr:nvSpPr>
        <cdr:cNvPr id="6" name="Rectangle 5"/>
        <cdr:cNvSpPr/>
      </cdr:nvSpPr>
      <cdr:spPr>
        <a:xfrm xmlns:a="http://schemas.openxmlformats.org/drawingml/2006/main">
          <a:off x="4146176" y="728383"/>
          <a:ext cx="145676" cy="145676"/>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0.10145</cdr:x>
      <cdr:y>0.45778</cdr:y>
    </cdr:from>
    <cdr:to>
      <cdr:x>0.19884</cdr:x>
      <cdr:y>0.60711</cdr:y>
    </cdr:to>
    <cdr:sp macro="" textlink="">
      <cdr:nvSpPr>
        <cdr:cNvPr id="2" name="TextBox 1"/>
        <cdr:cNvSpPr txBox="1"/>
      </cdr:nvSpPr>
      <cdr:spPr>
        <a:xfrm xmlns:a="http://schemas.openxmlformats.org/drawingml/2006/main">
          <a:off x="952499" y="280307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0.11439</cdr:x>
      <cdr:y>0.42471</cdr:y>
    </cdr:from>
    <cdr:to>
      <cdr:x>0.21178</cdr:x>
      <cdr:y>0.57405</cdr:y>
    </cdr:to>
    <cdr:sp macro="" textlink="">
      <cdr:nvSpPr>
        <cdr:cNvPr id="3" name="TextBox 2"/>
        <cdr:cNvSpPr txBox="1"/>
      </cdr:nvSpPr>
      <cdr:spPr>
        <a:xfrm xmlns:a="http://schemas.openxmlformats.org/drawingml/2006/main">
          <a:off x="655628" y="1587394"/>
          <a:ext cx="558192"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Hajdú-Bihar</a:t>
          </a:r>
          <a:endParaRPr lang="en-US" sz="1000">
            <a:latin typeface="Calibri" pitchFamily="34" charset="0"/>
            <a:cs typeface="Calibri" pitchFamily="34" charset="0"/>
          </a:endParaRPr>
        </a:p>
      </cdr:txBody>
    </cdr:sp>
  </cdr:relSizeAnchor>
  <cdr:relSizeAnchor xmlns:cdr="http://schemas.openxmlformats.org/drawingml/2006/chartDrawing">
    <cdr:from>
      <cdr:x>0.18913</cdr:x>
      <cdr:y>0.34438</cdr:y>
    </cdr:from>
    <cdr:to>
      <cdr:x>0.28653</cdr:x>
      <cdr:y>0.49372</cdr:y>
    </cdr:to>
    <cdr:sp macro="" textlink="">
      <cdr:nvSpPr>
        <cdr:cNvPr id="4" name="TextBox 3"/>
        <cdr:cNvSpPr txBox="1"/>
      </cdr:nvSpPr>
      <cdr:spPr>
        <a:xfrm xmlns:a="http://schemas.openxmlformats.org/drawingml/2006/main">
          <a:off x="1083990" y="1287143"/>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Szabolcs-Szatmár-Bereg</a:t>
          </a:r>
          <a:endParaRPr lang="en-US" sz="1000">
            <a:latin typeface="Calibri" pitchFamily="34" charset="0"/>
            <a:cs typeface="Calibri" pitchFamily="34" charset="0"/>
          </a:endParaRPr>
        </a:p>
      </cdr:txBody>
    </cdr:sp>
  </cdr:relSizeAnchor>
  <cdr:relSizeAnchor xmlns:cdr="http://schemas.openxmlformats.org/drawingml/2006/chartDrawing">
    <cdr:from>
      <cdr:x>0.11884</cdr:x>
      <cdr:y>0.53409</cdr:y>
    </cdr:from>
    <cdr:to>
      <cdr:x>0.95363</cdr:x>
      <cdr:y>0.53409</cdr:y>
    </cdr:to>
    <cdr:cxnSp macro="">
      <cdr:nvCxnSpPr>
        <cdr:cNvPr id="12" name="Straight Connector 11"/>
        <cdr:cNvCxnSpPr/>
      </cdr:nvCxnSpPr>
      <cdr:spPr>
        <a:xfrm xmlns:a="http://schemas.openxmlformats.org/drawingml/2006/main">
          <a:off x="681410" y="1643156"/>
          <a:ext cx="4786727"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0.33438</cdr:x>
      <cdr:y>0.46853</cdr:y>
    </cdr:from>
    <cdr:to>
      <cdr:x>0.43178</cdr:x>
      <cdr:y>0.61787</cdr:y>
    </cdr:to>
    <cdr:sp macro="" textlink="">
      <cdr:nvSpPr>
        <cdr:cNvPr id="14" name="TextBox 3"/>
        <cdr:cNvSpPr txBox="1"/>
      </cdr:nvSpPr>
      <cdr:spPr>
        <a:xfrm xmlns:a="http://schemas.openxmlformats.org/drawingml/2006/main">
          <a:off x="1916503" y="1751167"/>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Békés</a:t>
          </a:r>
          <a:endParaRPr lang="en-US" sz="1000">
            <a:latin typeface="Calibri" pitchFamily="34" charset="0"/>
            <a:cs typeface="Calibri" pitchFamily="34" charset="0"/>
          </a:endParaRPr>
        </a:p>
      </cdr:txBody>
    </cdr:sp>
  </cdr:relSizeAnchor>
  <cdr:relSizeAnchor xmlns:cdr="http://schemas.openxmlformats.org/drawingml/2006/chartDrawing">
    <cdr:from>
      <cdr:x>0.44034</cdr:x>
      <cdr:y>0.46853</cdr:y>
    </cdr:from>
    <cdr:to>
      <cdr:x>0.53774</cdr:x>
      <cdr:y>0.61787</cdr:y>
    </cdr:to>
    <cdr:sp macro="" textlink="">
      <cdr:nvSpPr>
        <cdr:cNvPr id="15" name="TextBox 3"/>
        <cdr:cNvSpPr txBox="1"/>
      </cdr:nvSpPr>
      <cdr:spPr>
        <a:xfrm xmlns:a="http://schemas.openxmlformats.org/drawingml/2006/main">
          <a:off x="2523828" y="1751167"/>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000">
            <a:latin typeface="Calibri" pitchFamily="34" charset="0"/>
            <a:cs typeface="Calibri" pitchFamily="34" charset="0"/>
          </a:endParaRPr>
        </a:p>
      </cdr:txBody>
    </cdr:sp>
  </cdr:relSizeAnchor>
  <cdr:relSizeAnchor xmlns:cdr="http://schemas.openxmlformats.org/drawingml/2006/chartDrawing">
    <cdr:from>
      <cdr:x>0.42725</cdr:x>
      <cdr:y>0.46853</cdr:y>
    </cdr:from>
    <cdr:to>
      <cdr:x>0.52465</cdr:x>
      <cdr:y>0.61787</cdr:y>
    </cdr:to>
    <cdr:sp macro="" textlink="">
      <cdr:nvSpPr>
        <cdr:cNvPr id="16" name="TextBox 3"/>
        <cdr:cNvSpPr txBox="1"/>
      </cdr:nvSpPr>
      <cdr:spPr>
        <a:xfrm xmlns:a="http://schemas.openxmlformats.org/drawingml/2006/main">
          <a:off x="2448766" y="1751167"/>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Csongrád</a:t>
          </a:r>
          <a:endParaRPr lang="en-US" sz="1000">
            <a:latin typeface="Calibri" pitchFamily="34" charset="0"/>
            <a:cs typeface="Calibri" pitchFamily="34" charset="0"/>
          </a:endParaRPr>
        </a:p>
      </cdr:txBody>
    </cdr:sp>
  </cdr:relSizeAnchor>
  <cdr:relSizeAnchor xmlns:cdr="http://schemas.openxmlformats.org/drawingml/2006/chartDrawing">
    <cdr:from>
      <cdr:x>0.55583</cdr:x>
      <cdr:y>0.40645</cdr:y>
    </cdr:from>
    <cdr:to>
      <cdr:x>0.65323</cdr:x>
      <cdr:y>0.55579</cdr:y>
    </cdr:to>
    <cdr:sp macro="" textlink="">
      <cdr:nvSpPr>
        <cdr:cNvPr id="17" name="TextBox 3"/>
        <cdr:cNvSpPr txBox="1"/>
      </cdr:nvSpPr>
      <cdr:spPr>
        <a:xfrm xmlns:a="http://schemas.openxmlformats.org/drawingml/2006/main">
          <a:off x="3185745" y="1519155"/>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Bihor</a:t>
          </a:r>
          <a:endParaRPr lang="en-US" sz="1000">
            <a:latin typeface="Calibri" pitchFamily="34" charset="0"/>
            <a:cs typeface="Calibri" pitchFamily="34" charset="0"/>
          </a:endParaRPr>
        </a:p>
      </cdr:txBody>
    </cdr:sp>
  </cdr:relSizeAnchor>
  <cdr:relSizeAnchor xmlns:cdr="http://schemas.openxmlformats.org/drawingml/2006/chartDrawing">
    <cdr:from>
      <cdr:x>0.64989</cdr:x>
      <cdr:y>0.36263</cdr:y>
    </cdr:from>
    <cdr:to>
      <cdr:x>0.74729</cdr:x>
      <cdr:y>0.51197</cdr:y>
    </cdr:to>
    <cdr:sp macro="" textlink="">
      <cdr:nvSpPr>
        <cdr:cNvPr id="18" name="TextBox 3"/>
        <cdr:cNvSpPr txBox="1"/>
      </cdr:nvSpPr>
      <cdr:spPr>
        <a:xfrm xmlns:a="http://schemas.openxmlformats.org/drawingml/2006/main">
          <a:off x="3724832" y="1355382"/>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Satu Mare</a:t>
          </a:r>
          <a:endParaRPr lang="en-US" sz="1000">
            <a:latin typeface="Calibri" pitchFamily="34" charset="0"/>
            <a:cs typeface="Calibri" pitchFamily="34" charset="0"/>
          </a:endParaRPr>
        </a:p>
      </cdr:txBody>
    </cdr:sp>
  </cdr:relSizeAnchor>
  <cdr:relSizeAnchor xmlns:cdr="http://schemas.openxmlformats.org/drawingml/2006/chartDrawing">
    <cdr:from>
      <cdr:x>0.76299</cdr:x>
      <cdr:y>0.4594</cdr:y>
    </cdr:from>
    <cdr:to>
      <cdr:x>0.86039</cdr:x>
      <cdr:y>0.60874</cdr:y>
    </cdr:to>
    <cdr:sp macro="" textlink="">
      <cdr:nvSpPr>
        <cdr:cNvPr id="19" name="TextBox 3"/>
        <cdr:cNvSpPr txBox="1"/>
      </cdr:nvSpPr>
      <cdr:spPr>
        <a:xfrm xmlns:a="http://schemas.openxmlformats.org/drawingml/2006/main">
          <a:off x="4373100" y="1717047"/>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Arad</a:t>
          </a:r>
          <a:endParaRPr lang="en-US" sz="1000">
            <a:latin typeface="Calibri" pitchFamily="34" charset="0"/>
            <a:cs typeface="Calibri" pitchFamily="34" charset="0"/>
          </a:endParaRPr>
        </a:p>
      </cdr:txBody>
    </cdr:sp>
  </cdr:relSizeAnchor>
  <cdr:relSizeAnchor xmlns:cdr="http://schemas.openxmlformats.org/drawingml/2006/chartDrawing">
    <cdr:from>
      <cdr:x>0.87253</cdr:x>
      <cdr:y>0.64197</cdr:y>
    </cdr:from>
    <cdr:to>
      <cdr:x>0.96993</cdr:x>
      <cdr:y>0.79131</cdr:y>
    </cdr:to>
    <cdr:sp macro="" textlink="">
      <cdr:nvSpPr>
        <cdr:cNvPr id="20" name="TextBox 3"/>
        <cdr:cNvSpPr txBox="1"/>
      </cdr:nvSpPr>
      <cdr:spPr>
        <a:xfrm xmlns:a="http://schemas.openxmlformats.org/drawingml/2006/main">
          <a:off x="5000897" y="2399435"/>
          <a:ext cx="5582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o-RO" sz="1000">
              <a:latin typeface="Calibri" pitchFamily="34" charset="0"/>
              <a:cs typeface="Calibri" pitchFamily="34" charset="0"/>
            </a:rPr>
            <a:t>Timiș</a:t>
          </a:r>
          <a:endParaRPr lang="en-US" sz="1000">
            <a:latin typeface="Calibri" pitchFamily="34" charset="0"/>
            <a:cs typeface="Calibri" pitchFamily="34" charset="0"/>
          </a:endParaRPr>
        </a:p>
      </cdr:txBody>
    </cdr:sp>
  </cdr:relSizeAnchor>
  <cdr:relSizeAnchor xmlns:cdr="http://schemas.openxmlformats.org/drawingml/2006/chartDrawing">
    <cdr:from>
      <cdr:x>0.25962</cdr:x>
      <cdr:y>0.04852</cdr:y>
    </cdr:from>
    <cdr:to>
      <cdr:x>0.77358</cdr:x>
      <cdr:y>0.19786</cdr:y>
    </cdr:to>
    <cdr:sp macro="" textlink="">
      <cdr:nvSpPr>
        <cdr:cNvPr id="21" name="TextBox 3"/>
        <cdr:cNvSpPr txBox="1"/>
      </cdr:nvSpPr>
      <cdr:spPr>
        <a:xfrm xmlns:a="http://schemas.openxmlformats.org/drawingml/2006/main">
          <a:off x="1488028" y="181357"/>
          <a:ext cx="2945749" cy="558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Calibri" pitchFamily="34" charset="0"/>
              <a:cs typeface="Calibri" pitchFamily="34" charset="0"/>
            </a:rPr>
            <a:t>Urban</a:t>
          </a:r>
          <a:r>
            <a:rPr lang="en-US" sz="1100" b="1" baseline="0">
              <a:latin typeface="Calibri" pitchFamily="34" charset="0"/>
              <a:cs typeface="Calibri" pitchFamily="34" charset="0"/>
            </a:rPr>
            <a:t> versus rural population trends 2009-2018</a:t>
          </a:r>
          <a:endParaRPr lang="en-US" sz="1100" b="1">
            <a:latin typeface="Calibri" pitchFamily="34" charset="0"/>
            <a:cs typeface="Calibri" pitchFamily="34" charset="0"/>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1868574"/>
        <w:category>
          <w:name w:val="General"/>
          <w:gallery w:val="placeholder"/>
        </w:category>
        <w:types>
          <w:type w:val="bbPlcHdr"/>
        </w:types>
        <w:behaviors>
          <w:behavior w:val="content"/>
        </w:behaviors>
        <w:guid w:val="{B4595E89-CD82-47BB-B269-543737B61504}"/>
      </w:docPartPr>
      <w:docPartBody>
        <w:p w:rsidR="005A53C4" w:rsidRDefault="005A53C4"/>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to Sans Symbols">
    <w:altName w:val="Times New Roman"/>
    <w:charset w:val="00"/>
    <w:family w:val="auto"/>
    <w:pitch w:val="default"/>
  </w:font>
  <w:font w:name="Open Sans">
    <w:panose1 w:val="020B0606030504020204"/>
    <w:charset w:val="00"/>
    <w:family w:val="swiss"/>
    <w:pitch w:val="variable"/>
    <w:sig w:usb0="E00002EF" w:usb1="4000205B" w:usb2="00000028"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ovelo">
    <w:altName w:val="Calibri"/>
    <w:panose1 w:val="00000000000000000000"/>
    <w:charset w:val="00"/>
    <w:family w:val="modern"/>
    <w:notTrueType/>
    <w:pitch w:val="variable"/>
    <w:sig w:usb0="80000027" w:usb1="00000002"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Neue">
    <w:altName w:val="Sylfaen"/>
    <w:charset w:val="00"/>
    <w:family w:val="roman"/>
    <w:pitch w:val="default"/>
  </w:font>
  <w:font w:name="Fedra Sans Pro">
    <w:altName w:val="Fedra Sans Pro"/>
    <w:panose1 w:val="00000000000000000000"/>
    <w:charset w:val="00"/>
    <w:family w:val="swiss"/>
    <w:notTrueType/>
    <w:pitch w:val="default"/>
    <w:sig w:usb0="00000003" w:usb1="00000000" w:usb2="00000000" w:usb3="00000000" w:csb0="00000001" w:csb1="00000000"/>
  </w:font>
  <w:font w:name="IrisUPC">
    <w:panose1 w:val="020B06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revisionView w:inkAnnotations="0"/>
  <w:defaultTabStop w:val="720"/>
  <w:hyphenationZone w:val="283"/>
  <w:characterSpacingControl w:val="doNotCompress"/>
  <w:compat>
    <w:useFELayout/>
    <w:compatSetting w:name="compatibilityMode" w:uri="http://schemas.microsoft.com/office/word" w:val="12"/>
  </w:compat>
  <w:rsids>
    <w:rsidRoot w:val="005A53C4"/>
    <w:rsid w:val="00060475"/>
    <w:rsid w:val="00094410"/>
    <w:rsid w:val="000A545C"/>
    <w:rsid w:val="000B1B7A"/>
    <w:rsid w:val="000D434F"/>
    <w:rsid w:val="001368B3"/>
    <w:rsid w:val="00167F84"/>
    <w:rsid w:val="001D24E3"/>
    <w:rsid w:val="001D61B6"/>
    <w:rsid w:val="001D7AD1"/>
    <w:rsid w:val="001F3C84"/>
    <w:rsid w:val="00226492"/>
    <w:rsid w:val="00252AF5"/>
    <w:rsid w:val="00254274"/>
    <w:rsid w:val="002C14CB"/>
    <w:rsid w:val="002F05D8"/>
    <w:rsid w:val="002F1392"/>
    <w:rsid w:val="00303660"/>
    <w:rsid w:val="00311DF0"/>
    <w:rsid w:val="00323C16"/>
    <w:rsid w:val="003648B5"/>
    <w:rsid w:val="003F4717"/>
    <w:rsid w:val="003F5F19"/>
    <w:rsid w:val="004170EA"/>
    <w:rsid w:val="0044520D"/>
    <w:rsid w:val="0046369A"/>
    <w:rsid w:val="00476540"/>
    <w:rsid w:val="00493839"/>
    <w:rsid w:val="004969CD"/>
    <w:rsid w:val="0051326A"/>
    <w:rsid w:val="005A53C4"/>
    <w:rsid w:val="005F4F1C"/>
    <w:rsid w:val="0065548C"/>
    <w:rsid w:val="00655EE7"/>
    <w:rsid w:val="00674201"/>
    <w:rsid w:val="006A6A2D"/>
    <w:rsid w:val="006D1A2C"/>
    <w:rsid w:val="006F2875"/>
    <w:rsid w:val="0072198D"/>
    <w:rsid w:val="00766DE7"/>
    <w:rsid w:val="00791AC8"/>
    <w:rsid w:val="008123CF"/>
    <w:rsid w:val="00827CEC"/>
    <w:rsid w:val="008B5D86"/>
    <w:rsid w:val="008E2129"/>
    <w:rsid w:val="00980728"/>
    <w:rsid w:val="009935AD"/>
    <w:rsid w:val="00A211DB"/>
    <w:rsid w:val="00A22D21"/>
    <w:rsid w:val="00B51412"/>
    <w:rsid w:val="00B72FA4"/>
    <w:rsid w:val="00B93190"/>
    <w:rsid w:val="00BB7D77"/>
    <w:rsid w:val="00C2243B"/>
    <w:rsid w:val="00C40C7B"/>
    <w:rsid w:val="00C66733"/>
    <w:rsid w:val="00CA1106"/>
    <w:rsid w:val="00D136B4"/>
    <w:rsid w:val="00D945E5"/>
    <w:rsid w:val="00DA7B72"/>
    <w:rsid w:val="00EC02F6"/>
    <w:rsid w:val="00EC4A10"/>
    <w:rsid w:val="00F9625B"/>
    <w:rsid w:val="00FC4980"/>
    <w:rsid w:val="00FF009D"/>
    <w:rsid w:val="00FF014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Hunedoara1">
  <a:themeElements>
    <a:clrScheme name="Interreg ROHU">
      <a:dk1>
        <a:sysClr val="windowText" lastClr="000000"/>
      </a:dk1>
      <a:lt1>
        <a:sysClr val="window" lastClr="FFFFFF"/>
      </a:lt1>
      <a:dk2>
        <a:srgbClr val="012751"/>
      </a:dk2>
      <a:lt2>
        <a:srgbClr val="F2F2F2"/>
      </a:lt2>
      <a:accent1>
        <a:srgbClr val="034FA3"/>
      </a:accent1>
      <a:accent2>
        <a:srgbClr val="98A7D5"/>
      </a:accent2>
      <a:accent3>
        <a:srgbClr val="ED1D24"/>
      </a:accent3>
      <a:accent4>
        <a:srgbClr val="FD6925"/>
      </a:accent4>
      <a:accent5>
        <a:srgbClr val="FFBB13"/>
      </a:accent5>
      <a:accent6>
        <a:srgbClr val="00A651"/>
      </a:accent6>
      <a:hlink>
        <a:srgbClr val="023B7A"/>
      </a:hlink>
      <a:folHlink>
        <a:srgbClr val="595959"/>
      </a:folHlink>
    </a:clrScheme>
    <a:fontScheme name="Hunedoara1">
      <a:majorFont>
        <a:latin typeface="Lovelo"/>
        <a:ea typeface=""/>
        <a:cs typeface=""/>
      </a:majorFont>
      <a:minorFont>
        <a:latin typeface="Open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C53A6C-34F1-4528-BFE5-718EDA56C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260</Pages>
  <Words>88232</Words>
  <Characters>511746</Characters>
  <Application>Microsoft Office Word</Application>
  <DocSecurity>0</DocSecurity>
  <Lines>4264</Lines>
  <Paragraphs>1197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598781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Sabina LEOPA</dc:creator>
  <cp:keywords/>
  <dc:description/>
  <cp:lastModifiedBy>Carmen Chirila</cp:lastModifiedBy>
  <cp:revision>4</cp:revision>
  <dcterms:created xsi:type="dcterms:W3CDTF">2021-03-09T14:14:00Z</dcterms:created>
  <dcterms:modified xsi:type="dcterms:W3CDTF">2021-03-10T09:47:00Z</dcterms:modified>
</cp:coreProperties>
</file>