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BC47E" w14:textId="77777777" w:rsidR="00653584" w:rsidRPr="00834991" w:rsidRDefault="00CD27C2">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w:t>
      </w:r>
    </w:p>
    <w:p w14:paraId="54135A06" w14:textId="1D27B0A3" w:rsidR="002803CE" w:rsidRPr="00834991" w:rsidRDefault="00984147" w:rsidP="00984147">
      <w:pPr>
        <w:autoSpaceDE/>
        <w:autoSpaceDN/>
        <w:jc w:val="center"/>
        <w:rPr>
          <w:rFonts w:ascii="Open Sans" w:eastAsia="Times New Roman" w:hAnsi="Open Sans" w:cs="Open Sans"/>
          <w:sz w:val="22"/>
          <w:szCs w:val="22"/>
          <w:lang w:val="ro-RO"/>
        </w:rPr>
      </w:pPr>
      <w:r w:rsidRPr="00834991">
        <w:rPr>
          <w:rFonts w:ascii="Open Sans" w:hAnsi="Open Sans" w:cs="Open Sans"/>
          <w:b/>
          <w:bCs/>
          <w:noProof/>
          <w:sz w:val="22"/>
          <w:szCs w:val="22"/>
          <w:lang w:val="en-US" w:eastAsia="en-US"/>
        </w:rPr>
        <w:drawing>
          <wp:inline distT="0" distB="0" distL="0" distR="0" wp14:anchorId="16B01D22" wp14:editId="328F7838">
            <wp:extent cx="3312543" cy="1003968"/>
            <wp:effectExtent l="0" t="0" r="2540" b="5715"/>
            <wp:docPr id="209903237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23551" cy="1007304"/>
                    </a:xfrm>
                    <a:prstGeom prst="rect">
                      <a:avLst/>
                    </a:prstGeom>
                    <a:noFill/>
                    <a:ln>
                      <a:noFill/>
                    </a:ln>
                  </pic:spPr>
                </pic:pic>
              </a:graphicData>
            </a:graphic>
          </wp:inline>
        </w:drawing>
      </w:r>
    </w:p>
    <w:p w14:paraId="6DF3472E" w14:textId="6C9CC061" w:rsidR="002803CE" w:rsidRPr="00834991" w:rsidRDefault="002803CE">
      <w:pPr>
        <w:autoSpaceDE/>
        <w:autoSpaceDN/>
        <w:rPr>
          <w:rFonts w:ascii="Open Sans" w:eastAsia="Times New Roman" w:hAnsi="Open Sans" w:cs="Open Sans"/>
          <w:sz w:val="22"/>
          <w:szCs w:val="22"/>
          <w:lang w:val="ro-RO"/>
        </w:rPr>
      </w:pPr>
    </w:p>
    <w:p w14:paraId="4E648DAE" w14:textId="77777777" w:rsidR="002803CE" w:rsidRPr="00834991" w:rsidRDefault="002803CE">
      <w:pPr>
        <w:autoSpaceDE/>
        <w:autoSpaceDN/>
        <w:rPr>
          <w:rFonts w:ascii="Open Sans" w:eastAsia="Times New Roman" w:hAnsi="Open Sans" w:cs="Open Sans"/>
          <w:sz w:val="22"/>
          <w:szCs w:val="22"/>
          <w:lang w:val="ro-RO"/>
        </w:rPr>
      </w:pPr>
    </w:p>
    <w:p w14:paraId="5F291452" w14:textId="77777777" w:rsidR="00984147" w:rsidRPr="00834991" w:rsidRDefault="00984147" w:rsidP="00984147">
      <w:pPr>
        <w:pStyle w:val="NormalWeb"/>
        <w:spacing w:before="0" w:beforeAutospacing="0" w:after="0" w:afterAutospacing="0"/>
        <w:jc w:val="both"/>
        <w:rPr>
          <w:rFonts w:ascii="Open Sans" w:hAnsi="Open Sans" w:cs="Open Sans"/>
          <w:b/>
          <w:color w:val="4472C4" w:themeColor="accent1"/>
          <w:sz w:val="32"/>
          <w:szCs w:val="32"/>
          <w:lang w:val="ro-RO"/>
          <w14:glow w14:rad="63500">
            <w14:schemeClr w14:val="accent6">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5FD848D" w14:textId="64102461" w:rsidR="00984147" w:rsidRPr="00834991" w:rsidRDefault="00984147" w:rsidP="00984147">
      <w:pPr>
        <w:pStyle w:val="NormalWeb"/>
        <w:spacing w:before="0" w:beforeAutospacing="0" w:after="0" w:afterAutospacing="0"/>
        <w:jc w:val="both"/>
        <w:rPr>
          <w:rFonts w:ascii="Open Sans" w:hAnsi="Open Sans" w:cs="Open Sans"/>
          <w:b/>
          <w:color w:val="4472C4" w:themeColor="accent1"/>
          <w:sz w:val="22"/>
          <w:szCs w:val="22"/>
          <w:lang w:val="ro-RO"/>
          <w14:glow w14:rad="63500">
            <w14:schemeClr w14:val="accent6">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34991">
        <w:rPr>
          <w:rFonts w:ascii="Open Sans" w:hAnsi="Open Sans" w:cs="Open Sans"/>
          <w:b/>
          <w:color w:val="4472C4" w:themeColor="accent1"/>
          <w:sz w:val="32"/>
          <w:szCs w:val="32"/>
          <w:lang w:val="ro-RO"/>
          <w14:glow w14:rad="63500">
            <w14:schemeClr w14:val="accent6">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PROCEDURA </w:t>
      </w:r>
    </w:p>
    <w:p w14:paraId="29D2EB3E" w14:textId="1560D087" w:rsidR="00984147" w:rsidRPr="00834991" w:rsidRDefault="00984147" w:rsidP="00984147">
      <w:pPr>
        <w:pStyle w:val="NormalWeb"/>
        <w:spacing w:before="0" w:beforeAutospacing="0" w:after="240" w:afterAutospacing="0"/>
        <w:jc w:val="both"/>
        <w:rPr>
          <w:rFonts w:ascii="Open Sans" w:hAnsi="Open Sans" w:cs="Open Sans"/>
          <w:color w:val="4472C4" w:themeColor="accent1"/>
          <w:sz w:val="22"/>
          <w:szCs w:val="22"/>
          <w:lang w:val="ro-RO"/>
          <w14:glow w14:rad="63500">
            <w14:schemeClr w14:val="accent6">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34991">
        <w:rPr>
          <w:rFonts w:ascii="Open Sans" w:hAnsi="Open Sans" w:cs="Open Sans"/>
          <w:color w:val="4472C4" w:themeColor="accent1"/>
          <w:sz w:val="22"/>
          <w:szCs w:val="22"/>
          <w:lang w:val="ro-RO"/>
          <w14:glow w14:rad="63500">
            <w14:schemeClr w14:val="accent6">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aplicabilă partenerilor privaţi pentru atribuirea contractelor de furnizare, servicii sau lucrări finanţate din fonduri europene</w:t>
      </w:r>
    </w:p>
    <w:p w14:paraId="52B404CD" w14:textId="1E3BC327" w:rsidR="00984147" w:rsidRPr="00834991" w:rsidRDefault="00984147">
      <w:pPr>
        <w:autoSpaceDE/>
        <w:autoSpaceDN/>
        <w:rPr>
          <w:rFonts w:ascii="Open Sans" w:eastAsia="Times New Roman" w:hAnsi="Open Sans" w:cs="Open Sans"/>
          <w:sz w:val="22"/>
          <w:szCs w:val="22"/>
          <w:lang w:val="ro-RO"/>
        </w:rPr>
      </w:pPr>
    </w:p>
    <w:p w14:paraId="5846D93C" w14:textId="01C80054" w:rsidR="003D6F99" w:rsidRPr="00834991" w:rsidRDefault="003D6F99">
      <w:pPr>
        <w:pStyle w:val="NormalWeb"/>
        <w:spacing w:before="0" w:beforeAutospacing="0" w:after="0" w:afterAutospacing="0"/>
        <w:jc w:val="both"/>
        <w:rPr>
          <w:rFonts w:ascii="Open Sans" w:hAnsi="Open Sans" w:cs="Open Sans"/>
          <w:b/>
          <w:bCs/>
          <w:sz w:val="22"/>
          <w:szCs w:val="22"/>
          <w:lang w:val="ro-RO"/>
        </w:rPr>
      </w:pPr>
    </w:p>
    <w:p w14:paraId="3680079E" w14:textId="420DD091" w:rsidR="003D6F99" w:rsidRPr="00834991" w:rsidRDefault="0A2D61DF" w:rsidP="008B2E7F">
      <w:pPr>
        <w:pStyle w:val="NormalWeb"/>
        <w:spacing w:before="0" w:beforeAutospacing="0" w:after="0" w:afterAutospacing="0"/>
        <w:jc w:val="both"/>
        <w:rPr>
          <w:lang w:val="ro-RO"/>
        </w:rPr>
      </w:pPr>
      <w:r w:rsidRPr="00834991">
        <w:rPr>
          <w:noProof/>
          <w:lang w:val="en-US" w:eastAsia="en-US"/>
        </w:rPr>
        <w:drawing>
          <wp:inline distT="0" distB="0" distL="0" distR="0" wp14:anchorId="5F0CBAC6" wp14:editId="2A8D0CBB">
            <wp:extent cx="5486876" cy="3438442"/>
            <wp:effectExtent l="0" t="0" r="0" b="0"/>
            <wp:docPr id="2011168408" name="Picture 2011168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486876" cy="3438442"/>
                    </a:xfrm>
                    <a:prstGeom prst="rect">
                      <a:avLst/>
                    </a:prstGeom>
                  </pic:spPr>
                </pic:pic>
              </a:graphicData>
            </a:graphic>
          </wp:inline>
        </w:drawing>
      </w:r>
    </w:p>
    <w:p w14:paraId="48427C98" w14:textId="77777777" w:rsidR="00984147" w:rsidRPr="00834991" w:rsidRDefault="00984147" w:rsidP="2DCA9834">
      <w:pPr>
        <w:pStyle w:val="NormalWeb"/>
        <w:spacing w:before="0" w:beforeAutospacing="0" w:after="0" w:afterAutospacing="0"/>
        <w:jc w:val="both"/>
        <w:rPr>
          <w:rFonts w:ascii="Open Sans" w:hAnsi="Open Sans" w:cs="Open Sans"/>
          <w:b/>
          <w:bCs/>
          <w:color w:val="4472C4" w:themeColor="accent1"/>
          <w:sz w:val="32"/>
          <w:szCs w:val="32"/>
          <w:lang w:val="ro-RO"/>
          <w14:glow w14:rad="63500">
            <w14:schemeClr w14:val="accent6">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F3D45E1" w14:textId="77777777" w:rsidR="008D4353" w:rsidRPr="00834991" w:rsidRDefault="008D4353">
      <w:pPr>
        <w:pStyle w:val="NormalWeb"/>
        <w:spacing w:before="0" w:beforeAutospacing="0" w:after="240" w:afterAutospacing="0"/>
        <w:jc w:val="both"/>
        <w:rPr>
          <w:rFonts w:ascii="Open Sans" w:hAnsi="Open Sans" w:cs="Open Sans"/>
          <w:sz w:val="22"/>
          <w:szCs w:val="22"/>
          <w:lang w:val="ro-RO"/>
        </w:rPr>
      </w:pPr>
    </w:p>
    <w:p w14:paraId="28D8321D" w14:textId="07FFE693" w:rsidR="003D6F99" w:rsidRPr="00834991" w:rsidRDefault="003D6F99">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Anexa 4 la Manualul pentru Implementarea Proiectului în cadrul Programului Interreg VI-A România - Ungaria</w:t>
      </w:r>
    </w:p>
    <w:p w14:paraId="16320C1B" w14:textId="4A22C52F" w:rsidR="008D4353" w:rsidRPr="00834991" w:rsidRDefault="008D4353">
      <w:pPr>
        <w:autoSpaceDE/>
        <w:autoSpaceDN/>
        <w:rPr>
          <w:rFonts w:ascii="Open Sans" w:eastAsiaTheme="minorEastAsia" w:hAnsi="Open Sans" w:cs="Open Sans"/>
          <w:sz w:val="22"/>
          <w:szCs w:val="22"/>
          <w:lang w:val="ro-RO"/>
        </w:rPr>
      </w:pPr>
      <w:r w:rsidRPr="00834991">
        <w:rPr>
          <w:rFonts w:ascii="Open Sans" w:hAnsi="Open Sans" w:cs="Open Sans"/>
          <w:noProof/>
          <w:sz w:val="22"/>
          <w:szCs w:val="22"/>
          <w:lang w:val="en-US" w:eastAsia="en-US"/>
        </w:rPr>
        <mc:AlternateContent>
          <mc:Choice Requires="wps">
            <w:drawing>
              <wp:anchor distT="0" distB="0" distL="114300" distR="114300" simplePos="0" relativeHeight="251659264" behindDoc="0" locked="0" layoutInCell="1" allowOverlap="1" wp14:anchorId="32F389B2" wp14:editId="7A47408F">
                <wp:simplePos x="0" y="0"/>
                <wp:positionH relativeFrom="column">
                  <wp:posOffset>2173150</wp:posOffset>
                </wp:positionH>
                <wp:positionV relativeFrom="paragraph">
                  <wp:posOffset>883405</wp:posOffset>
                </wp:positionV>
                <wp:extent cx="1604514" cy="0"/>
                <wp:effectExtent l="0" t="0" r="0" b="0"/>
                <wp:wrapNone/>
                <wp:docPr id="1995061313" name="Straight Connector 6"/>
                <wp:cNvGraphicFramePr/>
                <a:graphic xmlns:a="http://schemas.openxmlformats.org/drawingml/2006/main">
                  <a:graphicData uri="http://schemas.microsoft.com/office/word/2010/wordprocessingShape">
                    <wps:wsp>
                      <wps:cNvCnPr/>
                      <wps:spPr>
                        <a:xfrm>
                          <a:off x="0" y="0"/>
                          <a:ext cx="160451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58EB0E"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1.1pt,69.55pt" to="297.45pt,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" strokecolor="#4472c4 [3204]" strokeweight="1.5pt">
                <v:stroke joinstyle="miter"/>
              </v:line>
            </w:pict>
          </mc:Fallback>
        </mc:AlternateContent>
      </w:r>
      <w:r w:rsidR="003D6F99" w:rsidRPr="00834991">
        <w:rPr>
          <w:rFonts w:ascii="Open Sans" w:hAnsi="Open Sans" w:cs="Open Sans"/>
          <w:sz w:val="22"/>
          <w:szCs w:val="22"/>
          <w:lang w:val="ro-RO"/>
        </w:rPr>
        <w:br w:type="page"/>
      </w:r>
    </w:p>
    <w:sdt>
      <w:sdtPr>
        <w:rPr>
          <w:rFonts w:ascii="Open Sans" w:eastAsia="Verdana" w:hAnsi="Open Sans" w:cs="Open Sans"/>
          <w:color w:val="auto"/>
          <w:sz w:val="15"/>
          <w:szCs w:val="16"/>
          <w:lang w:val="ro-RO" w:eastAsia="en-GB"/>
        </w:rPr>
        <w:id w:val="328182932"/>
        <w:docPartObj>
          <w:docPartGallery w:val="Table of Contents"/>
          <w:docPartUnique/>
        </w:docPartObj>
      </w:sdtPr>
      <w:sdtEndPr>
        <w:rPr>
          <w:b/>
          <w:bCs/>
          <w:noProof/>
          <w:szCs w:val="15"/>
        </w:rPr>
      </w:sdtEndPr>
      <w:sdtContent>
        <w:p w14:paraId="76D133F7" w14:textId="6CA02A61" w:rsidR="00614B8E" w:rsidRPr="00834991" w:rsidRDefault="003D6F99">
          <w:pPr>
            <w:pStyle w:val="TOCHeading"/>
            <w:rPr>
              <w:rFonts w:ascii="Open Sans" w:hAnsi="Open Sans" w:cs="Open Sans"/>
              <w:color w:val="auto"/>
              <w:lang w:val="ro-RO"/>
            </w:rPr>
          </w:pPr>
          <w:r w:rsidRPr="00834991">
            <w:rPr>
              <w:rFonts w:ascii="Open Sans" w:hAnsi="Open Sans" w:cs="Open Sans"/>
              <w:color w:val="auto"/>
              <w:lang w:val="ro-RO"/>
            </w:rPr>
            <w:t>Cuprins</w:t>
          </w:r>
        </w:p>
        <w:p w14:paraId="10FC134B" w14:textId="5BD93042" w:rsidR="00270C72" w:rsidRDefault="006D437E">
          <w:pPr>
            <w:pStyle w:val="TOC1"/>
            <w:tabs>
              <w:tab w:val="right" w:leader="dot" w:pos="9016"/>
            </w:tabs>
            <w:rPr>
              <w:rFonts w:asciiTheme="minorHAnsi" w:eastAsiaTheme="minorEastAsia" w:hAnsiTheme="minorHAnsi" w:cstheme="minorBidi"/>
              <w:noProof/>
              <w:kern w:val="2"/>
              <w:szCs w:val="22"/>
              <w14:ligatures w14:val="standardContextual"/>
            </w:rPr>
          </w:pPr>
          <w:r w:rsidRPr="00834991">
            <w:rPr>
              <w:rFonts w:ascii="Open Sans" w:hAnsi="Open Sans" w:cs="Open Sans"/>
              <w:lang w:val="ro-RO"/>
            </w:rPr>
            <w:fldChar w:fldCharType="begin"/>
          </w:r>
          <w:r w:rsidRPr="00834991">
            <w:rPr>
              <w:rFonts w:ascii="Open Sans" w:hAnsi="Open Sans" w:cs="Open Sans"/>
              <w:lang w:val="ro-RO"/>
            </w:rPr>
            <w:instrText xml:space="preserve"> TOC \o "1-3" \h \z \u </w:instrText>
          </w:r>
          <w:r w:rsidRPr="00834991">
            <w:rPr>
              <w:rFonts w:ascii="Open Sans" w:hAnsi="Open Sans" w:cs="Open Sans"/>
              <w:lang w:val="ro-RO"/>
            </w:rPr>
            <w:fldChar w:fldCharType="separate"/>
          </w:r>
          <w:hyperlink w:anchor="_Toc184811986" w:history="1">
            <w:r w:rsidR="00270C72" w:rsidRPr="00170E9A">
              <w:rPr>
                <w:rStyle w:val="Hyperlink"/>
                <w:rFonts w:ascii="Open Sans" w:hAnsi="Open Sans" w:cs="Open Sans"/>
                <w:b/>
                <w:bCs/>
                <w:noProof/>
                <w:lang w:val="ro-RO"/>
              </w:rPr>
              <w:t>Capitolul 1 - Domeniu de aplicare</w:t>
            </w:r>
            <w:r w:rsidR="00270C72">
              <w:rPr>
                <w:noProof/>
                <w:webHidden/>
              </w:rPr>
              <w:tab/>
            </w:r>
            <w:r w:rsidR="00270C72">
              <w:rPr>
                <w:noProof/>
                <w:webHidden/>
              </w:rPr>
              <w:fldChar w:fldCharType="begin"/>
            </w:r>
            <w:r w:rsidR="00270C72">
              <w:rPr>
                <w:noProof/>
                <w:webHidden/>
              </w:rPr>
              <w:instrText xml:space="preserve"> PAGEREF _Toc184811986 \h </w:instrText>
            </w:r>
            <w:r w:rsidR="00270C72">
              <w:rPr>
                <w:noProof/>
                <w:webHidden/>
              </w:rPr>
            </w:r>
            <w:r w:rsidR="00270C72">
              <w:rPr>
                <w:noProof/>
                <w:webHidden/>
              </w:rPr>
              <w:fldChar w:fldCharType="separate"/>
            </w:r>
            <w:r w:rsidR="00270C72">
              <w:rPr>
                <w:noProof/>
                <w:webHidden/>
              </w:rPr>
              <w:t>3</w:t>
            </w:r>
            <w:r w:rsidR="00270C72">
              <w:rPr>
                <w:noProof/>
                <w:webHidden/>
              </w:rPr>
              <w:fldChar w:fldCharType="end"/>
            </w:r>
          </w:hyperlink>
        </w:p>
        <w:p w14:paraId="317CCC42" w14:textId="7207BCD5" w:rsidR="00270C72" w:rsidRDefault="00270C72">
          <w:pPr>
            <w:pStyle w:val="TOC1"/>
            <w:tabs>
              <w:tab w:val="right" w:leader="dot" w:pos="9016"/>
            </w:tabs>
            <w:rPr>
              <w:rFonts w:asciiTheme="minorHAnsi" w:eastAsiaTheme="minorEastAsia" w:hAnsiTheme="minorHAnsi" w:cstheme="minorBidi"/>
              <w:noProof/>
              <w:kern w:val="2"/>
              <w:szCs w:val="22"/>
              <w14:ligatures w14:val="standardContextual"/>
            </w:rPr>
          </w:pPr>
          <w:hyperlink w:anchor="_Toc184811987" w:history="1">
            <w:r w:rsidRPr="00170E9A">
              <w:rPr>
                <w:rStyle w:val="Hyperlink"/>
                <w:rFonts w:ascii="Open Sans" w:hAnsi="Open Sans" w:cs="Open Sans"/>
                <w:b/>
                <w:bCs/>
                <w:noProof/>
                <w:lang w:val="ro-RO"/>
              </w:rPr>
              <w:t>Capitolul 2 - Prevederi generale</w:t>
            </w:r>
            <w:r>
              <w:rPr>
                <w:noProof/>
                <w:webHidden/>
              </w:rPr>
              <w:tab/>
            </w:r>
            <w:r>
              <w:rPr>
                <w:noProof/>
                <w:webHidden/>
              </w:rPr>
              <w:fldChar w:fldCharType="begin"/>
            </w:r>
            <w:r>
              <w:rPr>
                <w:noProof/>
                <w:webHidden/>
              </w:rPr>
              <w:instrText xml:space="preserve"> PAGEREF _Toc184811987 \h </w:instrText>
            </w:r>
            <w:r>
              <w:rPr>
                <w:noProof/>
                <w:webHidden/>
              </w:rPr>
            </w:r>
            <w:r>
              <w:rPr>
                <w:noProof/>
                <w:webHidden/>
              </w:rPr>
              <w:fldChar w:fldCharType="separate"/>
            </w:r>
            <w:r>
              <w:rPr>
                <w:noProof/>
                <w:webHidden/>
              </w:rPr>
              <w:t>3</w:t>
            </w:r>
            <w:r>
              <w:rPr>
                <w:noProof/>
                <w:webHidden/>
              </w:rPr>
              <w:fldChar w:fldCharType="end"/>
            </w:r>
          </w:hyperlink>
        </w:p>
        <w:p w14:paraId="1BB4D9AB" w14:textId="7D6CBDFA" w:rsidR="00270C72" w:rsidRDefault="00270C72">
          <w:pPr>
            <w:pStyle w:val="TOC1"/>
            <w:tabs>
              <w:tab w:val="right" w:leader="dot" w:pos="9016"/>
            </w:tabs>
            <w:rPr>
              <w:rFonts w:asciiTheme="minorHAnsi" w:eastAsiaTheme="minorEastAsia" w:hAnsiTheme="minorHAnsi" w:cstheme="minorBidi"/>
              <w:noProof/>
              <w:kern w:val="2"/>
              <w:szCs w:val="22"/>
              <w14:ligatures w14:val="standardContextual"/>
            </w:rPr>
          </w:pPr>
          <w:hyperlink w:anchor="_Toc184811988" w:history="1">
            <w:r w:rsidRPr="00170E9A">
              <w:rPr>
                <w:rStyle w:val="Hyperlink"/>
                <w:rFonts w:ascii="Open Sans" w:hAnsi="Open Sans" w:cs="Open Sans"/>
                <w:b/>
                <w:bCs/>
                <w:noProof/>
                <w:lang w:val="ro-RO"/>
              </w:rPr>
              <w:t>Capitolul 3 - Definiţii</w:t>
            </w:r>
            <w:r>
              <w:rPr>
                <w:noProof/>
                <w:webHidden/>
              </w:rPr>
              <w:tab/>
            </w:r>
            <w:r>
              <w:rPr>
                <w:noProof/>
                <w:webHidden/>
              </w:rPr>
              <w:fldChar w:fldCharType="begin"/>
            </w:r>
            <w:r>
              <w:rPr>
                <w:noProof/>
                <w:webHidden/>
              </w:rPr>
              <w:instrText xml:space="preserve"> PAGEREF _Toc184811988 \h </w:instrText>
            </w:r>
            <w:r>
              <w:rPr>
                <w:noProof/>
                <w:webHidden/>
              </w:rPr>
            </w:r>
            <w:r>
              <w:rPr>
                <w:noProof/>
                <w:webHidden/>
              </w:rPr>
              <w:fldChar w:fldCharType="separate"/>
            </w:r>
            <w:r>
              <w:rPr>
                <w:noProof/>
                <w:webHidden/>
              </w:rPr>
              <w:t>4</w:t>
            </w:r>
            <w:r>
              <w:rPr>
                <w:noProof/>
                <w:webHidden/>
              </w:rPr>
              <w:fldChar w:fldCharType="end"/>
            </w:r>
          </w:hyperlink>
        </w:p>
        <w:p w14:paraId="040F38DC" w14:textId="68A147AA" w:rsidR="00270C72" w:rsidRDefault="00270C72">
          <w:pPr>
            <w:pStyle w:val="TOC1"/>
            <w:tabs>
              <w:tab w:val="right" w:leader="dot" w:pos="9016"/>
            </w:tabs>
            <w:rPr>
              <w:rFonts w:asciiTheme="minorHAnsi" w:eastAsiaTheme="minorEastAsia" w:hAnsiTheme="minorHAnsi" w:cstheme="minorBidi"/>
              <w:noProof/>
              <w:kern w:val="2"/>
              <w:szCs w:val="22"/>
              <w14:ligatures w14:val="standardContextual"/>
            </w:rPr>
          </w:pPr>
          <w:hyperlink w:anchor="_Toc184811989" w:history="1">
            <w:r w:rsidRPr="00170E9A">
              <w:rPr>
                <w:rStyle w:val="Hyperlink"/>
                <w:rFonts w:ascii="Open Sans" w:hAnsi="Open Sans" w:cs="Open Sans"/>
                <w:b/>
                <w:bCs/>
                <w:noProof/>
                <w:lang w:val="ro-RO"/>
              </w:rPr>
              <w:t>Capitolul 4 - Achiziţia directă</w:t>
            </w:r>
            <w:r>
              <w:rPr>
                <w:noProof/>
                <w:webHidden/>
              </w:rPr>
              <w:tab/>
            </w:r>
            <w:r>
              <w:rPr>
                <w:noProof/>
                <w:webHidden/>
              </w:rPr>
              <w:fldChar w:fldCharType="begin"/>
            </w:r>
            <w:r>
              <w:rPr>
                <w:noProof/>
                <w:webHidden/>
              </w:rPr>
              <w:instrText xml:space="preserve"> PAGEREF _Toc184811989 \h </w:instrText>
            </w:r>
            <w:r>
              <w:rPr>
                <w:noProof/>
                <w:webHidden/>
              </w:rPr>
            </w:r>
            <w:r>
              <w:rPr>
                <w:noProof/>
                <w:webHidden/>
              </w:rPr>
              <w:fldChar w:fldCharType="separate"/>
            </w:r>
            <w:r>
              <w:rPr>
                <w:noProof/>
                <w:webHidden/>
              </w:rPr>
              <w:t>5</w:t>
            </w:r>
            <w:r>
              <w:rPr>
                <w:noProof/>
                <w:webHidden/>
              </w:rPr>
              <w:fldChar w:fldCharType="end"/>
            </w:r>
          </w:hyperlink>
        </w:p>
        <w:p w14:paraId="57050B30" w14:textId="60506C11" w:rsidR="00270C72" w:rsidRDefault="00270C72">
          <w:pPr>
            <w:pStyle w:val="TOC1"/>
            <w:tabs>
              <w:tab w:val="right" w:leader="dot" w:pos="9016"/>
            </w:tabs>
            <w:rPr>
              <w:rFonts w:asciiTheme="minorHAnsi" w:eastAsiaTheme="minorEastAsia" w:hAnsiTheme="minorHAnsi" w:cstheme="minorBidi"/>
              <w:noProof/>
              <w:kern w:val="2"/>
              <w:szCs w:val="22"/>
              <w14:ligatures w14:val="standardContextual"/>
            </w:rPr>
          </w:pPr>
          <w:hyperlink w:anchor="_Toc184811990" w:history="1">
            <w:r w:rsidRPr="00170E9A">
              <w:rPr>
                <w:rStyle w:val="Hyperlink"/>
                <w:rFonts w:ascii="Open Sans" w:hAnsi="Open Sans" w:cs="Open Sans"/>
                <w:b/>
                <w:bCs/>
                <w:noProof/>
                <w:lang w:val="ro-RO"/>
              </w:rPr>
              <w:t>Capitolul 5 - Procedura pentru achiziții peste prag</w:t>
            </w:r>
            <w:r>
              <w:rPr>
                <w:noProof/>
                <w:webHidden/>
              </w:rPr>
              <w:tab/>
            </w:r>
            <w:r>
              <w:rPr>
                <w:noProof/>
                <w:webHidden/>
              </w:rPr>
              <w:fldChar w:fldCharType="begin"/>
            </w:r>
            <w:r>
              <w:rPr>
                <w:noProof/>
                <w:webHidden/>
              </w:rPr>
              <w:instrText xml:space="preserve"> PAGEREF _Toc184811990 \h </w:instrText>
            </w:r>
            <w:r>
              <w:rPr>
                <w:noProof/>
                <w:webHidden/>
              </w:rPr>
            </w:r>
            <w:r>
              <w:rPr>
                <w:noProof/>
                <w:webHidden/>
              </w:rPr>
              <w:fldChar w:fldCharType="separate"/>
            </w:r>
            <w:r>
              <w:rPr>
                <w:noProof/>
                <w:webHidden/>
              </w:rPr>
              <w:t>6</w:t>
            </w:r>
            <w:r>
              <w:rPr>
                <w:noProof/>
                <w:webHidden/>
              </w:rPr>
              <w:fldChar w:fldCharType="end"/>
            </w:r>
          </w:hyperlink>
        </w:p>
        <w:p w14:paraId="778B2446" w14:textId="230B0D48"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1991" w:history="1">
            <w:r w:rsidRPr="00170E9A">
              <w:rPr>
                <w:rStyle w:val="Hyperlink"/>
                <w:rFonts w:ascii="Open Sans" w:hAnsi="Open Sans" w:cs="Open Sans"/>
                <w:b/>
                <w:bCs/>
                <w:noProof/>
                <w:lang w:val="ro-RO"/>
              </w:rPr>
              <w:t>SECŢIUNEA 1 - Principii aplicabile procedurii pentru achiziții peste prag</w:t>
            </w:r>
            <w:r>
              <w:rPr>
                <w:noProof/>
                <w:webHidden/>
              </w:rPr>
              <w:tab/>
            </w:r>
            <w:r>
              <w:rPr>
                <w:noProof/>
                <w:webHidden/>
              </w:rPr>
              <w:fldChar w:fldCharType="begin"/>
            </w:r>
            <w:r>
              <w:rPr>
                <w:noProof/>
                <w:webHidden/>
              </w:rPr>
              <w:instrText xml:space="preserve"> PAGEREF _Toc184811991 \h </w:instrText>
            </w:r>
            <w:r>
              <w:rPr>
                <w:noProof/>
                <w:webHidden/>
              </w:rPr>
            </w:r>
            <w:r>
              <w:rPr>
                <w:noProof/>
                <w:webHidden/>
              </w:rPr>
              <w:fldChar w:fldCharType="separate"/>
            </w:r>
            <w:r>
              <w:rPr>
                <w:noProof/>
                <w:webHidden/>
              </w:rPr>
              <w:t>7</w:t>
            </w:r>
            <w:r>
              <w:rPr>
                <w:noProof/>
                <w:webHidden/>
              </w:rPr>
              <w:fldChar w:fldCharType="end"/>
            </w:r>
          </w:hyperlink>
        </w:p>
        <w:p w14:paraId="2FFB8A97" w14:textId="01D76B5F"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1992" w:history="1">
            <w:r w:rsidRPr="00170E9A">
              <w:rPr>
                <w:rStyle w:val="Hyperlink"/>
                <w:rFonts w:ascii="Open Sans" w:hAnsi="Open Sans" w:cs="Open Sans"/>
                <w:b/>
                <w:bCs/>
                <w:noProof/>
                <w:lang w:val="ro-RO"/>
              </w:rPr>
              <w:t>SECŢIUNEA a 2-a - Evitarea conflictului de interese</w:t>
            </w:r>
            <w:r>
              <w:rPr>
                <w:noProof/>
                <w:webHidden/>
              </w:rPr>
              <w:tab/>
            </w:r>
            <w:r>
              <w:rPr>
                <w:noProof/>
                <w:webHidden/>
              </w:rPr>
              <w:fldChar w:fldCharType="begin"/>
            </w:r>
            <w:r>
              <w:rPr>
                <w:noProof/>
                <w:webHidden/>
              </w:rPr>
              <w:instrText xml:space="preserve"> PAGEREF _Toc184811992 \h </w:instrText>
            </w:r>
            <w:r>
              <w:rPr>
                <w:noProof/>
                <w:webHidden/>
              </w:rPr>
            </w:r>
            <w:r>
              <w:rPr>
                <w:noProof/>
                <w:webHidden/>
              </w:rPr>
              <w:fldChar w:fldCharType="separate"/>
            </w:r>
            <w:r>
              <w:rPr>
                <w:noProof/>
                <w:webHidden/>
              </w:rPr>
              <w:t>8</w:t>
            </w:r>
            <w:r>
              <w:rPr>
                <w:noProof/>
                <w:webHidden/>
              </w:rPr>
              <w:fldChar w:fldCharType="end"/>
            </w:r>
          </w:hyperlink>
        </w:p>
        <w:p w14:paraId="600091C1" w14:textId="30A890E4"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1993" w:history="1">
            <w:r w:rsidRPr="00170E9A">
              <w:rPr>
                <w:rStyle w:val="Hyperlink"/>
                <w:rFonts w:ascii="Open Sans" w:hAnsi="Open Sans" w:cs="Open Sans"/>
                <w:b/>
                <w:bCs/>
                <w:noProof/>
                <w:lang w:val="ro-RO"/>
              </w:rPr>
              <w:t>SECŢIUNEA a 3-a - Elaborarea specificaţiilor tehnice şi determinarea valorii estimate</w:t>
            </w:r>
            <w:r>
              <w:rPr>
                <w:noProof/>
                <w:webHidden/>
              </w:rPr>
              <w:tab/>
            </w:r>
            <w:r>
              <w:rPr>
                <w:noProof/>
                <w:webHidden/>
              </w:rPr>
              <w:fldChar w:fldCharType="begin"/>
            </w:r>
            <w:r>
              <w:rPr>
                <w:noProof/>
                <w:webHidden/>
              </w:rPr>
              <w:instrText xml:space="preserve"> PAGEREF _Toc184811993 \h </w:instrText>
            </w:r>
            <w:r>
              <w:rPr>
                <w:noProof/>
                <w:webHidden/>
              </w:rPr>
            </w:r>
            <w:r>
              <w:rPr>
                <w:noProof/>
                <w:webHidden/>
              </w:rPr>
              <w:fldChar w:fldCharType="separate"/>
            </w:r>
            <w:r>
              <w:rPr>
                <w:noProof/>
                <w:webHidden/>
              </w:rPr>
              <w:t>8</w:t>
            </w:r>
            <w:r>
              <w:rPr>
                <w:noProof/>
                <w:webHidden/>
              </w:rPr>
              <w:fldChar w:fldCharType="end"/>
            </w:r>
          </w:hyperlink>
        </w:p>
        <w:p w14:paraId="10E47D38" w14:textId="63ADA91C"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1994" w:history="1">
            <w:r w:rsidRPr="00170E9A">
              <w:rPr>
                <w:rStyle w:val="Hyperlink"/>
                <w:rFonts w:ascii="Open Sans" w:hAnsi="Open Sans" w:cs="Open Sans"/>
                <w:b/>
                <w:bCs/>
                <w:noProof/>
                <w:lang w:val="ro-RO"/>
              </w:rPr>
              <w:t>SECŢIUNEA a 4-a - Derularea procedurii pentru achiziții peste prag</w:t>
            </w:r>
            <w:r>
              <w:rPr>
                <w:noProof/>
                <w:webHidden/>
              </w:rPr>
              <w:tab/>
            </w:r>
            <w:r>
              <w:rPr>
                <w:noProof/>
                <w:webHidden/>
              </w:rPr>
              <w:fldChar w:fldCharType="begin"/>
            </w:r>
            <w:r>
              <w:rPr>
                <w:noProof/>
                <w:webHidden/>
              </w:rPr>
              <w:instrText xml:space="preserve"> PAGEREF _Toc184811994 \h </w:instrText>
            </w:r>
            <w:r>
              <w:rPr>
                <w:noProof/>
                <w:webHidden/>
              </w:rPr>
            </w:r>
            <w:r>
              <w:rPr>
                <w:noProof/>
                <w:webHidden/>
              </w:rPr>
              <w:fldChar w:fldCharType="separate"/>
            </w:r>
            <w:r>
              <w:rPr>
                <w:noProof/>
                <w:webHidden/>
              </w:rPr>
              <w:t>11</w:t>
            </w:r>
            <w:r>
              <w:rPr>
                <w:noProof/>
                <w:webHidden/>
              </w:rPr>
              <w:fldChar w:fldCharType="end"/>
            </w:r>
          </w:hyperlink>
        </w:p>
        <w:p w14:paraId="28A49A99" w14:textId="3A25A91B"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1995" w:history="1">
            <w:r w:rsidRPr="00170E9A">
              <w:rPr>
                <w:rStyle w:val="Hyperlink"/>
                <w:rFonts w:ascii="Open Sans" w:hAnsi="Open Sans" w:cs="Open Sans"/>
                <w:b/>
                <w:bCs/>
                <w:noProof/>
                <w:lang w:val="ro-RO"/>
              </w:rPr>
              <w:t>SECŢIUNEA a 5-a - Contractul de achiziţie</w:t>
            </w:r>
            <w:r>
              <w:rPr>
                <w:noProof/>
                <w:webHidden/>
              </w:rPr>
              <w:tab/>
            </w:r>
            <w:r>
              <w:rPr>
                <w:noProof/>
                <w:webHidden/>
              </w:rPr>
              <w:fldChar w:fldCharType="begin"/>
            </w:r>
            <w:r>
              <w:rPr>
                <w:noProof/>
                <w:webHidden/>
              </w:rPr>
              <w:instrText xml:space="preserve"> PAGEREF _Toc184811995 \h </w:instrText>
            </w:r>
            <w:r>
              <w:rPr>
                <w:noProof/>
                <w:webHidden/>
              </w:rPr>
            </w:r>
            <w:r>
              <w:rPr>
                <w:noProof/>
                <w:webHidden/>
              </w:rPr>
              <w:fldChar w:fldCharType="separate"/>
            </w:r>
            <w:r>
              <w:rPr>
                <w:noProof/>
                <w:webHidden/>
              </w:rPr>
              <w:t>13</w:t>
            </w:r>
            <w:r>
              <w:rPr>
                <w:noProof/>
                <w:webHidden/>
              </w:rPr>
              <w:fldChar w:fldCharType="end"/>
            </w:r>
          </w:hyperlink>
        </w:p>
        <w:p w14:paraId="4DCB9D79" w14:textId="56A46B8B"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1996" w:history="1">
            <w:r w:rsidRPr="00170E9A">
              <w:rPr>
                <w:rStyle w:val="Hyperlink"/>
                <w:rFonts w:ascii="Open Sans" w:hAnsi="Open Sans" w:cs="Open Sans"/>
                <w:b/>
                <w:bCs/>
                <w:noProof/>
                <w:lang w:val="ro-RO"/>
              </w:rPr>
              <w:t>SECŢIUNEA a 6-a - Dosarul achiziţiei</w:t>
            </w:r>
            <w:r>
              <w:rPr>
                <w:noProof/>
                <w:webHidden/>
              </w:rPr>
              <w:tab/>
            </w:r>
            <w:r>
              <w:rPr>
                <w:noProof/>
                <w:webHidden/>
              </w:rPr>
              <w:fldChar w:fldCharType="begin"/>
            </w:r>
            <w:r>
              <w:rPr>
                <w:noProof/>
                <w:webHidden/>
              </w:rPr>
              <w:instrText xml:space="preserve"> PAGEREF _Toc184811996 \h </w:instrText>
            </w:r>
            <w:r>
              <w:rPr>
                <w:noProof/>
                <w:webHidden/>
              </w:rPr>
            </w:r>
            <w:r>
              <w:rPr>
                <w:noProof/>
                <w:webHidden/>
              </w:rPr>
              <w:fldChar w:fldCharType="separate"/>
            </w:r>
            <w:r>
              <w:rPr>
                <w:noProof/>
                <w:webHidden/>
              </w:rPr>
              <w:t>15</w:t>
            </w:r>
            <w:r>
              <w:rPr>
                <w:noProof/>
                <w:webHidden/>
              </w:rPr>
              <w:fldChar w:fldCharType="end"/>
            </w:r>
          </w:hyperlink>
        </w:p>
        <w:p w14:paraId="17650626" w14:textId="017A6C25"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1997" w:history="1">
            <w:r w:rsidRPr="00170E9A">
              <w:rPr>
                <w:rStyle w:val="Hyperlink"/>
                <w:rFonts w:ascii="Open Sans" w:hAnsi="Open Sans" w:cs="Open Sans"/>
                <w:b/>
                <w:bCs/>
                <w:noProof/>
                <w:lang w:val="ro-RO"/>
              </w:rPr>
              <w:t>SECŢIUNEA a 7-a - Lista de verificare</w:t>
            </w:r>
            <w:r>
              <w:rPr>
                <w:noProof/>
                <w:webHidden/>
              </w:rPr>
              <w:tab/>
            </w:r>
            <w:r>
              <w:rPr>
                <w:noProof/>
                <w:webHidden/>
              </w:rPr>
              <w:fldChar w:fldCharType="begin"/>
            </w:r>
            <w:r>
              <w:rPr>
                <w:noProof/>
                <w:webHidden/>
              </w:rPr>
              <w:instrText xml:space="preserve"> PAGEREF _Toc184811997 \h </w:instrText>
            </w:r>
            <w:r>
              <w:rPr>
                <w:noProof/>
                <w:webHidden/>
              </w:rPr>
            </w:r>
            <w:r>
              <w:rPr>
                <w:noProof/>
                <w:webHidden/>
              </w:rPr>
              <w:fldChar w:fldCharType="separate"/>
            </w:r>
            <w:r>
              <w:rPr>
                <w:noProof/>
                <w:webHidden/>
              </w:rPr>
              <w:t>16</w:t>
            </w:r>
            <w:r>
              <w:rPr>
                <w:noProof/>
                <w:webHidden/>
              </w:rPr>
              <w:fldChar w:fldCharType="end"/>
            </w:r>
          </w:hyperlink>
        </w:p>
        <w:p w14:paraId="19A99575" w14:textId="1CC4FA7C" w:rsidR="00270C72" w:rsidRDefault="00270C72">
          <w:pPr>
            <w:pStyle w:val="TOC1"/>
            <w:tabs>
              <w:tab w:val="right" w:leader="dot" w:pos="9016"/>
            </w:tabs>
            <w:rPr>
              <w:rFonts w:asciiTheme="minorHAnsi" w:eastAsiaTheme="minorEastAsia" w:hAnsiTheme="minorHAnsi" w:cstheme="minorBidi"/>
              <w:noProof/>
              <w:kern w:val="2"/>
              <w:szCs w:val="22"/>
              <w14:ligatures w14:val="standardContextual"/>
            </w:rPr>
          </w:pPr>
          <w:hyperlink w:anchor="_Toc184811998" w:history="1">
            <w:r w:rsidRPr="00170E9A">
              <w:rPr>
                <w:rStyle w:val="Hyperlink"/>
                <w:rFonts w:ascii="Open Sans" w:hAnsi="Open Sans" w:cs="Open Sans"/>
                <w:b/>
                <w:bCs/>
                <w:noProof/>
                <w:lang w:val="ro-RO"/>
              </w:rPr>
              <w:t>Capitolul 6 - Aplicarea principiului proporţionalităţii</w:t>
            </w:r>
            <w:r>
              <w:rPr>
                <w:noProof/>
                <w:webHidden/>
              </w:rPr>
              <w:tab/>
            </w:r>
            <w:r>
              <w:rPr>
                <w:noProof/>
                <w:webHidden/>
              </w:rPr>
              <w:fldChar w:fldCharType="begin"/>
            </w:r>
            <w:r>
              <w:rPr>
                <w:noProof/>
                <w:webHidden/>
              </w:rPr>
              <w:instrText xml:space="preserve"> PAGEREF _Toc184811998 \h </w:instrText>
            </w:r>
            <w:r>
              <w:rPr>
                <w:noProof/>
                <w:webHidden/>
              </w:rPr>
            </w:r>
            <w:r>
              <w:rPr>
                <w:noProof/>
                <w:webHidden/>
              </w:rPr>
              <w:fldChar w:fldCharType="separate"/>
            </w:r>
            <w:r>
              <w:rPr>
                <w:noProof/>
                <w:webHidden/>
              </w:rPr>
              <w:t>19</w:t>
            </w:r>
            <w:r>
              <w:rPr>
                <w:noProof/>
                <w:webHidden/>
              </w:rPr>
              <w:fldChar w:fldCharType="end"/>
            </w:r>
          </w:hyperlink>
        </w:p>
        <w:p w14:paraId="19D75F15" w14:textId="68CF29F3"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1999" w:history="1">
            <w:r w:rsidRPr="00170E9A">
              <w:rPr>
                <w:rStyle w:val="Hyperlink"/>
                <w:rFonts w:ascii="Open Sans" w:hAnsi="Open Sans" w:cs="Open Sans"/>
                <w:b/>
                <w:bCs/>
                <w:noProof/>
                <w:lang w:val="ro-RO"/>
              </w:rPr>
              <w:t>SECŢIUNEA 1 - Principiul proporţionalităţii în legislaţia aplicabilă</w:t>
            </w:r>
            <w:r>
              <w:rPr>
                <w:noProof/>
                <w:webHidden/>
              </w:rPr>
              <w:tab/>
            </w:r>
            <w:r>
              <w:rPr>
                <w:noProof/>
                <w:webHidden/>
              </w:rPr>
              <w:fldChar w:fldCharType="begin"/>
            </w:r>
            <w:r>
              <w:rPr>
                <w:noProof/>
                <w:webHidden/>
              </w:rPr>
              <w:instrText xml:space="preserve"> PAGEREF _Toc184811999 \h </w:instrText>
            </w:r>
            <w:r>
              <w:rPr>
                <w:noProof/>
                <w:webHidden/>
              </w:rPr>
            </w:r>
            <w:r>
              <w:rPr>
                <w:noProof/>
                <w:webHidden/>
              </w:rPr>
              <w:fldChar w:fldCharType="separate"/>
            </w:r>
            <w:r>
              <w:rPr>
                <w:noProof/>
                <w:webHidden/>
              </w:rPr>
              <w:t>19</w:t>
            </w:r>
            <w:r>
              <w:rPr>
                <w:noProof/>
                <w:webHidden/>
              </w:rPr>
              <w:fldChar w:fldCharType="end"/>
            </w:r>
          </w:hyperlink>
        </w:p>
        <w:p w14:paraId="7667573B" w14:textId="177D61DA" w:rsidR="00270C72" w:rsidRDefault="00270C72">
          <w:pPr>
            <w:pStyle w:val="TOC2"/>
            <w:tabs>
              <w:tab w:val="right" w:leader="dot" w:pos="9016"/>
            </w:tabs>
            <w:rPr>
              <w:rFonts w:asciiTheme="minorHAnsi" w:eastAsiaTheme="minorEastAsia" w:hAnsiTheme="minorHAnsi" w:cstheme="minorBidi"/>
              <w:noProof/>
              <w:kern w:val="2"/>
              <w:szCs w:val="22"/>
              <w14:ligatures w14:val="standardContextual"/>
            </w:rPr>
          </w:pPr>
          <w:hyperlink w:anchor="_Toc184812000" w:history="1">
            <w:r w:rsidRPr="00170E9A">
              <w:rPr>
                <w:rStyle w:val="Hyperlink"/>
                <w:rFonts w:ascii="Open Sans" w:hAnsi="Open Sans" w:cs="Open Sans"/>
                <w:b/>
                <w:bCs/>
                <w:noProof/>
                <w:lang w:val="ro-RO"/>
              </w:rPr>
              <w:t>SECŢIUNEA a 2-a - Îndrumări privind aplicarea unitară a principiului proporţionalităţii</w:t>
            </w:r>
            <w:r>
              <w:rPr>
                <w:noProof/>
                <w:webHidden/>
              </w:rPr>
              <w:tab/>
            </w:r>
            <w:r>
              <w:rPr>
                <w:noProof/>
                <w:webHidden/>
              </w:rPr>
              <w:fldChar w:fldCharType="begin"/>
            </w:r>
            <w:r>
              <w:rPr>
                <w:noProof/>
                <w:webHidden/>
              </w:rPr>
              <w:instrText xml:space="preserve"> PAGEREF _Toc184812000 \h </w:instrText>
            </w:r>
            <w:r>
              <w:rPr>
                <w:noProof/>
                <w:webHidden/>
              </w:rPr>
            </w:r>
            <w:r>
              <w:rPr>
                <w:noProof/>
                <w:webHidden/>
              </w:rPr>
              <w:fldChar w:fldCharType="separate"/>
            </w:r>
            <w:r>
              <w:rPr>
                <w:noProof/>
                <w:webHidden/>
              </w:rPr>
              <w:t>20</w:t>
            </w:r>
            <w:r>
              <w:rPr>
                <w:noProof/>
                <w:webHidden/>
              </w:rPr>
              <w:fldChar w:fldCharType="end"/>
            </w:r>
          </w:hyperlink>
        </w:p>
        <w:p w14:paraId="52C38935" w14:textId="758A71E2" w:rsidR="00614B8E" w:rsidRPr="00834991" w:rsidRDefault="006D437E">
          <w:pPr>
            <w:rPr>
              <w:rFonts w:ascii="Open Sans" w:hAnsi="Open Sans" w:cs="Open Sans"/>
              <w:lang w:val="ro-RO"/>
            </w:rPr>
          </w:pPr>
          <w:r w:rsidRPr="00834991">
            <w:rPr>
              <w:rFonts w:ascii="Open Sans" w:hAnsi="Open Sans" w:cs="Open Sans"/>
              <w:sz w:val="22"/>
              <w:lang w:val="ro-RO"/>
            </w:rPr>
            <w:fldChar w:fldCharType="end"/>
          </w:r>
        </w:p>
      </w:sdtContent>
    </w:sdt>
    <w:p w14:paraId="43EC4716" w14:textId="77777777" w:rsidR="00A13085" w:rsidRPr="00834991" w:rsidRDefault="00A13085">
      <w:pPr>
        <w:pStyle w:val="NormalWeb"/>
        <w:spacing w:before="0" w:beforeAutospacing="0" w:after="240" w:afterAutospacing="0"/>
        <w:jc w:val="both"/>
        <w:rPr>
          <w:rFonts w:ascii="Open Sans" w:hAnsi="Open Sans" w:cs="Open Sans"/>
          <w:sz w:val="22"/>
          <w:szCs w:val="22"/>
          <w:lang w:val="ro-RO"/>
        </w:rPr>
      </w:pPr>
    </w:p>
    <w:p w14:paraId="76E27776" w14:textId="0D7A2280" w:rsidR="005E73C7" w:rsidRPr="00834991" w:rsidRDefault="005E73C7">
      <w:pPr>
        <w:autoSpaceDE/>
        <w:autoSpaceDN/>
        <w:rPr>
          <w:rFonts w:ascii="Open Sans" w:eastAsiaTheme="minorEastAsia" w:hAnsi="Open Sans" w:cs="Open Sans"/>
          <w:sz w:val="22"/>
          <w:szCs w:val="22"/>
          <w:lang w:val="ro-RO"/>
        </w:rPr>
      </w:pPr>
      <w:r w:rsidRPr="00834991">
        <w:rPr>
          <w:rFonts w:ascii="Open Sans" w:hAnsi="Open Sans" w:cs="Open Sans"/>
          <w:sz w:val="22"/>
          <w:szCs w:val="22"/>
          <w:lang w:val="ro-RO"/>
        </w:rPr>
        <w:br w:type="page"/>
      </w:r>
    </w:p>
    <w:p w14:paraId="09EFAAF4" w14:textId="1FC83D16" w:rsidR="00653584" w:rsidRPr="00834991" w:rsidRDefault="00E65439" w:rsidP="00A13085">
      <w:pPr>
        <w:pStyle w:val="Heading1"/>
        <w:rPr>
          <w:rFonts w:ascii="Open Sans" w:hAnsi="Open Sans" w:cs="Open Sans"/>
          <w:b/>
          <w:bCs/>
          <w:color w:val="auto"/>
          <w:sz w:val="22"/>
          <w:szCs w:val="28"/>
          <w:lang w:val="ro-RO"/>
        </w:rPr>
      </w:pPr>
      <w:bookmarkStart w:id="0" w:name="_Toc184811986"/>
      <w:r w:rsidRPr="00834991">
        <w:rPr>
          <w:rFonts w:ascii="Open Sans" w:hAnsi="Open Sans" w:cs="Open Sans"/>
          <w:b/>
          <w:bCs/>
          <w:color w:val="auto"/>
          <w:sz w:val="22"/>
          <w:szCs w:val="28"/>
          <w:lang w:val="ro-RO"/>
        </w:rPr>
        <w:t>Capitolul 1</w:t>
      </w:r>
      <w:r w:rsidR="00A13085" w:rsidRPr="00834991">
        <w:rPr>
          <w:rFonts w:ascii="Open Sans" w:hAnsi="Open Sans" w:cs="Open Sans"/>
          <w:b/>
          <w:bCs/>
          <w:color w:val="auto"/>
          <w:sz w:val="22"/>
          <w:szCs w:val="28"/>
          <w:lang w:val="ro-RO"/>
        </w:rPr>
        <w:t xml:space="preserve"> - </w:t>
      </w:r>
      <w:r w:rsidRPr="00834991">
        <w:rPr>
          <w:rFonts w:ascii="Open Sans" w:hAnsi="Open Sans" w:cs="Open Sans"/>
          <w:b/>
          <w:bCs/>
          <w:color w:val="auto"/>
          <w:sz w:val="22"/>
          <w:szCs w:val="28"/>
          <w:lang w:val="ro-RO"/>
        </w:rPr>
        <w:t>Domeniu de aplicare</w:t>
      </w:r>
      <w:bookmarkEnd w:id="0"/>
    </w:p>
    <w:p w14:paraId="4A7DF867" w14:textId="77777777" w:rsidR="00653584" w:rsidRPr="00834991" w:rsidRDefault="00CD27C2" w:rsidP="00750BBB">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1.1. Prezenta procedură descrie principiile şi etapele minime pe care trebuie să le parcurgă</w:t>
      </w:r>
      <w:r w:rsidR="00750BBB" w:rsidRPr="00834991">
        <w:rPr>
          <w:rFonts w:ascii="Open Sans" w:hAnsi="Open Sans" w:cs="Open Sans"/>
          <w:sz w:val="22"/>
          <w:szCs w:val="22"/>
          <w:lang w:val="ro-RO"/>
        </w:rPr>
        <w:t xml:space="preserve"> </w:t>
      </w:r>
      <w:r w:rsidR="00FE476D" w:rsidRPr="00834991">
        <w:rPr>
          <w:rFonts w:ascii="Open Sans" w:hAnsi="Open Sans" w:cs="Open Sans"/>
          <w:sz w:val="22"/>
          <w:szCs w:val="22"/>
          <w:lang w:val="ro-RO"/>
        </w:rPr>
        <w:t xml:space="preserve">partenerii </w:t>
      </w:r>
      <w:r w:rsidRPr="00834991">
        <w:rPr>
          <w:rFonts w:ascii="Open Sans" w:hAnsi="Open Sans" w:cs="Open Sans"/>
          <w:sz w:val="22"/>
          <w:szCs w:val="22"/>
          <w:lang w:val="ro-RO"/>
        </w:rPr>
        <w:t>privaţi care achiziţionează produse, servicii sau lucrări</w:t>
      </w:r>
      <w:r w:rsidR="00FE476D" w:rsidRPr="00834991">
        <w:rPr>
          <w:rFonts w:ascii="Open Sans" w:hAnsi="Open Sans" w:cs="Open Sans"/>
          <w:sz w:val="22"/>
          <w:szCs w:val="22"/>
          <w:lang w:val="ro-RO"/>
        </w:rPr>
        <w:t>,</w:t>
      </w:r>
      <w:r w:rsidRPr="00834991">
        <w:rPr>
          <w:rFonts w:ascii="Open Sans" w:hAnsi="Open Sans" w:cs="Open Sans"/>
          <w:sz w:val="22"/>
          <w:szCs w:val="22"/>
          <w:lang w:val="ro-RO"/>
        </w:rPr>
        <w:t xml:space="preserve"> achiziţii aferente unor cheltuieli eligibile ce pot fi decontate ulterior în cadrul </w:t>
      </w:r>
      <w:r w:rsidR="00FE476D" w:rsidRPr="00834991">
        <w:rPr>
          <w:rFonts w:ascii="Open Sans" w:hAnsi="Open Sans" w:cs="Open Sans"/>
          <w:sz w:val="22"/>
          <w:szCs w:val="22"/>
          <w:lang w:val="ro-RO"/>
        </w:rPr>
        <w:t>Programului</w:t>
      </w:r>
      <w:r w:rsidRPr="00834991">
        <w:rPr>
          <w:rFonts w:ascii="Open Sans" w:hAnsi="Open Sans" w:cs="Open Sans"/>
          <w:sz w:val="22"/>
          <w:szCs w:val="22"/>
          <w:lang w:val="ro-RO"/>
        </w:rPr>
        <w:t>;</w:t>
      </w:r>
    </w:p>
    <w:p w14:paraId="5DAF763C" w14:textId="77777777" w:rsidR="00653584" w:rsidRPr="00834991" w:rsidRDefault="00CD27C2" w:rsidP="00750BBB">
      <w:pPr>
        <w:pStyle w:val="NormalWeb"/>
        <w:spacing w:before="0" w:beforeAutospacing="0" w:after="0" w:afterAutospacing="0"/>
        <w:jc w:val="both"/>
        <w:divId w:val="1098596305"/>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1.2.</w:t>
      </w:r>
      <w:r w:rsidR="00FE476D" w:rsidRPr="00834991">
        <w:rPr>
          <w:rFonts w:ascii="Open Sans" w:hAnsi="Open Sans" w:cs="Open Sans"/>
          <w:sz w:val="22"/>
          <w:szCs w:val="22"/>
          <w:lang w:val="ro-RO"/>
        </w:rPr>
        <w:t xml:space="preserve"> </w:t>
      </w:r>
      <w:r w:rsidR="00750BBB" w:rsidRPr="00834991">
        <w:rPr>
          <w:rFonts w:ascii="Open Sans" w:hAnsi="Open Sans" w:cs="Open Sans"/>
          <w:sz w:val="22"/>
          <w:szCs w:val="22"/>
          <w:lang w:val="ro-RO"/>
        </w:rPr>
        <w:t>P</w:t>
      </w:r>
      <w:r w:rsidR="00FE476D" w:rsidRPr="00834991">
        <w:rPr>
          <w:rFonts w:ascii="Open Sans" w:hAnsi="Open Sans" w:cs="Open Sans"/>
          <w:sz w:val="22"/>
          <w:szCs w:val="22"/>
          <w:lang w:val="ro-RO"/>
        </w:rPr>
        <w:t>artenerii</w:t>
      </w:r>
      <w:r w:rsidRPr="00834991">
        <w:rPr>
          <w:rFonts w:ascii="Open Sans" w:hAnsi="Open Sans" w:cs="Open Sans"/>
          <w:sz w:val="22"/>
          <w:szCs w:val="22"/>
          <w:lang w:val="ro-RO"/>
        </w:rPr>
        <w:t xml:space="preserve"> privaţi care achiziţionează servicii sau lucrări aplică prevederile Legii nr. 98/2016 privind achiziţiile publice, denumită în continuare lege, dacă sunt îndeplinite cumulativ condiţiile prevăzute la art. 6 din lege.                                                                           </w:t>
      </w:r>
    </w:p>
    <w:p w14:paraId="2F57CE70" w14:textId="77777777" w:rsidR="00653584" w:rsidRPr="00834991" w:rsidRDefault="00CD27C2" w:rsidP="008B2E7F">
      <w:pPr>
        <w:pStyle w:val="NormalWeb"/>
        <w:spacing w:before="0" w:beforeAutospacing="0" w:after="0" w:afterAutospacing="0"/>
        <w:ind w:firstLine="720"/>
        <w:jc w:val="both"/>
        <w:rPr>
          <w:rFonts w:ascii="Open Sans" w:hAnsi="Open Sans" w:cs="Open Sans"/>
          <w:sz w:val="22"/>
          <w:szCs w:val="22"/>
          <w:lang w:val="ro-RO"/>
        </w:rPr>
      </w:pPr>
      <w:r w:rsidRPr="00834991">
        <w:rPr>
          <w:rFonts w:ascii="Open Sans" w:hAnsi="Open Sans" w:cs="Open Sans"/>
          <w:sz w:val="22"/>
          <w:szCs w:val="22"/>
          <w:lang w:val="ro-RO"/>
        </w:rPr>
        <w:t xml:space="preserve">1.3. Dacă sunt îndeplinite cumulativ condiţiile stabilite la art. 6 alin. (1) sau la alin. (3) din lege,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va respecta în totalitate prevederile din legislaţia privind achiziţiile publice.</w:t>
      </w:r>
    </w:p>
    <w:p w14:paraId="56977514" w14:textId="12743F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1.4. Sunt interzise divizarea în mai multe contracte de valoare mai mică, precum şi utilizarea unor metode de calcul care să conducă la o subevaluare a valorii estimate, cu scopul de a se încadra sub pragurile prevăzute în lege sau cu scopul de a evita aplicarea procedur</w:t>
      </w:r>
      <w:r w:rsidR="000E654F" w:rsidRPr="00834991">
        <w:rPr>
          <w:rFonts w:ascii="Open Sans" w:hAnsi="Open Sans" w:cs="Open Sans"/>
          <w:sz w:val="22"/>
          <w:szCs w:val="22"/>
          <w:lang w:val="ro-RO"/>
        </w:rPr>
        <w:t>i</w:t>
      </w:r>
      <w:r w:rsidRPr="00834991">
        <w:rPr>
          <w:rFonts w:ascii="Open Sans" w:hAnsi="Open Sans" w:cs="Open Sans"/>
          <w:sz w:val="22"/>
          <w:szCs w:val="22"/>
          <w:lang w:val="ro-RO"/>
        </w:rPr>
        <w:t>i</w:t>
      </w:r>
      <w:r w:rsidR="000E654F" w:rsidRPr="00834991">
        <w:rPr>
          <w:rFonts w:ascii="Open Sans" w:hAnsi="Open Sans" w:cs="Open Sans"/>
          <w:sz w:val="22"/>
          <w:szCs w:val="22"/>
          <w:lang w:val="ro-RO"/>
        </w:rPr>
        <w:t xml:space="preserve"> pentru achiziții peste prag (vezi cap. 5)</w:t>
      </w:r>
      <w:r w:rsidRPr="00834991">
        <w:rPr>
          <w:rFonts w:ascii="Open Sans" w:hAnsi="Open Sans" w:cs="Open Sans"/>
          <w:sz w:val="22"/>
          <w:szCs w:val="22"/>
          <w:lang w:val="ro-RO"/>
        </w:rPr>
        <w:t>.</w:t>
      </w:r>
    </w:p>
    <w:p w14:paraId="0B736AAB"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1.5. În cazul în care</w:t>
      </w:r>
      <w:r w:rsidR="00FE476D" w:rsidRPr="00834991">
        <w:rPr>
          <w:rFonts w:ascii="Open Sans" w:hAnsi="Open Sans" w:cs="Open Sans"/>
          <w:sz w:val="22"/>
          <w:szCs w:val="22"/>
          <w:lang w:val="ro-RO"/>
        </w:rPr>
        <w:t xml:space="preserve"> partenerii</w:t>
      </w:r>
      <w:r w:rsidRPr="00834991">
        <w:rPr>
          <w:rFonts w:ascii="Open Sans" w:hAnsi="Open Sans" w:cs="Open Sans"/>
          <w:sz w:val="22"/>
          <w:szCs w:val="22"/>
          <w:lang w:val="ro-RO"/>
        </w:rPr>
        <w:t xml:space="preserve"> privaţi se asociază cu o entitate care are calitatea de autoritate contractantă, în înţelesul art. 4 alin. (1) lit. c) din lege, aceştia au obligaţia să aplice prevederile legii.</w:t>
      </w:r>
    </w:p>
    <w:p w14:paraId="778CBDB3" w14:textId="77777777" w:rsidR="00A13085" w:rsidRPr="00834991" w:rsidRDefault="00A13085">
      <w:pPr>
        <w:pStyle w:val="NormalWeb"/>
        <w:spacing w:before="0" w:beforeAutospacing="0" w:after="0" w:afterAutospacing="0"/>
        <w:jc w:val="both"/>
        <w:rPr>
          <w:rFonts w:ascii="Open Sans" w:hAnsi="Open Sans" w:cs="Open Sans"/>
          <w:sz w:val="22"/>
          <w:szCs w:val="22"/>
          <w:lang w:val="ro-RO"/>
        </w:rPr>
      </w:pPr>
    </w:p>
    <w:p w14:paraId="70DAA4E8" w14:textId="111A6FAD" w:rsidR="00653584" w:rsidRPr="00834991" w:rsidRDefault="00794296" w:rsidP="00614B8E">
      <w:pPr>
        <w:pStyle w:val="Heading1"/>
        <w:rPr>
          <w:rFonts w:ascii="Open Sans" w:hAnsi="Open Sans" w:cs="Open Sans"/>
          <w:b/>
          <w:bCs/>
          <w:color w:val="auto"/>
          <w:sz w:val="22"/>
          <w:szCs w:val="28"/>
          <w:lang w:val="ro-RO"/>
        </w:rPr>
      </w:pPr>
      <w:bookmarkStart w:id="1" w:name="_Toc184811987"/>
      <w:r w:rsidRPr="00834991">
        <w:rPr>
          <w:rFonts w:ascii="Open Sans" w:hAnsi="Open Sans" w:cs="Open Sans"/>
          <w:b/>
          <w:bCs/>
          <w:color w:val="auto"/>
          <w:sz w:val="22"/>
          <w:szCs w:val="28"/>
          <w:lang w:val="ro-RO"/>
        </w:rPr>
        <w:t>Capitolul 2</w:t>
      </w:r>
      <w:r w:rsidR="00A13085" w:rsidRPr="00834991">
        <w:rPr>
          <w:rFonts w:ascii="Open Sans" w:hAnsi="Open Sans" w:cs="Open Sans"/>
          <w:b/>
          <w:bCs/>
          <w:color w:val="auto"/>
          <w:sz w:val="22"/>
          <w:szCs w:val="28"/>
          <w:lang w:val="ro-RO"/>
        </w:rPr>
        <w:t xml:space="preserve"> - </w:t>
      </w:r>
      <w:r w:rsidRPr="00834991">
        <w:rPr>
          <w:rFonts w:ascii="Open Sans" w:hAnsi="Open Sans" w:cs="Open Sans"/>
          <w:b/>
          <w:bCs/>
          <w:color w:val="auto"/>
          <w:sz w:val="22"/>
          <w:szCs w:val="28"/>
          <w:lang w:val="ro-RO"/>
        </w:rPr>
        <w:t>Prevederi generale</w:t>
      </w:r>
      <w:bookmarkEnd w:id="1"/>
    </w:p>
    <w:p w14:paraId="747BA85C" w14:textId="09FEA3EC" w:rsidR="00653584" w:rsidRPr="00834991" w:rsidRDefault="00CD27C2" w:rsidP="56B741A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2.1.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va utiliza numai termenii şi definiţiile reglementate prin prezenta procedură, în vederea evitării unor confuzii faţă de termenii utilizaţi de legislaţia aferentă domeniului achiziţiilor publice.</w:t>
      </w:r>
      <w:r w:rsidR="632DE758" w:rsidRPr="00834991">
        <w:rPr>
          <w:rFonts w:ascii="Open Sans" w:hAnsi="Open Sans" w:cs="Open Sans"/>
          <w:sz w:val="22"/>
          <w:szCs w:val="22"/>
          <w:lang w:val="ro-RO"/>
        </w:rPr>
        <w:t> </w:t>
      </w:r>
      <w:r w:rsidR="632DE758" w:rsidRPr="00834991">
        <w:rPr>
          <w:rFonts w:ascii="Open Sans" w:hAnsi="Open Sans" w:cs="Open Sans"/>
          <w:sz w:val="22"/>
          <w:szCs w:val="22"/>
          <w:lang w:val="ro-RO"/>
        </w:rPr>
        <w:t> </w:t>
      </w:r>
    </w:p>
    <w:p w14:paraId="068410E9" w14:textId="11E31677" w:rsidR="00653584" w:rsidRPr="00834991" w:rsidRDefault="00CD27C2" w:rsidP="114FE715">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w:t>
      </w:r>
      <w:r w:rsidR="61488DCF" w:rsidRPr="00834991">
        <w:rPr>
          <w:rFonts w:ascii="Open Sans" w:hAnsi="Open Sans" w:cs="Open Sans"/>
          <w:sz w:val="22"/>
          <w:szCs w:val="22"/>
          <w:lang w:val="ro-RO"/>
        </w:rPr>
        <w:t>2</w:t>
      </w:r>
      <w:r w:rsidRPr="00834991">
        <w:rPr>
          <w:rFonts w:ascii="Open Sans" w:hAnsi="Open Sans" w:cs="Open Sans"/>
          <w:sz w:val="22"/>
          <w:szCs w:val="22"/>
          <w:lang w:val="ro-RO"/>
        </w:rPr>
        <w:t xml:space="preserve">. Toate documentele achiziţiei (inclusiv clarificările) vor fi redactate, respectiv publicate/transmise de </w:t>
      </w:r>
      <w:r w:rsidR="00750BBB" w:rsidRPr="00834991">
        <w:rPr>
          <w:rFonts w:ascii="Open Sans" w:hAnsi="Open Sans" w:cs="Open Sans"/>
          <w:sz w:val="22"/>
          <w:szCs w:val="22"/>
          <w:lang w:val="ro-RO"/>
        </w:rPr>
        <w:t>parteneru</w:t>
      </w:r>
      <w:r w:rsidRPr="00834991">
        <w:rPr>
          <w:rFonts w:ascii="Open Sans" w:hAnsi="Open Sans" w:cs="Open Sans"/>
          <w:sz w:val="22"/>
          <w:szCs w:val="22"/>
          <w:lang w:val="ro-RO"/>
        </w:rPr>
        <w:t xml:space="preserve">l privat în limba română. Dacă se consideră necesar, documentele achiziţiei pot fi traduse şi într-o altă limbă de către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În această situaţie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se va asigura că nu există neconcordanţe între versiunea în limba română şi cealaltă/celelalte versiune/versiuni. Dacă există traduceri într-o altă limbă, în cazul unui conflict între versiunea în limba română şi orice versiune într-o altă limbă, va prevala varianta în limba română.</w:t>
      </w:r>
    </w:p>
    <w:p w14:paraId="13897ED5" w14:textId="1B9D4C8C" w:rsidR="00653584" w:rsidRPr="00834991" w:rsidRDefault="00CD27C2" w:rsidP="00421C56">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w:t>
      </w:r>
      <w:r w:rsidR="00F3119D" w:rsidRPr="00834991">
        <w:rPr>
          <w:rFonts w:ascii="Open Sans" w:hAnsi="Open Sans" w:cs="Open Sans"/>
          <w:sz w:val="22"/>
          <w:szCs w:val="22"/>
          <w:lang w:val="ro-RO"/>
        </w:rPr>
        <w:t>3</w:t>
      </w:r>
      <w:r w:rsidRPr="00834991">
        <w:rPr>
          <w:rFonts w:ascii="Open Sans" w:hAnsi="Open Sans" w:cs="Open Sans"/>
          <w:sz w:val="22"/>
          <w:szCs w:val="22"/>
          <w:lang w:val="ro-RO"/>
        </w:rPr>
        <w:t xml:space="preserve">. În cazul procedurilor derulate în cadrul unui proiect, </w:t>
      </w:r>
      <w:r w:rsidR="00620117" w:rsidRPr="00834991">
        <w:rPr>
          <w:rFonts w:ascii="Open Sans" w:hAnsi="Open Sans" w:cs="Open Sans"/>
          <w:sz w:val="22"/>
          <w:szCs w:val="22"/>
          <w:lang w:val="ro-RO"/>
        </w:rPr>
        <w:t>partene</w:t>
      </w:r>
      <w:r w:rsidRPr="00834991">
        <w:rPr>
          <w:rFonts w:ascii="Open Sans" w:hAnsi="Open Sans" w:cs="Open Sans"/>
          <w:sz w:val="22"/>
          <w:szCs w:val="22"/>
          <w:lang w:val="ro-RO"/>
        </w:rPr>
        <w:t>rii privaţi trebuie să coreleze documentele achiziţiei cu clauzele contractelor de finanţare semnate.</w:t>
      </w:r>
    </w:p>
    <w:p w14:paraId="5533273A" w14:textId="4FB92788" w:rsidR="008B2E7F" w:rsidRPr="00834991" w:rsidRDefault="00CD27C2" w:rsidP="00421C56">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w:t>
      </w:r>
      <w:r w:rsidR="00F3119D" w:rsidRPr="00834991">
        <w:rPr>
          <w:rFonts w:ascii="Open Sans" w:hAnsi="Open Sans" w:cs="Open Sans"/>
          <w:sz w:val="22"/>
          <w:szCs w:val="22"/>
          <w:lang w:val="ro-RO"/>
        </w:rPr>
        <w:t>4</w:t>
      </w:r>
      <w:r w:rsidRPr="00834991">
        <w:rPr>
          <w:rFonts w:ascii="Open Sans" w:hAnsi="Open Sans" w:cs="Open Sans"/>
          <w:sz w:val="22"/>
          <w:szCs w:val="22"/>
          <w:lang w:val="ro-RO"/>
        </w:rPr>
        <w:t xml:space="preserve">. </w:t>
      </w:r>
      <w:r w:rsidR="61C4CA3A" w:rsidRPr="00834991">
        <w:rPr>
          <w:rFonts w:ascii="Open Sans" w:hAnsi="Open Sans" w:cs="Open Sans"/>
          <w:sz w:val="22"/>
          <w:szCs w:val="22"/>
          <w:lang w:val="ro-RO"/>
        </w:rPr>
        <w:t xml:space="preserve">Autoritatea de managementtrebuie să efectueze controale de gestiune în </w:t>
      </w:r>
      <w:r w:rsidR="00421C56">
        <w:rPr>
          <w:rFonts w:ascii="Open Sans" w:hAnsi="Open Sans" w:cs="Open Sans"/>
          <w:sz w:val="22"/>
          <w:szCs w:val="22"/>
          <w:lang w:val="ro-RO"/>
        </w:rPr>
        <w:t xml:space="preserve"> c</w:t>
      </w:r>
      <w:r w:rsidR="61C4CA3A" w:rsidRPr="00834991">
        <w:rPr>
          <w:rFonts w:ascii="Open Sans" w:hAnsi="Open Sans" w:cs="Open Sans"/>
          <w:sz w:val="22"/>
          <w:szCs w:val="22"/>
          <w:lang w:val="ro-RO"/>
        </w:rPr>
        <w:t xml:space="preserve">onformitate cu prevederile Regulamentului (UE) 2021/1060 (art. 74). </w:t>
      </w:r>
      <w:r w:rsidR="632DE758" w:rsidRPr="00834991">
        <w:rPr>
          <w:rFonts w:ascii="Open Sans" w:hAnsi="Open Sans" w:cs="Open Sans"/>
          <w:sz w:val="22"/>
          <w:szCs w:val="22"/>
          <w:lang w:val="ro-RO"/>
        </w:rPr>
        <w:t>  </w:t>
      </w:r>
    </w:p>
    <w:p w14:paraId="3F2F8E8B" w14:textId="72BD1BDB" w:rsidR="00653584" w:rsidRPr="00834991" w:rsidRDefault="632DE758" w:rsidP="00C37061">
      <w:pPr>
        <w:pStyle w:val="NormalWeb"/>
        <w:spacing w:before="0" w:beforeAutospacing="0" w:after="0" w:afterAutospacing="0"/>
        <w:ind w:firstLine="426"/>
        <w:jc w:val="both"/>
        <w:rPr>
          <w:rFonts w:ascii="Open Sans" w:hAnsi="Open Sans" w:cs="Open Sans"/>
          <w:sz w:val="22"/>
          <w:szCs w:val="22"/>
          <w:lang w:val="ro-RO"/>
        </w:rPr>
      </w:pPr>
      <w:r w:rsidRPr="00834991">
        <w:rPr>
          <w:rFonts w:ascii="Open Sans" w:hAnsi="Open Sans" w:cs="Open Sans"/>
          <w:sz w:val="22"/>
          <w:szCs w:val="22"/>
          <w:lang w:val="ro-RO"/>
        </w:rPr>
        <w:t>2.</w:t>
      </w:r>
      <w:r w:rsidR="00F3119D" w:rsidRPr="00834991">
        <w:rPr>
          <w:rFonts w:ascii="Open Sans" w:hAnsi="Open Sans" w:cs="Open Sans"/>
          <w:sz w:val="22"/>
          <w:szCs w:val="22"/>
          <w:lang w:val="ro-RO"/>
        </w:rPr>
        <w:t>5</w:t>
      </w:r>
      <w:r w:rsidRPr="00834991">
        <w:rPr>
          <w:rFonts w:ascii="Open Sans" w:hAnsi="Open Sans" w:cs="Open Sans"/>
          <w:sz w:val="22"/>
          <w:szCs w:val="22"/>
          <w:lang w:val="ro-RO"/>
        </w:rPr>
        <w:t xml:space="preserve">. </w:t>
      </w:r>
      <w:r w:rsidR="25514344" w:rsidRPr="00834991">
        <w:rPr>
          <w:rFonts w:ascii="Open Sans" w:hAnsi="Open Sans" w:cs="Open Sans"/>
          <w:sz w:val="22"/>
          <w:szCs w:val="22"/>
          <w:lang w:val="ro-RO"/>
        </w:rPr>
        <w:t>Este obligatoriu ca beneficiarul privat s</w:t>
      </w:r>
      <w:r w:rsidR="26FB57CF" w:rsidRPr="00834991">
        <w:rPr>
          <w:rFonts w:ascii="Open Sans" w:hAnsi="Open Sans" w:cs="Open Sans"/>
          <w:sz w:val="22"/>
          <w:szCs w:val="22"/>
          <w:lang w:val="ro-RO"/>
        </w:rPr>
        <w:t>ă</w:t>
      </w:r>
      <w:r w:rsidR="25514344" w:rsidRPr="00834991">
        <w:rPr>
          <w:rFonts w:ascii="Open Sans" w:hAnsi="Open Sans" w:cs="Open Sans"/>
          <w:sz w:val="22"/>
          <w:szCs w:val="22"/>
          <w:lang w:val="ro-RO"/>
        </w:rPr>
        <w:t xml:space="preserve"> aib</w:t>
      </w:r>
      <w:r w:rsidR="0CA4C4A2" w:rsidRPr="00834991">
        <w:rPr>
          <w:rFonts w:ascii="Open Sans" w:hAnsi="Open Sans" w:cs="Open Sans"/>
          <w:sz w:val="22"/>
          <w:szCs w:val="22"/>
          <w:lang w:val="ro-RO"/>
        </w:rPr>
        <w:t>ă</w:t>
      </w:r>
      <w:r w:rsidR="25514344" w:rsidRPr="00834991">
        <w:rPr>
          <w:rFonts w:ascii="Open Sans" w:hAnsi="Open Sans" w:cs="Open Sans"/>
          <w:sz w:val="22"/>
          <w:szCs w:val="22"/>
          <w:lang w:val="ro-RO"/>
        </w:rPr>
        <w:t xml:space="preserve"> un </w:t>
      </w:r>
      <w:r w:rsidR="25514344" w:rsidRPr="00834991">
        <w:rPr>
          <w:rFonts w:ascii="Open Sans" w:hAnsi="Open Sans" w:cs="Open Sans"/>
          <w:b/>
          <w:bCs/>
          <w:sz w:val="22"/>
          <w:szCs w:val="22"/>
          <w:lang w:val="ro-RO"/>
        </w:rPr>
        <w:t>Plan</w:t>
      </w:r>
      <w:r w:rsidR="00C37061" w:rsidRPr="00834991">
        <w:rPr>
          <w:rFonts w:ascii="Open Sans" w:hAnsi="Open Sans" w:cs="Open Sans"/>
          <w:b/>
          <w:bCs/>
          <w:sz w:val="22"/>
          <w:szCs w:val="22"/>
          <w:lang w:val="ro-RO"/>
        </w:rPr>
        <w:t xml:space="preserve"> </w:t>
      </w:r>
      <w:r w:rsidR="25514344" w:rsidRPr="00834991">
        <w:rPr>
          <w:rFonts w:ascii="Open Sans" w:hAnsi="Open Sans" w:cs="Open Sans"/>
          <w:b/>
          <w:bCs/>
          <w:sz w:val="22"/>
          <w:szCs w:val="22"/>
          <w:lang w:val="ro-RO"/>
        </w:rPr>
        <w:t>de Achizi</w:t>
      </w:r>
      <w:r w:rsidR="00C37061" w:rsidRPr="00834991">
        <w:rPr>
          <w:rFonts w:ascii="Open Sans" w:hAnsi="Open Sans" w:cs="Open Sans"/>
          <w:b/>
          <w:bCs/>
          <w:sz w:val="22"/>
          <w:szCs w:val="22"/>
          <w:lang w:val="ro-RO"/>
        </w:rPr>
        <w:t>ț</w:t>
      </w:r>
      <w:r w:rsidR="25514344" w:rsidRPr="00834991">
        <w:rPr>
          <w:rFonts w:ascii="Open Sans" w:hAnsi="Open Sans" w:cs="Open Sans"/>
          <w:b/>
          <w:bCs/>
          <w:sz w:val="22"/>
          <w:szCs w:val="22"/>
          <w:lang w:val="ro-RO"/>
        </w:rPr>
        <w:t>ii</w:t>
      </w:r>
      <w:r w:rsidR="00C37061" w:rsidRPr="00834991">
        <w:rPr>
          <w:rFonts w:ascii="Open Sans" w:hAnsi="Open Sans" w:cs="Open Sans"/>
          <w:b/>
          <w:bCs/>
          <w:sz w:val="22"/>
          <w:szCs w:val="22"/>
          <w:lang w:val="ro-RO"/>
        </w:rPr>
        <w:t xml:space="preserve"> pe Proiect</w:t>
      </w:r>
      <w:r w:rsidR="25514344" w:rsidRPr="00834991">
        <w:rPr>
          <w:rFonts w:ascii="Open Sans" w:hAnsi="Open Sans" w:cs="Open Sans"/>
          <w:sz w:val="22"/>
          <w:szCs w:val="22"/>
          <w:lang w:val="ro-RO"/>
        </w:rPr>
        <w:t xml:space="preserve"> pentru achizi</w:t>
      </w:r>
      <w:r w:rsidR="33302B05" w:rsidRPr="00834991">
        <w:rPr>
          <w:rFonts w:ascii="Open Sans" w:hAnsi="Open Sans" w:cs="Open Sans"/>
          <w:sz w:val="22"/>
          <w:szCs w:val="22"/>
          <w:lang w:val="ro-RO"/>
        </w:rPr>
        <w:t>ț</w:t>
      </w:r>
      <w:r w:rsidR="25514344" w:rsidRPr="00834991">
        <w:rPr>
          <w:rFonts w:ascii="Open Sans" w:hAnsi="Open Sans" w:cs="Open Sans"/>
          <w:sz w:val="22"/>
          <w:szCs w:val="22"/>
          <w:lang w:val="ro-RO"/>
        </w:rPr>
        <w:t>iile din cadrul proiectului</w:t>
      </w:r>
      <w:r w:rsidR="4B13A4BB" w:rsidRPr="00834991">
        <w:rPr>
          <w:rFonts w:ascii="Open Sans" w:hAnsi="Open Sans" w:cs="Open Sans"/>
          <w:sz w:val="22"/>
          <w:szCs w:val="22"/>
          <w:lang w:val="ro-RO"/>
        </w:rPr>
        <w:t>.</w:t>
      </w:r>
      <w:r w:rsidR="25514344" w:rsidRPr="00834991">
        <w:rPr>
          <w:rFonts w:ascii="Open Sans" w:hAnsi="Open Sans" w:cs="Open Sans"/>
          <w:sz w:val="22"/>
          <w:szCs w:val="22"/>
          <w:lang w:val="ro-RO"/>
        </w:rPr>
        <w:t xml:space="preserve"> </w:t>
      </w:r>
      <w:r w:rsidR="2DCA9834" w:rsidRPr="00834991">
        <w:rPr>
          <w:rFonts w:ascii="Open Sans" w:hAnsi="Open Sans" w:cs="Open Sans"/>
          <w:sz w:val="22"/>
          <w:szCs w:val="22"/>
          <w:lang w:val="ro-RO"/>
        </w:rPr>
        <w:t xml:space="preserve">În cazul contractelor de finanţare/acordurilor multianuale care se implementează pe o perioadă mai mare de 1 an calendaristic, partenerul privat va alege modalitatea de achiziţie ţinând cont de valoarea totală a produselor, serviciilor, lucrărilor care sunt considerate similare </w:t>
      </w:r>
      <w:r w:rsidR="52F4149D" w:rsidRPr="00834991">
        <w:rPr>
          <w:rFonts w:ascii="Open Sans" w:hAnsi="Open Sans" w:cs="Open Sans"/>
          <w:sz w:val="22"/>
          <w:szCs w:val="22"/>
          <w:lang w:val="ro-RO"/>
        </w:rPr>
        <w:t>(respectiv au acela</w:t>
      </w:r>
      <w:r w:rsidR="2F170330" w:rsidRPr="00834991">
        <w:rPr>
          <w:rFonts w:ascii="Open Sans" w:hAnsi="Open Sans" w:cs="Open Sans"/>
          <w:sz w:val="22"/>
          <w:szCs w:val="22"/>
          <w:lang w:val="ro-RO"/>
        </w:rPr>
        <w:t>ș</w:t>
      </w:r>
      <w:r w:rsidR="52F4149D" w:rsidRPr="00834991">
        <w:rPr>
          <w:rFonts w:ascii="Open Sans" w:hAnsi="Open Sans" w:cs="Open Sans"/>
          <w:sz w:val="22"/>
          <w:szCs w:val="22"/>
          <w:lang w:val="ro-RO"/>
        </w:rPr>
        <w:t xml:space="preserve">i subiect) </w:t>
      </w:r>
      <w:r w:rsidR="2DCA9834" w:rsidRPr="00834991">
        <w:rPr>
          <w:rFonts w:ascii="Open Sans" w:hAnsi="Open Sans" w:cs="Open Sans"/>
          <w:sz w:val="22"/>
          <w:szCs w:val="22"/>
          <w:lang w:val="ro-RO"/>
        </w:rPr>
        <w:t>ori care se adresează operatorilor economici ce desfăşoară în mod constant activităţi într-o piaţă de profil relevantă estimată</w:t>
      </w:r>
      <w:r w:rsidR="007E27B8">
        <w:rPr>
          <w:rFonts w:ascii="Open Sans" w:hAnsi="Open Sans" w:cs="Open Sans"/>
          <w:sz w:val="22"/>
          <w:szCs w:val="22"/>
          <w:lang w:val="ro-RO"/>
        </w:rPr>
        <w:t>,</w:t>
      </w:r>
      <w:r w:rsidR="2DCA9834" w:rsidRPr="00834991">
        <w:rPr>
          <w:rFonts w:ascii="Open Sans" w:hAnsi="Open Sans" w:cs="Open Sans"/>
          <w:sz w:val="22"/>
          <w:szCs w:val="22"/>
          <w:lang w:val="ro-RO"/>
        </w:rPr>
        <w:t xml:space="preserve"> pentru </w:t>
      </w:r>
      <w:r w:rsidR="2DCA9834" w:rsidRPr="00834991">
        <w:rPr>
          <w:rFonts w:ascii="Open Sans" w:hAnsi="Open Sans" w:cs="Open Sans"/>
          <w:b/>
          <w:bCs/>
          <w:sz w:val="22"/>
          <w:szCs w:val="22"/>
          <w:lang w:val="ro-RO"/>
        </w:rPr>
        <w:t>întreaga perioadă de implementare a proiectului</w:t>
      </w:r>
      <w:r w:rsidR="2DCA9834" w:rsidRPr="00834991">
        <w:rPr>
          <w:rFonts w:ascii="Open Sans" w:hAnsi="Open Sans" w:cs="Open Sans"/>
          <w:sz w:val="22"/>
          <w:szCs w:val="22"/>
          <w:lang w:val="ro-RO"/>
        </w:rPr>
        <w:t>, fără obligativitatea derulării unei singure proceduri/achiziţii directe.</w:t>
      </w:r>
      <w:r w:rsidR="5D445E23" w:rsidRPr="00834991">
        <w:rPr>
          <w:rFonts w:ascii="Open Sans" w:hAnsi="Open Sans" w:cs="Open Sans"/>
          <w:sz w:val="22"/>
          <w:szCs w:val="22"/>
          <w:lang w:val="ro-RO"/>
        </w:rPr>
        <w:t xml:space="preserve"> </w:t>
      </w:r>
      <w:r w:rsidR="2DCA9834" w:rsidRPr="00834991">
        <w:rPr>
          <w:rFonts w:ascii="Open Sans" w:hAnsi="Open Sans" w:cs="Open Sans"/>
          <w:sz w:val="22"/>
          <w:szCs w:val="22"/>
          <w:lang w:val="ro-RO"/>
        </w:rPr>
        <w:t xml:space="preserve"> Dacă va organiza mai multe proceduri/achiziţii directe, partenerul privat se va asigura că aceste activităţi nu vor genera costuri administrative suplimentare în cadrul proiectului.</w:t>
      </w:r>
    </w:p>
    <w:p w14:paraId="5D1522C8" w14:textId="0936D02A" w:rsidR="00A13085" w:rsidRPr="00834991" w:rsidRDefault="00CD27C2" w:rsidP="1D80DE21">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p>
    <w:p w14:paraId="6D2F5D78" w14:textId="72DE187F" w:rsidR="00653584" w:rsidRPr="00834991" w:rsidRDefault="00794296" w:rsidP="00614B8E">
      <w:pPr>
        <w:pStyle w:val="Heading1"/>
        <w:rPr>
          <w:rFonts w:ascii="Open Sans" w:hAnsi="Open Sans" w:cs="Open Sans"/>
          <w:b/>
          <w:bCs/>
          <w:color w:val="auto"/>
          <w:sz w:val="22"/>
          <w:szCs w:val="28"/>
          <w:lang w:val="ro-RO"/>
        </w:rPr>
      </w:pPr>
      <w:bookmarkStart w:id="2" w:name="_Toc184811988"/>
      <w:r w:rsidRPr="00834991">
        <w:rPr>
          <w:rFonts w:ascii="Open Sans" w:hAnsi="Open Sans" w:cs="Open Sans"/>
          <w:b/>
          <w:bCs/>
          <w:color w:val="auto"/>
          <w:sz w:val="22"/>
          <w:szCs w:val="28"/>
          <w:lang w:val="ro-RO"/>
        </w:rPr>
        <w:t>Capitolul 3</w:t>
      </w:r>
      <w:r w:rsidR="00A13085" w:rsidRPr="00834991">
        <w:rPr>
          <w:rFonts w:ascii="Open Sans" w:hAnsi="Open Sans" w:cs="Open Sans"/>
          <w:b/>
          <w:bCs/>
          <w:color w:val="auto"/>
          <w:sz w:val="22"/>
          <w:szCs w:val="28"/>
          <w:lang w:val="ro-RO"/>
        </w:rPr>
        <w:t xml:space="preserve"> - </w:t>
      </w:r>
      <w:r w:rsidRPr="00834991">
        <w:rPr>
          <w:rFonts w:ascii="Open Sans" w:hAnsi="Open Sans" w:cs="Open Sans"/>
          <w:b/>
          <w:bCs/>
          <w:color w:val="auto"/>
          <w:sz w:val="22"/>
          <w:szCs w:val="28"/>
          <w:lang w:val="ro-RO"/>
        </w:rPr>
        <w:t>Definiţii</w:t>
      </w:r>
      <w:bookmarkEnd w:id="2"/>
    </w:p>
    <w:p w14:paraId="44952A74" w14:textId="623B7FB2" w:rsidR="00C37061" w:rsidRPr="00834991" w:rsidRDefault="00C37061">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xml:space="preserve">3.1 Achiziţia directă - etapele minime ce trebuie parcurse de partenerii privaţi în vederea </w:t>
      </w:r>
      <w:r w:rsidR="008C3821" w:rsidRPr="00834991">
        <w:rPr>
          <w:rFonts w:ascii="Open Sans" w:hAnsi="Open Sans" w:cs="Open Sans"/>
          <w:sz w:val="22"/>
          <w:szCs w:val="22"/>
          <w:lang w:val="ro-RO"/>
        </w:rPr>
        <w:t>unei</w:t>
      </w:r>
      <w:r w:rsidRPr="00834991">
        <w:rPr>
          <w:rFonts w:ascii="Open Sans" w:hAnsi="Open Sans" w:cs="Open Sans"/>
          <w:sz w:val="22"/>
          <w:szCs w:val="22"/>
          <w:lang w:val="ro-RO"/>
        </w:rPr>
        <w:t xml:space="preserve"> achiziţi</w:t>
      </w:r>
      <w:r w:rsidR="008C3821" w:rsidRPr="00834991">
        <w:rPr>
          <w:rFonts w:ascii="Open Sans" w:hAnsi="Open Sans" w:cs="Open Sans"/>
          <w:sz w:val="22"/>
          <w:szCs w:val="22"/>
          <w:lang w:val="ro-RO"/>
        </w:rPr>
        <w:t>i,</w:t>
      </w:r>
      <w:r w:rsidRPr="00834991">
        <w:rPr>
          <w:rFonts w:ascii="Open Sans" w:hAnsi="Open Sans" w:cs="Open Sans"/>
          <w:sz w:val="22"/>
          <w:szCs w:val="22"/>
          <w:lang w:val="ro-RO"/>
        </w:rPr>
        <w:t xml:space="preserve"> dacă valoarea estimată a achiziţiei, fără TVA, este mai mică decât pragurile valorice prevăzute de art. 7 alin. (5) din legea 98/ 2016</w:t>
      </w:r>
      <w:r w:rsidRPr="00834991">
        <w:rPr>
          <w:rStyle w:val="FootnoteReference"/>
          <w:rFonts w:ascii="Open Sans" w:hAnsi="Open Sans" w:cs="Open Sans"/>
          <w:sz w:val="22"/>
          <w:szCs w:val="22"/>
          <w:lang w:val="ro-RO"/>
        </w:rPr>
        <w:footnoteReference w:id="1"/>
      </w:r>
      <w:r w:rsidR="008C3821" w:rsidRPr="00834991">
        <w:rPr>
          <w:rFonts w:ascii="Open Sans" w:hAnsi="Open Sans" w:cs="Open Sans"/>
          <w:sz w:val="22"/>
          <w:szCs w:val="22"/>
          <w:lang w:val="ro-RO"/>
        </w:rPr>
        <w:t>.</w:t>
      </w:r>
    </w:p>
    <w:p w14:paraId="4D21C073" w14:textId="63F5A999"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w:t>
      </w:r>
      <w:r w:rsidR="00C37061" w:rsidRPr="00834991">
        <w:rPr>
          <w:rFonts w:ascii="Open Sans" w:hAnsi="Open Sans" w:cs="Open Sans"/>
          <w:sz w:val="22"/>
          <w:szCs w:val="22"/>
          <w:lang w:val="ro-RO"/>
        </w:rPr>
        <w:t>2</w:t>
      </w:r>
      <w:r w:rsidRPr="00834991">
        <w:rPr>
          <w:rFonts w:ascii="Open Sans" w:hAnsi="Open Sans" w:cs="Open Sans"/>
          <w:sz w:val="22"/>
          <w:szCs w:val="22"/>
          <w:lang w:val="ro-RO"/>
        </w:rPr>
        <w:t xml:space="preserve">. Procedura </w:t>
      </w:r>
      <w:r w:rsidR="00F3119D" w:rsidRPr="00834991">
        <w:rPr>
          <w:rFonts w:ascii="Open Sans" w:hAnsi="Open Sans" w:cs="Open Sans"/>
          <w:sz w:val="22"/>
          <w:szCs w:val="22"/>
          <w:lang w:val="ro-RO"/>
        </w:rPr>
        <w:t>pentru achiziții peste prag</w:t>
      </w:r>
      <w:r w:rsidRPr="00834991">
        <w:rPr>
          <w:rFonts w:ascii="Open Sans" w:hAnsi="Open Sans" w:cs="Open Sans"/>
          <w:sz w:val="22"/>
          <w:szCs w:val="22"/>
          <w:lang w:val="ro-RO"/>
        </w:rPr>
        <w:t xml:space="preserve"> - etapele minime ce trebuie parcurse de</w:t>
      </w:r>
      <w:r w:rsidR="00FE476D" w:rsidRPr="00834991">
        <w:rPr>
          <w:rFonts w:ascii="Open Sans" w:hAnsi="Open Sans" w:cs="Open Sans"/>
          <w:sz w:val="22"/>
          <w:szCs w:val="22"/>
          <w:lang w:val="ro-RO"/>
        </w:rPr>
        <w:t xml:space="preserve"> partenerii</w:t>
      </w:r>
      <w:r w:rsidR="004C4FA7" w:rsidRPr="00834991">
        <w:rPr>
          <w:rFonts w:ascii="Open Sans" w:hAnsi="Open Sans" w:cs="Open Sans"/>
          <w:sz w:val="22"/>
          <w:szCs w:val="22"/>
          <w:lang w:val="ro-RO"/>
        </w:rPr>
        <w:t xml:space="preserve"> </w:t>
      </w:r>
      <w:r w:rsidRPr="00834991">
        <w:rPr>
          <w:rFonts w:ascii="Open Sans" w:hAnsi="Open Sans" w:cs="Open Sans"/>
          <w:sz w:val="22"/>
          <w:szCs w:val="22"/>
          <w:lang w:val="ro-RO"/>
        </w:rPr>
        <w:t>privaţi în vederea atribuirii unui contract de achiziţie</w:t>
      </w:r>
      <w:r w:rsidR="008C3821" w:rsidRPr="00834991">
        <w:rPr>
          <w:rFonts w:ascii="Open Sans" w:hAnsi="Open Sans" w:cs="Open Sans"/>
          <w:sz w:val="22"/>
          <w:szCs w:val="22"/>
          <w:lang w:val="ro-RO"/>
        </w:rPr>
        <w:t>, dacă valoarea estimată a achiziţiei, fără TVA, este egală sau mai mare decât pragurile valorice prevăzute de art. 7 alin. (5) din legea 98/ 2016</w:t>
      </w:r>
      <w:r w:rsidR="008C3821" w:rsidRPr="00834991">
        <w:rPr>
          <w:rStyle w:val="FootnoteReference"/>
          <w:rFonts w:ascii="Open Sans" w:hAnsi="Open Sans" w:cs="Open Sans"/>
          <w:sz w:val="22"/>
          <w:szCs w:val="22"/>
          <w:lang w:val="ro-RO"/>
        </w:rPr>
        <w:footnoteReference w:id="2"/>
      </w:r>
      <w:r w:rsidRPr="00834991">
        <w:rPr>
          <w:rFonts w:ascii="Open Sans" w:hAnsi="Open Sans" w:cs="Open Sans"/>
          <w:sz w:val="22"/>
          <w:szCs w:val="22"/>
          <w:lang w:val="ro-RO"/>
        </w:rPr>
        <w:t>.</w:t>
      </w:r>
    </w:p>
    <w:p w14:paraId="22E0DF5C" w14:textId="710764AB"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w:t>
      </w:r>
      <w:r w:rsidR="00C37061" w:rsidRPr="00834991">
        <w:rPr>
          <w:rFonts w:ascii="Open Sans" w:hAnsi="Open Sans" w:cs="Open Sans"/>
          <w:sz w:val="22"/>
          <w:szCs w:val="22"/>
          <w:lang w:val="ro-RO"/>
        </w:rPr>
        <w:t>3</w:t>
      </w:r>
      <w:r w:rsidRPr="00834991">
        <w:rPr>
          <w:rFonts w:ascii="Open Sans" w:hAnsi="Open Sans" w:cs="Open Sans"/>
          <w:sz w:val="22"/>
          <w:szCs w:val="22"/>
          <w:lang w:val="ro-RO"/>
        </w:rPr>
        <w:t xml:space="preserve">. </w:t>
      </w:r>
      <w:r w:rsidR="005E73C7" w:rsidRPr="00834991">
        <w:rPr>
          <w:rFonts w:ascii="Open Sans" w:hAnsi="Open Sans" w:cs="Open Sans"/>
          <w:sz w:val="22"/>
          <w:szCs w:val="22"/>
          <w:lang w:val="ro-RO"/>
        </w:rPr>
        <w:t>Partener - entitate juridică care participă alături de partenerul privat la desfăşurarea activităţilor din cadrul proiectului.</w:t>
      </w:r>
    </w:p>
    <w:p w14:paraId="27E58F42" w14:textId="01861CDE" w:rsidR="00653584"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w:t>
      </w:r>
      <w:r w:rsidR="00C37061" w:rsidRPr="00834991">
        <w:rPr>
          <w:rFonts w:ascii="Open Sans" w:hAnsi="Open Sans" w:cs="Open Sans"/>
          <w:sz w:val="22"/>
          <w:szCs w:val="22"/>
          <w:lang w:val="ro-RO"/>
        </w:rPr>
        <w:t>4</w:t>
      </w:r>
      <w:r w:rsidRPr="00834991">
        <w:rPr>
          <w:rFonts w:ascii="Open Sans" w:hAnsi="Open Sans" w:cs="Open Sans"/>
          <w:sz w:val="22"/>
          <w:szCs w:val="22"/>
          <w:lang w:val="ro-RO"/>
        </w:rPr>
        <w:t xml:space="preserve">. </w:t>
      </w:r>
      <w:r w:rsidR="005E73C7" w:rsidRPr="00834991">
        <w:rPr>
          <w:rFonts w:ascii="Open Sans" w:hAnsi="Open Sans" w:cs="Open Sans"/>
          <w:sz w:val="22"/>
          <w:szCs w:val="22"/>
          <w:lang w:val="ro-RO"/>
        </w:rPr>
        <w:t>Partener privat - entitate juridică fără calitate de autoritate contractantă care a semnat un contract de finanţare sau care are calitatea de partener în cadrul unui contract de finanţare.</w:t>
      </w:r>
    </w:p>
    <w:p w14:paraId="39C334C3" w14:textId="077D799B" w:rsidR="00387568" w:rsidRPr="00834991" w:rsidRDefault="00387568">
      <w:pPr>
        <w:pStyle w:val="NormalWeb"/>
        <w:spacing w:before="0" w:beforeAutospacing="0" w:after="0" w:afterAutospacing="0"/>
        <w:jc w:val="both"/>
        <w:rPr>
          <w:rFonts w:ascii="Open Sans" w:hAnsi="Open Sans" w:cs="Open Sans"/>
          <w:sz w:val="22"/>
          <w:szCs w:val="22"/>
          <w:lang w:val="ro-RO"/>
        </w:rPr>
      </w:pPr>
      <w:r>
        <w:rPr>
          <w:rFonts w:ascii="Open Sans" w:hAnsi="Open Sans" w:cs="Open Sans"/>
          <w:sz w:val="22"/>
          <w:szCs w:val="22"/>
          <w:lang w:val="ro-RO"/>
        </w:rPr>
        <w:t xml:space="preserve">3.5 </w:t>
      </w:r>
      <w:r w:rsidRPr="00834991">
        <w:rPr>
          <w:rFonts w:ascii="Open Sans" w:hAnsi="Open Sans" w:cs="Open Sans"/>
          <w:sz w:val="22"/>
          <w:szCs w:val="22"/>
          <w:lang w:val="ro-RO"/>
        </w:rPr>
        <w:t>Jems</w:t>
      </w:r>
      <w:r>
        <w:rPr>
          <w:rFonts w:ascii="Open Sans" w:hAnsi="Open Sans" w:cs="Open Sans"/>
          <w:sz w:val="22"/>
          <w:szCs w:val="22"/>
          <w:lang w:val="ro-RO"/>
        </w:rPr>
        <w:t xml:space="preserve"> (Joint Electronic Monitoring System) - sistemul electronic de monitorizare pus la dispoziție de către Programul Interreg VI-A România – Ungaria</w:t>
      </w:r>
      <w:r w:rsidR="00F6538D">
        <w:rPr>
          <w:rFonts w:ascii="Open Sans" w:hAnsi="Open Sans" w:cs="Open Sans"/>
          <w:sz w:val="22"/>
          <w:szCs w:val="22"/>
          <w:lang w:val="ro-RO"/>
        </w:rPr>
        <w:t>.</w:t>
      </w:r>
    </w:p>
    <w:p w14:paraId="516F920C" w14:textId="0EAF2B20"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w:t>
      </w:r>
      <w:r w:rsidR="00387568">
        <w:rPr>
          <w:rFonts w:ascii="Open Sans" w:hAnsi="Open Sans" w:cs="Open Sans"/>
          <w:sz w:val="22"/>
          <w:szCs w:val="22"/>
          <w:lang w:val="ro-RO"/>
        </w:rPr>
        <w:t>6</w:t>
      </w:r>
      <w:r w:rsidRPr="00834991">
        <w:rPr>
          <w:rFonts w:ascii="Open Sans" w:hAnsi="Open Sans" w:cs="Open Sans"/>
          <w:sz w:val="22"/>
          <w:szCs w:val="22"/>
          <w:lang w:val="ro-RO"/>
        </w:rPr>
        <w:t xml:space="preserve">. Operator economic - orice persoană fizică sau juridică, de drept public ori de drept privat, sau grup ori asociere de astfel de persoane, care oferă în mod licit pe piaţă executarea de lucrări şi/sau a unei construcţii, furnizarea de produse ori prestarea de servicii, inclusiv orice asociere temporară formată între două ori mai multe dintre aceste entităţi. </w:t>
      </w:r>
    </w:p>
    <w:p w14:paraId="4042A4A9" w14:textId="7C08B506"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w:t>
      </w:r>
      <w:r w:rsidR="00387568">
        <w:rPr>
          <w:rFonts w:ascii="Open Sans" w:hAnsi="Open Sans" w:cs="Open Sans"/>
          <w:sz w:val="22"/>
          <w:szCs w:val="22"/>
          <w:lang w:val="ro-RO"/>
        </w:rPr>
        <w:t>7</w:t>
      </w:r>
      <w:r w:rsidRPr="00834991">
        <w:rPr>
          <w:rFonts w:ascii="Open Sans" w:hAnsi="Open Sans" w:cs="Open Sans"/>
          <w:sz w:val="22"/>
          <w:szCs w:val="22"/>
          <w:lang w:val="ro-RO"/>
        </w:rPr>
        <w:t>. Valoare estimată - o determinare valorică şi cantitativă, pe componente de cost, a obiectului unei achiziţii care se stabileşte pe baza calculării şi însumării tuturor sumelor plătibile pentru îndeplinirea obiectivului propus (inclusiv cuantumul aferent procentului de diverse şi neprevăzute, după caz), fără taxa pe valoarea adăugată, luând în considerare orice eventuale forme de opţiuni şi prelungiri menţionate în mod explicit în documentele achiziţiei.</w:t>
      </w:r>
    </w:p>
    <w:p w14:paraId="5343455F" w14:textId="58F7410A"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3.</w:t>
      </w:r>
      <w:r w:rsidR="00387568">
        <w:rPr>
          <w:rFonts w:ascii="Open Sans" w:hAnsi="Open Sans" w:cs="Open Sans"/>
          <w:sz w:val="22"/>
          <w:szCs w:val="22"/>
          <w:lang w:val="ro-RO"/>
        </w:rPr>
        <w:t>8</w:t>
      </w:r>
      <w:r w:rsidRPr="00834991">
        <w:rPr>
          <w:rFonts w:ascii="Open Sans" w:hAnsi="Open Sans" w:cs="Open Sans"/>
          <w:sz w:val="22"/>
          <w:szCs w:val="22"/>
          <w:lang w:val="ro-RO"/>
        </w:rPr>
        <w:t xml:space="preserve">. Specificaţii tehnice - toate cerinţele, inclusiv prescripţii sau caracteristici de natură tehnică ce permit fiecărui produs, serviciu sau lucrare să fie descris, în mod obiectiv, într-o manieră corespunzătoare îndeplinirii necesităţii </w:t>
      </w:r>
      <w:r w:rsidR="00F06779" w:rsidRPr="00834991">
        <w:rPr>
          <w:rFonts w:ascii="Open Sans" w:hAnsi="Open Sans" w:cs="Open Sans"/>
          <w:sz w:val="22"/>
          <w:szCs w:val="22"/>
          <w:lang w:val="ro-RO"/>
        </w:rPr>
        <w:t>partener</w:t>
      </w:r>
      <w:r w:rsidRPr="00834991">
        <w:rPr>
          <w:rFonts w:ascii="Open Sans" w:hAnsi="Open Sans" w:cs="Open Sans"/>
          <w:sz w:val="22"/>
          <w:szCs w:val="22"/>
          <w:lang w:val="ro-RO"/>
        </w:rPr>
        <w:t xml:space="preserve">ului privat. </w:t>
      </w:r>
    </w:p>
    <w:p w14:paraId="56C91E82" w14:textId="76BB39D4"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w:t>
      </w:r>
      <w:r w:rsidR="00387568">
        <w:rPr>
          <w:rFonts w:ascii="Open Sans" w:hAnsi="Open Sans" w:cs="Open Sans"/>
          <w:sz w:val="22"/>
          <w:szCs w:val="22"/>
          <w:lang w:val="ro-RO"/>
        </w:rPr>
        <w:t>9</w:t>
      </w:r>
      <w:r w:rsidRPr="00834991">
        <w:rPr>
          <w:rFonts w:ascii="Open Sans" w:hAnsi="Open Sans" w:cs="Open Sans"/>
          <w:sz w:val="22"/>
          <w:szCs w:val="22"/>
          <w:lang w:val="ro-RO"/>
        </w:rPr>
        <w:t xml:space="preserve">. Ofertă - document prezentat de operatorul economic în cadrul </w:t>
      </w:r>
      <w:r w:rsidR="00F3119D" w:rsidRPr="00834991">
        <w:rPr>
          <w:rFonts w:ascii="Open Sans" w:hAnsi="Open Sans" w:cs="Open Sans"/>
          <w:sz w:val="22"/>
          <w:szCs w:val="22"/>
          <w:lang w:val="ro-RO"/>
        </w:rPr>
        <w:t xml:space="preserve">unei achiziții </w:t>
      </w:r>
      <w:r w:rsidRPr="00834991">
        <w:rPr>
          <w:rFonts w:ascii="Open Sans" w:hAnsi="Open Sans" w:cs="Open Sans"/>
          <w:sz w:val="22"/>
          <w:szCs w:val="22"/>
          <w:lang w:val="ro-RO"/>
        </w:rPr>
        <w:t>prin care îşi manifestă voinţa de a se angaja din punct de vedere juridic într-un proces de achiziţie şi care conţine informaţii tehnice şi financiare despre produse/servicii/lucrări ofertate.</w:t>
      </w:r>
    </w:p>
    <w:p w14:paraId="50DA5881" w14:textId="22EBE240"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w:t>
      </w:r>
      <w:r w:rsidR="00387568">
        <w:rPr>
          <w:rFonts w:ascii="Open Sans" w:hAnsi="Open Sans" w:cs="Open Sans"/>
          <w:sz w:val="22"/>
          <w:szCs w:val="22"/>
          <w:lang w:val="ro-RO"/>
        </w:rPr>
        <w:t>10</w:t>
      </w:r>
      <w:r w:rsidRPr="00834991">
        <w:rPr>
          <w:rFonts w:ascii="Open Sans" w:hAnsi="Open Sans" w:cs="Open Sans"/>
          <w:sz w:val="22"/>
          <w:szCs w:val="22"/>
          <w:lang w:val="ro-RO"/>
        </w:rPr>
        <w:t xml:space="preserve">. Documentele achiziţiei - toate documentele elaborate pentru o achiziţie, atât cele elaborate de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cât şi cele elaborate de operatorii economici, inclusiv documentele justificative care atestă plăţile/realitatea achiziţiei.</w:t>
      </w:r>
    </w:p>
    <w:p w14:paraId="63823F80" w14:textId="7456D6AF"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3.1</w:t>
      </w:r>
      <w:r w:rsidR="00387568">
        <w:rPr>
          <w:rFonts w:ascii="Open Sans" w:hAnsi="Open Sans" w:cs="Open Sans"/>
          <w:sz w:val="22"/>
          <w:szCs w:val="22"/>
          <w:lang w:val="ro-RO"/>
        </w:rPr>
        <w:t>1</w:t>
      </w:r>
      <w:r w:rsidRPr="00834991">
        <w:rPr>
          <w:rFonts w:ascii="Open Sans" w:hAnsi="Open Sans" w:cs="Open Sans"/>
          <w:sz w:val="22"/>
          <w:szCs w:val="22"/>
          <w:lang w:val="ro-RO"/>
        </w:rPr>
        <w:t xml:space="preserve">. Contract de furnizare - contractul cu titlu oneros, încheiat în scris între un </w:t>
      </w:r>
      <w:r w:rsidR="002D2818" w:rsidRPr="00834991">
        <w:rPr>
          <w:rFonts w:ascii="Open Sans" w:hAnsi="Open Sans" w:cs="Open Sans"/>
          <w:sz w:val="22"/>
          <w:szCs w:val="22"/>
          <w:lang w:val="ro-RO"/>
        </w:rPr>
        <w:t>partener</w:t>
      </w:r>
      <w:r w:rsidRPr="00834991">
        <w:rPr>
          <w:rFonts w:ascii="Open Sans" w:hAnsi="Open Sans" w:cs="Open Sans"/>
          <w:sz w:val="22"/>
          <w:szCs w:val="22"/>
          <w:lang w:val="ro-RO"/>
        </w:rPr>
        <w:t xml:space="preserve"> privat şi unul sau mai mulţi operatori economici, având ca obiect furnizarea de produse.</w:t>
      </w:r>
    </w:p>
    <w:p w14:paraId="16CB0E42" w14:textId="651E4C4D"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3.1</w:t>
      </w:r>
      <w:r w:rsidR="00387568">
        <w:rPr>
          <w:rFonts w:ascii="Open Sans" w:hAnsi="Open Sans" w:cs="Open Sans"/>
          <w:sz w:val="22"/>
          <w:szCs w:val="22"/>
          <w:lang w:val="ro-RO"/>
        </w:rPr>
        <w:t>2</w:t>
      </w:r>
      <w:r w:rsidRPr="00834991">
        <w:rPr>
          <w:rFonts w:ascii="Open Sans" w:hAnsi="Open Sans" w:cs="Open Sans"/>
          <w:sz w:val="22"/>
          <w:szCs w:val="22"/>
          <w:lang w:val="ro-RO"/>
        </w:rPr>
        <w:t xml:space="preserve">. Contract de lucrări - contractul cu titlu oneros, încheiat în scris între un </w:t>
      </w:r>
      <w:r w:rsidR="002D2818" w:rsidRPr="00834991">
        <w:rPr>
          <w:rFonts w:ascii="Open Sans" w:hAnsi="Open Sans" w:cs="Open Sans"/>
          <w:sz w:val="22"/>
          <w:szCs w:val="22"/>
          <w:lang w:val="ro-RO"/>
        </w:rPr>
        <w:t>partener</w:t>
      </w:r>
      <w:r w:rsidRPr="00834991">
        <w:rPr>
          <w:rFonts w:ascii="Open Sans" w:hAnsi="Open Sans" w:cs="Open Sans"/>
          <w:sz w:val="22"/>
          <w:szCs w:val="22"/>
          <w:lang w:val="ro-RO"/>
        </w:rPr>
        <w:t xml:space="preserve"> privat şi unul sau mai mulţi operatori economici, având ca obiect fie exclusiv execuţia, fie atât proiectarea, cât şi execuţia de lucrări/construcţii sau realizarea, prin orice mijloace, a unei construcţii.</w:t>
      </w:r>
    </w:p>
    <w:p w14:paraId="06EEBE04" w14:textId="0D094D6A"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3.1</w:t>
      </w:r>
      <w:r w:rsidR="00387568">
        <w:rPr>
          <w:rFonts w:ascii="Open Sans" w:hAnsi="Open Sans" w:cs="Open Sans"/>
          <w:sz w:val="22"/>
          <w:szCs w:val="22"/>
          <w:lang w:val="ro-RO"/>
        </w:rPr>
        <w:t>3</w:t>
      </w:r>
      <w:r w:rsidRPr="00834991">
        <w:rPr>
          <w:rFonts w:ascii="Open Sans" w:hAnsi="Open Sans" w:cs="Open Sans"/>
          <w:sz w:val="22"/>
          <w:szCs w:val="22"/>
          <w:lang w:val="ro-RO"/>
        </w:rPr>
        <w:t xml:space="preserve">. Contract de servicii - contractul cu titlu oneros, încheiat în scris între un </w:t>
      </w:r>
      <w:r w:rsidR="002D2818" w:rsidRPr="00834991">
        <w:rPr>
          <w:rFonts w:ascii="Open Sans" w:hAnsi="Open Sans" w:cs="Open Sans"/>
          <w:sz w:val="22"/>
          <w:szCs w:val="22"/>
          <w:lang w:val="ro-RO"/>
        </w:rPr>
        <w:t>partener</w:t>
      </w:r>
      <w:r w:rsidRPr="00834991">
        <w:rPr>
          <w:rFonts w:ascii="Open Sans" w:hAnsi="Open Sans" w:cs="Open Sans"/>
          <w:sz w:val="22"/>
          <w:szCs w:val="22"/>
          <w:lang w:val="ro-RO"/>
        </w:rPr>
        <w:t xml:space="preserve"> privat şi unul sau mai mulţi operatori economici, având ca obiect prestarea de servicii.</w:t>
      </w:r>
    </w:p>
    <w:p w14:paraId="5D9ECAC9" w14:textId="1C43D34D" w:rsidR="00653584" w:rsidRPr="00834991" w:rsidRDefault="00794296" w:rsidP="00614B8E">
      <w:pPr>
        <w:pStyle w:val="Heading1"/>
        <w:rPr>
          <w:rFonts w:ascii="Open Sans" w:hAnsi="Open Sans" w:cs="Open Sans"/>
          <w:b/>
          <w:bCs/>
          <w:color w:val="auto"/>
          <w:sz w:val="22"/>
          <w:szCs w:val="28"/>
          <w:lang w:val="ro-RO"/>
        </w:rPr>
      </w:pPr>
      <w:bookmarkStart w:id="3" w:name="_Toc184811989"/>
      <w:r w:rsidRPr="00834991">
        <w:rPr>
          <w:rFonts w:ascii="Open Sans" w:hAnsi="Open Sans" w:cs="Open Sans"/>
          <w:b/>
          <w:bCs/>
          <w:color w:val="auto"/>
          <w:sz w:val="22"/>
          <w:szCs w:val="28"/>
          <w:lang w:val="ro-RO"/>
        </w:rPr>
        <w:t>Capitolul 4</w:t>
      </w:r>
      <w:r w:rsidR="00A13085" w:rsidRPr="00834991">
        <w:rPr>
          <w:rFonts w:ascii="Open Sans" w:hAnsi="Open Sans" w:cs="Open Sans"/>
          <w:b/>
          <w:bCs/>
          <w:color w:val="auto"/>
          <w:sz w:val="22"/>
          <w:szCs w:val="28"/>
          <w:lang w:val="ro-RO"/>
        </w:rPr>
        <w:t xml:space="preserve"> - A</w:t>
      </w:r>
      <w:r w:rsidRPr="00834991">
        <w:rPr>
          <w:rFonts w:ascii="Open Sans" w:hAnsi="Open Sans" w:cs="Open Sans"/>
          <w:b/>
          <w:bCs/>
          <w:color w:val="auto"/>
          <w:sz w:val="22"/>
          <w:szCs w:val="28"/>
          <w:lang w:val="ro-RO"/>
        </w:rPr>
        <w:t>chiziţia directă</w:t>
      </w:r>
      <w:bookmarkEnd w:id="3"/>
    </w:p>
    <w:p w14:paraId="68D37BB7" w14:textId="1EA01126" w:rsidR="00653584" w:rsidRPr="00834991" w:rsidRDefault="00CD27C2" w:rsidP="1A646AA4">
      <w:pPr>
        <w:pStyle w:val="NormalWeb"/>
        <w:spacing w:before="0" w:beforeAutospacing="0" w:after="0" w:afterAutospacing="0"/>
        <w:jc w:val="both"/>
        <w:divId w:val="756947848"/>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4.1. Dacă valoarea estimată</w:t>
      </w:r>
      <w:r w:rsidR="007E385E" w:rsidRPr="00834991">
        <w:rPr>
          <w:rFonts w:ascii="Open Sans" w:hAnsi="Open Sans" w:cs="Open Sans"/>
          <w:sz w:val="22"/>
          <w:szCs w:val="22"/>
          <w:lang w:val="ro-RO"/>
        </w:rPr>
        <w:t xml:space="preserve"> </w:t>
      </w:r>
      <w:r w:rsidRPr="00834991">
        <w:rPr>
          <w:rFonts w:ascii="Open Sans" w:hAnsi="Open Sans" w:cs="Open Sans"/>
          <w:sz w:val="22"/>
          <w:szCs w:val="22"/>
          <w:lang w:val="ro-RO"/>
        </w:rPr>
        <w:t>a</w:t>
      </w:r>
      <w:r w:rsidR="007E385E" w:rsidRPr="00834991">
        <w:rPr>
          <w:rFonts w:ascii="Open Sans" w:hAnsi="Open Sans" w:cs="Open Sans"/>
          <w:sz w:val="22"/>
          <w:szCs w:val="22"/>
          <w:lang w:val="ro-RO"/>
        </w:rPr>
        <w:t xml:space="preserve"> </w:t>
      </w:r>
      <w:r w:rsidRPr="00834991">
        <w:rPr>
          <w:rFonts w:ascii="Open Sans" w:hAnsi="Open Sans" w:cs="Open Sans"/>
          <w:sz w:val="22"/>
          <w:szCs w:val="22"/>
          <w:lang w:val="ro-RO"/>
        </w:rPr>
        <w:t>achiziţiei, fără TVA, este mai mică decât pragurile valorice prevăzute de art. 7 alin. (5) din lege</w:t>
      </w:r>
      <w:r w:rsidR="5AAE61D0" w:rsidRPr="00834991">
        <w:rPr>
          <w:rFonts w:ascii="Open Sans" w:hAnsi="Open Sans" w:cs="Open Sans"/>
          <w:sz w:val="22"/>
          <w:szCs w:val="22"/>
          <w:lang w:val="ro-RO"/>
        </w:rPr>
        <w:t>a 98/ 2016</w:t>
      </w:r>
      <w:r w:rsidRPr="00834991">
        <w:rPr>
          <w:rStyle w:val="FootnoteReference"/>
          <w:rFonts w:ascii="Open Sans" w:hAnsi="Open Sans" w:cs="Open Sans"/>
          <w:sz w:val="22"/>
          <w:szCs w:val="22"/>
          <w:lang w:val="ro-RO"/>
        </w:rPr>
        <w:footnoteReference w:id="3"/>
      </w:r>
      <w:r w:rsidRPr="00834991">
        <w:rPr>
          <w:rFonts w:ascii="Open Sans" w:hAnsi="Open Sans" w:cs="Open Sans"/>
          <w:sz w:val="22"/>
          <w:szCs w:val="22"/>
          <w:lang w:val="ro-RO"/>
        </w:rPr>
        <w:t xml:space="preserv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achiziţionează direct produse, servicii sau lucrări.               </w:t>
      </w:r>
    </w:p>
    <w:p w14:paraId="036161C7"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4.2. Achiziţia se realizează pe bază de documente justificative (de exemplu: contract, dacă este cazul, comandă, bon fiscal/ factură, ordin de plată, extras de cont, notă de recepţie, fişă de cont, documente de transport sau altele, după caz).</w:t>
      </w:r>
    </w:p>
    <w:p w14:paraId="49F0B43B" w14:textId="038C0366"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4.3. Pentru achiziţia directă nu este obligatorie semnarea unui contract. În cazul în care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consideră că pentru predictibilitatea relaţiilor comerciale are nevoie de clauze contractuale clare, acesta poate semna un contract în acest sens.</w:t>
      </w:r>
    </w:p>
    <w:p w14:paraId="323F2A54"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4.4. Reguli aplicabile:</w:t>
      </w:r>
    </w:p>
    <w:p w14:paraId="3C47ABC3" w14:textId="719AD3BE" w:rsidR="00653584" w:rsidRPr="00834991" w:rsidRDefault="00CD27C2" w:rsidP="68C79319">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005E73C7" w:rsidRPr="00834991">
        <w:rPr>
          <w:rFonts w:ascii="Open Sans" w:hAnsi="Open Sans" w:cs="Open Sans"/>
          <w:sz w:val="22"/>
          <w:szCs w:val="22"/>
          <w:lang w:val="ro-RO"/>
        </w:rPr>
        <w:t>a)</w:t>
      </w:r>
      <w:r w:rsidRPr="00834991">
        <w:rPr>
          <w:rFonts w:ascii="Open Sans" w:hAnsi="Open Sans" w:cs="Open Sans"/>
          <w:sz w:val="22"/>
          <w:szCs w:val="22"/>
          <w:lang w:val="ro-RO"/>
        </w:rPr>
        <w:t xml:space="preserve"> Principiile economicităţii, eficienţei şi eficacităţii trebuie respectate indiferent de valoarea estimată a achiziţiei.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este obligat să întreprindă toate măsurile pe care le consideră necesare în vederea respectării acestor principii, incluse în principiului bunei gestionări financiare, pornind de la premisa că procedează de o manieră similară şi în organizarea activităţii proprii.</w:t>
      </w:r>
    </w:p>
    <w:p w14:paraId="20BE8A3D" w14:textId="38B32CEA"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005E73C7" w:rsidRPr="00834991">
        <w:rPr>
          <w:rFonts w:ascii="Open Sans" w:hAnsi="Open Sans" w:cs="Open Sans"/>
          <w:sz w:val="22"/>
          <w:szCs w:val="22"/>
          <w:lang w:val="ro-RO"/>
        </w:rPr>
        <w:t>b)</w:t>
      </w:r>
      <w:r w:rsidRPr="00834991">
        <w:rPr>
          <w:rFonts w:ascii="Open Sans" w:hAnsi="Open Sans" w:cs="Open Sans"/>
          <w:sz w:val="22"/>
          <w:szCs w:val="22"/>
          <w:lang w:val="ro-RO"/>
        </w:rPr>
        <w:t xml:space="preserve"> Achiziţia directă nu trebuie să respecte o procedură şi reguli de publicitate, respectiv nu trebuie să se publice anunţ pe pagina </w:t>
      </w:r>
      <w:r w:rsidR="00BE4859" w:rsidRPr="00834991">
        <w:rPr>
          <w:rFonts w:ascii="Open Sans" w:hAnsi="Open Sans" w:cs="Open Sans"/>
          <w:sz w:val="22"/>
          <w:szCs w:val="22"/>
          <w:lang w:val="ro-RO"/>
        </w:rPr>
        <w:t xml:space="preserve">Programului sau </w:t>
      </w:r>
      <w:r w:rsidRPr="00834991">
        <w:rPr>
          <w:rFonts w:ascii="Open Sans" w:hAnsi="Open Sans" w:cs="Open Sans"/>
          <w:sz w:val="22"/>
          <w:szCs w:val="22"/>
          <w:lang w:val="ro-RO"/>
        </w:rPr>
        <w:t xml:space="preserve">alte forme de publicitate prevăzute de prezenta procedură. </w:t>
      </w:r>
    </w:p>
    <w:p w14:paraId="521EEFDD" w14:textId="54739B8D" w:rsidR="00653584" w:rsidRPr="00834991" w:rsidRDefault="632DE758" w:rsidP="56B741A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09C2AD59" w:rsidRPr="00834991">
        <w:rPr>
          <w:rFonts w:ascii="Open Sans" w:hAnsi="Open Sans" w:cs="Open Sans"/>
          <w:sz w:val="22"/>
          <w:szCs w:val="22"/>
          <w:lang w:val="ro-RO"/>
        </w:rPr>
        <w:t>c)</w:t>
      </w:r>
      <w:r w:rsidRPr="00834991">
        <w:rPr>
          <w:rFonts w:ascii="Open Sans" w:hAnsi="Open Sans" w:cs="Open Sans"/>
          <w:sz w:val="22"/>
          <w:szCs w:val="22"/>
          <w:lang w:val="ro-RO"/>
        </w:rPr>
        <w:t xml:space="preserve"> </w:t>
      </w:r>
      <w:r w:rsidR="1FF49EC1"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înainte de efectuarea achiziţiei directe, va întocmi o notă privind determinarea valorii estimate, care va include informaţiile rezultate din cercetarea ofertelor din piaţă. Nota trebuie să conţină cel puţin următoarele: denumirea produsului/serviciului/lucrării, cantitatea, preţul unitar, preţul total, sursa preţului.</w:t>
      </w:r>
    </w:p>
    <w:p w14:paraId="1B9FFDFB" w14:textId="22A9EBA8" w:rsidR="0065358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00A9567E" w:rsidRPr="00834991">
        <w:rPr>
          <w:rFonts w:ascii="Open Sans" w:hAnsi="Open Sans" w:cs="Open Sans"/>
          <w:sz w:val="22"/>
          <w:szCs w:val="22"/>
          <w:lang w:val="ro-RO"/>
        </w:rPr>
        <w:t xml:space="preserve">     d</w:t>
      </w:r>
      <w:r w:rsidR="005E73C7" w:rsidRPr="00834991">
        <w:rPr>
          <w:rFonts w:ascii="Open Sans" w:hAnsi="Open Sans" w:cs="Open Sans"/>
          <w:sz w:val="22"/>
          <w:szCs w:val="22"/>
          <w:lang w:val="ro-RO"/>
        </w:rPr>
        <w:t>)</w:t>
      </w:r>
      <w:r w:rsidRPr="00834991">
        <w:rPr>
          <w:rFonts w:ascii="Open Sans" w:hAnsi="Open Sans" w:cs="Open Sans"/>
          <w:sz w:val="22"/>
          <w:szCs w:val="22"/>
          <w:lang w:val="ro-RO"/>
        </w:rPr>
        <w:t xml:space="preserv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trebuie să facă dovada realităţii cheltuielii efectuate, inclusiv prin înregistrări contabile. Realitatea cheltuielilor trebuie dovedită şi în cazul vizitelor la faţa locului</w:t>
      </w:r>
      <w:r w:rsidR="00FC7888" w:rsidRPr="00834991">
        <w:rPr>
          <w:rFonts w:ascii="Open Sans" w:hAnsi="Open Sans" w:cs="Open Sans"/>
          <w:sz w:val="22"/>
          <w:szCs w:val="22"/>
          <w:lang w:val="ro-RO"/>
        </w:rPr>
        <w:t xml:space="preserve"> sau online</w:t>
      </w:r>
      <w:r w:rsidRPr="00834991">
        <w:rPr>
          <w:rFonts w:ascii="Open Sans" w:hAnsi="Open Sans" w:cs="Open Sans"/>
          <w:sz w:val="22"/>
          <w:szCs w:val="22"/>
          <w:lang w:val="ro-RO"/>
        </w:rPr>
        <w:t xml:space="preserve"> efectuate de către autorităţile cu competenţe în gestionarea fondurilor europene/organismele cu competenţe în verificarea fondurilor europene.</w:t>
      </w:r>
    </w:p>
    <w:p w14:paraId="63DF4772" w14:textId="26496A4F"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4.5. Dosarul achiziţiei </w:t>
      </w:r>
    </w:p>
    <w:tbl>
      <w:tblPr>
        <w:tblStyle w:val="TableGrid"/>
        <w:tblW w:w="0" w:type="auto"/>
        <w:tblLook w:val="04A0" w:firstRow="1" w:lastRow="0" w:firstColumn="1" w:lastColumn="0" w:noHBand="0" w:noVBand="1"/>
      </w:tblPr>
      <w:tblGrid>
        <w:gridCol w:w="5930"/>
        <w:gridCol w:w="870"/>
        <w:gridCol w:w="1134"/>
        <w:gridCol w:w="1082"/>
      </w:tblGrid>
      <w:tr w:rsidR="00E65439" w:rsidRPr="00834991" w14:paraId="273B8F36" w14:textId="77777777" w:rsidTr="2DCA9834">
        <w:trPr>
          <w:trHeight w:val="239"/>
        </w:trPr>
        <w:tc>
          <w:tcPr>
            <w:tcW w:w="5949" w:type="dxa"/>
            <w:vMerge w:val="restart"/>
            <w:vAlign w:val="center"/>
          </w:tcPr>
          <w:p w14:paraId="2F6B7BE2" w14:textId="061A61D2" w:rsidR="00537B64" w:rsidRPr="00834991" w:rsidRDefault="5CDEF799" w:rsidP="00B2081C">
            <w:pPr>
              <w:pStyle w:val="NoSpacing"/>
              <w:rPr>
                <w:rFonts w:ascii="Open Sans" w:hAnsi="Open Sans" w:cs="Open Sans"/>
                <w:sz w:val="22"/>
                <w:szCs w:val="22"/>
                <w:lang w:val="ro-RO"/>
              </w:rPr>
            </w:pPr>
            <w:r w:rsidRPr="00834991">
              <w:rPr>
                <w:rFonts w:ascii="Open Sans" w:hAnsi="Open Sans" w:cs="Open Sans"/>
                <w:sz w:val="22"/>
                <w:szCs w:val="22"/>
                <w:lang w:val="ro-RO"/>
              </w:rPr>
              <w:t>Documente care trebui</w:t>
            </w:r>
            <w:r w:rsidR="090FEF7B" w:rsidRPr="00834991">
              <w:rPr>
                <w:rFonts w:ascii="Open Sans" w:hAnsi="Open Sans" w:cs="Open Sans"/>
                <w:sz w:val="22"/>
                <w:szCs w:val="22"/>
                <w:lang w:val="ro-RO"/>
              </w:rPr>
              <w:t>e</w:t>
            </w:r>
            <w:r w:rsidRPr="00834991">
              <w:rPr>
                <w:rFonts w:ascii="Open Sans" w:hAnsi="Open Sans" w:cs="Open Sans"/>
                <w:sz w:val="22"/>
                <w:szCs w:val="22"/>
                <w:lang w:val="ro-RO"/>
              </w:rPr>
              <w:t xml:space="preserve"> incluse in dosarul achiziției directe</w:t>
            </w:r>
          </w:p>
        </w:tc>
        <w:tc>
          <w:tcPr>
            <w:tcW w:w="3067" w:type="dxa"/>
            <w:gridSpan w:val="3"/>
            <w:vAlign w:val="center"/>
          </w:tcPr>
          <w:p w14:paraId="4FAFD2EC" w14:textId="0364B501" w:rsidR="00537B64" w:rsidRPr="00834991" w:rsidRDefault="00D83D3A"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Achiziție</w:t>
            </w:r>
            <w:r w:rsidR="00537B64" w:rsidRPr="00834991">
              <w:rPr>
                <w:rFonts w:ascii="Open Sans" w:hAnsi="Open Sans" w:cs="Open Sans"/>
                <w:sz w:val="22"/>
                <w:szCs w:val="22"/>
                <w:lang w:val="ro-RO"/>
              </w:rPr>
              <w:t xml:space="preserve"> de</w:t>
            </w:r>
          </w:p>
        </w:tc>
      </w:tr>
      <w:tr w:rsidR="00E65439" w:rsidRPr="00834991" w14:paraId="40386F11" w14:textId="77777777" w:rsidTr="2DCA9834">
        <w:tc>
          <w:tcPr>
            <w:tcW w:w="5949" w:type="dxa"/>
            <w:vMerge/>
            <w:vAlign w:val="center"/>
          </w:tcPr>
          <w:p w14:paraId="32F1DE8A" w14:textId="77777777" w:rsidR="00537B64" w:rsidRPr="00834991" w:rsidRDefault="00537B64" w:rsidP="00B2081C">
            <w:pPr>
              <w:pStyle w:val="NoSpacing"/>
              <w:rPr>
                <w:rFonts w:ascii="Open Sans" w:hAnsi="Open Sans" w:cs="Open Sans"/>
                <w:sz w:val="22"/>
                <w:szCs w:val="22"/>
                <w:lang w:val="ro-RO"/>
              </w:rPr>
            </w:pPr>
          </w:p>
        </w:tc>
        <w:tc>
          <w:tcPr>
            <w:tcW w:w="850" w:type="dxa"/>
            <w:vAlign w:val="center"/>
          </w:tcPr>
          <w:p w14:paraId="03F31865" w14:textId="17F18BD0" w:rsidR="00537B64" w:rsidRPr="00834991" w:rsidRDefault="00537B64"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lucrări</w:t>
            </w:r>
          </w:p>
        </w:tc>
        <w:tc>
          <w:tcPr>
            <w:tcW w:w="1134" w:type="dxa"/>
            <w:vAlign w:val="center"/>
          </w:tcPr>
          <w:p w14:paraId="1FFBA061" w14:textId="6F3896FD" w:rsidR="00537B64" w:rsidRPr="00834991" w:rsidRDefault="00D83D3A"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produse</w:t>
            </w:r>
          </w:p>
        </w:tc>
        <w:tc>
          <w:tcPr>
            <w:tcW w:w="1083" w:type="dxa"/>
            <w:vAlign w:val="center"/>
          </w:tcPr>
          <w:p w14:paraId="134459DF" w14:textId="4174C558" w:rsidR="00537B64" w:rsidRPr="00834991" w:rsidRDefault="00537B64"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servicii</w:t>
            </w:r>
          </w:p>
        </w:tc>
      </w:tr>
      <w:tr w:rsidR="00E65439" w:rsidRPr="00834991" w14:paraId="52D3403F" w14:textId="77777777" w:rsidTr="2DCA9834">
        <w:tc>
          <w:tcPr>
            <w:tcW w:w="5949" w:type="dxa"/>
            <w:vAlign w:val="center"/>
          </w:tcPr>
          <w:p w14:paraId="5009BBB6" w14:textId="7B06F4E9" w:rsidR="00537B64" w:rsidRPr="00834991" w:rsidRDefault="00B867EE" w:rsidP="00B2081C">
            <w:pPr>
              <w:pStyle w:val="NoSpacing"/>
              <w:rPr>
                <w:rFonts w:ascii="Open Sans" w:hAnsi="Open Sans" w:cs="Open Sans"/>
                <w:sz w:val="22"/>
                <w:szCs w:val="22"/>
                <w:lang w:val="ro-RO"/>
              </w:rPr>
            </w:pPr>
            <w:r w:rsidRPr="00834991">
              <w:rPr>
                <w:rFonts w:ascii="Open Sans" w:hAnsi="Open Sans" w:cs="Open Sans"/>
                <w:sz w:val="22"/>
                <w:szCs w:val="22"/>
                <w:lang w:val="ro-RO"/>
              </w:rPr>
              <w:t>Nota privind determinarea valorii estimate</w:t>
            </w:r>
          </w:p>
        </w:tc>
        <w:tc>
          <w:tcPr>
            <w:tcW w:w="850" w:type="dxa"/>
            <w:vAlign w:val="center"/>
          </w:tcPr>
          <w:p w14:paraId="20731B79" w14:textId="5CD043D3"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34" w:type="dxa"/>
            <w:vAlign w:val="center"/>
          </w:tcPr>
          <w:p w14:paraId="7AF1A913" w14:textId="3CC6D171"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c>
          <w:tcPr>
            <w:tcW w:w="1083" w:type="dxa"/>
            <w:vAlign w:val="center"/>
          </w:tcPr>
          <w:p w14:paraId="23F03FFB" w14:textId="325DA315"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2DCCD83F" w14:textId="77777777" w:rsidTr="2DCA9834">
        <w:tc>
          <w:tcPr>
            <w:tcW w:w="5949" w:type="dxa"/>
            <w:vAlign w:val="center"/>
          </w:tcPr>
          <w:p w14:paraId="0D549658" w14:textId="582CFDE8" w:rsidR="00537B64" w:rsidRPr="00834991" w:rsidRDefault="00B867EE" w:rsidP="00B2081C">
            <w:pPr>
              <w:pStyle w:val="NoSpacing"/>
              <w:rPr>
                <w:rFonts w:ascii="Open Sans" w:hAnsi="Open Sans" w:cs="Open Sans"/>
                <w:sz w:val="22"/>
                <w:szCs w:val="22"/>
                <w:lang w:val="ro-RO"/>
              </w:rPr>
            </w:pPr>
            <w:r w:rsidRPr="00834991">
              <w:rPr>
                <w:rFonts w:ascii="Open Sans" w:hAnsi="Open Sans" w:cs="Open Sans"/>
                <w:sz w:val="22"/>
                <w:szCs w:val="22"/>
                <w:lang w:val="ro-RO"/>
              </w:rPr>
              <w:t>Documentele justificative ale achiziției (ex: comandă, factură, bon fiscal, contract, documentele de transport sau altele, după caz)</w:t>
            </w:r>
          </w:p>
        </w:tc>
        <w:tc>
          <w:tcPr>
            <w:tcW w:w="850" w:type="dxa"/>
            <w:vAlign w:val="center"/>
          </w:tcPr>
          <w:p w14:paraId="01185F33" w14:textId="4D463DF6"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34" w:type="dxa"/>
            <w:vAlign w:val="center"/>
          </w:tcPr>
          <w:p w14:paraId="1F08E7F8" w14:textId="1AC3DE56"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c>
          <w:tcPr>
            <w:tcW w:w="1083" w:type="dxa"/>
            <w:vAlign w:val="center"/>
          </w:tcPr>
          <w:p w14:paraId="33B7D0AA" w14:textId="67354628"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6DA86D49" w14:textId="77777777" w:rsidTr="2DCA9834">
        <w:tc>
          <w:tcPr>
            <w:tcW w:w="5949" w:type="dxa"/>
            <w:vAlign w:val="center"/>
          </w:tcPr>
          <w:p w14:paraId="2690B9D9" w14:textId="6D4DDF9F" w:rsidR="00537B64" w:rsidRPr="00834991" w:rsidRDefault="73E5FC57" w:rsidP="00B2081C">
            <w:pPr>
              <w:pStyle w:val="NoSpacing"/>
              <w:rPr>
                <w:rFonts w:ascii="Open Sans" w:hAnsi="Open Sans" w:cs="Open Sans"/>
                <w:sz w:val="22"/>
                <w:szCs w:val="22"/>
                <w:lang w:val="ro-RO"/>
              </w:rPr>
            </w:pPr>
            <w:r w:rsidRPr="00834991">
              <w:rPr>
                <w:rFonts w:ascii="Open Sans" w:hAnsi="Open Sans" w:cs="Open Sans"/>
                <w:sz w:val="22"/>
                <w:szCs w:val="22"/>
                <w:lang w:val="ro-RO"/>
              </w:rPr>
              <w:t>Documentele care dovedesc realizare achiziției, respectiv furnizarea produselor/prestarea serviciilor/execuția lucrărilor (ex: ordine de plată, extrase de cont, procese verba</w:t>
            </w:r>
            <w:r w:rsidR="453D4AA2" w:rsidRPr="00834991">
              <w:rPr>
                <w:rFonts w:ascii="Open Sans" w:hAnsi="Open Sans" w:cs="Open Sans"/>
                <w:sz w:val="22"/>
                <w:szCs w:val="22"/>
                <w:lang w:val="ro-RO"/>
              </w:rPr>
              <w:t>l</w:t>
            </w:r>
            <w:r w:rsidRPr="00834991">
              <w:rPr>
                <w:rFonts w:ascii="Open Sans" w:hAnsi="Open Sans" w:cs="Open Sans"/>
                <w:sz w:val="22"/>
                <w:szCs w:val="22"/>
                <w:lang w:val="ro-RO"/>
              </w:rPr>
              <w:t>e de predare-primire, procese verbale de recepție, procese verbale de punere în funcțiune/acceptanță, rapoarte de activitate sau altele, după caz)</w:t>
            </w:r>
          </w:p>
        </w:tc>
        <w:tc>
          <w:tcPr>
            <w:tcW w:w="850" w:type="dxa"/>
            <w:vAlign w:val="center"/>
          </w:tcPr>
          <w:p w14:paraId="19368A92" w14:textId="01D1603A"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34" w:type="dxa"/>
            <w:vAlign w:val="center"/>
          </w:tcPr>
          <w:p w14:paraId="5C6EBEDE" w14:textId="58652F91"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c>
          <w:tcPr>
            <w:tcW w:w="1083" w:type="dxa"/>
            <w:vAlign w:val="center"/>
          </w:tcPr>
          <w:p w14:paraId="1F9D3935" w14:textId="3CDEA4BF" w:rsidR="00537B64" w:rsidRPr="00834991" w:rsidRDefault="00B2081C" w:rsidP="00B2081C">
            <w:pPr>
              <w:pStyle w:val="NoSpacing"/>
              <w:jc w:val="center"/>
              <w:rPr>
                <w:rFonts w:ascii="Open Sans" w:hAnsi="Open Sans" w:cs="Open Sans"/>
                <w:sz w:val="22"/>
                <w:szCs w:val="22"/>
                <w:lang w:val="ro-RO"/>
              </w:rPr>
            </w:pPr>
            <w:r w:rsidRPr="00834991">
              <w:rPr>
                <w:rFonts w:ascii="Open Sans" w:hAnsi="Open Sans" w:cs="Open Sans"/>
                <w:sz w:val="22"/>
                <w:szCs w:val="22"/>
                <w:lang w:val="ro-RO"/>
              </w:rPr>
              <w:t>x</w:t>
            </w:r>
          </w:p>
        </w:tc>
      </w:tr>
    </w:tbl>
    <w:p w14:paraId="7FBA0935" w14:textId="77777777" w:rsidR="00653584" w:rsidRPr="00834991" w:rsidRDefault="00653584">
      <w:pPr>
        <w:autoSpaceDE/>
        <w:autoSpaceDN/>
        <w:spacing w:after="240"/>
        <w:rPr>
          <w:rFonts w:ascii="Open Sans" w:eastAsia="Times New Roman" w:hAnsi="Open Sans" w:cs="Open Sans"/>
          <w:sz w:val="10"/>
          <w:szCs w:val="10"/>
          <w:lang w:val="ro-RO"/>
        </w:rPr>
      </w:pPr>
    </w:p>
    <w:p w14:paraId="6119C097"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4.6. Verificări efectuate de autorităţile cu competenţe în gestionarea fondurilor europene</w:t>
      </w:r>
    </w:p>
    <w:tbl>
      <w:tblPr>
        <w:tblStyle w:val="TableGrid"/>
        <w:tblW w:w="0" w:type="auto"/>
        <w:tblLook w:val="04A0" w:firstRow="1" w:lastRow="0" w:firstColumn="1" w:lastColumn="0" w:noHBand="0" w:noVBand="1"/>
      </w:tblPr>
      <w:tblGrid>
        <w:gridCol w:w="562"/>
        <w:gridCol w:w="1885"/>
        <w:gridCol w:w="6569"/>
      </w:tblGrid>
      <w:tr w:rsidR="00E65439" w:rsidRPr="00834991" w14:paraId="149C117F" w14:textId="77777777" w:rsidTr="00AF1726">
        <w:tc>
          <w:tcPr>
            <w:tcW w:w="562" w:type="dxa"/>
          </w:tcPr>
          <w:p w14:paraId="0FD03672" w14:textId="4E552D6E" w:rsidR="00EA5895" w:rsidRPr="00834991" w:rsidRDefault="00527DE8" w:rsidP="002341CC">
            <w:pPr>
              <w:pStyle w:val="NoSpacing"/>
              <w:rPr>
                <w:rFonts w:ascii="Open Sans" w:hAnsi="Open Sans" w:cs="Open Sans"/>
                <w:sz w:val="22"/>
                <w:szCs w:val="22"/>
                <w:lang w:val="ro-RO"/>
              </w:rPr>
            </w:pPr>
            <w:r w:rsidRPr="00834991">
              <w:rPr>
                <w:rFonts w:ascii="Open Sans" w:hAnsi="Open Sans" w:cs="Open Sans"/>
                <w:sz w:val="22"/>
                <w:szCs w:val="22"/>
                <w:lang w:val="ro-RO"/>
              </w:rPr>
              <w:t>N</w:t>
            </w:r>
            <w:r w:rsidR="00EA5895" w:rsidRPr="00834991">
              <w:rPr>
                <w:rFonts w:ascii="Open Sans" w:hAnsi="Open Sans" w:cs="Open Sans"/>
                <w:sz w:val="22"/>
                <w:szCs w:val="22"/>
                <w:lang w:val="ro-RO"/>
              </w:rPr>
              <w:t>r. crt.</w:t>
            </w:r>
          </w:p>
        </w:tc>
        <w:tc>
          <w:tcPr>
            <w:tcW w:w="1885" w:type="dxa"/>
          </w:tcPr>
          <w:p w14:paraId="41C55AD4" w14:textId="0E2E5779" w:rsidR="00EA5895" w:rsidRPr="00834991" w:rsidRDefault="00EA5895" w:rsidP="002341CC">
            <w:pPr>
              <w:pStyle w:val="NoSpacing"/>
              <w:rPr>
                <w:rFonts w:ascii="Open Sans" w:hAnsi="Open Sans" w:cs="Open Sans"/>
                <w:sz w:val="22"/>
                <w:szCs w:val="22"/>
                <w:lang w:val="ro-RO"/>
              </w:rPr>
            </w:pPr>
            <w:r w:rsidRPr="00834991">
              <w:rPr>
                <w:rFonts w:ascii="Open Sans" w:hAnsi="Open Sans" w:cs="Open Sans"/>
                <w:sz w:val="22"/>
                <w:szCs w:val="22"/>
                <w:lang w:val="ro-RO"/>
              </w:rPr>
              <w:t>Elemente de verificat</w:t>
            </w:r>
          </w:p>
        </w:tc>
        <w:tc>
          <w:tcPr>
            <w:tcW w:w="6569" w:type="dxa"/>
          </w:tcPr>
          <w:p w14:paraId="4B3A3F52" w14:textId="6D6976B5" w:rsidR="00EA5895" w:rsidRPr="00834991" w:rsidRDefault="00EA5895" w:rsidP="002341CC">
            <w:pPr>
              <w:pStyle w:val="NoSpacing"/>
              <w:rPr>
                <w:rFonts w:ascii="Open Sans" w:hAnsi="Open Sans" w:cs="Open Sans"/>
                <w:sz w:val="22"/>
                <w:szCs w:val="22"/>
                <w:lang w:val="ro-RO"/>
              </w:rPr>
            </w:pPr>
            <w:r w:rsidRPr="00834991">
              <w:rPr>
                <w:rFonts w:ascii="Open Sans" w:hAnsi="Open Sans" w:cs="Open Sans"/>
                <w:sz w:val="22"/>
                <w:szCs w:val="22"/>
                <w:lang w:val="ro-RO"/>
              </w:rPr>
              <w:t>Instrucțiuni</w:t>
            </w:r>
          </w:p>
        </w:tc>
      </w:tr>
      <w:tr w:rsidR="00E65439" w:rsidRPr="00834991" w14:paraId="381A7BA5" w14:textId="77777777" w:rsidTr="00AF1726">
        <w:tc>
          <w:tcPr>
            <w:tcW w:w="562" w:type="dxa"/>
          </w:tcPr>
          <w:p w14:paraId="4257ED68" w14:textId="56211DD9" w:rsidR="00EA5895" w:rsidRPr="00834991" w:rsidRDefault="00767C20" w:rsidP="002341CC">
            <w:pPr>
              <w:pStyle w:val="NoSpacing"/>
              <w:rPr>
                <w:rFonts w:ascii="Open Sans" w:hAnsi="Open Sans" w:cs="Open Sans"/>
                <w:sz w:val="22"/>
                <w:szCs w:val="22"/>
                <w:lang w:val="ro-RO"/>
              </w:rPr>
            </w:pPr>
            <w:r w:rsidRPr="00834991">
              <w:rPr>
                <w:rFonts w:ascii="Open Sans" w:hAnsi="Open Sans" w:cs="Open Sans"/>
                <w:sz w:val="22"/>
                <w:szCs w:val="22"/>
                <w:lang w:val="ro-RO"/>
              </w:rPr>
              <w:t>1.</w:t>
            </w:r>
          </w:p>
        </w:tc>
        <w:tc>
          <w:tcPr>
            <w:tcW w:w="1885" w:type="dxa"/>
          </w:tcPr>
          <w:p w14:paraId="2446ED5E" w14:textId="35F95D5F" w:rsidR="002341CC" w:rsidRPr="00834991" w:rsidRDefault="002341CC" w:rsidP="002341CC">
            <w:pPr>
              <w:pStyle w:val="NoSpacing"/>
              <w:rPr>
                <w:rFonts w:ascii="Open Sans" w:hAnsi="Open Sans" w:cs="Open Sans"/>
                <w:sz w:val="22"/>
                <w:szCs w:val="22"/>
                <w:lang w:val="ro-RO"/>
              </w:rPr>
            </w:pPr>
            <w:r w:rsidRPr="00834991">
              <w:rPr>
                <w:rFonts w:ascii="Open Sans" w:hAnsi="Open Sans" w:cs="Open Sans"/>
                <w:sz w:val="22"/>
                <w:szCs w:val="22"/>
                <w:lang w:val="ro-RO"/>
              </w:rPr>
              <w:t>Valoarea estimată a achiziției este mai mică decât pragurile valorice prevăzute la art. 7 alin</w:t>
            </w:r>
            <w:r w:rsidR="00980A63">
              <w:rPr>
                <w:rFonts w:ascii="Open Sans" w:hAnsi="Open Sans" w:cs="Open Sans"/>
                <w:sz w:val="22"/>
                <w:szCs w:val="22"/>
                <w:lang w:val="ro-RO"/>
              </w:rPr>
              <w:t>.</w:t>
            </w:r>
            <w:r w:rsidRPr="00834991">
              <w:rPr>
                <w:rFonts w:ascii="Open Sans" w:hAnsi="Open Sans" w:cs="Open Sans"/>
                <w:sz w:val="22"/>
                <w:szCs w:val="22"/>
                <w:lang w:val="ro-RO"/>
              </w:rPr>
              <w:t xml:space="preserve"> (5) din lege.</w:t>
            </w:r>
          </w:p>
          <w:p w14:paraId="423B986E" w14:textId="500CEE63" w:rsidR="00EA5895" w:rsidRPr="00834991" w:rsidRDefault="00EA5895" w:rsidP="002341CC">
            <w:pPr>
              <w:pStyle w:val="NoSpacing"/>
              <w:rPr>
                <w:rFonts w:ascii="Open Sans" w:hAnsi="Open Sans" w:cs="Open Sans"/>
                <w:sz w:val="22"/>
                <w:szCs w:val="22"/>
                <w:lang w:val="ro-RO"/>
              </w:rPr>
            </w:pPr>
          </w:p>
        </w:tc>
        <w:tc>
          <w:tcPr>
            <w:tcW w:w="6569" w:type="dxa"/>
          </w:tcPr>
          <w:p w14:paraId="3B132ACC" w14:textId="1E1D4E8A" w:rsidR="002341CC" w:rsidRPr="00834991" w:rsidRDefault="70F10D9C" w:rsidP="00980A63">
            <w:pPr>
              <w:pStyle w:val="NoSpacing"/>
              <w:jc w:val="both"/>
              <w:rPr>
                <w:rFonts w:ascii="Open Sans" w:hAnsi="Open Sans" w:cs="Open Sans"/>
                <w:sz w:val="22"/>
                <w:szCs w:val="22"/>
                <w:lang w:val="ro-RO"/>
              </w:rPr>
            </w:pPr>
            <w:r w:rsidRPr="00834991">
              <w:rPr>
                <w:rFonts w:ascii="Open Sans" w:hAnsi="Open Sans" w:cs="Open Sans"/>
                <w:sz w:val="22"/>
                <w:szCs w:val="22"/>
                <w:lang w:val="ro-RO"/>
              </w:rPr>
              <w:t>Se verifică dacă nota privind determinarea valorii es</w:t>
            </w:r>
            <w:r w:rsidR="0C40DDF3" w:rsidRPr="00834991">
              <w:rPr>
                <w:rFonts w:ascii="Open Sans" w:hAnsi="Open Sans" w:cs="Open Sans"/>
                <w:sz w:val="22"/>
                <w:szCs w:val="22"/>
                <w:lang w:val="ro-RO"/>
              </w:rPr>
              <w:t>t</w:t>
            </w:r>
            <w:r w:rsidRPr="00834991">
              <w:rPr>
                <w:rFonts w:ascii="Open Sans" w:hAnsi="Open Sans" w:cs="Open Sans"/>
                <w:sz w:val="22"/>
                <w:szCs w:val="22"/>
                <w:lang w:val="ro-RO"/>
              </w:rPr>
              <w:t>imate include informațiile rezultate din cercetarea ofertelor din piață.</w:t>
            </w:r>
          </w:p>
          <w:p w14:paraId="31A963DF" w14:textId="1060E424" w:rsidR="002341CC" w:rsidRPr="00834991" w:rsidRDefault="7078FB7C" w:rsidP="00980A63">
            <w:pPr>
              <w:pStyle w:val="NoSpacing"/>
              <w:jc w:val="both"/>
              <w:rPr>
                <w:rFonts w:ascii="Open Sans" w:hAnsi="Open Sans" w:cs="Open Sans"/>
                <w:sz w:val="22"/>
                <w:szCs w:val="22"/>
                <w:lang w:val="ro-RO"/>
              </w:rPr>
            </w:pPr>
            <w:r w:rsidRPr="00834991">
              <w:rPr>
                <w:rFonts w:ascii="Open Sans" w:hAnsi="Open Sans" w:cs="Open Sans"/>
                <w:sz w:val="22"/>
                <w:szCs w:val="22"/>
                <w:lang w:val="ro-RO"/>
              </w:rPr>
              <w:t>Se verifică dacă a fost n</w:t>
            </w:r>
            <w:r w:rsidR="55F5418D" w:rsidRPr="00834991">
              <w:rPr>
                <w:rFonts w:ascii="Open Sans" w:hAnsi="Open Sans" w:cs="Open Sans"/>
                <w:sz w:val="22"/>
                <w:szCs w:val="22"/>
                <w:lang w:val="ro-RO"/>
              </w:rPr>
              <w:t>e</w:t>
            </w:r>
            <w:r w:rsidRPr="00834991">
              <w:rPr>
                <w:rFonts w:ascii="Open Sans" w:hAnsi="Open Sans" w:cs="Open Sans"/>
                <w:sz w:val="22"/>
                <w:szCs w:val="22"/>
                <w:lang w:val="ro-RO"/>
              </w:rPr>
              <w:t xml:space="preserve">cesară actualizarea valorii estimate. Valoarea estimată trebuie </w:t>
            </w:r>
            <w:r w:rsidR="00CB614C" w:rsidRPr="00834991">
              <w:rPr>
                <w:rFonts w:ascii="Open Sans" w:hAnsi="Open Sans" w:cs="Open Sans"/>
                <w:sz w:val="22"/>
                <w:szCs w:val="22"/>
                <w:lang w:val="ro-RO"/>
              </w:rPr>
              <w:t xml:space="preserve">să </w:t>
            </w:r>
            <w:r w:rsidRPr="00834991">
              <w:rPr>
                <w:rFonts w:ascii="Open Sans" w:hAnsi="Open Sans" w:cs="Open Sans"/>
                <w:sz w:val="22"/>
                <w:szCs w:val="22"/>
                <w:lang w:val="ro-RO"/>
              </w:rPr>
              <w:t>fie mai mică decât pragurile valorice prevăzute la art. 7 alin (5) din lege.</w:t>
            </w:r>
          </w:p>
          <w:p w14:paraId="299F42EA" w14:textId="33FAC236" w:rsidR="00EA5895" w:rsidRPr="00834991" w:rsidRDefault="002341CC" w:rsidP="00980A63">
            <w:pPr>
              <w:pStyle w:val="NoSpacing"/>
              <w:jc w:val="both"/>
              <w:rPr>
                <w:rFonts w:ascii="Open Sans" w:hAnsi="Open Sans" w:cs="Open Sans"/>
                <w:sz w:val="22"/>
                <w:szCs w:val="22"/>
                <w:lang w:val="ro-RO"/>
              </w:rPr>
            </w:pPr>
            <w:r w:rsidRPr="00834991">
              <w:rPr>
                <w:rFonts w:ascii="Open Sans" w:hAnsi="Open Sans" w:cs="Open Sans"/>
                <w:sz w:val="22"/>
                <w:szCs w:val="22"/>
                <w:lang w:val="ro-RO"/>
              </w:rPr>
              <w:t>Valoarea estimată/Valoarea estimată actualizată, după caz, trebuie s</w:t>
            </w:r>
            <w:r w:rsidR="00980A63">
              <w:rPr>
                <w:rFonts w:ascii="Open Sans" w:hAnsi="Open Sans" w:cs="Open Sans"/>
                <w:sz w:val="22"/>
                <w:szCs w:val="22"/>
                <w:lang w:val="ro-RO"/>
              </w:rPr>
              <w:t>ă</w:t>
            </w:r>
            <w:r w:rsidRPr="00834991">
              <w:rPr>
                <w:rFonts w:ascii="Open Sans" w:hAnsi="Open Sans" w:cs="Open Sans"/>
                <w:sz w:val="22"/>
                <w:szCs w:val="22"/>
                <w:lang w:val="ro-RO"/>
              </w:rPr>
              <w:t xml:space="preserve"> fie corelată cu valoarea prevăzută în contractul de finanțare.</w:t>
            </w:r>
          </w:p>
          <w:p w14:paraId="142AF7A4" w14:textId="77777777" w:rsidR="002341CC" w:rsidRPr="00834991" w:rsidRDefault="002341CC" w:rsidP="002341CC">
            <w:pPr>
              <w:pStyle w:val="NoSpacing"/>
              <w:rPr>
                <w:rFonts w:ascii="Open Sans" w:hAnsi="Open Sans" w:cs="Open Sans"/>
                <w:sz w:val="22"/>
                <w:szCs w:val="22"/>
                <w:lang w:val="ro-RO"/>
              </w:rPr>
            </w:pPr>
          </w:p>
          <w:p w14:paraId="18FB5C17" w14:textId="77777777" w:rsidR="002341CC" w:rsidRPr="00834991" w:rsidRDefault="002341CC" w:rsidP="002341CC">
            <w:pPr>
              <w:pStyle w:val="NoSpacing"/>
              <w:rPr>
                <w:rFonts w:ascii="Open Sans" w:hAnsi="Open Sans" w:cs="Open Sans"/>
                <w:b/>
                <w:bCs/>
                <w:sz w:val="22"/>
                <w:szCs w:val="22"/>
                <w:lang w:val="ro-RO"/>
              </w:rPr>
            </w:pPr>
            <w:r w:rsidRPr="00834991">
              <w:rPr>
                <w:rFonts w:ascii="Open Sans" w:hAnsi="Open Sans" w:cs="Open Sans"/>
                <w:b/>
                <w:bCs/>
                <w:sz w:val="22"/>
                <w:szCs w:val="22"/>
                <w:lang w:val="ro-RO"/>
              </w:rPr>
              <w:t xml:space="preserve">Sancțiune: </w:t>
            </w:r>
          </w:p>
          <w:p w14:paraId="03539226" w14:textId="214FADE3" w:rsidR="002341CC" w:rsidRPr="00834991" w:rsidRDefault="1DDA291A" w:rsidP="00980A63">
            <w:pPr>
              <w:numPr>
                <w:ilvl w:val="0"/>
                <w:numId w:val="1"/>
              </w:numPr>
              <w:spacing w:line="259" w:lineRule="auto"/>
              <w:jc w:val="both"/>
              <w:rPr>
                <w:rFonts w:ascii="Open Sans" w:hAnsi="Open Sans" w:cs="Open Sans"/>
                <w:sz w:val="22"/>
                <w:szCs w:val="22"/>
                <w:lang w:val="ro-RO"/>
              </w:rPr>
            </w:pPr>
            <w:r w:rsidRPr="00834991">
              <w:rPr>
                <w:rFonts w:ascii="Open Sans" w:hAnsi="Open Sans" w:cs="Open Sans"/>
                <w:sz w:val="22"/>
                <w:szCs w:val="22"/>
                <w:lang w:val="ro-RO"/>
              </w:rPr>
              <w:t xml:space="preserve">În cazul în care achiziția a fost divizată </w:t>
            </w:r>
            <w:r w:rsidR="4FFFE2D0" w:rsidRPr="00834991">
              <w:rPr>
                <w:rFonts w:ascii="Open Sans" w:hAnsi="Open Sans" w:cs="Open Sans"/>
                <w:sz w:val="22"/>
                <w:szCs w:val="22"/>
                <w:lang w:val="ro-RO"/>
              </w:rPr>
              <w:t xml:space="preserve">pentru a se evita aplicarea procedurii </w:t>
            </w:r>
            <w:r w:rsidR="00267016" w:rsidRPr="00834991">
              <w:rPr>
                <w:rFonts w:ascii="Open Sans" w:hAnsi="Open Sans" w:cs="Open Sans"/>
                <w:sz w:val="22"/>
                <w:szCs w:val="22"/>
                <w:lang w:val="ro-RO"/>
              </w:rPr>
              <w:t>pentru achiziții peste prag</w:t>
            </w:r>
            <w:r w:rsidR="4FFFE2D0" w:rsidRPr="00834991">
              <w:rPr>
                <w:rFonts w:ascii="Open Sans" w:hAnsi="Open Sans" w:cs="Open Sans"/>
                <w:sz w:val="22"/>
                <w:szCs w:val="22"/>
                <w:lang w:val="ro-RO"/>
              </w:rPr>
              <w:t xml:space="preserve">, se aplică o corecție de </w:t>
            </w:r>
            <w:r w:rsidR="01577DA1" w:rsidRPr="00834991">
              <w:rPr>
                <w:rFonts w:ascii="Open Sans" w:hAnsi="Open Sans" w:cs="Open Sans"/>
                <w:sz w:val="22"/>
                <w:szCs w:val="22"/>
                <w:lang w:val="ro-RO"/>
              </w:rPr>
              <w:t>25</w:t>
            </w:r>
            <w:r w:rsidR="4FFFE2D0" w:rsidRPr="00834991">
              <w:rPr>
                <w:rFonts w:ascii="Open Sans" w:hAnsi="Open Sans" w:cs="Open Sans"/>
                <w:sz w:val="22"/>
                <w:szCs w:val="22"/>
                <w:lang w:val="ro-RO"/>
              </w:rPr>
              <w:t>% din valoarea achiziției.</w:t>
            </w:r>
          </w:p>
        </w:tc>
      </w:tr>
      <w:tr w:rsidR="00E65439" w:rsidRPr="00834991" w14:paraId="61CDCCAA" w14:textId="77777777" w:rsidTr="00AF1726">
        <w:tc>
          <w:tcPr>
            <w:tcW w:w="562" w:type="dxa"/>
          </w:tcPr>
          <w:p w14:paraId="6B06397D" w14:textId="527AE89F" w:rsidR="00EA5895" w:rsidRPr="00834991" w:rsidRDefault="00DE550E" w:rsidP="002341CC">
            <w:pPr>
              <w:pStyle w:val="NoSpacing"/>
              <w:rPr>
                <w:rFonts w:ascii="Open Sans" w:hAnsi="Open Sans" w:cs="Open Sans"/>
                <w:sz w:val="22"/>
                <w:szCs w:val="22"/>
                <w:lang w:val="ro-RO"/>
              </w:rPr>
            </w:pPr>
            <w:r w:rsidRPr="00834991">
              <w:rPr>
                <w:rFonts w:ascii="Open Sans" w:hAnsi="Open Sans" w:cs="Open Sans"/>
                <w:sz w:val="22"/>
                <w:szCs w:val="22"/>
                <w:lang w:val="ro-RO"/>
              </w:rPr>
              <w:t>2.</w:t>
            </w:r>
          </w:p>
        </w:tc>
        <w:tc>
          <w:tcPr>
            <w:tcW w:w="1885" w:type="dxa"/>
          </w:tcPr>
          <w:p w14:paraId="68D86B5E" w14:textId="0FAEF1A7" w:rsidR="00EA5895" w:rsidRPr="00834991" w:rsidRDefault="00DE550E" w:rsidP="002341CC">
            <w:pPr>
              <w:pStyle w:val="NoSpacing"/>
              <w:rPr>
                <w:rFonts w:ascii="Open Sans" w:hAnsi="Open Sans" w:cs="Open Sans"/>
                <w:sz w:val="22"/>
                <w:szCs w:val="22"/>
                <w:lang w:val="ro-RO"/>
              </w:rPr>
            </w:pPr>
            <w:r w:rsidRPr="00834991">
              <w:rPr>
                <w:rFonts w:ascii="Open Sans" w:hAnsi="Open Sans" w:cs="Open Sans"/>
                <w:sz w:val="22"/>
                <w:szCs w:val="22"/>
                <w:lang w:val="ro-RO"/>
              </w:rPr>
              <w:t>Documentele achiziției sunt depuse la dosar.</w:t>
            </w:r>
          </w:p>
        </w:tc>
        <w:tc>
          <w:tcPr>
            <w:tcW w:w="6569" w:type="dxa"/>
          </w:tcPr>
          <w:p w14:paraId="3B4B9F3D" w14:textId="77777777" w:rsidR="00EA5895" w:rsidRPr="00834991" w:rsidRDefault="00DE550E" w:rsidP="00980A63">
            <w:pPr>
              <w:pStyle w:val="NoSpacing"/>
              <w:jc w:val="both"/>
              <w:rPr>
                <w:rFonts w:ascii="Open Sans" w:hAnsi="Open Sans" w:cs="Open Sans"/>
                <w:sz w:val="22"/>
                <w:szCs w:val="22"/>
                <w:lang w:val="ro-RO"/>
              </w:rPr>
            </w:pPr>
            <w:r w:rsidRPr="00834991">
              <w:rPr>
                <w:rFonts w:ascii="Open Sans" w:hAnsi="Open Sans" w:cs="Open Sans"/>
                <w:sz w:val="22"/>
                <w:szCs w:val="22"/>
                <w:lang w:val="ro-RO"/>
              </w:rPr>
              <w:t>Se verifică existența documentelor.</w:t>
            </w:r>
          </w:p>
          <w:p w14:paraId="6FA798FE" w14:textId="77777777" w:rsidR="00767C20" w:rsidRPr="00834991" w:rsidRDefault="00767C20" w:rsidP="00980A63">
            <w:pPr>
              <w:pStyle w:val="NoSpacing"/>
              <w:jc w:val="both"/>
              <w:rPr>
                <w:rFonts w:ascii="Open Sans" w:hAnsi="Open Sans" w:cs="Open Sans"/>
                <w:sz w:val="22"/>
                <w:szCs w:val="22"/>
                <w:lang w:val="ro-RO"/>
              </w:rPr>
            </w:pPr>
          </w:p>
          <w:p w14:paraId="61F39B7C" w14:textId="77777777" w:rsidR="00DE550E" w:rsidRPr="00834991" w:rsidRDefault="00DE550E" w:rsidP="00980A63">
            <w:pPr>
              <w:pStyle w:val="NoSpacing"/>
              <w:jc w:val="both"/>
              <w:rPr>
                <w:rFonts w:ascii="Open Sans" w:hAnsi="Open Sans" w:cs="Open Sans"/>
                <w:b/>
                <w:bCs/>
                <w:sz w:val="22"/>
                <w:szCs w:val="22"/>
                <w:lang w:val="ro-RO"/>
              </w:rPr>
            </w:pPr>
            <w:r w:rsidRPr="00834991">
              <w:rPr>
                <w:rFonts w:ascii="Open Sans" w:hAnsi="Open Sans" w:cs="Open Sans"/>
                <w:b/>
                <w:bCs/>
                <w:sz w:val="22"/>
                <w:szCs w:val="22"/>
                <w:lang w:val="ro-RO"/>
              </w:rPr>
              <w:t>Sancțiune:</w:t>
            </w:r>
          </w:p>
          <w:p w14:paraId="519BD1D6" w14:textId="739CE52C" w:rsidR="00DE550E" w:rsidRPr="00834991" w:rsidRDefault="077FDD4A" w:rsidP="00980A63">
            <w:pPr>
              <w:pStyle w:val="NoSpacing"/>
              <w:jc w:val="both"/>
              <w:rPr>
                <w:rFonts w:ascii="Open Sans" w:hAnsi="Open Sans" w:cs="Open Sans"/>
                <w:sz w:val="22"/>
                <w:szCs w:val="22"/>
                <w:lang w:val="ro-RO"/>
              </w:rPr>
            </w:pPr>
            <w:r w:rsidRPr="00834991">
              <w:rPr>
                <w:rFonts w:ascii="Open Sans" w:hAnsi="Open Sans" w:cs="Open Sans"/>
                <w:sz w:val="22"/>
                <w:szCs w:val="22"/>
                <w:lang w:val="ro-RO"/>
              </w:rPr>
              <w:t>Dacă anumite cheltuieli din cadrul unei achiziții nu se pot proba cu documente justificative, se aplică sancțiunea prevăzută la partea a 3-a pct. 3 din anexa la H.G. 519/2014 privind stabilirea ratelor aferente reducerilor procentuale/corecțiilor</w:t>
            </w:r>
            <w:r w:rsidR="03BC384C" w:rsidRPr="00834991">
              <w:rPr>
                <w:rFonts w:ascii="Open Sans" w:hAnsi="Open Sans" w:cs="Open Sans"/>
                <w:sz w:val="22"/>
                <w:szCs w:val="22"/>
                <w:lang w:val="ro-RO"/>
              </w:rPr>
              <w:t xml:space="preserve"> financiare aplicabile pentru abaterile prevăzute în anexa la ordonanța de urgență a Gu</w:t>
            </w:r>
            <w:r w:rsidR="00DB0397" w:rsidRPr="00834991">
              <w:rPr>
                <w:rFonts w:ascii="Open Sans" w:hAnsi="Open Sans" w:cs="Open Sans"/>
                <w:sz w:val="22"/>
                <w:szCs w:val="22"/>
                <w:lang w:val="ro-RO"/>
              </w:rPr>
              <w:t>v</w:t>
            </w:r>
            <w:r w:rsidR="03BC384C" w:rsidRPr="00834991">
              <w:rPr>
                <w:rFonts w:ascii="Open Sans" w:hAnsi="Open Sans" w:cs="Open Sans"/>
                <w:sz w:val="22"/>
                <w:szCs w:val="22"/>
                <w:lang w:val="ro-RO"/>
              </w:rPr>
              <w:t>ernului nr. 66/2011 privind prevenirea, constatarea și sancționarea neregulilor apărute î</w:t>
            </w:r>
            <w:r w:rsidR="6C62D53D" w:rsidRPr="00834991">
              <w:rPr>
                <w:rFonts w:ascii="Open Sans" w:hAnsi="Open Sans" w:cs="Open Sans"/>
                <w:sz w:val="22"/>
                <w:szCs w:val="22"/>
                <w:lang w:val="ro-RO"/>
              </w:rPr>
              <w:t>n</w:t>
            </w:r>
            <w:r w:rsidR="03BC384C" w:rsidRPr="00834991">
              <w:rPr>
                <w:rFonts w:ascii="Open Sans" w:hAnsi="Open Sans" w:cs="Open Sans"/>
                <w:sz w:val="22"/>
                <w:szCs w:val="22"/>
                <w:lang w:val="ro-RO"/>
              </w:rPr>
              <w:t>, obținerea și utilizarea fondurilor europene și/sau a fondurilor publice naționale, aferente acestora, denumită în continuare H.G. nr. 519/2014.</w:t>
            </w:r>
          </w:p>
        </w:tc>
      </w:tr>
      <w:tr w:rsidR="00E65439" w:rsidRPr="00834991" w14:paraId="58062E5E" w14:textId="77777777" w:rsidTr="28FD5232">
        <w:tc>
          <w:tcPr>
            <w:tcW w:w="9016" w:type="dxa"/>
            <w:gridSpan w:val="3"/>
          </w:tcPr>
          <w:p w14:paraId="508D4E6B" w14:textId="6AA588A3" w:rsidR="00DE34B8" w:rsidRPr="00834991" w:rsidRDefault="00DE34B8" w:rsidP="00735A5F">
            <w:pPr>
              <w:pStyle w:val="NoSpacing"/>
              <w:jc w:val="both"/>
              <w:rPr>
                <w:rFonts w:ascii="Open Sans" w:hAnsi="Open Sans" w:cs="Open Sans"/>
                <w:sz w:val="22"/>
                <w:szCs w:val="22"/>
                <w:lang w:val="ro-RO"/>
              </w:rPr>
            </w:pPr>
            <w:r w:rsidRPr="00834991">
              <w:rPr>
                <w:rFonts w:ascii="Open Sans" w:hAnsi="Open Sans" w:cs="Open Sans"/>
                <w:sz w:val="22"/>
                <w:szCs w:val="22"/>
                <w:lang w:val="ro-RO"/>
              </w:rPr>
              <w:t xml:space="preserve">Atenție! </w:t>
            </w:r>
            <w:r w:rsidRPr="00834991">
              <w:rPr>
                <w:rFonts w:ascii="Open Sans" w:hAnsi="Open Sans" w:cs="Open Sans"/>
                <w:sz w:val="22"/>
                <w:szCs w:val="22"/>
                <w:lang w:val="ro-RO"/>
              </w:rPr>
              <w:br/>
              <w:t>În cazul în care realizarea obiectivului achiziției presupune o serie de aprobări, avize, autorizații sau alte formalități stabilite de prevederi legale incidente, partenerul privat trebuie să se asigure</w:t>
            </w:r>
            <w:r w:rsidR="00735A5F" w:rsidRPr="00834991">
              <w:rPr>
                <w:rFonts w:ascii="Open Sans" w:hAnsi="Open Sans" w:cs="Open Sans"/>
                <w:sz w:val="22"/>
                <w:szCs w:val="22"/>
                <w:lang w:val="ro-RO"/>
              </w:rPr>
              <w:t xml:space="preserve"> că efectuarea cheltuielilor se realizează cu respectarea tuturor prevederilor legale în vigoare.</w:t>
            </w:r>
          </w:p>
        </w:tc>
      </w:tr>
    </w:tbl>
    <w:p w14:paraId="609018B1" w14:textId="5BE68FD4" w:rsidR="00653584" w:rsidRPr="00834991" w:rsidRDefault="00794296" w:rsidP="00614B8E">
      <w:pPr>
        <w:pStyle w:val="Heading1"/>
        <w:rPr>
          <w:rFonts w:ascii="Open Sans" w:hAnsi="Open Sans" w:cs="Open Sans"/>
          <w:b/>
          <w:bCs/>
          <w:color w:val="auto"/>
          <w:sz w:val="22"/>
          <w:szCs w:val="28"/>
          <w:lang w:val="ro-RO"/>
        </w:rPr>
      </w:pPr>
      <w:bookmarkStart w:id="4" w:name="_Toc184811990"/>
      <w:r w:rsidRPr="00834991">
        <w:rPr>
          <w:rFonts w:ascii="Open Sans" w:hAnsi="Open Sans" w:cs="Open Sans"/>
          <w:b/>
          <w:bCs/>
          <w:color w:val="auto"/>
          <w:sz w:val="22"/>
          <w:szCs w:val="28"/>
          <w:lang w:val="ro-RO"/>
        </w:rPr>
        <w:t>Capitolul 5</w:t>
      </w:r>
      <w:r w:rsidR="00A13085" w:rsidRPr="00834991">
        <w:rPr>
          <w:rFonts w:ascii="Open Sans" w:hAnsi="Open Sans" w:cs="Open Sans"/>
          <w:b/>
          <w:bCs/>
          <w:color w:val="auto"/>
          <w:sz w:val="22"/>
          <w:szCs w:val="28"/>
          <w:lang w:val="ro-RO"/>
        </w:rPr>
        <w:t xml:space="preserve"> - </w:t>
      </w:r>
      <w:r w:rsidRPr="00834991">
        <w:rPr>
          <w:rFonts w:ascii="Open Sans" w:hAnsi="Open Sans" w:cs="Open Sans"/>
          <w:b/>
          <w:bCs/>
          <w:color w:val="auto"/>
          <w:sz w:val="22"/>
          <w:szCs w:val="28"/>
          <w:lang w:val="ro-RO"/>
        </w:rPr>
        <w:t xml:space="preserve">Procedura </w:t>
      </w:r>
      <w:r w:rsidR="00CB614C" w:rsidRPr="00834991">
        <w:rPr>
          <w:rFonts w:ascii="Open Sans" w:hAnsi="Open Sans" w:cs="Open Sans"/>
          <w:b/>
          <w:bCs/>
          <w:color w:val="auto"/>
          <w:sz w:val="22"/>
          <w:szCs w:val="28"/>
          <w:lang w:val="ro-RO"/>
        </w:rPr>
        <w:t>pentru achiziții peste prag</w:t>
      </w:r>
      <w:bookmarkEnd w:id="4"/>
    </w:p>
    <w:p w14:paraId="6FB97DDD" w14:textId="78775CE0" w:rsidR="00653584" w:rsidRPr="00834991" w:rsidRDefault="00CD27C2" w:rsidP="631A3516">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5.1. Dacă valoarea estimată a </w:t>
      </w:r>
      <w:r w:rsidR="0011029F" w:rsidRPr="00834991">
        <w:rPr>
          <w:rFonts w:ascii="Open Sans" w:hAnsi="Open Sans" w:cs="Open Sans"/>
          <w:sz w:val="22"/>
          <w:szCs w:val="22"/>
          <w:lang w:val="ro-RO"/>
        </w:rPr>
        <w:t>achiziției</w:t>
      </w:r>
      <w:r w:rsidRPr="00834991">
        <w:rPr>
          <w:rFonts w:ascii="Open Sans" w:hAnsi="Open Sans" w:cs="Open Sans"/>
          <w:sz w:val="22"/>
          <w:szCs w:val="22"/>
          <w:lang w:val="ro-RO"/>
        </w:rPr>
        <w:t>, fără TVA, este egală cu sau mai mare decât pragurile valorice prevăzute de art. 7 alin. (5) din lege</w:t>
      </w:r>
      <w:r w:rsidR="4FFFCED4" w:rsidRPr="00834991">
        <w:rPr>
          <w:rFonts w:ascii="Open Sans" w:hAnsi="Open Sans" w:cs="Open Sans"/>
          <w:sz w:val="22"/>
          <w:szCs w:val="22"/>
          <w:lang w:val="ro-RO"/>
        </w:rPr>
        <w:t>a 98/2016</w:t>
      </w:r>
      <w:r w:rsidRPr="00834991">
        <w:rPr>
          <w:rStyle w:val="FootnoteReference"/>
          <w:rFonts w:ascii="Open Sans" w:hAnsi="Open Sans" w:cs="Open Sans"/>
          <w:sz w:val="22"/>
          <w:szCs w:val="22"/>
          <w:lang w:val="ro-RO"/>
        </w:rPr>
        <w:footnoteReference w:id="4"/>
      </w:r>
      <w:r w:rsidRPr="00834991">
        <w:rPr>
          <w:rFonts w:ascii="Open Sans" w:hAnsi="Open Sans" w:cs="Open Sans"/>
          <w:sz w:val="22"/>
          <w:szCs w:val="22"/>
          <w:lang w:val="ro-RO"/>
        </w:rPr>
        <w:t>, atunci</w:t>
      </w:r>
      <w:r w:rsidR="00FE476D" w:rsidRPr="00834991">
        <w:rPr>
          <w:rFonts w:ascii="Open Sans" w:hAnsi="Open Sans" w:cs="Open Sans"/>
          <w:sz w:val="22"/>
          <w:szCs w:val="22"/>
          <w:lang w:val="ro-RO"/>
        </w:rPr>
        <w:t xml:space="preserve"> partenerii</w:t>
      </w:r>
      <w:r w:rsidRPr="00834991">
        <w:rPr>
          <w:rFonts w:ascii="Open Sans" w:hAnsi="Open Sans" w:cs="Open Sans"/>
          <w:sz w:val="22"/>
          <w:szCs w:val="22"/>
          <w:lang w:val="ro-RO"/>
        </w:rPr>
        <w:t xml:space="preserve"> privaţi aplică procedura prevăzută în cadrul acestui capitol, respectiv:</w:t>
      </w:r>
    </w:p>
    <w:p w14:paraId="3A1E6FD0" w14:textId="40261B89"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a) în cazul contractelor de furnizare, aplică procedura fără să existe o limită valorică superioară de la care să se aplice dispoziţiile legii;</w:t>
      </w:r>
    </w:p>
    <w:p w14:paraId="36B9F2DC" w14:textId="3A0D5788" w:rsidR="00653584" w:rsidRPr="00834991" w:rsidRDefault="00CD27C2" w:rsidP="00735A5F">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b) în cazul contractelor de servicii şi lucrări, aplică procedura dacă nu îndeplinesc cumulativ condiţiile prevăzute la art. 6 alin. (1) sau (3) din lege.</w:t>
      </w:r>
    </w:p>
    <w:p w14:paraId="16A6AE5A"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5.2. Încadrarea contractelor care au ca obiect cel puţin două tipuri de achiziţie, constând în lucrări, servicii sau produse, se stabileşte în funcţie de obiectul principal al contractului în cauză. Obiectul principal se determină în funcţie de cea mai mare dintre valorile estimate ale produselor, serviciilor sau lucrărilor respective.</w:t>
      </w:r>
    </w:p>
    <w:p w14:paraId="21F9F56D" w14:textId="1EF50566" w:rsidR="00735A5F" w:rsidRPr="00834991" w:rsidRDefault="00735A5F">
      <w:pPr>
        <w:pStyle w:val="NormalWeb"/>
        <w:spacing w:before="0" w:beforeAutospacing="0" w:after="0" w:afterAutospacing="0"/>
        <w:jc w:val="both"/>
        <w:rPr>
          <w:rFonts w:ascii="Open Sans" w:hAnsi="Open Sans" w:cs="Open Sans"/>
          <w:sz w:val="22"/>
          <w:szCs w:val="22"/>
          <w:lang w:val="ro-RO"/>
        </w:rPr>
      </w:pPr>
    </w:p>
    <w:p w14:paraId="0B947743" w14:textId="3897DC68" w:rsidR="00735A5F" w:rsidRPr="00834991" w:rsidRDefault="00735A5F">
      <w:pPr>
        <w:pStyle w:val="NormalWeb"/>
        <w:spacing w:before="0" w:beforeAutospacing="0" w:after="0" w:afterAutospacing="0"/>
        <w:jc w:val="both"/>
        <w:rPr>
          <w:rFonts w:ascii="Open Sans" w:hAnsi="Open Sans" w:cs="Open Sans"/>
          <w:b/>
          <w:bCs/>
          <w:sz w:val="22"/>
          <w:szCs w:val="22"/>
          <w:lang w:val="ro-RO"/>
        </w:rPr>
      </w:pPr>
      <w:r w:rsidRPr="00834991">
        <w:rPr>
          <w:rFonts w:ascii="Open Sans" w:hAnsi="Open Sans" w:cs="Open Sans"/>
          <w:b/>
          <w:bCs/>
          <w:sz w:val="22"/>
          <w:szCs w:val="22"/>
          <w:lang w:val="ro-RO"/>
        </w:rPr>
        <w:t>Atenție!</w:t>
      </w:r>
    </w:p>
    <w:p w14:paraId="5B827E17" w14:textId="4C71A432" w:rsidR="00FD6075" w:rsidRPr="00834991" w:rsidRDefault="00735A5F" w:rsidP="631A3516">
      <w:pPr>
        <w:pStyle w:val="NormalWeb"/>
        <w:spacing w:before="0" w:beforeAutospacing="0" w:after="0" w:afterAutospacing="0"/>
        <w:jc w:val="both"/>
        <w:divId w:val="333268434"/>
        <w:rPr>
          <w:rFonts w:ascii="Open Sans" w:hAnsi="Open Sans" w:cs="Open Sans"/>
          <w:sz w:val="22"/>
          <w:szCs w:val="22"/>
          <w:lang w:val="ro-RO"/>
        </w:rPr>
      </w:pPr>
      <w:r w:rsidRPr="00834991">
        <w:rPr>
          <w:rFonts w:ascii="Open Sans" w:hAnsi="Open Sans" w:cs="Open Sans"/>
          <w:sz w:val="22"/>
          <w:szCs w:val="22"/>
          <w:lang w:val="ro-RO"/>
        </w:rPr>
        <w:t>Contractul care are ca obiect atât furnizarea de produse, cât și prestarea de servicii este considerat contract de servicii dacă valoarea estimată a serviciilor este mai mare decât valoarea estimată a produselor prevăzute în contractul respectiv. Prin urmare, dacă avem un contract în care valoarea serviciilor depășește valoarea produselor care se vor achiziționa, se aplică prevederile art. 6 alin. (3) din lege</w:t>
      </w:r>
      <w:r w:rsidR="00D01DB1" w:rsidRPr="00834991">
        <w:rPr>
          <w:rFonts w:ascii="Open Sans" w:hAnsi="Open Sans" w:cs="Open Sans"/>
          <w:sz w:val="22"/>
          <w:szCs w:val="22"/>
          <w:lang w:val="ro-RO"/>
        </w:rPr>
        <w:t xml:space="preserve">, dacă sunt îndeplinite cumulativ condițiile legiferate. </w:t>
      </w:r>
    </w:p>
    <w:p w14:paraId="5330A83B" w14:textId="766BF841" w:rsidR="00653584" w:rsidRPr="00834991" w:rsidRDefault="69849927" w:rsidP="56B741A2">
      <w:pPr>
        <w:pStyle w:val="NormalWeb"/>
        <w:spacing w:before="0" w:beforeAutospacing="0" w:after="0" w:afterAutospacing="0"/>
        <w:jc w:val="both"/>
        <w:divId w:val="333268434"/>
        <w:rPr>
          <w:rFonts w:ascii="Open Sans" w:hAnsi="Open Sans" w:cs="Open Sans"/>
          <w:sz w:val="22"/>
          <w:szCs w:val="22"/>
          <w:lang w:val="ro-RO"/>
        </w:rPr>
      </w:pPr>
      <w:r w:rsidRPr="00834991">
        <w:rPr>
          <w:rFonts w:ascii="Open Sans" w:hAnsi="Open Sans" w:cs="Open Sans"/>
          <w:sz w:val="22"/>
          <w:szCs w:val="22"/>
          <w:lang w:val="ro-RO"/>
        </w:rPr>
        <w:t>Contra</w:t>
      </w:r>
      <w:r w:rsidR="71E46E73" w:rsidRPr="00834991">
        <w:rPr>
          <w:rFonts w:ascii="Open Sans" w:hAnsi="Open Sans" w:cs="Open Sans"/>
          <w:sz w:val="22"/>
          <w:szCs w:val="22"/>
          <w:lang w:val="ro-RO"/>
        </w:rPr>
        <w:t>c</w:t>
      </w:r>
      <w:r w:rsidRPr="00834991">
        <w:rPr>
          <w:rFonts w:ascii="Open Sans" w:hAnsi="Open Sans" w:cs="Open Sans"/>
          <w:sz w:val="22"/>
          <w:szCs w:val="22"/>
          <w:lang w:val="ro-RO"/>
        </w:rPr>
        <w:t>tul care are ca obiect produse și lucrări</w:t>
      </w:r>
      <w:r w:rsidR="4A041865" w:rsidRPr="00834991">
        <w:rPr>
          <w:rFonts w:ascii="Open Sans" w:hAnsi="Open Sans" w:cs="Open Sans"/>
          <w:sz w:val="22"/>
          <w:szCs w:val="22"/>
          <w:lang w:val="ro-RO"/>
        </w:rPr>
        <w:t xml:space="preserve"> este considerat contract de lucrări</w:t>
      </w:r>
      <w:r w:rsidRPr="00834991">
        <w:rPr>
          <w:rFonts w:ascii="Open Sans" w:hAnsi="Open Sans" w:cs="Open Sans"/>
          <w:sz w:val="22"/>
          <w:szCs w:val="22"/>
          <w:lang w:val="ro-RO"/>
        </w:rPr>
        <w:t xml:space="preserve"> dacă valoarea estimată a lucrărilor este mai mare decât valoarea estimată a produselor prevăzute în c</w:t>
      </w:r>
      <w:r w:rsidR="45D2CFE7" w:rsidRPr="00834991">
        <w:rPr>
          <w:rFonts w:ascii="Open Sans" w:hAnsi="Open Sans" w:cs="Open Sans"/>
          <w:sz w:val="22"/>
          <w:szCs w:val="22"/>
          <w:lang w:val="ro-RO"/>
        </w:rPr>
        <w:t>o</w:t>
      </w:r>
      <w:r w:rsidRPr="00834991">
        <w:rPr>
          <w:rFonts w:ascii="Open Sans" w:hAnsi="Open Sans" w:cs="Open Sans"/>
          <w:sz w:val="22"/>
          <w:szCs w:val="22"/>
          <w:lang w:val="ro-RO"/>
        </w:rPr>
        <w:t>ntractul respectiv. Prin urmare, dacă</w:t>
      </w:r>
      <w:r w:rsidR="51CE3E4E" w:rsidRPr="00834991">
        <w:rPr>
          <w:rFonts w:ascii="Open Sans" w:hAnsi="Open Sans" w:cs="Open Sans"/>
          <w:sz w:val="22"/>
          <w:szCs w:val="22"/>
          <w:lang w:val="ro-RO"/>
        </w:rPr>
        <w:t xml:space="preserve"> </w:t>
      </w:r>
      <w:r w:rsidRPr="00834991">
        <w:rPr>
          <w:rFonts w:ascii="Open Sans" w:hAnsi="Open Sans" w:cs="Open Sans"/>
          <w:sz w:val="22"/>
          <w:szCs w:val="22"/>
          <w:lang w:val="ro-RO"/>
        </w:rPr>
        <w:t>avem un contract în care valoarea lucrărilor depăşeşte valoarea produselor care se vor achiziţiona, se aplică prevederile art. 6 alin. (1) şi (2) din lege, dacă sunt îndeplinite în mod cumulativ condiţiile legiferate.</w:t>
      </w:r>
    </w:p>
    <w:p w14:paraId="1182EEA5" w14:textId="77777777" w:rsidR="00FD6075" w:rsidRPr="00834991" w:rsidRDefault="00FD6075" w:rsidP="00FD6075">
      <w:pPr>
        <w:pStyle w:val="NormalWeb"/>
        <w:spacing w:before="0" w:beforeAutospacing="0" w:after="0" w:afterAutospacing="0"/>
        <w:jc w:val="both"/>
        <w:divId w:val="333268434"/>
        <w:rPr>
          <w:rFonts w:ascii="Open Sans" w:eastAsia="Times New Roman" w:hAnsi="Open Sans" w:cs="Open Sans"/>
          <w:sz w:val="22"/>
          <w:szCs w:val="22"/>
          <w:lang w:val="ro-RO"/>
        </w:rPr>
      </w:pPr>
    </w:p>
    <w:p w14:paraId="4385558B" w14:textId="64829692" w:rsidR="00653584" w:rsidRPr="00834991" w:rsidRDefault="00CD27C2">
      <w:pPr>
        <w:pStyle w:val="NormalWeb"/>
        <w:spacing w:before="0" w:beforeAutospacing="0" w:after="0" w:afterAutospacing="0"/>
        <w:jc w:val="both"/>
        <w:rPr>
          <w:rFonts w:ascii="Open Sans" w:hAnsi="Open Sans" w:cs="Open Sans"/>
          <w:sz w:val="20"/>
          <w:szCs w:val="20"/>
          <w:lang w:val="ro-RO"/>
        </w:rPr>
      </w:pPr>
      <w:bookmarkStart w:id="5" w:name="_Toc184811991"/>
      <w:r w:rsidRPr="00834991">
        <w:rPr>
          <w:rStyle w:val="Heading2Char"/>
          <w:rFonts w:ascii="Open Sans" w:hAnsi="Open Sans" w:cs="Open Sans"/>
          <w:b/>
          <w:bCs/>
          <w:color w:val="auto"/>
          <w:sz w:val="22"/>
          <w:szCs w:val="22"/>
          <w:lang w:val="ro-RO"/>
        </w:rPr>
        <w:t>SECŢIUNEA 1</w:t>
      </w:r>
      <w:r w:rsidR="00767C20" w:rsidRPr="00834991">
        <w:rPr>
          <w:rStyle w:val="Heading2Char"/>
          <w:rFonts w:ascii="Open Sans" w:hAnsi="Open Sans" w:cs="Open Sans"/>
          <w:b/>
          <w:bCs/>
          <w:color w:val="auto"/>
          <w:sz w:val="22"/>
          <w:szCs w:val="22"/>
          <w:lang w:val="ro-RO"/>
        </w:rPr>
        <w:t xml:space="preserve"> - </w:t>
      </w:r>
      <w:r w:rsidRPr="00834991">
        <w:rPr>
          <w:rStyle w:val="Heading2Char"/>
          <w:rFonts w:ascii="Open Sans" w:hAnsi="Open Sans" w:cs="Open Sans"/>
          <w:b/>
          <w:bCs/>
          <w:color w:val="auto"/>
          <w:sz w:val="22"/>
          <w:szCs w:val="22"/>
          <w:lang w:val="ro-RO"/>
        </w:rPr>
        <w:t>Principii aplicabile proceduri</w:t>
      </w:r>
      <w:r w:rsidR="00267016" w:rsidRPr="00834991">
        <w:rPr>
          <w:rStyle w:val="Heading2Char"/>
          <w:rFonts w:ascii="Open Sans" w:hAnsi="Open Sans" w:cs="Open Sans"/>
          <w:b/>
          <w:bCs/>
          <w:color w:val="auto"/>
          <w:sz w:val="22"/>
          <w:szCs w:val="22"/>
          <w:lang w:val="ro-RO"/>
        </w:rPr>
        <w:t>i pentru achiziții peste prag</w:t>
      </w:r>
      <w:bookmarkEnd w:id="5"/>
    </w:p>
    <w:p w14:paraId="6D2F9B79" w14:textId="5CE1E276" w:rsidR="00653584" w:rsidRPr="00834991" w:rsidRDefault="00CD27C2" w:rsidP="6FED367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1.1. Pe parcursul întregului proces de achiziţie prin procedură </w:t>
      </w:r>
      <w:r w:rsidR="00267016" w:rsidRPr="00834991">
        <w:rPr>
          <w:rFonts w:ascii="Open Sans" w:hAnsi="Open Sans" w:cs="Open Sans"/>
          <w:sz w:val="22"/>
          <w:szCs w:val="22"/>
          <w:lang w:val="ro-RO"/>
        </w:rPr>
        <w:t>pentru achiziții peste prag</w:t>
      </w:r>
      <w:r w:rsidRPr="00834991">
        <w:rPr>
          <w:rFonts w:ascii="Open Sans" w:hAnsi="Open Sans" w:cs="Open Sans"/>
          <w:sz w:val="22"/>
          <w:szCs w:val="22"/>
          <w:lang w:val="ro-RO"/>
        </w:rPr>
        <w:t>, la adoptarea oricărei decizii, trebuie avute în vedere următoarele principii:</w:t>
      </w:r>
    </w:p>
    <w:p w14:paraId="566C52F6"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a) principiul transparenţei;</w:t>
      </w:r>
    </w:p>
    <w:p w14:paraId="14B797B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b) principiul economicităţii;</w:t>
      </w:r>
    </w:p>
    <w:p w14:paraId="6242F92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c) principiul eficienţei;</w:t>
      </w:r>
    </w:p>
    <w:p w14:paraId="3E5C37B0" w14:textId="77777777" w:rsidR="0065358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d) principiul eficacităţii.</w:t>
      </w:r>
    </w:p>
    <w:p w14:paraId="72D12676" w14:textId="60B9A34E" w:rsidR="0065358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1.2. Prin transparenţă se înţelege aducerea la cunoştinţa publicului a informaţiilor referitoare la procedura </w:t>
      </w:r>
      <w:r w:rsidR="00267016" w:rsidRPr="00834991">
        <w:rPr>
          <w:rFonts w:ascii="Open Sans" w:hAnsi="Open Sans" w:cs="Open Sans"/>
          <w:sz w:val="22"/>
          <w:szCs w:val="22"/>
          <w:lang w:val="ro-RO"/>
        </w:rPr>
        <w:t>pentru achiziții peste prag</w:t>
      </w:r>
      <w:r w:rsidRPr="00834991">
        <w:rPr>
          <w:rFonts w:ascii="Open Sans" w:hAnsi="Open Sans" w:cs="Open Sans"/>
          <w:sz w:val="22"/>
          <w:szCs w:val="22"/>
          <w:lang w:val="ro-RO"/>
        </w:rPr>
        <w:t>, astfel încât operatorii economici care operează pe piaţă să poată participa la competiţie, asigurându-se prin aceasta promovarea concurenţei. Având în vedere faptul că respectarea acestui principiu asigură premisele pentru respectarea celorlalte 3 principii, sunt prevăzute sancţiuni pentru nerespectarea cerinţelor de publicitate.</w:t>
      </w:r>
    </w:p>
    <w:p w14:paraId="5CBD80AA" w14:textId="77777777" w:rsidR="00653584" w:rsidRPr="00834991" w:rsidRDefault="00CD27C2">
      <w:pPr>
        <w:pStyle w:val="NormalWeb"/>
        <w:spacing w:before="0" w:beforeAutospacing="0" w:after="0" w:afterAutospacing="0"/>
        <w:jc w:val="both"/>
        <w:rPr>
          <w:rFonts w:ascii="Open Sans" w:hAnsi="Open Sans" w:cs="Open Sans"/>
          <w:b/>
          <w:bCs/>
          <w:sz w:val="22"/>
          <w:szCs w:val="22"/>
          <w:u w:val="single"/>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b/>
          <w:bCs/>
          <w:sz w:val="22"/>
          <w:szCs w:val="22"/>
          <w:u w:val="single"/>
          <w:lang w:val="ro-RO"/>
        </w:rPr>
        <w:t>Cerinţe</w:t>
      </w:r>
    </w:p>
    <w:p w14:paraId="6CFDE713"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I. Transparenţa la </w:t>
      </w:r>
      <w:r w:rsidRPr="00834991">
        <w:rPr>
          <w:rFonts w:ascii="Open Sans" w:hAnsi="Open Sans" w:cs="Open Sans"/>
          <w:b/>
          <w:bCs/>
          <w:sz w:val="22"/>
          <w:szCs w:val="22"/>
          <w:lang w:val="ro-RO"/>
        </w:rPr>
        <w:t>iniţierea procedurii</w:t>
      </w:r>
      <w:r w:rsidRPr="00834991">
        <w:rPr>
          <w:rFonts w:ascii="Open Sans" w:hAnsi="Open Sans" w:cs="Open Sans"/>
          <w:sz w:val="22"/>
          <w:szCs w:val="22"/>
          <w:lang w:val="ro-RO"/>
        </w:rPr>
        <w:t>:</w:t>
      </w:r>
    </w:p>
    <w:p w14:paraId="2A0230BA" w14:textId="0534C9AF" w:rsidR="00653584" w:rsidRPr="00834991" w:rsidRDefault="00CD27C2" w:rsidP="114FE715">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000E4F58" w:rsidRPr="00834991">
        <w:rPr>
          <w:rFonts w:ascii="Open Sans" w:hAnsi="Open Sans" w:cs="Open Sans"/>
          <w:sz w:val="22"/>
          <w:szCs w:val="22"/>
          <w:lang w:val="ro-RO"/>
        </w:rPr>
        <w:t>P</w:t>
      </w:r>
      <w:r w:rsidR="00FE476D" w:rsidRPr="00834991">
        <w:rPr>
          <w:rFonts w:ascii="Open Sans" w:hAnsi="Open Sans" w:cs="Open Sans"/>
          <w:sz w:val="22"/>
          <w:szCs w:val="22"/>
          <w:lang w:val="ro-RO"/>
        </w:rPr>
        <w:t xml:space="preserve">artenerii </w:t>
      </w:r>
      <w:r w:rsidRPr="00834991">
        <w:rPr>
          <w:rFonts w:ascii="Open Sans" w:hAnsi="Open Sans" w:cs="Open Sans"/>
          <w:sz w:val="22"/>
          <w:szCs w:val="22"/>
          <w:lang w:val="ro-RO"/>
        </w:rPr>
        <w:t xml:space="preserve">privaţi trebuie să publice un anunţ însoţit de specificaţiile tehnice aferente pe pagina web </w:t>
      </w:r>
      <w:r w:rsidR="00D01DB1" w:rsidRPr="00834991">
        <w:rPr>
          <w:rFonts w:ascii="Open Sans" w:hAnsi="Open Sans" w:cs="Open Sans"/>
          <w:sz w:val="22"/>
          <w:szCs w:val="22"/>
          <w:lang w:val="ro-RO"/>
        </w:rPr>
        <w:t>a Programului</w:t>
      </w:r>
      <w:r w:rsidR="000E4F58" w:rsidRPr="00834991">
        <w:rPr>
          <w:rFonts w:ascii="Open Sans" w:hAnsi="Open Sans" w:cs="Open Sans"/>
          <w:sz w:val="22"/>
          <w:szCs w:val="22"/>
          <w:lang w:val="ro-RO"/>
        </w:rPr>
        <w:t xml:space="preserve"> (în secțiunea dedicată)</w:t>
      </w:r>
      <w:r w:rsidR="00D01DB1" w:rsidRPr="00834991">
        <w:rPr>
          <w:rFonts w:ascii="Open Sans" w:hAnsi="Open Sans" w:cs="Open Sans"/>
          <w:sz w:val="22"/>
          <w:szCs w:val="22"/>
          <w:lang w:val="ro-RO"/>
        </w:rPr>
        <w:t>.</w:t>
      </w:r>
      <w:r w:rsidR="63E441BA" w:rsidRPr="00834991">
        <w:rPr>
          <w:rFonts w:ascii="Open Sans" w:hAnsi="Open Sans" w:cs="Open Sans"/>
          <w:sz w:val="22"/>
          <w:szCs w:val="22"/>
          <w:lang w:val="ro-RO"/>
        </w:rPr>
        <w:t xml:space="preserve"> Este recomandat ca acest anunț să fie publicat și pe pagina web a partenerului privat (dacă există)</w:t>
      </w:r>
      <w:r w:rsidR="00FC7888" w:rsidRPr="00834991">
        <w:rPr>
          <w:rFonts w:ascii="Open Sans" w:hAnsi="Open Sans" w:cs="Open Sans"/>
          <w:sz w:val="22"/>
          <w:szCs w:val="22"/>
          <w:lang w:val="ro-RO"/>
        </w:rPr>
        <w:t xml:space="preserve"> sau pe alte canale de pub</w:t>
      </w:r>
      <w:r w:rsidR="00961F3F" w:rsidRPr="00834991">
        <w:rPr>
          <w:rFonts w:ascii="Open Sans" w:hAnsi="Open Sans" w:cs="Open Sans"/>
          <w:sz w:val="22"/>
          <w:szCs w:val="22"/>
          <w:lang w:val="ro-RO"/>
        </w:rPr>
        <w:t>licitate</w:t>
      </w:r>
      <w:r w:rsidR="63E441BA" w:rsidRPr="00834991">
        <w:rPr>
          <w:rFonts w:ascii="Open Sans" w:hAnsi="Open Sans" w:cs="Open Sans"/>
          <w:sz w:val="22"/>
          <w:szCs w:val="22"/>
          <w:lang w:val="ro-RO"/>
        </w:rPr>
        <w:t>.</w:t>
      </w:r>
    </w:p>
    <w:p w14:paraId="6B382D53" w14:textId="34F33D1D" w:rsidR="00653584" w:rsidRPr="00834991" w:rsidRDefault="00CD27C2" w:rsidP="00D01DB1">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Nerespectarea obligaţiilor de mai sus atrage aplicarea unei corecţii financiare în conformitate cu partea a 3-a pct. 1 din anexa la H.G. nr. 519/2014.</w:t>
      </w:r>
    </w:p>
    <w:p w14:paraId="3DCBCE9A" w14:textId="77777777" w:rsidR="00527DE8" w:rsidRPr="00834991" w:rsidRDefault="00527DE8">
      <w:pPr>
        <w:pStyle w:val="NormalWeb"/>
        <w:spacing w:before="0" w:beforeAutospacing="0" w:after="0" w:afterAutospacing="0"/>
        <w:jc w:val="both"/>
        <w:rPr>
          <w:rFonts w:ascii="Open Sans" w:hAnsi="Open Sans" w:cs="Open Sans"/>
          <w:sz w:val="22"/>
          <w:szCs w:val="22"/>
          <w:lang w:val="ro-RO"/>
        </w:rPr>
      </w:pPr>
    </w:p>
    <w:p w14:paraId="652FC9BA" w14:textId="24C89368"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II. Transparenţa la </w:t>
      </w:r>
      <w:r w:rsidRPr="00834991">
        <w:rPr>
          <w:rFonts w:ascii="Open Sans" w:hAnsi="Open Sans" w:cs="Open Sans"/>
          <w:b/>
          <w:bCs/>
          <w:sz w:val="22"/>
          <w:szCs w:val="22"/>
          <w:lang w:val="ro-RO"/>
        </w:rPr>
        <w:t>încheierea procedurii</w:t>
      </w:r>
      <w:r w:rsidRPr="00834991">
        <w:rPr>
          <w:rFonts w:ascii="Open Sans" w:hAnsi="Open Sans" w:cs="Open Sans"/>
          <w:sz w:val="22"/>
          <w:szCs w:val="22"/>
          <w:lang w:val="ro-RO"/>
        </w:rPr>
        <w:t>:</w:t>
      </w:r>
    </w:p>
    <w:p w14:paraId="3946E5C7" w14:textId="0C32B9B9" w:rsidR="00653584" w:rsidRPr="00834991" w:rsidRDefault="00CD27C2"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000E4F58" w:rsidRPr="00834991">
        <w:rPr>
          <w:rFonts w:ascii="Open Sans" w:hAnsi="Open Sans" w:cs="Open Sans"/>
          <w:sz w:val="22"/>
          <w:szCs w:val="22"/>
          <w:lang w:val="ro-RO"/>
        </w:rPr>
        <w:t>Partener</w:t>
      </w:r>
      <w:r w:rsidRPr="00834991">
        <w:rPr>
          <w:rFonts w:ascii="Open Sans" w:hAnsi="Open Sans" w:cs="Open Sans"/>
          <w:sz w:val="22"/>
          <w:szCs w:val="22"/>
          <w:lang w:val="ro-RO"/>
        </w:rPr>
        <w:t xml:space="preserve">ii privaţi trebuie să completeze informaţiile referitoare la câştigătorul contractului pe pagina web </w:t>
      </w:r>
      <w:r w:rsidR="000E4F58" w:rsidRPr="00834991">
        <w:rPr>
          <w:rFonts w:ascii="Open Sans" w:hAnsi="Open Sans" w:cs="Open Sans"/>
          <w:sz w:val="22"/>
          <w:szCs w:val="22"/>
          <w:lang w:val="ro-RO"/>
        </w:rPr>
        <w:t>a Programului (în secțiunea dedicată)</w:t>
      </w:r>
      <w:r w:rsidR="3020F0FF" w:rsidRPr="00834991">
        <w:rPr>
          <w:rFonts w:ascii="Open Sans" w:hAnsi="Open Sans" w:cs="Open Sans"/>
          <w:sz w:val="22"/>
          <w:szCs w:val="22"/>
          <w:lang w:val="ro-RO"/>
        </w:rPr>
        <w:t xml:space="preserve">. Este recomandat ca informaţiile referitoare la câştigătorul contractului să fie publicate </w:t>
      </w:r>
      <w:r w:rsidR="3F43BD2D" w:rsidRPr="00834991">
        <w:rPr>
          <w:rFonts w:ascii="Open Sans" w:hAnsi="Open Sans" w:cs="Open Sans"/>
          <w:sz w:val="22"/>
          <w:szCs w:val="22"/>
          <w:lang w:val="ro-RO"/>
        </w:rPr>
        <w:t xml:space="preserve">și pe pagina web </w:t>
      </w:r>
      <w:r w:rsidR="7D45AE82" w:rsidRPr="00834991">
        <w:rPr>
          <w:rFonts w:ascii="Open Sans" w:hAnsi="Open Sans" w:cs="Open Sans"/>
          <w:sz w:val="22"/>
          <w:szCs w:val="22"/>
          <w:lang w:val="ro-RO"/>
        </w:rPr>
        <w:t>a partenerului privat</w:t>
      </w:r>
      <w:r w:rsidR="3F43BD2D" w:rsidRPr="00834991">
        <w:rPr>
          <w:rFonts w:ascii="Open Sans" w:hAnsi="Open Sans" w:cs="Open Sans"/>
          <w:sz w:val="22"/>
          <w:szCs w:val="22"/>
          <w:lang w:val="ro-RO"/>
        </w:rPr>
        <w:t xml:space="preserve"> (dacă există)</w:t>
      </w:r>
      <w:r w:rsidR="0F13ED49" w:rsidRPr="00834991">
        <w:rPr>
          <w:rFonts w:ascii="Open Sans" w:hAnsi="Open Sans" w:cs="Open Sans"/>
          <w:sz w:val="22"/>
          <w:szCs w:val="22"/>
          <w:lang w:val="ro-RO"/>
        </w:rPr>
        <w:t>.</w:t>
      </w:r>
    </w:p>
    <w:p w14:paraId="6FE9D38A" w14:textId="012387DF"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Nerespectarea obligaţiilor de mai sus atrage după sine aplicarea unei corecţii financiare în conformitate cu partea a 3-a pct. 2 din anexa la H.G. nr. 519/2014</w:t>
      </w:r>
      <w:r w:rsidR="00974DB7">
        <w:rPr>
          <w:rFonts w:ascii="Open Sans" w:hAnsi="Open Sans" w:cs="Open Sans"/>
          <w:sz w:val="22"/>
          <w:szCs w:val="22"/>
          <w:lang w:val="ro-RO"/>
        </w:rPr>
        <w:t>.</w:t>
      </w:r>
    </w:p>
    <w:p w14:paraId="7C863069" w14:textId="77777777" w:rsidR="00527DE8" w:rsidRPr="00834991" w:rsidRDefault="00527DE8">
      <w:pPr>
        <w:pStyle w:val="NormalWeb"/>
        <w:spacing w:before="0" w:beforeAutospacing="0" w:after="0" w:afterAutospacing="0"/>
        <w:jc w:val="both"/>
        <w:rPr>
          <w:rFonts w:ascii="Open Sans" w:hAnsi="Open Sans" w:cs="Open Sans"/>
          <w:sz w:val="22"/>
          <w:szCs w:val="22"/>
          <w:lang w:val="ro-RO"/>
        </w:rPr>
      </w:pPr>
    </w:p>
    <w:p w14:paraId="5FDE54B6" w14:textId="30A43288" w:rsidR="00653584" w:rsidRPr="00834991" w:rsidRDefault="632DE758" w:rsidP="56B741A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1.3. Principiul economicităţii prevede minimizarea costului resurselor alocate pentru atingerea rezultatelor estimate ale unei activităţi, cu menţinerea calităţii corespunzătoare </w:t>
      </w:r>
      <w:r w:rsidR="1D8B2E7D" w:rsidRPr="00834991">
        <w:rPr>
          <w:rFonts w:ascii="Open Sans" w:hAnsi="Open Sans" w:cs="Open Sans"/>
          <w:sz w:val="22"/>
          <w:szCs w:val="22"/>
          <w:lang w:val="ro-RO"/>
        </w:rPr>
        <w:t xml:space="preserve">a </w:t>
      </w:r>
      <w:r w:rsidRPr="00834991">
        <w:rPr>
          <w:rFonts w:ascii="Open Sans" w:hAnsi="Open Sans" w:cs="Open Sans"/>
          <w:sz w:val="22"/>
          <w:szCs w:val="22"/>
          <w:lang w:val="ro-RO"/>
        </w:rPr>
        <w:t>acestor rezultate.</w:t>
      </w:r>
    </w:p>
    <w:p w14:paraId="6F64C32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1.4. Principiul eficienţei presupune asigurarea unui raport optim între resursele utilizate şi rezultatele obţinute.</w:t>
      </w:r>
    </w:p>
    <w:p w14:paraId="079E89E1"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1.5. Principiul eficacităţii vizează gradul de îndeplinire a obiectivelor specifice stabilite pentru fiecare activitate planificată, în sensul obţinerii rezultatelor scontate.</w:t>
      </w:r>
    </w:p>
    <w:p w14:paraId="681C3BE7" w14:textId="77777777" w:rsidR="00653584" w:rsidRPr="00834991" w:rsidRDefault="00653584">
      <w:pPr>
        <w:pStyle w:val="HTMLPreformatted"/>
        <w:divId w:val="414598079"/>
        <w:rPr>
          <w:rFonts w:ascii="Open Sans" w:hAnsi="Open Sans" w:cs="Open Sans"/>
          <w:sz w:val="22"/>
          <w:szCs w:val="22"/>
          <w:lang w:val="ro-RO"/>
        </w:rPr>
      </w:pPr>
    </w:p>
    <w:p w14:paraId="51818FB7" w14:textId="03372ACE" w:rsidR="00653584" w:rsidRPr="00834991" w:rsidRDefault="00CD27C2">
      <w:pPr>
        <w:pStyle w:val="NormalWeb"/>
        <w:spacing w:before="0" w:beforeAutospacing="0" w:after="0" w:afterAutospacing="0"/>
        <w:jc w:val="both"/>
        <w:rPr>
          <w:rStyle w:val="Heading2Char"/>
          <w:rFonts w:ascii="Open Sans" w:hAnsi="Open Sans" w:cs="Open Sans"/>
          <w:b/>
          <w:bCs/>
          <w:color w:val="auto"/>
          <w:sz w:val="22"/>
          <w:szCs w:val="22"/>
          <w:lang w:val="ro-RO"/>
        </w:rPr>
      </w:pPr>
      <w:bookmarkStart w:id="6" w:name="_Toc184811992"/>
      <w:r w:rsidRPr="00834991">
        <w:rPr>
          <w:rStyle w:val="Heading2Char"/>
          <w:rFonts w:ascii="Open Sans" w:hAnsi="Open Sans" w:cs="Open Sans"/>
          <w:b/>
          <w:bCs/>
          <w:color w:val="auto"/>
          <w:sz w:val="22"/>
          <w:szCs w:val="22"/>
          <w:lang w:val="ro-RO"/>
        </w:rPr>
        <w:t>SECŢIUNEA a 2-a</w:t>
      </w:r>
      <w:r w:rsidR="00767C20" w:rsidRPr="00834991">
        <w:rPr>
          <w:rStyle w:val="Heading2Char"/>
          <w:rFonts w:ascii="Open Sans" w:hAnsi="Open Sans" w:cs="Open Sans"/>
          <w:b/>
          <w:bCs/>
          <w:color w:val="auto"/>
          <w:sz w:val="22"/>
          <w:szCs w:val="22"/>
          <w:lang w:val="ro-RO"/>
        </w:rPr>
        <w:t xml:space="preserve"> - </w:t>
      </w:r>
      <w:r w:rsidRPr="00834991">
        <w:rPr>
          <w:rStyle w:val="Heading2Char"/>
          <w:rFonts w:ascii="Open Sans" w:hAnsi="Open Sans" w:cs="Open Sans"/>
          <w:b/>
          <w:bCs/>
          <w:color w:val="auto"/>
          <w:sz w:val="22"/>
          <w:szCs w:val="22"/>
          <w:lang w:val="ro-RO"/>
        </w:rPr>
        <w:t>Evitarea conflictului de interese</w:t>
      </w:r>
      <w:bookmarkEnd w:id="6"/>
      <w:r w:rsidRPr="00834991">
        <w:rPr>
          <w:rStyle w:val="Heading2Char"/>
          <w:rFonts w:ascii="Open Sans" w:hAnsi="Open Sans" w:cs="Open Sans"/>
          <w:b/>
          <w:bCs/>
          <w:color w:val="auto"/>
          <w:sz w:val="22"/>
          <w:szCs w:val="22"/>
          <w:lang w:val="ro-RO"/>
        </w:rPr>
        <w:t xml:space="preserve"> </w:t>
      </w:r>
    </w:p>
    <w:p w14:paraId="72732FE1" w14:textId="110BAF2C" w:rsidR="00653584" w:rsidRPr="00834991" w:rsidRDefault="00CD27C2" w:rsidP="47E5F94A">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2.1.</w:t>
      </w:r>
      <w:r w:rsidR="00FE476D" w:rsidRPr="00834991">
        <w:rPr>
          <w:rFonts w:ascii="Open Sans" w:hAnsi="Open Sans" w:cs="Open Sans"/>
          <w:sz w:val="22"/>
          <w:szCs w:val="22"/>
          <w:lang w:val="ro-RO"/>
        </w:rPr>
        <w:t xml:space="preserve"> </w:t>
      </w:r>
      <w:r w:rsidR="000E4F58" w:rsidRPr="00834991">
        <w:rPr>
          <w:rFonts w:ascii="Open Sans" w:hAnsi="Open Sans" w:cs="Open Sans"/>
          <w:sz w:val="22"/>
          <w:szCs w:val="22"/>
          <w:lang w:val="ro-RO"/>
        </w:rPr>
        <w:t>P</w:t>
      </w:r>
      <w:r w:rsidR="00FE476D" w:rsidRPr="00834991">
        <w:rPr>
          <w:rFonts w:ascii="Open Sans" w:hAnsi="Open Sans" w:cs="Open Sans"/>
          <w:sz w:val="22"/>
          <w:szCs w:val="22"/>
          <w:lang w:val="ro-RO"/>
        </w:rPr>
        <w:t>artenerii</w:t>
      </w:r>
      <w:r w:rsidRPr="00834991">
        <w:rPr>
          <w:rFonts w:ascii="Open Sans" w:hAnsi="Open Sans" w:cs="Open Sans"/>
          <w:sz w:val="22"/>
          <w:szCs w:val="22"/>
          <w:lang w:val="ro-RO"/>
        </w:rPr>
        <w:t xml:space="preserve"> privaţi, persoane fizice/juridice în aplicarea proceduri</w:t>
      </w:r>
      <w:r w:rsidR="00267016" w:rsidRPr="00834991">
        <w:rPr>
          <w:rFonts w:ascii="Open Sans" w:hAnsi="Open Sans" w:cs="Open Sans"/>
          <w:sz w:val="22"/>
          <w:szCs w:val="22"/>
          <w:lang w:val="ro-RO"/>
        </w:rPr>
        <w:t>i</w:t>
      </w:r>
      <w:r w:rsidRPr="00834991">
        <w:rPr>
          <w:rFonts w:ascii="Open Sans" w:hAnsi="Open Sans" w:cs="Open Sans"/>
          <w:sz w:val="22"/>
          <w:szCs w:val="22"/>
          <w:lang w:val="ro-RO"/>
        </w:rPr>
        <w:t xml:space="preserve"> </w:t>
      </w:r>
      <w:r w:rsidR="00267016" w:rsidRPr="00834991">
        <w:rPr>
          <w:rFonts w:ascii="Open Sans" w:hAnsi="Open Sans" w:cs="Open Sans"/>
          <w:sz w:val="22"/>
          <w:szCs w:val="22"/>
          <w:lang w:val="ro-RO"/>
        </w:rPr>
        <w:t>pentru achiziții peste prag</w:t>
      </w:r>
      <w:r w:rsidRPr="00834991">
        <w:rPr>
          <w:rFonts w:ascii="Open Sans" w:hAnsi="Open Sans" w:cs="Open Sans"/>
          <w:sz w:val="22"/>
          <w:szCs w:val="22"/>
          <w:lang w:val="ro-RO"/>
        </w:rPr>
        <w:t>, au obligaţia de a lua toate măsurile necesare pentru a evita situaţiile de natură să determine apariţia unui conflict de interese, cu respectarea prevederilor art. 61 din Regulamentul (UE, Euratom) 2018/1046.</w:t>
      </w:r>
    </w:p>
    <w:p w14:paraId="4CAFCCF5"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2.2. Sunt aplicabile prevederile art. 14 şi 15 din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denumită în continuare O.U.G. nr. 66/2011, coroborate cu prevederile art. 8 din anexa la Hotărârea Guvernului nr. 875/2011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acestora, cu modificările şi completările ulterioare, denumită în continuare H.G. nr. 875/2011.</w:t>
      </w:r>
    </w:p>
    <w:p w14:paraId="07A5C526" w14:textId="08A3F54E" w:rsidR="00653584" w:rsidRPr="00834991" w:rsidRDefault="00CD27C2" w:rsidP="002C78EF">
      <w:pPr>
        <w:pStyle w:val="NormalWeb"/>
        <w:spacing w:before="0" w:beforeAutospacing="0" w:after="0" w:afterAutospacing="0"/>
        <w:ind w:firstLine="284"/>
        <w:jc w:val="both"/>
        <w:rPr>
          <w:rFonts w:ascii="Open Sans" w:hAnsi="Open Sans" w:cs="Open Sans"/>
          <w:sz w:val="22"/>
          <w:szCs w:val="22"/>
          <w:lang w:val="ro-RO"/>
        </w:rPr>
      </w:pPr>
      <w:r w:rsidRPr="00834991">
        <w:rPr>
          <w:rFonts w:ascii="Open Sans" w:hAnsi="Open Sans" w:cs="Open Sans"/>
          <w:sz w:val="22"/>
          <w:szCs w:val="22"/>
          <w:lang w:val="ro-RO"/>
        </w:rPr>
        <w:t xml:space="preserve">   2.3. Dacă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constată că se află în una dintre situaţiile menţionate în O.U.G. nr. 66/2011, acesta va menţiona în nota justificativă de atribuire motivele pentru care respinge oferta respectivă.</w:t>
      </w:r>
    </w:p>
    <w:p w14:paraId="057E5629" w14:textId="7DEBD41F" w:rsidR="00653584" w:rsidRPr="00834991" w:rsidRDefault="00CD27C2" w:rsidP="2DCA9834">
      <w:pPr>
        <w:pStyle w:val="NormalWeb"/>
        <w:spacing w:before="0" w:beforeAutospacing="0" w:after="0" w:afterAutospacing="0"/>
        <w:jc w:val="both"/>
        <w:rPr>
          <w:rFonts w:ascii="Open Sans" w:eastAsia="Times New Roman"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2.4.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trebuie să includă în dosarul achiziţiei o declaraţie pe propria răspundere din care să rezulte că nu a încălcat prevederile referitoare la conflictul de interese, conform modelului orientativ</w:t>
      </w:r>
      <w:r w:rsidR="00C30C4A" w:rsidRPr="00834991">
        <w:rPr>
          <w:rFonts w:ascii="Open Sans" w:hAnsi="Open Sans" w:cs="Open Sans"/>
          <w:sz w:val="22"/>
          <w:szCs w:val="22"/>
          <w:lang w:val="ro-RO"/>
        </w:rPr>
        <w:t xml:space="preserve"> anexat la prezenta procedură (Anexa - Model declarație</w:t>
      </w:r>
      <w:r w:rsidR="00961F3F" w:rsidRPr="00834991">
        <w:rPr>
          <w:rFonts w:ascii="Open Sans" w:hAnsi="Open Sans" w:cs="Open Sans"/>
          <w:sz w:val="22"/>
          <w:szCs w:val="22"/>
          <w:lang w:val="ro-RO"/>
        </w:rPr>
        <w:t>)</w:t>
      </w:r>
      <w:r w:rsidR="00C30C4A" w:rsidRPr="00834991">
        <w:rPr>
          <w:rFonts w:ascii="Open Sans" w:hAnsi="Open Sans" w:cs="Open Sans"/>
          <w:sz w:val="22"/>
          <w:szCs w:val="22"/>
          <w:lang w:val="ro-RO"/>
        </w:rPr>
        <w:t>.</w:t>
      </w:r>
    </w:p>
    <w:p w14:paraId="5ABC0A88"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2.5. Dispoziţiile prezentei secţiuni se completează corespunzător cu prevederile legislaţiei naţionale referitoare la conflictul de interese.</w:t>
      </w:r>
    </w:p>
    <w:p w14:paraId="41D7F269" w14:textId="77777777" w:rsidR="00C30C4A"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p>
    <w:p w14:paraId="6C71E5BD" w14:textId="41B7D078" w:rsidR="00653584" w:rsidRPr="00834991" w:rsidRDefault="00CD27C2" w:rsidP="00C30C4A">
      <w:pPr>
        <w:pStyle w:val="NormalWeb"/>
        <w:spacing w:before="0" w:beforeAutospacing="0" w:after="0" w:afterAutospacing="0"/>
        <w:jc w:val="both"/>
        <w:rPr>
          <w:rStyle w:val="Heading2Char"/>
          <w:rFonts w:ascii="Open Sans" w:hAnsi="Open Sans" w:cs="Open Sans"/>
          <w:b/>
          <w:bCs/>
          <w:color w:val="auto"/>
          <w:sz w:val="22"/>
          <w:szCs w:val="22"/>
          <w:lang w:val="ro-RO"/>
        </w:rPr>
      </w:pPr>
      <w:bookmarkStart w:id="7" w:name="_Toc184811993"/>
      <w:r w:rsidRPr="00834991">
        <w:rPr>
          <w:rStyle w:val="Heading2Char"/>
          <w:rFonts w:ascii="Open Sans" w:hAnsi="Open Sans" w:cs="Open Sans"/>
          <w:b/>
          <w:bCs/>
          <w:color w:val="auto"/>
          <w:sz w:val="22"/>
          <w:szCs w:val="22"/>
          <w:lang w:val="ro-RO"/>
        </w:rPr>
        <w:t>SECŢIUNEA a 3-a</w:t>
      </w:r>
      <w:r w:rsidR="00767C20" w:rsidRPr="00834991">
        <w:rPr>
          <w:rStyle w:val="Heading2Char"/>
          <w:rFonts w:ascii="Open Sans" w:hAnsi="Open Sans" w:cs="Open Sans"/>
          <w:b/>
          <w:bCs/>
          <w:color w:val="auto"/>
          <w:sz w:val="22"/>
          <w:szCs w:val="22"/>
          <w:lang w:val="ro-RO"/>
        </w:rPr>
        <w:t xml:space="preserve"> - </w:t>
      </w:r>
      <w:r w:rsidRPr="00834991">
        <w:rPr>
          <w:rStyle w:val="Heading2Char"/>
          <w:rFonts w:ascii="Open Sans" w:hAnsi="Open Sans" w:cs="Open Sans"/>
          <w:b/>
          <w:bCs/>
          <w:color w:val="auto"/>
          <w:sz w:val="22"/>
          <w:szCs w:val="22"/>
          <w:lang w:val="ro-RO"/>
        </w:rPr>
        <w:t>Elaborarea specificaţiilor tehnice şi determinarea valorii estimate</w:t>
      </w:r>
      <w:bookmarkEnd w:id="7"/>
    </w:p>
    <w:p w14:paraId="6887637E" w14:textId="77777777" w:rsidR="00653584" w:rsidRPr="00834991" w:rsidRDefault="00CD27C2" w:rsidP="00C30C4A">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b/>
          <w:bCs/>
          <w:sz w:val="22"/>
          <w:szCs w:val="22"/>
          <w:lang w:val="ro-RO"/>
        </w:rPr>
        <w:t>3.1. Elaborarea specificaţiilor tehnice</w:t>
      </w:r>
    </w:p>
    <w:p w14:paraId="2D00BEE7" w14:textId="219C4D13" w:rsidR="00653584" w:rsidRPr="00834991" w:rsidRDefault="00CD27C2" w:rsidP="00C30C4A">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1.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elaborează cerinţele tehnice obiective ce descriu obiectul achiziţiei pentru a se asigura de îndeplinirea corespunzătoare a scopului proiectului.</w:t>
      </w:r>
    </w:p>
    <w:p w14:paraId="5E4ED639" w14:textId="7FE25E88" w:rsidR="00C30C4A" w:rsidRPr="00834991" w:rsidRDefault="00C30C4A" w:rsidP="00C30C4A">
      <w:pPr>
        <w:pStyle w:val="NormalWeb"/>
        <w:spacing w:before="0" w:beforeAutospacing="0" w:after="0" w:afterAutospacing="0"/>
        <w:jc w:val="both"/>
        <w:rPr>
          <w:rFonts w:ascii="Open Sans" w:hAnsi="Open Sans" w:cs="Open Sans"/>
          <w:b/>
          <w:bCs/>
          <w:sz w:val="22"/>
          <w:szCs w:val="22"/>
          <w:lang w:val="ro-RO"/>
        </w:rPr>
      </w:pPr>
      <w:r w:rsidRPr="00834991">
        <w:rPr>
          <w:rFonts w:ascii="Open Sans" w:hAnsi="Open Sans" w:cs="Open Sans"/>
          <w:b/>
          <w:bCs/>
          <w:sz w:val="22"/>
          <w:szCs w:val="22"/>
          <w:lang w:val="ro-RO"/>
        </w:rPr>
        <w:t xml:space="preserve">În situaţia în care achiziţia implică transferul unor drepturi de proprietate intelectuală, partenerul privat are obligaţia ca prin contractul de achiziţie să se asigure că la finalizarea acestuia i se vor transfera aceste drepturi (de exemplu, în domeniul IT - codul sursă etc.).                                </w:t>
      </w:r>
    </w:p>
    <w:p w14:paraId="0C3C823A" w14:textId="7E2B3D17" w:rsidR="00653584" w:rsidRPr="00834991" w:rsidRDefault="00CD27C2" w:rsidP="00C30C4A">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2. Prin excepţie de la regulă,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poate atribui contractul unui anumit operator economic în următoarele situaţii:</w:t>
      </w:r>
    </w:p>
    <w:p w14:paraId="085C9FF9" w14:textId="77777777" w:rsidR="00653584" w:rsidRPr="00834991" w:rsidRDefault="00CD27C2" w:rsidP="00C30C4A">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a) scopul achiziţiei este crearea sau achiziţionarea unei opere de artă sau unei reprezentaţii artistice unice;</w:t>
      </w:r>
    </w:p>
    <w:p w14:paraId="6471D012" w14:textId="77777777" w:rsidR="00653584" w:rsidRPr="00834991" w:rsidRDefault="00CD27C2" w:rsidP="00C30C4A">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b) concurenţa lipseşte din motive tehnice;</w:t>
      </w:r>
    </w:p>
    <w:p w14:paraId="69DFA561" w14:textId="77777777" w:rsidR="00392478" w:rsidRPr="00834991" w:rsidRDefault="00CD27C2" w:rsidP="0039247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c) protecţia unor drepturi exclusive, inclusiv drepturi de proprietate intelectuală;</w:t>
      </w:r>
    </w:p>
    <w:p w14:paraId="5AE92878" w14:textId="35968100" w:rsidR="00C30C4A" w:rsidRPr="00834991" w:rsidRDefault="00C30C4A" w:rsidP="0039247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b/>
          <w:bCs/>
          <w:sz w:val="22"/>
          <w:szCs w:val="22"/>
          <w:lang w:val="ro-RO"/>
        </w:rPr>
        <w:t>Partenerul privat poate aplica excepţiile de la lit. a)</w:t>
      </w:r>
      <w:r w:rsidR="00527DE8" w:rsidRPr="00834991">
        <w:rPr>
          <w:rFonts w:ascii="Open Sans" w:hAnsi="Open Sans" w:cs="Open Sans"/>
          <w:b/>
          <w:bCs/>
          <w:sz w:val="22"/>
          <w:szCs w:val="22"/>
          <w:lang w:val="ro-RO"/>
        </w:rPr>
        <w:t xml:space="preserve"> </w:t>
      </w:r>
      <w:r w:rsidRPr="00834991">
        <w:rPr>
          <w:rFonts w:ascii="Open Sans" w:hAnsi="Open Sans" w:cs="Open Sans"/>
          <w:b/>
          <w:bCs/>
          <w:sz w:val="22"/>
          <w:szCs w:val="22"/>
          <w:lang w:val="ro-RO"/>
        </w:rPr>
        <w:t>-</w:t>
      </w:r>
      <w:r w:rsidR="00527DE8" w:rsidRPr="00834991">
        <w:rPr>
          <w:rFonts w:ascii="Open Sans" w:hAnsi="Open Sans" w:cs="Open Sans"/>
          <w:b/>
          <w:bCs/>
          <w:sz w:val="22"/>
          <w:szCs w:val="22"/>
          <w:lang w:val="ro-RO"/>
        </w:rPr>
        <w:t xml:space="preserve"> </w:t>
      </w:r>
      <w:r w:rsidRPr="00834991">
        <w:rPr>
          <w:rFonts w:ascii="Open Sans" w:hAnsi="Open Sans" w:cs="Open Sans"/>
          <w:b/>
          <w:bCs/>
          <w:sz w:val="22"/>
          <w:szCs w:val="22"/>
          <w:lang w:val="ro-RO"/>
        </w:rPr>
        <w:t>c) numai dacă</w:t>
      </w:r>
      <w:r w:rsidRPr="00834991">
        <w:rPr>
          <w:rFonts w:ascii="Open Sans" w:hAnsi="Open Sans" w:cs="Open Sans"/>
          <w:sz w:val="22"/>
          <w:szCs w:val="22"/>
          <w:lang w:val="ro-RO"/>
        </w:rPr>
        <w:t xml:space="preserve"> nu există o soluţie alternativă rezonabilă, cum ar fi utilizarea unor canale de distribuţie alternative pe teritoriul României ori în afara acestuia sau achiziţia unor lucrări, produse sau servicii comparabile din punct de vedere funcţional, iar absenţa concurenţei sau protecţia drepturilor exclusive nu este rezultatul unei restrângeri artificiale a parametrilor achiziţiei în vederea viitoarei proceduri. Motivele tehnice pot fi generate, de</w:t>
      </w:r>
      <w:r w:rsidR="003576DD" w:rsidRPr="00834991">
        <w:rPr>
          <w:rFonts w:ascii="Open Sans" w:hAnsi="Open Sans" w:cs="Open Sans"/>
          <w:sz w:val="22"/>
          <w:szCs w:val="22"/>
          <w:lang w:val="ro-RO"/>
        </w:rPr>
        <w:t xml:space="preserve"> </w:t>
      </w:r>
      <w:r w:rsidRPr="00834991">
        <w:rPr>
          <w:rFonts w:ascii="Open Sans" w:hAnsi="Open Sans" w:cs="Open Sans"/>
          <w:sz w:val="22"/>
          <w:szCs w:val="22"/>
          <w:lang w:val="ro-RO"/>
        </w:rPr>
        <w:t>asemenea, de cerinţe specifice</w:t>
      </w:r>
      <w:r w:rsidR="003576DD" w:rsidRPr="00834991">
        <w:rPr>
          <w:rFonts w:ascii="Open Sans" w:hAnsi="Open Sans" w:cs="Open Sans"/>
          <w:sz w:val="22"/>
          <w:szCs w:val="22"/>
          <w:lang w:val="ro-RO"/>
        </w:rPr>
        <w:t xml:space="preserve"> </w:t>
      </w:r>
      <w:r w:rsidRPr="00834991">
        <w:rPr>
          <w:rFonts w:ascii="Open Sans" w:hAnsi="Open Sans" w:cs="Open Sans"/>
          <w:sz w:val="22"/>
          <w:szCs w:val="22"/>
          <w:lang w:val="ro-RO"/>
        </w:rPr>
        <w:t>privind interoperabilitatea care</w:t>
      </w:r>
      <w:r w:rsidR="003576DD" w:rsidRPr="00834991">
        <w:rPr>
          <w:rFonts w:ascii="Open Sans" w:hAnsi="Open Sans" w:cs="Open Sans"/>
          <w:sz w:val="22"/>
          <w:szCs w:val="22"/>
          <w:lang w:val="ro-RO"/>
        </w:rPr>
        <w:t xml:space="preserve"> </w:t>
      </w:r>
      <w:r w:rsidRPr="00834991">
        <w:rPr>
          <w:rFonts w:ascii="Open Sans" w:hAnsi="Open Sans" w:cs="Open Sans"/>
          <w:sz w:val="22"/>
          <w:szCs w:val="22"/>
          <w:lang w:val="ro-RO"/>
        </w:rPr>
        <w:t xml:space="preserve">trebuie îndeplinite pentru a asigura </w:t>
      </w:r>
      <w:r w:rsidR="003576DD" w:rsidRPr="00834991">
        <w:rPr>
          <w:rFonts w:ascii="Open Sans" w:hAnsi="Open Sans" w:cs="Open Sans"/>
          <w:sz w:val="22"/>
          <w:szCs w:val="22"/>
          <w:lang w:val="ro-RO"/>
        </w:rPr>
        <w:t>f</w:t>
      </w:r>
      <w:r w:rsidRPr="00834991">
        <w:rPr>
          <w:rFonts w:ascii="Open Sans" w:hAnsi="Open Sans" w:cs="Open Sans"/>
          <w:sz w:val="22"/>
          <w:szCs w:val="22"/>
          <w:lang w:val="ro-RO"/>
        </w:rPr>
        <w:t xml:space="preserve">uncţionarea lucrărilor, produselor sau serviciilor care urmează a fi </w:t>
      </w:r>
      <w:r w:rsidR="003576DD" w:rsidRPr="00834991">
        <w:rPr>
          <w:rFonts w:ascii="Open Sans" w:hAnsi="Open Sans" w:cs="Open Sans"/>
          <w:sz w:val="22"/>
          <w:szCs w:val="22"/>
          <w:lang w:val="ro-RO"/>
        </w:rPr>
        <w:t>a</w:t>
      </w:r>
      <w:r w:rsidRPr="00834991">
        <w:rPr>
          <w:rFonts w:ascii="Open Sans" w:hAnsi="Open Sans" w:cs="Open Sans"/>
          <w:sz w:val="22"/>
          <w:szCs w:val="22"/>
          <w:lang w:val="ro-RO"/>
        </w:rPr>
        <w:t>chiziţionate.</w:t>
      </w:r>
      <w:r w:rsidR="003576DD" w:rsidRPr="00834991">
        <w:rPr>
          <w:rFonts w:ascii="Open Sans" w:hAnsi="Open Sans" w:cs="Open Sans"/>
          <w:sz w:val="22"/>
          <w:szCs w:val="22"/>
          <w:lang w:val="ro-RO"/>
        </w:rPr>
        <w:t xml:space="preserve"> </w:t>
      </w:r>
      <w:r w:rsidRPr="00834991">
        <w:rPr>
          <w:rFonts w:ascii="Open Sans" w:hAnsi="Open Sans" w:cs="Open Sans"/>
          <w:sz w:val="22"/>
          <w:szCs w:val="22"/>
          <w:lang w:val="ro-RO"/>
        </w:rPr>
        <w:t xml:space="preserve">Partenerul privat va descrie detaliat şi motivat specificaţiile tehnice particulare.   </w:t>
      </w:r>
    </w:p>
    <w:p w14:paraId="5FCA7628" w14:textId="77777777" w:rsidR="00392478"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p>
    <w:p w14:paraId="119BA4F0" w14:textId="43D865E9" w:rsidR="00653584" w:rsidRPr="00834991" w:rsidRDefault="00CD27C2" w:rsidP="00392478">
      <w:pPr>
        <w:pStyle w:val="NormalWeb"/>
        <w:spacing w:before="0" w:beforeAutospacing="0" w:after="0" w:afterAutospacing="0"/>
        <w:ind w:firstLine="426"/>
        <w:jc w:val="both"/>
        <w:rPr>
          <w:rFonts w:ascii="Open Sans" w:hAnsi="Open Sans" w:cs="Open Sans"/>
          <w:sz w:val="22"/>
          <w:szCs w:val="22"/>
          <w:lang w:val="ro-RO"/>
        </w:rPr>
      </w:pPr>
      <w:r w:rsidRPr="00834991">
        <w:rPr>
          <w:rFonts w:ascii="Open Sans" w:hAnsi="Open Sans" w:cs="Open Sans"/>
          <w:sz w:val="22"/>
          <w:szCs w:val="22"/>
          <w:lang w:val="ro-RO"/>
        </w:rPr>
        <w:t>d) atunci când produsele care fac obiectul achiziţiei sunt fabricate exclusiv în scop de cercetare ştiinţifică, experimental, de studiu sau de dezvoltare, iar contractul de achiziţie nu prevede producţia în serie a unor cantităţi ale produsului în vederea stabilirii viabilităţii comerciale a acestuia sau recuperarea costurilor de cercetare şi dezvoltare;</w:t>
      </w:r>
    </w:p>
    <w:p w14:paraId="1B133AC5" w14:textId="6F8AC4CD"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e) atunci când este necesară achiziţionarea de la contractantul iniţial desemnat ca urmare a derulării unei proceduri pentru atribuirea unui contract de furnizare/servicii/lucrări a unor cantităţi suplimentare de produse destinate înlocuirii parţiale sau extinderii produselor ori instalaţiilor existente şi numai dacă schimbarea contractantului iniţial ar pune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în situaţia de a achiziţiona produse cu caracteristici tehnice diferite de cele deja existente care ar conduce la incompatibilitate sau la dificultăţi tehnice disproporţionate de utilizare şi întreţinere;</w:t>
      </w:r>
    </w:p>
    <w:p w14:paraId="4BC25827" w14:textId="77777777" w:rsidR="0065358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f) pentru cumpărarea de produse sau servicii (care îndeplinesc cerinţele tehnice necesare) în condiţii speciale avantajoase de la un operator economic care încetează definitiv activităţile comerciale sau care se află într-o procedură de faliment, de concordat preventiv sau într-o procedură similară.</w:t>
      </w:r>
    </w:p>
    <w:p w14:paraId="79BCC008" w14:textId="1810F14B"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3. Specificaţiile tehnice trebuie să cuprindă toate cerinţele necesare pentru elaborarea ofertei.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trebuie să elaboreze aceste specificaţii într-o manieră obiectivă/clară/detaliată pentru a se asigura de îndeplinirea corespunzătoare a scopului proiectului.</w:t>
      </w:r>
    </w:p>
    <w:p w14:paraId="591FFA6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4. Definirea unor cerinţe care indică o anumită origine, sursă, producţie, un procedeu special, o marcă de fabrică sau de comerţ, un brevet de invenţie, o licenţă de fabricaţie, care pot avea ca efect favorizarea sau eliminarea anumitor operatori economici ori a anumitor produse, nu reprezintă o bună practică. Se admite o astfel de indicaţie în situaţia în care nu se pot descrie obiectiv specificaţiile şi numai însoţită de menţiunea </w:t>
      </w:r>
      <w:r w:rsidRPr="00E94795">
        <w:rPr>
          <w:rFonts w:ascii="Open Sans" w:hAnsi="Open Sans" w:cs="Open Sans"/>
          <w:b/>
          <w:bCs/>
          <w:sz w:val="22"/>
          <w:szCs w:val="22"/>
          <w:lang w:val="ro-RO"/>
        </w:rPr>
        <w:t>"sau echivalent"</w:t>
      </w:r>
      <w:r w:rsidRPr="00834991">
        <w:rPr>
          <w:rFonts w:ascii="Open Sans" w:hAnsi="Open Sans" w:cs="Open Sans"/>
          <w:sz w:val="22"/>
          <w:szCs w:val="22"/>
          <w:lang w:val="ro-RO"/>
        </w:rPr>
        <w:t>.</w:t>
      </w:r>
    </w:p>
    <w:p w14:paraId="3AD51E4D" w14:textId="5C049D92" w:rsidR="00653584" w:rsidRPr="00834991" w:rsidRDefault="00CD27C2" w:rsidP="631A3516">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5. </w:t>
      </w:r>
      <w:r w:rsidR="73937CB3" w:rsidRPr="00834991">
        <w:rPr>
          <w:rFonts w:ascii="Open Sans" w:hAnsi="Open Sans" w:cs="Open Sans"/>
          <w:sz w:val="22"/>
          <w:szCs w:val="22"/>
          <w:lang w:val="ro-RO"/>
        </w:rPr>
        <w:t>S</w:t>
      </w:r>
      <w:r w:rsidRPr="00834991">
        <w:rPr>
          <w:rFonts w:ascii="Open Sans" w:hAnsi="Open Sans" w:cs="Open Sans"/>
          <w:sz w:val="22"/>
          <w:szCs w:val="22"/>
          <w:lang w:val="ro-RO"/>
        </w:rPr>
        <w:t>pecificaţiile tehnice prezentate generic în cererea de finanţare trebuie detaliate în documentele achiziţiei.</w:t>
      </w:r>
    </w:p>
    <w:p w14:paraId="1CF83941" w14:textId="7083BB7F" w:rsidR="00653584" w:rsidRPr="00834991" w:rsidRDefault="00CD27C2" w:rsidP="114FE715">
      <w:pPr>
        <w:pStyle w:val="NormalWeb"/>
        <w:spacing w:before="0" w:beforeAutospacing="0" w:after="0" w:afterAutospacing="0" w:line="259" w:lineRule="auto"/>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6. În cazul în care se constată că specificaţiile tehnice menţionate în cererea de finanţare/ nu mai sunt actuale, </w:t>
      </w:r>
      <w:r w:rsidR="003576DD" w:rsidRPr="00834991">
        <w:rPr>
          <w:rFonts w:ascii="Open Sans" w:hAnsi="Open Sans" w:cs="Open Sans"/>
          <w:sz w:val="22"/>
          <w:szCs w:val="22"/>
          <w:lang w:val="ro-RO"/>
        </w:rPr>
        <w:t>parteneru</w:t>
      </w:r>
      <w:r w:rsidRPr="00834991">
        <w:rPr>
          <w:rFonts w:ascii="Open Sans" w:hAnsi="Open Sans" w:cs="Open Sans"/>
          <w:sz w:val="22"/>
          <w:szCs w:val="22"/>
          <w:lang w:val="ro-RO"/>
        </w:rPr>
        <w:t xml:space="preserve">l privat trebuie să comunice aceste aspecte </w:t>
      </w:r>
      <w:r w:rsidR="023EDCEC" w:rsidRPr="00834991">
        <w:rPr>
          <w:rFonts w:ascii="Open Sans" w:hAnsi="Open Sans" w:cs="Open Sans"/>
          <w:sz w:val="22"/>
          <w:szCs w:val="22"/>
          <w:lang w:val="ro-RO"/>
        </w:rPr>
        <w:t>A</w:t>
      </w:r>
      <w:r w:rsidRPr="00834991">
        <w:rPr>
          <w:rFonts w:ascii="Open Sans" w:hAnsi="Open Sans" w:cs="Open Sans"/>
          <w:sz w:val="22"/>
          <w:szCs w:val="22"/>
          <w:lang w:val="ro-RO"/>
        </w:rPr>
        <w:t xml:space="preserve">utorităţii </w:t>
      </w:r>
      <w:r w:rsidR="7108A4BA" w:rsidRPr="00834991">
        <w:rPr>
          <w:rFonts w:ascii="Open Sans" w:hAnsi="Open Sans" w:cs="Open Sans"/>
          <w:sz w:val="22"/>
          <w:szCs w:val="22"/>
          <w:lang w:val="ro-RO"/>
        </w:rPr>
        <w:t>de Management</w:t>
      </w:r>
      <w:r w:rsidR="4763457D" w:rsidRPr="00834991">
        <w:rPr>
          <w:rFonts w:ascii="Open Sans" w:hAnsi="Open Sans" w:cs="Open Sans"/>
          <w:sz w:val="22"/>
          <w:szCs w:val="22"/>
          <w:lang w:val="ro-RO"/>
        </w:rPr>
        <w:t>, prin Secretariatul Comun,</w:t>
      </w:r>
      <w:r w:rsidRPr="00834991">
        <w:rPr>
          <w:rFonts w:ascii="Open Sans" w:hAnsi="Open Sans" w:cs="Open Sans"/>
          <w:sz w:val="22"/>
          <w:szCs w:val="22"/>
          <w:lang w:val="ro-RO"/>
        </w:rPr>
        <w:t xml:space="preserve"> înainte de lansarea </w:t>
      </w:r>
      <w:r w:rsidR="0020450D" w:rsidRPr="00834991">
        <w:rPr>
          <w:rFonts w:ascii="Open Sans" w:hAnsi="Open Sans" w:cs="Open Sans"/>
          <w:sz w:val="22"/>
          <w:szCs w:val="22"/>
          <w:lang w:val="ro-RO"/>
        </w:rPr>
        <w:t>achiziției</w:t>
      </w:r>
      <w:r w:rsidRPr="00834991">
        <w:rPr>
          <w:rFonts w:ascii="Open Sans" w:hAnsi="Open Sans" w:cs="Open Sans"/>
          <w:sz w:val="22"/>
          <w:szCs w:val="22"/>
          <w:lang w:val="ro-RO"/>
        </w:rPr>
        <w:t>, pentru a evalua din timp, împreună cu reprezentanţii acestor instituţii, un eventual impact asupra clauzelor din contractul de finanţare şi pentru a lua măsurile care se impun.</w:t>
      </w:r>
    </w:p>
    <w:p w14:paraId="79B93ED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7. În cadrul documentului "Specificaţii tehnice" se vor prezenta, în ordinea priorităţii, elementele de departajare a ofertelor, dacă este cazul.</w:t>
      </w:r>
    </w:p>
    <w:p w14:paraId="4B905C6B" w14:textId="77777777" w:rsidR="00392478" w:rsidRPr="00834991" w:rsidRDefault="632DE75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p>
    <w:p w14:paraId="15E154F7" w14:textId="0F55043D"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De reţinut:</w:t>
      </w:r>
    </w:p>
    <w:p w14:paraId="0085483F" w14:textId="53726179"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Prezenta procedură nu reglementează noţiunea "fişă de date".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nu are obligaţia de a structura informaţiile din procedura </w:t>
      </w:r>
      <w:r w:rsidR="0020450D" w:rsidRPr="00834991">
        <w:rPr>
          <w:rFonts w:ascii="Open Sans" w:hAnsi="Open Sans" w:cs="Open Sans"/>
          <w:sz w:val="22"/>
          <w:szCs w:val="22"/>
          <w:lang w:val="ro-RO"/>
        </w:rPr>
        <w:t>prezent</w:t>
      </w:r>
      <w:r w:rsidRPr="00834991">
        <w:rPr>
          <w:rFonts w:ascii="Open Sans" w:hAnsi="Open Sans" w:cs="Open Sans"/>
          <w:sz w:val="22"/>
          <w:szCs w:val="22"/>
          <w:lang w:val="ro-RO"/>
        </w:rPr>
        <w:t>ă prin utilizarea "fişei de date".</w:t>
      </w:r>
    </w:p>
    <w:p w14:paraId="14315B6D" w14:textId="6A70DAA5"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Prezenta procedură nu reglementează noţiunea "criterii de calificare/selecţie". Stabilirea acestora nu este obligatorie şi nu reprezintă o regulă. Dacă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consideră că pentru îndeplinirea obligaţiilor din contractul ce urmează a fi implementat este nevoie de o anumită capacitate financiară, experienţă similară anterioară, un anumit tip de personal sau alte cerinţe, atunci acesta poate include astfel de cerinţe, dar trebuie să le justifice într-un document separat. În această situaţie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nu va putea renunţa în etapa de analiză a ofertelor la cerinţele scrise.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nu trebuie să îngrădească dreptul ofertantului de a dovedi îndeplinirea cerinţelor menţionate prin orice tip de mijloace verificabile.</w:t>
      </w:r>
    </w:p>
    <w:p w14:paraId="29BE589E" w14:textId="00691697" w:rsidR="00653584" w:rsidRPr="00834991" w:rsidRDefault="004275E0" w:rsidP="008D0B84">
      <w:pPr>
        <w:pStyle w:val="NormalWeb"/>
        <w:jc w:val="both"/>
        <w:divId w:val="106391360"/>
        <w:rPr>
          <w:rFonts w:ascii="Open Sans" w:hAnsi="Open Sans" w:cs="Open Sans"/>
          <w:sz w:val="22"/>
          <w:szCs w:val="22"/>
          <w:lang w:val="ro-RO"/>
        </w:rPr>
      </w:pPr>
      <w:r w:rsidRPr="00834991">
        <w:rPr>
          <w:rFonts w:ascii="Open Sans" w:hAnsi="Open Sans" w:cs="Open Sans"/>
          <w:b/>
          <w:bCs/>
          <w:sz w:val="22"/>
          <w:szCs w:val="22"/>
          <w:lang w:val="ro-RO"/>
        </w:rPr>
        <w:t>Nu se recomandă utilizarea modelelor standard de documentaţii</w:t>
      </w:r>
      <w:r w:rsidRPr="00834991">
        <w:rPr>
          <w:rFonts w:ascii="Open Sans" w:hAnsi="Open Sans" w:cs="Open Sans"/>
          <w:sz w:val="22"/>
          <w:szCs w:val="22"/>
          <w:lang w:val="ro-RO"/>
        </w:rPr>
        <w:t xml:space="preserve"> de atribuire, specifice achiziţiilor publice</w:t>
      </w:r>
      <w:r w:rsidR="6F7DDE4B" w:rsidRPr="00834991">
        <w:rPr>
          <w:rFonts w:ascii="Open Sans" w:hAnsi="Open Sans" w:cs="Open Sans"/>
          <w:sz w:val="22"/>
          <w:szCs w:val="22"/>
          <w:lang w:val="ro-RO"/>
        </w:rPr>
        <w:t xml:space="preserve"> deoarece</w:t>
      </w:r>
      <w:r w:rsidRPr="00834991">
        <w:rPr>
          <w:rFonts w:ascii="Open Sans" w:hAnsi="Open Sans" w:cs="Open Sans"/>
          <w:sz w:val="22"/>
          <w:szCs w:val="22"/>
          <w:lang w:val="ro-RO"/>
        </w:rPr>
        <w:t xml:space="preserve"> </w:t>
      </w:r>
      <w:r w:rsidR="5375FBD5" w:rsidRPr="00834991">
        <w:rPr>
          <w:rFonts w:ascii="Open Sans" w:hAnsi="Open Sans" w:cs="Open Sans"/>
          <w:sz w:val="22"/>
          <w:szCs w:val="22"/>
          <w:lang w:val="ro-RO"/>
        </w:rPr>
        <w:t>u</w:t>
      </w:r>
      <w:r w:rsidRPr="00834991">
        <w:rPr>
          <w:rFonts w:ascii="Open Sans" w:hAnsi="Open Sans" w:cs="Open Sans"/>
          <w:sz w:val="22"/>
          <w:szCs w:val="22"/>
          <w:lang w:val="ro-RO"/>
        </w:rPr>
        <w:t xml:space="preserve">tilizarea acestor modele poate conduce la erori </w:t>
      </w:r>
      <w:r w:rsidR="132CF3BD" w:rsidRPr="00834991">
        <w:rPr>
          <w:rFonts w:ascii="Open Sans" w:hAnsi="Open Sans" w:cs="Open Sans"/>
          <w:sz w:val="22"/>
          <w:szCs w:val="22"/>
          <w:lang w:val="ro-RO"/>
        </w:rPr>
        <w:t>sau</w:t>
      </w:r>
      <w:r w:rsidRPr="00834991">
        <w:rPr>
          <w:rFonts w:ascii="Open Sans" w:hAnsi="Open Sans" w:cs="Open Sans"/>
          <w:sz w:val="22"/>
          <w:szCs w:val="22"/>
          <w:lang w:val="ro-RO"/>
        </w:rPr>
        <w:t xml:space="preserve"> pot cuprinde cerinţe care nu se justifică în cazul </w:t>
      </w:r>
      <w:r w:rsidR="00F06779" w:rsidRPr="00834991">
        <w:rPr>
          <w:rFonts w:ascii="Open Sans" w:hAnsi="Open Sans" w:cs="Open Sans"/>
          <w:sz w:val="22"/>
          <w:szCs w:val="22"/>
          <w:lang w:val="ro-RO"/>
        </w:rPr>
        <w:t>partene</w:t>
      </w:r>
      <w:r w:rsidRPr="00834991">
        <w:rPr>
          <w:rFonts w:ascii="Open Sans" w:hAnsi="Open Sans" w:cs="Open Sans"/>
          <w:sz w:val="22"/>
          <w:szCs w:val="22"/>
          <w:lang w:val="ro-RO"/>
        </w:rPr>
        <w:t>rilor privaţi</w:t>
      </w:r>
      <w:r w:rsidR="008D0B84" w:rsidRPr="00834991">
        <w:rPr>
          <w:rFonts w:ascii="Open Sans" w:hAnsi="Open Sans" w:cs="Open Sans"/>
          <w:sz w:val="22"/>
          <w:szCs w:val="22"/>
          <w:lang w:val="ro-RO"/>
        </w:rPr>
        <w:t>.</w:t>
      </w:r>
    </w:p>
    <w:p w14:paraId="54078FED" w14:textId="4014F94F"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Prezenta procedură nu reglementează noţiunile "garanţie de participare/garanţia de bună execuţie/depozite valorice". Nu se impune solicitarea de garanţii de natura celor menţionate mai sus, în cazul achiziţiilor private, deoarece constituirea de astfel de garanţii presupune costuri suplimentare care pot îngreuna participarea la procedură şi care se vor reflecta în preţul ofertat de operatorii economici. Pentru a se asigura de îndeplinirea corespunzătoare a obligaţiilor contractuale,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poate include în contract clauze care să garanteze implementarea în bune condiţii a contractului (de exemplu penalităţi, verificări la anumite intervale prestabilite etc.).</w:t>
      </w:r>
    </w:p>
    <w:p w14:paraId="41294759" w14:textId="2C76AEA7" w:rsidR="00653584" w:rsidRPr="00834991" w:rsidRDefault="00CD27C2" w:rsidP="2DCA9834">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Prezenta procedură nu reglementează noţiunea "criteriu de atribuire". </w:t>
      </w:r>
      <w:r w:rsidRPr="00834991">
        <w:rPr>
          <w:rFonts w:ascii="Open Sans" w:hAnsi="Open Sans" w:cs="Open Sans"/>
          <w:b/>
          <w:bCs/>
          <w:sz w:val="22"/>
          <w:szCs w:val="22"/>
          <w:lang w:val="ro-RO"/>
        </w:rPr>
        <w:t xml:space="preserve">În vederea respectării principiilor economicităţii, eficienţei şi eficacităţii, </w:t>
      </w:r>
      <w:r w:rsidR="00750BBB" w:rsidRPr="00834991">
        <w:rPr>
          <w:rFonts w:ascii="Open Sans" w:hAnsi="Open Sans" w:cs="Open Sans"/>
          <w:b/>
          <w:bCs/>
          <w:sz w:val="22"/>
          <w:szCs w:val="22"/>
          <w:lang w:val="ro-RO"/>
        </w:rPr>
        <w:t>partenerul</w:t>
      </w:r>
      <w:r w:rsidRPr="00834991">
        <w:rPr>
          <w:rFonts w:ascii="Open Sans" w:hAnsi="Open Sans" w:cs="Open Sans"/>
          <w:b/>
          <w:bCs/>
          <w:sz w:val="22"/>
          <w:szCs w:val="22"/>
          <w:lang w:val="ro-RO"/>
        </w:rPr>
        <w:t xml:space="preserve"> privat va alege oferta cu cele mai multe avantaje pentru realizarea scopului proiectului.</w:t>
      </w:r>
      <w:r w:rsidRPr="00834991">
        <w:rPr>
          <w:rFonts w:ascii="Open Sans" w:hAnsi="Open Sans" w:cs="Open Sans"/>
          <w:sz w:val="22"/>
          <w:szCs w:val="22"/>
          <w:lang w:val="ro-RO"/>
        </w:rPr>
        <w:t xml:space="preserve"> De asemenea, în nota justificativă de atribuire se vor prezenta avantajele tehnice şi financiare care motivează alegerea, raportat la cerinţele solicitate. Avantajele tehnice şi financiare care motivează alegerea se raportează exclusiv la informaţiile prezentate în ofertă/răspunsurile la clarificările solicitate.</w:t>
      </w:r>
    </w:p>
    <w:p w14:paraId="67A2E969"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b/>
          <w:bCs/>
          <w:sz w:val="22"/>
          <w:szCs w:val="22"/>
          <w:lang w:val="ro-RO"/>
        </w:rPr>
        <w:t>3.2. Determinarea valorii estimate</w:t>
      </w:r>
    </w:p>
    <w:p w14:paraId="6FE1574E" w14:textId="7FAD3472"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1. Valoarea estimată a achiziţiei se determină înainte de iniţierea procedurii şi trebuie să fie valabilă la momentul iniţierii procedurii. </w:t>
      </w:r>
    </w:p>
    <w:p w14:paraId="38344368" w14:textId="74459E3A" w:rsidR="00653584" w:rsidRPr="00834991" w:rsidRDefault="00CD27C2"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 Valoarea estimată a achiziţiei se determină pe baza ofertelor de preţ existente pe piaţă, primite/solicitate/obţinute prin studiu de piaţă etc., sau pe baza unor informaţii din achiziţiile/contractele anterioare recente, în scopul asigurării rezonabilităţii costurilor estimate. Se va întocmi nota justificativă privind determinarea valorii estimate, care va conţine cel puţin următoarele informaţii: denumirea produsului/serviciului/lucrării, cantitatea, preţul unitar, preţul total, sursa preţului.</w:t>
      </w:r>
    </w:p>
    <w:p w14:paraId="52776AEF" w14:textId="7C872537" w:rsidR="00653584" w:rsidRPr="00834991" w:rsidRDefault="00CD27C2"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xml:space="preserve">   3. În determinarea valorii estimate,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are obligaţia să se raporteze la valoarea estimată cumulată a produselor, serviciilor sau lucrărilor</w:t>
      </w:r>
      <w:r w:rsidR="042722AB" w:rsidRPr="00834991">
        <w:rPr>
          <w:rFonts w:ascii="Open Sans" w:hAnsi="Open Sans" w:cs="Open Sans"/>
          <w:sz w:val="22"/>
          <w:szCs w:val="22"/>
          <w:lang w:val="ro-RO"/>
        </w:rPr>
        <w:t xml:space="preserve"> </w:t>
      </w:r>
      <w:r w:rsidRPr="00834991">
        <w:rPr>
          <w:rFonts w:ascii="Open Sans" w:hAnsi="Open Sans" w:cs="Open Sans"/>
          <w:sz w:val="22"/>
          <w:szCs w:val="22"/>
          <w:lang w:val="ro-RO"/>
        </w:rPr>
        <w:t>care sunt considerate similare, respectiv care au acelaşi obiect, sau sunt destinate utilizării identice ori similare ori care se adresează operatorilor economici ce desfăşoară constant activităţi într-o piaţă de profil relevantă.</w:t>
      </w:r>
    </w:p>
    <w:p w14:paraId="4A4E453D" w14:textId="4FAAF7C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4. Prin excepţie de la pct. 3, achiziţiile efectuate înainte de aprobarea contractului de finanţare de către </w:t>
      </w:r>
      <w:r w:rsidR="006D437E" w:rsidRPr="00834991">
        <w:rPr>
          <w:rFonts w:ascii="Open Sans" w:hAnsi="Open Sans" w:cs="Open Sans"/>
          <w:sz w:val="22"/>
          <w:szCs w:val="22"/>
          <w:lang w:val="ro-RO"/>
        </w:rPr>
        <w:t>partneri</w:t>
      </w:r>
      <w:r w:rsidRPr="00834991">
        <w:rPr>
          <w:rFonts w:ascii="Open Sans" w:hAnsi="Open Sans" w:cs="Open Sans"/>
          <w:sz w:val="22"/>
          <w:szCs w:val="22"/>
          <w:lang w:val="ro-RO"/>
        </w:rPr>
        <w:t>i</w:t>
      </w:r>
      <w:r w:rsidR="006D437E" w:rsidRPr="00834991">
        <w:rPr>
          <w:rFonts w:ascii="Open Sans" w:hAnsi="Open Sans" w:cs="Open Sans"/>
          <w:sz w:val="22"/>
          <w:szCs w:val="22"/>
          <w:lang w:val="ro-RO"/>
        </w:rPr>
        <w:t xml:space="preserve"> privați</w:t>
      </w:r>
      <w:r w:rsidRPr="00834991">
        <w:rPr>
          <w:rFonts w:ascii="Open Sans" w:hAnsi="Open Sans" w:cs="Open Sans"/>
          <w:sz w:val="22"/>
          <w:szCs w:val="22"/>
          <w:lang w:val="ro-RO"/>
        </w:rPr>
        <w:t xml:space="preserve"> nu se cumulează cu cele efectuate în timpul derulării contractului de finanţare.</w:t>
      </w:r>
    </w:p>
    <w:p w14:paraId="718B4BDB" w14:textId="10CF605A" w:rsidR="008D0B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5. Pentru achiziţiile efectuate în cadrul unui proiect, </w:t>
      </w:r>
      <w:r w:rsidR="008D0B84"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determină valoarea estimată pentru fiecare achiziţie în parte. </w:t>
      </w:r>
    </w:p>
    <w:p w14:paraId="324474FC" w14:textId="77777777" w:rsidR="008134F5" w:rsidRPr="00834991" w:rsidRDefault="008134F5" w:rsidP="005C1F42">
      <w:pPr>
        <w:pStyle w:val="NormalWeb"/>
        <w:spacing w:before="0" w:beforeAutospacing="0" w:after="0" w:afterAutospacing="0"/>
        <w:jc w:val="both"/>
        <w:rPr>
          <w:rFonts w:ascii="Open Sans" w:hAnsi="Open Sans" w:cs="Open Sans"/>
          <w:b/>
          <w:bCs/>
          <w:sz w:val="22"/>
          <w:szCs w:val="22"/>
          <w:lang w:val="ro-RO"/>
        </w:rPr>
      </w:pPr>
    </w:p>
    <w:p w14:paraId="556FA2A2" w14:textId="1AE730B6" w:rsidR="005C1F42" w:rsidRPr="00834991" w:rsidRDefault="008D0B84" w:rsidP="005C1F42">
      <w:pPr>
        <w:pStyle w:val="NormalWeb"/>
        <w:spacing w:before="0" w:beforeAutospacing="0" w:after="0" w:afterAutospacing="0"/>
        <w:jc w:val="both"/>
        <w:rPr>
          <w:rFonts w:ascii="Open Sans" w:hAnsi="Open Sans" w:cs="Open Sans"/>
          <w:b/>
          <w:bCs/>
          <w:sz w:val="22"/>
          <w:szCs w:val="22"/>
          <w:lang w:val="ro-RO"/>
        </w:rPr>
      </w:pPr>
      <w:r w:rsidRPr="00834991">
        <w:rPr>
          <w:rFonts w:ascii="Open Sans" w:hAnsi="Open Sans" w:cs="Open Sans"/>
          <w:b/>
          <w:bCs/>
          <w:sz w:val="22"/>
          <w:szCs w:val="22"/>
          <w:lang w:val="ro-RO"/>
        </w:rPr>
        <w:t>Atenţie!</w:t>
      </w:r>
    </w:p>
    <w:p w14:paraId="2B8516AD" w14:textId="6BA7C223" w:rsidR="005C1F42" w:rsidRPr="00834991" w:rsidRDefault="008D0B84" w:rsidP="005C1F4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Dacă în urma elaborării specificaţiilor tehnice se constată că</w:t>
      </w:r>
      <w:r w:rsidR="00CA774E" w:rsidRPr="00834991">
        <w:rPr>
          <w:rFonts w:ascii="Open Sans" w:hAnsi="Open Sans" w:cs="Open Sans"/>
          <w:sz w:val="22"/>
          <w:szCs w:val="22"/>
          <w:lang w:val="ro-RO"/>
        </w:rPr>
        <w:t xml:space="preserve"> </w:t>
      </w:r>
      <w:r w:rsidRPr="00834991">
        <w:rPr>
          <w:rFonts w:ascii="Open Sans" w:hAnsi="Open Sans" w:cs="Open Sans"/>
          <w:sz w:val="22"/>
          <w:szCs w:val="22"/>
          <w:lang w:val="ro-RO"/>
        </w:rPr>
        <w:t>valoarea</w:t>
      </w:r>
      <w:r w:rsidR="00CA774E" w:rsidRPr="00834991">
        <w:rPr>
          <w:rFonts w:ascii="Open Sans" w:hAnsi="Open Sans" w:cs="Open Sans"/>
          <w:sz w:val="22"/>
          <w:szCs w:val="22"/>
          <w:lang w:val="ro-RO"/>
        </w:rPr>
        <w:t xml:space="preserve"> </w:t>
      </w:r>
      <w:r w:rsidRPr="00834991">
        <w:rPr>
          <w:rFonts w:ascii="Open Sans" w:hAnsi="Open Sans" w:cs="Open Sans"/>
          <w:sz w:val="22"/>
          <w:szCs w:val="22"/>
          <w:lang w:val="ro-RO"/>
        </w:rPr>
        <w:t xml:space="preserve">estimată la momentul demarării achiziţiei depăşeşte valoarea </w:t>
      </w:r>
      <w:r w:rsidR="00CA774E" w:rsidRPr="00834991">
        <w:rPr>
          <w:rFonts w:ascii="Open Sans" w:hAnsi="Open Sans" w:cs="Open Sans"/>
          <w:sz w:val="22"/>
          <w:szCs w:val="22"/>
          <w:lang w:val="ro-RO"/>
        </w:rPr>
        <w:t>p</w:t>
      </w:r>
      <w:r w:rsidRPr="00834991">
        <w:rPr>
          <w:rFonts w:ascii="Open Sans" w:hAnsi="Open Sans" w:cs="Open Sans"/>
          <w:sz w:val="22"/>
          <w:szCs w:val="22"/>
          <w:lang w:val="ro-RO"/>
        </w:rPr>
        <w:t>revăzută în</w:t>
      </w:r>
      <w:r w:rsidR="00CA774E" w:rsidRPr="00834991">
        <w:rPr>
          <w:rFonts w:ascii="Open Sans" w:hAnsi="Open Sans" w:cs="Open Sans"/>
          <w:sz w:val="22"/>
          <w:szCs w:val="22"/>
          <w:lang w:val="ro-RO"/>
        </w:rPr>
        <w:t xml:space="preserve"> </w:t>
      </w:r>
      <w:r w:rsidRPr="00834991">
        <w:rPr>
          <w:rFonts w:ascii="Open Sans" w:hAnsi="Open Sans" w:cs="Open Sans"/>
          <w:sz w:val="22"/>
          <w:szCs w:val="22"/>
          <w:lang w:val="ro-RO"/>
        </w:rPr>
        <w:t xml:space="preserve">contractul de finanţare, </w:t>
      </w:r>
      <w:r w:rsidR="00CA774E" w:rsidRPr="00834991">
        <w:rPr>
          <w:rFonts w:ascii="Open Sans" w:hAnsi="Open Sans" w:cs="Open Sans"/>
          <w:sz w:val="22"/>
          <w:szCs w:val="22"/>
          <w:lang w:val="ro-RO"/>
        </w:rPr>
        <w:t>partene</w:t>
      </w:r>
      <w:r w:rsidRPr="00834991">
        <w:rPr>
          <w:rFonts w:ascii="Open Sans" w:hAnsi="Open Sans" w:cs="Open Sans"/>
          <w:sz w:val="22"/>
          <w:szCs w:val="22"/>
          <w:lang w:val="ro-RO"/>
        </w:rPr>
        <w:t xml:space="preserve">rul privat poate suplimenta această valoare fie din bugetul proiectului, fie din bugetul propriu, respectiv: </w:t>
      </w:r>
    </w:p>
    <w:p w14:paraId="70AA5251" w14:textId="77777777" w:rsidR="008134F5" w:rsidRPr="00834991" w:rsidRDefault="47D67A8F" w:rsidP="56B741A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xml:space="preserve">- </w:t>
      </w:r>
      <w:r w:rsidR="117C1CA7" w:rsidRPr="00834991">
        <w:rPr>
          <w:rFonts w:ascii="Open Sans" w:hAnsi="Open Sans" w:cs="Open Sans"/>
          <w:sz w:val="22"/>
          <w:szCs w:val="22"/>
          <w:lang w:val="ro-RO"/>
        </w:rPr>
        <w:t>Partene</w:t>
      </w:r>
      <w:r w:rsidRPr="00834991">
        <w:rPr>
          <w:rFonts w:ascii="Open Sans" w:hAnsi="Open Sans" w:cs="Open Sans"/>
          <w:sz w:val="22"/>
          <w:szCs w:val="22"/>
          <w:lang w:val="ro-RO"/>
        </w:rPr>
        <w:t>rul privat poate suplimenta</w:t>
      </w:r>
      <w:r w:rsidR="6C7844F6" w:rsidRPr="00834991">
        <w:rPr>
          <w:rFonts w:ascii="Open Sans" w:hAnsi="Open Sans" w:cs="Open Sans"/>
          <w:sz w:val="22"/>
          <w:szCs w:val="22"/>
          <w:lang w:val="ro-RO"/>
        </w:rPr>
        <w:t xml:space="preserve"> </w:t>
      </w:r>
      <w:r w:rsidR="2F787D3A" w:rsidRPr="00834991">
        <w:rPr>
          <w:rFonts w:ascii="Open Sans" w:hAnsi="Open Sans" w:cs="Open Sans"/>
          <w:sz w:val="22"/>
          <w:szCs w:val="22"/>
          <w:lang w:val="ro-RO"/>
        </w:rPr>
        <w:t>a</w:t>
      </w:r>
      <w:r w:rsidRPr="00834991">
        <w:rPr>
          <w:rFonts w:ascii="Open Sans" w:hAnsi="Open Sans" w:cs="Open Sans"/>
          <w:sz w:val="22"/>
          <w:szCs w:val="22"/>
          <w:lang w:val="ro-RO"/>
        </w:rPr>
        <w:t>ceastă valoare din bugetul</w:t>
      </w:r>
      <w:r w:rsidR="6C7844F6" w:rsidRPr="00834991">
        <w:rPr>
          <w:rFonts w:ascii="Open Sans" w:hAnsi="Open Sans" w:cs="Open Sans"/>
          <w:sz w:val="22"/>
          <w:szCs w:val="22"/>
          <w:lang w:val="ro-RO"/>
        </w:rPr>
        <w:t xml:space="preserve"> </w:t>
      </w:r>
      <w:r w:rsidRPr="00834991">
        <w:rPr>
          <w:rFonts w:ascii="Open Sans" w:hAnsi="Open Sans" w:cs="Open Sans"/>
          <w:sz w:val="22"/>
          <w:szCs w:val="22"/>
          <w:lang w:val="ro-RO"/>
        </w:rPr>
        <w:t>proiectului, cu respectarea clauzelor contractului de finanţare şi</w:t>
      </w:r>
      <w:r w:rsidR="6C7844F6" w:rsidRPr="00834991">
        <w:rPr>
          <w:rFonts w:ascii="Open Sans" w:hAnsi="Open Sans" w:cs="Open Sans"/>
          <w:sz w:val="22"/>
          <w:szCs w:val="22"/>
          <w:lang w:val="ro-RO"/>
        </w:rPr>
        <w:t xml:space="preserve"> </w:t>
      </w:r>
      <w:r w:rsidRPr="00834991">
        <w:rPr>
          <w:rFonts w:ascii="Open Sans" w:hAnsi="Open Sans" w:cs="Open Sans"/>
          <w:sz w:val="22"/>
          <w:szCs w:val="22"/>
          <w:lang w:val="ro-RO"/>
        </w:rPr>
        <w:t xml:space="preserve">numai dacă suplimentarea valorii estimate nu conduce la eludarea </w:t>
      </w:r>
      <w:r w:rsidR="6C7844F6" w:rsidRPr="00834991">
        <w:rPr>
          <w:rFonts w:ascii="Open Sans" w:hAnsi="Open Sans" w:cs="Open Sans"/>
          <w:sz w:val="22"/>
          <w:szCs w:val="22"/>
          <w:lang w:val="ro-RO"/>
        </w:rPr>
        <w:t>a</w:t>
      </w:r>
      <w:r w:rsidRPr="00834991">
        <w:rPr>
          <w:rFonts w:ascii="Open Sans" w:hAnsi="Open Sans" w:cs="Open Sans"/>
          <w:sz w:val="22"/>
          <w:szCs w:val="22"/>
          <w:lang w:val="ro-RO"/>
        </w:rPr>
        <w:t>plicării</w:t>
      </w:r>
      <w:r w:rsidR="6C7844F6" w:rsidRPr="00834991">
        <w:rPr>
          <w:rFonts w:ascii="Open Sans" w:hAnsi="Open Sans" w:cs="Open Sans"/>
          <w:sz w:val="22"/>
          <w:szCs w:val="22"/>
          <w:lang w:val="ro-RO"/>
        </w:rPr>
        <w:t xml:space="preserve"> </w:t>
      </w:r>
      <w:r w:rsidRPr="00834991">
        <w:rPr>
          <w:rFonts w:ascii="Open Sans" w:hAnsi="Open Sans" w:cs="Open Sans"/>
          <w:sz w:val="22"/>
          <w:szCs w:val="22"/>
          <w:lang w:val="ro-RO"/>
        </w:rPr>
        <w:t>prevederilor referitoare la plafoanele</w:t>
      </w:r>
      <w:r w:rsidR="6C7844F6" w:rsidRPr="00834991">
        <w:rPr>
          <w:rFonts w:ascii="Open Sans" w:hAnsi="Open Sans" w:cs="Open Sans"/>
          <w:sz w:val="22"/>
          <w:szCs w:val="22"/>
          <w:lang w:val="ro-RO"/>
        </w:rPr>
        <w:t xml:space="preserve"> </w:t>
      </w:r>
      <w:r w:rsidRPr="00834991">
        <w:rPr>
          <w:rFonts w:ascii="Open Sans" w:hAnsi="Open Sans" w:cs="Open Sans"/>
          <w:sz w:val="22"/>
          <w:szCs w:val="22"/>
          <w:lang w:val="ro-RO"/>
        </w:rPr>
        <w:t>specifice ajutorului de stat/pragurile</w:t>
      </w:r>
      <w:r w:rsidR="6C7844F6" w:rsidRPr="00834991">
        <w:rPr>
          <w:rFonts w:ascii="Open Sans" w:hAnsi="Open Sans" w:cs="Open Sans"/>
          <w:sz w:val="22"/>
          <w:szCs w:val="22"/>
          <w:lang w:val="ro-RO"/>
        </w:rPr>
        <w:t xml:space="preserve"> </w:t>
      </w:r>
      <w:r w:rsidRPr="00834991">
        <w:rPr>
          <w:rFonts w:ascii="Open Sans" w:hAnsi="Open Sans" w:cs="Open Sans"/>
          <w:sz w:val="22"/>
          <w:szCs w:val="22"/>
          <w:lang w:val="ro-RO"/>
        </w:rPr>
        <w:t xml:space="preserve">stabilite prin lege sau la </w:t>
      </w:r>
      <w:r w:rsidR="6C7844F6" w:rsidRPr="00834991">
        <w:rPr>
          <w:rFonts w:ascii="Open Sans" w:hAnsi="Open Sans" w:cs="Open Sans"/>
          <w:sz w:val="22"/>
          <w:szCs w:val="22"/>
          <w:lang w:val="ro-RO"/>
        </w:rPr>
        <w:t>n</w:t>
      </w:r>
      <w:r w:rsidRPr="00834991">
        <w:rPr>
          <w:rFonts w:ascii="Open Sans" w:hAnsi="Open Sans" w:cs="Open Sans"/>
          <w:sz w:val="22"/>
          <w:szCs w:val="22"/>
          <w:lang w:val="ro-RO"/>
        </w:rPr>
        <w:t>erespectarea prevederilor prezentului</w:t>
      </w:r>
      <w:r w:rsidR="6C7844F6" w:rsidRPr="00834991">
        <w:rPr>
          <w:rFonts w:ascii="Open Sans" w:hAnsi="Open Sans" w:cs="Open Sans"/>
          <w:sz w:val="22"/>
          <w:szCs w:val="22"/>
          <w:lang w:val="ro-RO"/>
        </w:rPr>
        <w:t xml:space="preserve"> c</w:t>
      </w:r>
      <w:r w:rsidRPr="00834991">
        <w:rPr>
          <w:rFonts w:ascii="Open Sans" w:hAnsi="Open Sans" w:cs="Open Sans"/>
          <w:sz w:val="22"/>
          <w:szCs w:val="22"/>
          <w:lang w:val="ro-RO"/>
        </w:rPr>
        <w:t xml:space="preserve">apitol. </w:t>
      </w:r>
    </w:p>
    <w:p w14:paraId="2BC23559" w14:textId="5A944CEF" w:rsidR="008D0B84" w:rsidRPr="00834991" w:rsidRDefault="4D85D4D0" w:rsidP="56B741A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xml:space="preserve">- </w:t>
      </w:r>
      <w:r w:rsidR="117C1CA7" w:rsidRPr="00834991">
        <w:rPr>
          <w:rFonts w:ascii="Open Sans" w:hAnsi="Open Sans" w:cs="Open Sans"/>
          <w:sz w:val="22"/>
          <w:szCs w:val="22"/>
          <w:lang w:val="ro-RO"/>
        </w:rPr>
        <w:t>Partener</w:t>
      </w:r>
      <w:r w:rsidR="47D67A8F" w:rsidRPr="00834991">
        <w:rPr>
          <w:rFonts w:ascii="Open Sans" w:hAnsi="Open Sans" w:cs="Open Sans"/>
          <w:sz w:val="22"/>
          <w:szCs w:val="22"/>
          <w:lang w:val="ro-RO"/>
        </w:rPr>
        <w:t>ul privat poate atribui contractul de achiziţie cu o valoare</w:t>
      </w:r>
      <w:r w:rsidR="117C1CA7" w:rsidRPr="00834991">
        <w:rPr>
          <w:rFonts w:ascii="Open Sans" w:hAnsi="Open Sans" w:cs="Open Sans"/>
          <w:sz w:val="22"/>
          <w:szCs w:val="22"/>
          <w:lang w:val="ro-RO"/>
        </w:rPr>
        <w:t xml:space="preserve"> </w:t>
      </w:r>
      <w:r w:rsidR="47D67A8F" w:rsidRPr="00834991">
        <w:rPr>
          <w:rFonts w:ascii="Open Sans" w:hAnsi="Open Sans" w:cs="Open Sans"/>
          <w:sz w:val="22"/>
          <w:szCs w:val="22"/>
          <w:lang w:val="ro-RO"/>
        </w:rPr>
        <w:t>mai mare decât valoarea estimată prin</w:t>
      </w:r>
      <w:r w:rsidR="117C1CA7" w:rsidRPr="00834991">
        <w:rPr>
          <w:rFonts w:ascii="Open Sans" w:hAnsi="Open Sans" w:cs="Open Sans"/>
          <w:sz w:val="22"/>
          <w:szCs w:val="22"/>
          <w:lang w:val="ro-RO"/>
        </w:rPr>
        <w:t xml:space="preserve"> </w:t>
      </w:r>
      <w:r w:rsidR="47D67A8F" w:rsidRPr="00834991">
        <w:rPr>
          <w:rFonts w:ascii="Open Sans" w:hAnsi="Open Sans" w:cs="Open Sans"/>
          <w:sz w:val="22"/>
          <w:szCs w:val="22"/>
          <w:lang w:val="ro-RO"/>
        </w:rPr>
        <w:t>suplimentarea acesteia din bugetul propriu, dacă justifică decizia în nota justificativă de atribuire.</w:t>
      </w:r>
      <w:r w:rsidR="117C1CA7" w:rsidRPr="00834991">
        <w:rPr>
          <w:rFonts w:ascii="Open Sans" w:hAnsi="Open Sans" w:cs="Open Sans"/>
          <w:sz w:val="22"/>
          <w:szCs w:val="22"/>
          <w:lang w:val="ro-RO"/>
        </w:rPr>
        <w:t xml:space="preserve"> </w:t>
      </w:r>
      <w:r w:rsidR="47D67A8F" w:rsidRPr="00834991">
        <w:rPr>
          <w:rFonts w:ascii="Open Sans" w:hAnsi="Open Sans" w:cs="Open Sans"/>
          <w:sz w:val="22"/>
          <w:szCs w:val="22"/>
          <w:lang w:val="ro-RO"/>
        </w:rPr>
        <w:t>La momentul lansării</w:t>
      </w:r>
      <w:r w:rsidR="001100D1">
        <w:rPr>
          <w:rFonts w:ascii="Open Sans" w:hAnsi="Open Sans" w:cs="Open Sans"/>
          <w:sz w:val="22"/>
          <w:szCs w:val="22"/>
          <w:lang w:val="ro-RO"/>
        </w:rPr>
        <w:t>,</w:t>
      </w:r>
      <w:r w:rsidR="47D67A8F" w:rsidRPr="00834991">
        <w:rPr>
          <w:rFonts w:ascii="Open Sans" w:hAnsi="Open Sans" w:cs="Open Sans"/>
          <w:sz w:val="22"/>
          <w:szCs w:val="22"/>
          <w:lang w:val="ro-RO"/>
        </w:rPr>
        <w:t xml:space="preserve"> valoarea estimată a achiziţiei este </w:t>
      </w:r>
      <w:r w:rsidR="00AA20B9" w:rsidRPr="00834991">
        <w:rPr>
          <w:rFonts w:ascii="Open Sans" w:hAnsi="Open Sans" w:cs="Open Sans"/>
          <w:sz w:val="22"/>
          <w:szCs w:val="22"/>
          <w:lang w:val="ro-RO"/>
        </w:rPr>
        <w:t>definitorie pentru alegerea procedurii de achizitie (direct</w:t>
      </w:r>
      <w:r w:rsidR="00E13A37" w:rsidRPr="00834991">
        <w:rPr>
          <w:rFonts w:ascii="Open Sans" w:hAnsi="Open Sans" w:cs="Open Sans"/>
          <w:sz w:val="22"/>
          <w:szCs w:val="22"/>
          <w:lang w:val="ro-RO"/>
        </w:rPr>
        <w:t>ă</w:t>
      </w:r>
      <w:r w:rsidR="00AA20B9" w:rsidRPr="00834991">
        <w:rPr>
          <w:rFonts w:ascii="Open Sans" w:hAnsi="Open Sans" w:cs="Open Sans"/>
          <w:sz w:val="22"/>
          <w:szCs w:val="22"/>
          <w:lang w:val="ro-RO"/>
        </w:rPr>
        <w:t>, achizi</w:t>
      </w:r>
      <w:r w:rsidR="00E13A37" w:rsidRPr="00834991">
        <w:rPr>
          <w:rFonts w:ascii="Open Sans" w:hAnsi="Open Sans" w:cs="Open Sans"/>
          <w:sz w:val="22"/>
          <w:szCs w:val="22"/>
          <w:lang w:val="ro-RO"/>
        </w:rPr>
        <w:t>ț</w:t>
      </w:r>
      <w:r w:rsidR="00AA20B9" w:rsidRPr="00834991">
        <w:rPr>
          <w:rFonts w:ascii="Open Sans" w:hAnsi="Open Sans" w:cs="Open Sans"/>
          <w:sz w:val="22"/>
          <w:szCs w:val="22"/>
          <w:lang w:val="ro-RO"/>
        </w:rPr>
        <w:t>ie peste prag)</w:t>
      </w:r>
      <w:r w:rsidR="47D67A8F" w:rsidRPr="00834991">
        <w:rPr>
          <w:rFonts w:ascii="Open Sans" w:hAnsi="Open Sans" w:cs="Open Sans"/>
          <w:sz w:val="22"/>
          <w:szCs w:val="22"/>
          <w:lang w:val="ro-RO"/>
        </w:rPr>
        <w:t xml:space="preserve">. </w:t>
      </w:r>
      <w:r w:rsidR="117C1CA7" w:rsidRPr="00834991">
        <w:rPr>
          <w:rFonts w:ascii="Open Sans" w:hAnsi="Open Sans" w:cs="Open Sans"/>
          <w:sz w:val="22"/>
          <w:szCs w:val="22"/>
          <w:lang w:val="ro-RO"/>
        </w:rPr>
        <w:t>L</w:t>
      </w:r>
      <w:r w:rsidR="47D67A8F" w:rsidRPr="00834991">
        <w:rPr>
          <w:rFonts w:ascii="Open Sans" w:hAnsi="Open Sans" w:cs="Open Sans"/>
          <w:sz w:val="22"/>
          <w:szCs w:val="22"/>
          <w:lang w:val="ro-RO"/>
        </w:rPr>
        <w:t>a determinarea valorii estimate se iau în considerare toate sumele</w:t>
      </w:r>
      <w:r w:rsidR="117C1CA7" w:rsidRPr="00834991">
        <w:rPr>
          <w:rFonts w:ascii="Open Sans" w:hAnsi="Open Sans" w:cs="Open Sans"/>
          <w:sz w:val="22"/>
          <w:szCs w:val="22"/>
          <w:lang w:val="ro-RO"/>
        </w:rPr>
        <w:t xml:space="preserve"> </w:t>
      </w:r>
      <w:r w:rsidR="47D67A8F" w:rsidRPr="00834991">
        <w:rPr>
          <w:rFonts w:ascii="Open Sans" w:hAnsi="Open Sans" w:cs="Open Sans"/>
          <w:sz w:val="22"/>
          <w:szCs w:val="22"/>
          <w:lang w:val="ro-RO"/>
        </w:rPr>
        <w:t>plătibile</w:t>
      </w:r>
      <w:r w:rsidR="117C1CA7" w:rsidRPr="00834991">
        <w:rPr>
          <w:rFonts w:ascii="Open Sans" w:hAnsi="Open Sans" w:cs="Open Sans"/>
          <w:sz w:val="22"/>
          <w:szCs w:val="22"/>
          <w:lang w:val="ro-RO"/>
        </w:rPr>
        <w:t xml:space="preserve"> </w:t>
      </w:r>
      <w:r w:rsidR="47D67A8F" w:rsidRPr="00834991">
        <w:rPr>
          <w:rFonts w:ascii="Open Sans" w:hAnsi="Open Sans" w:cs="Open Sans"/>
          <w:sz w:val="22"/>
          <w:szCs w:val="22"/>
          <w:lang w:val="ro-RO"/>
        </w:rPr>
        <w:t>în cadrul achiziţiei/contractului de achiziţie, indiferent dacă acestea sunt</w:t>
      </w:r>
      <w:r w:rsidR="117C1CA7" w:rsidRPr="00834991">
        <w:rPr>
          <w:rFonts w:ascii="Open Sans" w:hAnsi="Open Sans" w:cs="Open Sans"/>
          <w:sz w:val="22"/>
          <w:szCs w:val="22"/>
          <w:lang w:val="ro-RO"/>
        </w:rPr>
        <w:t xml:space="preserve"> </w:t>
      </w:r>
      <w:r w:rsidR="47D67A8F" w:rsidRPr="00834991">
        <w:rPr>
          <w:rFonts w:ascii="Open Sans" w:hAnsi="Open Sans" w:cs="Open Sans"/>
          <w:sz w:val="22"/>
          <w:szCs w:val="22"/>
          <w:lang w:val="ro-RO"/>
        </w:rPr>
        <w:t>eligibile sau neeligibile, cu excepţia</w:t>
      </w:r>
      <w:r w:rsidR="117C1CA7" w:rsidRPr="00834991">
        <w:rPr>
          <w:rFonts w:ascii="Open Sans" w:hAnsi="Open Sans" w:cs="Open Sans"/>
          <w:sz w:val="22"/>
          <w:szCs w:val="22"/>
          <w:lang w:val="ro-RO"/>
        </w:rPr>
        <w:t xml:space="preserve"> </w:t>
      </w:r>
      <w:r w:rsidR="47D67A8F" w:rsidRPr="00834991">
        <w:rPr>
          <w:rFonts w:ascii="Open Sans" w:hAnsi="Open Sans" w:cs="Open Sans"/>
          <w:sz w:val="22"/>
          <w:szCs w:val="22"/>
          <w:lang w:val="ro-RO"/>
        </w:rPr>
        <w:t>TVA</w:t>
      </w:r>
      <w:r w:rsidR="117C1CA7" w:rsidRPr="00834991">
        <w:rPr>
          <w:rFonts w:ascii="Open Sans" w:hAnsi="Open Sans" w:cs="Open Sans"/>
          <w:sz w:val="22"/>
          <w:szCs w:val="22"/>
          <w:lang w:val="ro-RO"/>
        </w:rPr>
        <w:t>.</w:t>
      </w:r>
    </w:p>
    <w:p w14:paraId="533CCC7D" w14:textId="62B672DD" w:rsidR="00653584" w:rsidRPr="00834991" w:rsidRDefault="00CD27C2" w:rsidP="00D92033">
      <w:pPr>
        <w:pStyle w:val="NormalWeb"/>
        <w:spacing w:before="0" w:beforeAutospacing="0" w:after="0" w:afterAutospacing="0"/>
        <w:jc w:val="both"/>
        <w:divId w:val="884414001"/>
        <w:rPr>
          <w:rFonts w:ascii="Open Sans" w:hAnsi="Open Sans" w:cs="Open Sans"/>
          <w:sz w:val="22"/>
          <w:szCs w:val="22"/>
          <w:lang w:val="ro-RO"/>
        </w:rPr>
      </w:pPr>
      <w:r w:rsidRPr="00834991">
        <w:rPr>
          <w:rFonts w:ascii="Open Sans" w:hAnsi="Open Sans" w:cs="Open Sans"/>
          <w:sz w:val="22"/>
          <w:szCs w:val="22"/>
          <w:lang w:val="ro-RO"/>
        </w:rPr>
        <w:t xml:space="preserve">                                                          </w:t>
      </w:r>
    </w:p>
    <w:p w14:paraId="637B1C63" w14:textId="19706476" w:rsidR="00653584" w:rsidRPr="00834991" w:rsidRDefault="00CD27C2">
      <w:pPr>
        <w:pStyle w:val="NormalWeb"/>
        <w:spacing w:before="0" w:beforeAutospacing="0" w:after="0" w:afterAutospacing="0"/>
        <w:jc w:val="both"/>
        <w:rPr>
          <w:rStyle w:val="Heading2Char"/>
          <w:rFonts w:ascii="Open Sans" w:hAnsi="Open Sans" w:cs="Open Sans"/>
          <w:color w:val="auto"/>
          <w:sz w:val="22"/>
          <w:szCs w:val="22"/>
          <w:lang w:val="ro-RO"/>
        </w:rPr>
      </w:pPr>
      <w:bookmarkStart w:id="8" w:name="_Toc184811994"/>
      <w:r w:rsidRPr="00834991">
        <w:rPr>
          <w:rStyle w:val="Heading2Char"/>
          <w:rFonts w:ascii="Open Sans" w:hAnsi="Open Sans" w:cs="Open Sans"/>
          <w:b/>
          <w:bCs/>
          <w:color w:val="auto"/>
          <w:sz w:val="22"/>
          <w:szCs w:val="22"/>
          <w:lang w:val="ro-RO"/>
        </w:rPr>
        <w:t>SECŢIUNEA a 4-a</w:t>
      </w:r>
      <w:r w:rsidR="00767C20" w:rsidRPr="00834991">
        <w:rPr>
          <w:rStyle w:val="Heading2Char"/>
          <w:rFonts w:ascii="Open Sans" w:hAnsi="Open Sans" w:cs="Open Sans"/>
          <w:b/>
          <w:bCs/>
          <w:color w:val="auto"/>
          <w:sz w:val="22"/>
          <w:szCs w:val="22"/>
          <w:lang w:val="ro-RO"/>
        </w:rPr>
        <w:t xml:space="preserve"> - </w:t>
      </w:r>
      <w:r w:rsidRPr="00834991">
        <w:rPr>
          <w:rStyle w:val="Heading2Char"/>
          <w:rFonts w:ascii="Open Sans" w:hAnsi="Open Sans" w:cs="Open Sans"/>
          <w:b/>
          <w:bCs/>
          <w:color w:val="auto"/>
          <w:sz w:val="22"/>
          <w:szCs w:val="22"/>
          <w:lang w:val="ro-RO"/>
        </w:rPr>
        <w:t xml:space="preserve">Derularea procedurii </w:t>
      </w:r>
      <w:r w:rsidR="0020450D" w:rsidRPr="00834991">
        <w:rPr>
          <w:rStyle w:val="Heading2Char"/>
          <w:rFonts w:ascii="Open Sans" w:hAnsi="Open Sans" w:cs="Open Sans"/>
          <w:b/>
          <w:bCs/>
          <w:color w:val="auto"/>
          <w:sz w:val="22"/>
          <w:szCs w:val="22"/>
          <w:lang w:val="ro-RO"/>
        </w:rPr>
        <w:t>pentru achiziții peste prag</w:t>
      </w:r>
      <w:bookmarkEnd w:id="8"/>
    </w:p>
    <w:p w14:paraId="04FCF941" w14:textId="37323AAD"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u w:val="single"/>
          <w:lang w:val="ro-RO"/>
        </w:rPr>
        <w:t xml:space="preserve">4.1. </w:t>
      </w:r>
      <w:r w:rsidR="00287F7B">
        <w:rPr>
          <w:rFonts w:ascii="Open Sans" w:hAnsi="Open Sans" w:cs="Open Sans"/>
          <w:sz w:val="22"/>
          <w:szCs w:val="22"/>
          <w:u w:val="single"/>
          <w:lang w:val="ro-RO"/>
        </w:rPr>
        <w:t>Consul</w:t>
      </w:r>
      <w:r w:rsidRPr="00834991">
        <w:rPr>
          <w:rFonts w:ascii="Open Sans" w:hAnsi="Open Sans" w:cs="Open Sans"/>
          <w:sz w:val="22"/>
          <w:szCs w:val="22"/>
          <w:u w:val="single"/>
          <w:lang w:val="ro-RO"/>
        </w:rPr>
        <w:t>tarea pieţei</w:t>
      </w:r>
    </w:p>
    <w:p w14:paraId="22FFF98E" w14:textId="5EC126F3" w:rsidR="00653584" w:rsidRPr="00834991" w:rsidRDefault="00CD27C2" w:rsidP="008D28EA">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008D28EA" w:rsidRPr="00834991">
        <w:rPr>
          <w:rFonts w:ascii="Open Sans" w:hAnsi="Open Sans" w:cs="Open Sans"/>
          <w:sz w:val="22"/>
          <w:szCs w:val="22"/>
          <w:lang w:val="ro-RO"/>
        </w:rPr>
        <w:t>I.</w:t>
      </w:r>
      <w:r w:rsidRPr="00834991">
        <w:rPr>
          <w:rFonts w:ascii="Open Sans" w:hAnsi="Open Sans" w:cs="Open Sans"/>
          <w:sz w:val="22"/>
          <w:szCs w:val="22"/>
          <w:lang w:val="ro-RO"/>
        </w:rPr>
        <w:t xml:space="preserve"> Publicarea anunţului </w:t>
      </w:r>
    </w:p>
    <w:p w14:paraId="51158C29" w14:textId="25FA9980" w:rsidR="00653584" w:rsidRPr="00834991" w:rsidRDefault="00CD27C2" w:rsidP="114FE715">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1. </w:t>
      </w:r>
      <w:r w:rsidR="000C08AE" w:rsidRPr="00834991">
        <w:rPr>
          <w:rFonts w:ascii="Open Sans" w:hAnsi="Open Sans" w:cs="Open Sans"/>
          <w:sz w:val="22"/>
          <w:szCs w:val="22"/>
          <w:lang w:val="ro-RO"/>
        </w:rPr>
        <w:t>Partenerul privat are obligaţia de a publica un anunţ pe pagina web a Programului (în secțiunea dedicată)</w:t>
      </w:r>
      <w:r w:rsidRPr="00834991">
        <w:rPr>
          <w:rFonts w:ascii="Open Sans" w:hAnsi="Open Sans" w:cs="Open Sans"/>
          <w:sz w:val="22"/>
          <w:szCs w:val="22"/>
          <w:lang w:val="ro-RO"/>
        </w:rPr>
        <w:t xml:space="preserve">, </w:t>
      </w:r>
      <w:r w:rsidRPr="00834991">
        <w:rPr>
          <w:rFonts w:ascii="Open Sans" w:hAnsi="Open Sans" w:cs="Open Sans"/>
          <w:b/>
          <w:bCs/>
          <w:sz w:val="22"/>
          <w:szCs w:val="22"/>
          <w:lang w:val="ro-RO"/>
        </w:rPr>
        <w:t>însoţit de specificaţiile tehnice.</w:t>
      </w:r>
      <w:r w:rsidR="35037CE0" w:rsidRPr="00834991">
        <w:rPr>
          <w:rFonts w:ascii="Open Sans" w:hAnsi="Open Sans" w:cs="Open Sans"/>
          <w:sz w:val="22"/>
          <w:szCs w:val="22"/>
          <w:lang w:val="ro-RO"/>
        </w:rPr>
        <w:t xml:space="preserve"> Este recomandat ca acest anunț să fie publicat și pe pagina web a partenerului privat (dacă există)</w:t>
      </w:r>
      <w:r w:rsidR="00357E46" w:rsidRPr="00834991">
        <w:rPr>
          <w:rFonts w:ascii="Open Sans" w:hAnsi="Open Sans" w:cs="Open Sans"/>
          <w:sz w:val="22"/>
          <w:szCs w:val="22"/>
          <w:lang w:val="ro-RO"/>
        </w:rPr>
        <w:t xml:space="preserve"> sau pe alte canale de publicitate</w:t>
      </w:r>
      <w:r w:rsidR="35037CE0" w:rsidRPr="00834991">
        <w:rPr>
          <w:rFonts w:ascii="Open Sans" w:hAnsi="Open Sans" w:cs="Open Sans"/>
          <w:sz w:val="22"/>
          <w:szCs w:val="22"/>
          <w:lang w:val="ro-RO"/>
        </w:rPr>
        <w:t>.</w:t>
      </w:r>
    </w:p>
    <w:p w14:paraId="42AED6FD" w14:textId="1EC9645D"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2. Publicarea anunţului pe pagina </w:t>
      </w:r>
      <w:r w:rsidR="000C08AE" w:rsidRPr="00834991">
        <w:rPr>
          <w:rFonts w:ascii="Open Sans" w:hAnsi="Open Sans" w:cs="Open Sans"/>
          <w:sz w:val="22"/>
          <w:szCs w:val="22"/>
          <w:lang w:val="ro-RO"/>
        </w:rPr>
        <w:t>web a Programului</w:t>
      </w:r>
      <w:r w:rsidRPr="00834991">
        <w:rPr>
          <w:rFonts w:ascii="Open Sans" w:hAnsi="Open Sans" w:cs="Open Sans"/>
          <w:sz w:val="22"/>
          <w:szCs w:val="22"/>
          <w:lang w:val="ro-RO"/>
        </w:rPr>
        <w:t xml:space="preserve"> este gratuit</w:t>
      </w:r>
      <w:r w:rsidR="000C08AE" w:rsidRPr="00834991">
        <w:rPr>
          <w:rFonts w:ascii="Open Sans" w:hAnsi="Open Sans" w:cs="Open Sans"/>
          <w:sz w:val="22"/>
          <w:szCs w:val="22"/>
          <w:lang w:val="ro-RO"/>
        </w:rPr>
        <w:t>ă.</w:t>
      </w:r>
    </w:p>
    <w:p w14:paraId="487A766F" w14:textId="7C238E4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3. Publicarea anunţului şi a specificaţiilor tehnice nu este obligatorie în situaţiile de excepţie descrise la secţiunea a 3-a pct. 3.1 subpct. 2</w:t>
      </w:r>
      <w:r w:rsidR="009C4DF5">
        <w:rPr>
          <w:rFonts w:ascii="Open Sans" w:hAnsi="Open Sans" w:cs="Open Sans"/>
          <w:sz w:val="22"/>
          <w:szCs w:val="22"/>
          <w:lang w:val="ro-RO"/>
        </w:rPr>
        <w:t xml:space="preserve"> din prezenta procedură.</w:t>
      </w:r>
    </w:p>
    <w:p w14:paraId="62986C97" w14:textId="582EE2C8" w:rsidR="000C08AE" w:rsidRPr="00834991" w:rsidRDefault="000C08AE">
      <w:pPr>
        <w:pStyle w:val="NormalWeb"/>
        <w:spacing w:before="0" w:beforeAutospacing="0" w:after="0" w:afterAutospacing="0"/>
        <w:jc w:val="both"/>
        <w:rPr>
          <w:rFonts w:ascii="Open Sans" w:hAnsi="Open Sans" w:cs="Open Sans"/>
          <w:b/>
          <w:bCs/>
          <w:sz w:val="22"/>
          <w:szCs w:val="22"/>
          <w:lang w:val="ro-RO"/>
        </w:rPr>
      </w:pPr>
      <w:r w:rsidRPr="00834991">
        <w:rPr>
          <w:rFonts w:ascii="Open Sans" w:hAnsi="Open Sans" w:cs="Open Sans"/>
          <w:b/>
          <w:bCs/>
          <w:sz w:val="22"/>
          <w:szCs w:val="22"/>
          <w:lang w:val="ro-RO"/>
        </w:rPr>
        <w:t>Atenție! Motivarea acestor excepții trebuie să fie atent elaborată.</w:t>
      </w:r>
    </w:p>
    <w:p w14:paraId="5D84D2B3" w14:textId="79E4DA63" w:rsidR="00653584" w:rsidRPr="00834991" w:rsidRDefault="00CD27C2" w:rsidP="631A3516">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4. Nepublicarea anunţului pe pagina web </w:t>
      </w:r>
      <w:r w:rsidR="000C08AE" w:rsidRPr="00834991">
        <w:rPr>
          <w:rFonts w:ascii="Open Sans" w:hAnsi="Open Sans" w:cs="Open Sans"/>
          <w:sz w:val="22"/>
          <w:szCs w:val="22"/>
          <w:lang w:val="ro-RO"/>
        </w:rPr>
        <w:t>a Programului</w:t>
      </w:r>
      <w:r w:rsidRPr="00834991">
        <w:rPr>
          <w:rFonts w:ascii="Open Sans" w:hAnsi="Open Sans" w:cs="Open Sans"/>
          <w:sz w:val="22"/>
          <w:szCs w:val="22"/>
          <w:lang w:val="ro-RO"/>
        </w:rPr>
        <w:t xml:space="preserve"> însoţit de specificaţiile tehnice, cu excepţia situaţiilor expres reglementate de prezenta procedură, </w:t>
      </w:r>
      <w:r w:rsidR="00136297">
        <w:rPr>
          <w:rFonts w:ascii="Open Sans" w:hAnsi="Open Sans" w:cs="Open Sans"/>
          <w:sz w:val="22"/>
          <w:szCs w:val="22"/>
          <w:lang w:val="ro-RO"/>
        </w:rPr>
        <w:t>prevăzută în secțiunea a 7-a a prezentei proceduri</w:t>
      </w:r>
      <w:r w:rsidRPr="00834991">
        <w:rPr>
          <w:rFonts w:ascii="Open Sans" w:hAnsi="Open Sans" w:cs="Open Sans"/>
          <w:sz w:val="22"/>
          <w:szCs w:val="22"/>
          <w:lang w:val="ro-RO"/>
        </w:rPr>
        <w:t>. Nu este suficient să se menţioneze adresa de la care se pot obţine specificaţiile. Trebuie să se asigure accesul neîngrădit la aceste informaţii.</w:t>
      </w:r>
    </w:p>
    <w:p w14:paraId="5C58799C" w14:textId="77B56E15" w:rsidR="00B13A9E" w:rsidRPr="00834991" w:rsidRDefault="00CD27C2" w:rsidP="114FE715">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5. În vederea </w:t>
      </w:r>
      <w:r w:rsidR="000C08AE" w:rsidRPr="00834991">
        <w:rPr>
          <w:rFonts w:ascii="Open Sans" w:hAnsi="Open Sans" w:cs="Open Sans"/>
          <w:sz w:val="22"/>
          <w:szCs w:val="22"/>
          <w:lang w:val="ro-RO"/>
        </w:rPr>
        <w:t>publicării anunțului</w:t>
      </w:r>
      <w:r w:rsidRPr="00834991">
        <w:rPr>
          <w:rFonts w:ascii="Open Sans" w:hAnsi="Open Sans" w:cs="Open Sans"/>
          <w:sz w:val="22"/>
          <w:szCs w:val="22"/>
          <w:lang w:val="ro-RO"/>
        </w:rPr>
        <w:t xml:space="preserve">, </w:t>
      </w:r>
      <w:r w:rsidR="000C08AE" w:rsidRPr="00834991">
        <w:rPr>
          <w:rFonts w:ascii="Open Sans" w:hAnsi="Open Sans" w:cs="Open Sans"/>
          <w:sz w:val="22"/>
          <w:szCs w:val="22"/>
          <w:lang w:val="ro-RO"/>
        </w:rPr>
        <w:t>partener</w:t>
      </w:r>
      <w:r w:rsidRPr="00834991">
        <w:rPr>
          <w:rFonts w:ascii="Open Sans" w:hAnsi="Open Sans" w:cs="Open Sans"/>
          <w:sz w:val="22"/>
          <w:szCs w:val="22"/>
          <w:lang w:val="ro-RO"/>
        </w:rPr>
        <w:t xml:space="preserve">ul privat va </w:t>
      </w:r>
      <w:r w:rsidR="000C08AE" w:rsidRPr="00834991">
        <w:rPr>
          <w:rFonts w:ascii="Open Sans" w:hAnsi="Open Sans" w:cs="Open Sans"/>
          <w:sz w:val="22"/>
          <w:szCs w:val="22"/>
          <w:lang w:val="ro-RO"/>
        </w:rPr>
        <w:t>completa Formularul disponibil pe site</w:t>
      </w:r>
      <w:r w:rsidR="009476C4" w:rsidRPr="00834991">
        <w:rPr>
          <w:rFonts w:ascii="Open Sans" w:hAnsi="Open Sans" w:cs="Open Sans"/>
          <w:sz w:val="22"/>
          <w:szCs w:val="22"/>
          <w:lang w:val="ro-RO"/>
        </w:rPr>
        <w:t>-ul Programului</w:t>
      </w:r>
      <w:r w:rsidR="009C4DF5">
        <w:rPr>
          <w:rFonts w:ascii="Open Sans" w:hAnsi="Open Sans" w:cs="Open Sans"/>
          <w:sz w:val="22"/>
          <w:szCs w:val="22"/>
          <w:lang w:val="ro-RO"/>
        </w:rPr>
        <w:t xml:space="preserve"> (www.</w:t>
      </w:r>
      <w:r w:rsidR="009C4DF5" w:rsidRPr="009C4DF5">
        <w:t xml:space="preserve"> </w:t>
      </w:r>
      <w:r w:rsidR="009C4DF5" w:rsidRPr="009C4DF5">
        <w:rPr>
          <w:rFonts w:ascii="Open Sans" w:hAnsi="Open Sans" w:cs="Open Sans"/>
          <w:sz w:val="22"/>
          <w:szCs w:val="22"/>
          <w:lang w:val="ro-RO"/>
        </w:rPr>
        <w:t>interreg-rohu.eu</w:t>
      </w:r>
      <w:r w:rsidR="009C4DF5">
        <w:rPr>
          <w:rFonts w:ascii="Open Sans" w:hAnsi="Open Sans" w:cs="Open Sans"/>
          <w:sz w:val="22"/>
          <w:szCs w:val="22"/>
          <w:lang w:val="ro-RO"/>
        </w:rPr>
        <w:t>)</w:t>
      </w:r>
      <w:r w:rsidR="57F0B161" w:rsidRPr="00834991">
        <w:rPr>
          <w:rFonts w:ascii="Open Sans" w:hAnsi="Open Sans" w:cs="Open Sans"/>
          <w:sz w:val="22"/>
          <w:szCs w:val="22"/>
          <w:lang w:val="ro-RO"/>
        </w:rPr>
        <w:t>.</w:t>
      </w: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w:t>
      </w:r>
    </w:p>
    <w:p w14:paraId="79AC774D" w14:textId="1CAAD998" w:rsidR="00653584" w:rsidRPr="00834991" w:rsidRDefault="00CD27C2" w:rsidP="114FE715">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xml:space="preserve">Pentru a asigura o publicitate suplimentară, </w:t>
      </w:r>
      <w:r w:rsidR="00F06779" w:rsidRPr="00834991">
        <w:rPr>
          <w:rFonts w:ascii="Open Sans" w:hAnsi="Open Sans" w:cs="Open Sans"/>
          <w:sz w:val="22"/>
          <w:szCs w:val="22"/>
          <w:lang w:val="ro-RO"/>
        </w:rPr>
        <w:t>partene</w:t>
      </w:r>
      <w:r w:rsidRPr="00834991">
        <w:rPr>
          <w:rFonts w:ascii="Open Sans" w:hAnsi="Open Sans" w:cs="Open Sans"/>
          <w:sz w:val="22"/>
          <w:szCs w:val="22"/>
          <w:lang w:val="ro-RO"/>
        </w:rPr>
        <w:t xml:space="preserve">rul privat poate transmite în aceeaşi zi cu publicarea anunţului şi invitaţii de participare la procedură. În acest caz, informaţiile publicate trebuie să fie identice cu cele cuprinse în </w:t>
      </w:r>
      <w:r w:rsidR="00EB12C0">
        <w:rPr>
          <w:rFonts w:ascii="Open Sans" w:hAnsi="Open Sans" w:cs="Open Sans"/>
          <w:sz w:val="22"/>
          <w:szCs w:val="22"/>
          <w:lang w:val="ro-RO"/>
        </w:rPr>
        <w:t>anunțul</w:t>
      </w:r>
      <w:r w:rsidRPr="00834991">
        <w:rPr>
          <w:rFonts w:ascii="Open Sans" w:hAnsi="Open Sans" w:cs="Open Sans"/>
          <w:sz w:val="22"/>
          <w:szCs w:val="22"/>
          <w:lang w:val="ro-RO"/>
        </w:rPr>
        <w:t xml:space="preserve"> de participare. Transmiterea de invitaţii nu este obligatorie. </w:t>
      </w:r>
    </w:p>
    <w:p w14:paraId="01B2A0BD" w14:textId="382EECE0" w:rsidR="00594462" w:rsidRPr="00834991" w:rsidRDefault="00594462">
      <w:pPr>
        <w:pStyle w:val="NormalWeb"/>
        <w:spacing w:before="0" w:beforeAutospacing="0" w:after="0" w:afterAutospacing="0"/>
        <w:jc w:val="both"/>
        <w:rPr>
          <w:rFonts w:ascii="Open Sans" w:hAnsi="Open Sans" w:cs="Open Sans"/>
          <w:b/>
          <w:bCs/>
          <w:sz w:val="22"/>
          <w:szCs w:val="22"/>
          <w:lang w:val="ro-RO"/>
        </w:rPr>
      </w:pPr>
      <w:r w:rsidRPr="00834991">
        <w:rPr>
          <w:rFonts w:ascii="Open Sans" w:hAnsi="Open Sans" w:cs="Open Sans"/>
          <w:b/>
          <w:bCs/>
          <w:sz w:val="22"/>
          <w:szCs w:val="22"/>
          <w:lang w:val="ro-RO"/>
        </w:rPr>
        <w:t>Atenție! Transmiterea invitațiilor de participare nu exclude obligația publicării anunțului pe site-ul Programului.</w:t>
      </w:r>
    </w:p>
    <w:p w14:paraId="15F81F10" w14:textId="1CB658C9" w:rsidR="00653584" w:rsidRPr="00834991" w:rsidRDefault="00CD27C2" w:rsidP="114FE715">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525985A5" w:rsidRPr="00834991">
        <w:rPr>
          <w:rFonts w:ascii="Open Sans" w:hAnsi="Open Sans" w:cs="Open Sans"/>
          <w:sz w:val="22"/>
          <w:szCs w:val="22"/>
          <w:lang w:val="ro-RO"/>
        </w:rPr>
        <w:t>6</w:t>
      </w:r>
      <w:r w:rsidRPr="00834991">
        <w:rPr>
          <w:rFonts w:ascii="Open Sans" w:hAnsi="Open Sans" w:cs="Open Sans"/>
          <w:sz w:val="22"/>
          <w:szCs w:val="22"/>
          <w:lang w:val="ro-RO"/>
        </w:rPr>
        <w:t>. În anunţ/invitaţie se acordă un termen pentru elaborarea şi prezentarea ofertei, luând în considerare complexitatea contractelor. Pentru contractele de furnizare se vor acorda minimum 6 zile calendaristice de la publicarea anunţului, iar pentru contractele de servicii şi lucrări se acordă minimum 10 zile calendaristice de la publicarea anunţului. La stabilirea datei de prezentare a ofertei nu se iau în calcul ziua de publicare/transmitere a anunţului/invitaţiei şi ziua în care se depun ofertele.</w:t>
      </w:r>
    </w:p>
    <w:p w14:paraId="6ACC64E7" w14:textId="1A78D4D7" w:rsidR="00653584" w:rsidRPr="00834991" w:rsidRDefault="00CD27C2"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4A27C416" w:rsidRPr="00834991">
        <w:rPr>
          <w:rFonts w:ascii="Open Sans" w:hAnsi="Open Sans" w:cs="Open Sans"/>
          <w:sz w:val="22"/>
          <w:szCs w:val="22"/>
          <w:lang w:val="ro-RO"/>
        </w:rPr>
        <w:t>7</w:t>
      </w:r>
      <w:r w:rsidRPr="00834991">
        <w:rPr>
          <w:rFonts w:ascii="Open Sans" w:hAnsi="Open Sans" w:cs="Open Sans"/>
          <w:sz w:val="22"/>
          <w:szCs w:val="22"/>
          <w:lang w:val="ro-RO"/>
        </w:rPr>
        <w:t>. În caz de clarificări/modificări, în anunţ se va bifa câmpul care anunţă operatorii economici că s-au adus clarificări/modificări la informaţiile iniţiale.</w:t>
      </w:r>
    </w:p>
    <w:p w14:paraId="3E47F12F" w14:textId="3D264924" w:rsidR="00653584" w:rsidRPr="00834991" w:rsidRDefault="00CD27C2" w:rsidP="114FE715">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70A6EAA4" w:rsidRPr="00834991">
        <w:rPr>
          <w:rFonts w:ascii="Open Sans" w:hAnsi="Open Sans" w:cs="Open Sans"/>
          <w:sz w:val="22"/>
          <w:szCs w:val="22"/>
          <w:lang w:val="ro-RO"/>
        </w:rPr>
        <w:t>8</w:t>
      </w:r>
      <w:r w:rsidRPr="00834991">
        <w:rPr>
          <w:rFonts w:ascii="Open Sans" w:hAnsi="Open Sans" w:cs="Open Sans"/>
          <w:sz w:val="22"/>
          <w:szCs w:val="22"/>
          <w:lang w:val="ro-RO"/>
        </w:rPr>
        <w:t>. În situaţia în care intervin solicitări de clarificare care pot duce la modificări/ajustări ale specificaţiilor tehnice,</w:t>
      </w:r>
      <w:r w:rsidR="00594462" w:rsidRPr="00834991">
        <w:rPr>
          <w:rFonts w:ascii="Open Sans" w:hAnsi="Open Sans" w:cs="Open Sans"/>
          <w:sz w:val="22"/>
          <w:szCs w:val="22"/>
          <w:lang w:val="ro-RO"/>
        </w:rPr>
        <w:t xml:space="preserve"> </w:t>
      </w:r>
      <w:r w:rsidR="00D234F7" w:rsidRPr="00834991">
        <w:rPr>
          <w:rFonts w:ascii="Open Sans" w:hAnsi="Open Sans" w:cs="Open Sans"/>
          <w:sz w:val="22"/>
          <w:szCs w:val="22"/>
          <w:lang w:val="ro-RO"/>
        </w:rPr>
        <w:t>p</w:t>
      </w:r>
      <w:r w:rsidR="00594462" w:rsidRPr="00834991">
        <w:rPr>
          <w:rFonts w:ascii="Open Sans" w:hAnsi="Open Sans" w:cs="Open Sans"/>
          <w:sz w:val="22"/>
          <w:szCs w:val="22"/>
          <w:lang w:val="ro-RO"/>
        </w:rPr>
        <w:t>artene</w:t>
      </w:r>
      <w:r w:rsidRPr="00834991">
        <w:rPr>
          <w:rFonts w:ascii="Open Sans" w:hAnsi="Open Sans" w:cs="Open Sans"/>
          <w:sz w:val="22"/>
          <w:szCs w:val="22"/>
          <w:lang w:val="ro-RO"/>
        </w:rPr>
        <w:t>rul privat poate să prelungească termenul de depunere a ofertelor, astfel încât să asigure timpul necesar pentru elaborarea acestora, cu respectarea condiţiilor de publicitate.</w:t>
      </w:r>
    </w:p>
    <w:p w14:paraId="21E18A4E" w14:textId="77777777" w:rsidR="00D234F7" w:rsidRPr="00834991" w:rsidRDefault="00CD27C2" w:rsidP="000835E4">
      <w:pPr>
        <w:pStyle w:val="NormalWeb"/>
        <w:spacing w:before="0" w:beforeAutospacing="0" w:after="0" w:afterAutospacing="0"/>
        <w:ind w:left="284"/>
        <w:jc w:val="both"/>
        <w:rPr>
          <w:rFonts w:ascii="Open Sans" w:hAnsi="Open Sans" w:cs="Open Sans"/>
          <w:sz w:val="22"/>
          <w:szCs w:val="22"/>
          <w:lang w:val="ro-RO"/>
        </w:rPr>
      </w:pPr>
      <w:r w:rsidRPr="00834991">
        <w:rPr>
          <w:rFonts w:ascii="Open Sans" w:hAnsi="Open Sans" w:cs="Open Sans"/>
          <w:sz w:val="22"/>
          <w:szCs w:val="22"/>
          <w:lang w:val="ro-RO"/>
        </w:rPr>
        <w:t> </w:t>
      </w:r>
    </w:p>
    <w:p w14:paraId="4CCADE6E" w14:textId="45607E7E" w:rsidR="00653584" w:rsidRPr="00834991" w:rsidRDefault="00CD27C2" w:rsidP="000835E4">
      <w:pPr>
        <w:pStyle w:val="NormalWeb"/>
        <w:spacing w:before="0" w:beforeAutospacing="0" w:after="0" w:afterAutospacing="0"/>
        <w:ind w:left="284"/>
        <w:jc w:val="both"/>
        <w:rPr>
          <w:rFonts w:ascii="Open Sans" w:hAnsi="Open Sans" w:cs="Open Sans"/>
          <w:sz w:val="22"/>
          <w:szCs w:val="22"/>
          <w:u w:val="single"/>
          <w:lang w:val="ro-RO"/>
        </w:rPr>
      </w:pPr>
      <w:r w:rsidRPr="00834991">
        <w:rPr>
          <w:rFonts w:ascii="Open Sans" w:hAnsi="Open Sans" w:cs="Open Sans"/>
          <w:sz w:val="22"/>
          <w:szCs w:val="22"/>
          <w:u w:val="single"/>
          <w:lang w:val="ro-RO"/>
        </w:rPr>
        <w:t>4.2. Analiza ofertelor şi elaborarea notei justificative de atribuire</w:t>
      </w:r>
    </w:p>
    <w:p w14:paraId="1DC3F6B5" w14:textId="2BC1008A" w:rsidR="00653584" w:rsidRPr="00834991" w:rsidRDefault="00CD27C2" w:rsidP="000835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1.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compară ofertele primite prin raportarea lor la toate cerinţele publicate şi alege oferta care îndeplineşte cerinţele tehnice şi prezintă avantaje faţă de acestea, la un raport calitate/preţ competitiv.</w:t>
      </w:r>
    </w:p>
    <w:p w14:paraId="01DC41F1" w14:textId="7C5EFF90" w:rsidR="00653584" w:rsidRPr="00834991" w:rsidRDefault="00CD27C2"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 În situaţia în care nu se depune nicio ofertă, procedura se poate relua cu respectarea tuturor prevederilor procedurale aferente.</w:t>
      </w:r>
    </w:p>
    <w:p w14:paraId="79DA7943" w14:textId="6E3D6279" w:rsidR="00653584" w:rsidRPr="00834991" w:rsidRDefault="00CD27C2"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3. Dacă se depun numai oferte care nu respectă prevederile de la subsecţiunea "Specificaţii", procedura se va anula. În acest caz, procedura se poate relua</w:t>
      </w:r>
      <w:r w:rsidR="586FD846" w:rsidRPr="00834991">
        <w:rPr>
          <w:rFonts w:ascii="Open Sans" w:hAnsi="Open Sans" w:cs="Open Sans"/>
          <w:sz w:val="22"/>
          <w:szCs w:val="22"/>
          <w:lang w:val="ro-RO"/>
        </w:rPr>
        <w:t>,</w:t>
      </w:r>
      <w:r w:rsidRPr="00834991">
        <w:rPr>
          <w:rFonts w:ascii="Open Sans" w:hAnsi="Open Sans" w:cs="Open Sans"/>
          <w:sz w:val="22"/>
          <w:szCs w:val="22"/>
          <w:lang w:val="ro-RO"/>
        </w:rPr>
        <w:t xml:space="preserve"> cu respectarea tuturor prevederilor aferente procedurii </w:t>
      </w:r>
      <w:r w:rsidR="00B13A9E" w:rsidRPr="00834991">
        <w:rPr>
          <w:rFonts w:ascii="Open Sans" w:hAnsi="Open Sans" w:cs="Open Sans"/>
          <w:sz w:val="22"/>
          <w:szCs w:val="22"/>
          <w:lang w:val="ro-RO"/>
        </w:rPr>
        <w:t>pentru achiziții peste prag</w:t>
      </w:r>
      <w:r w:rsidRPr="00834991">
        <w:rPr>
          <w:rFonts w:ascii="Open Sans" w:hAnsi="Open Sans" w:cs="Open Sans"/>
          <w:sz w:val="22"/>
          <w:szCs w:val="22"/>
          <w:lang w:val="ro-RO"/>
        </w:rPr>
        <w:t>.</w:t>
      </w:r>
    </w:p>
    <w:p w14:paraId="4D6B00D1" w14:textId="47B9AFB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4. Dacă se primeşte o singură ofertă,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poate să o analizeze şi să procedeze la atribuirea contractului de achiziţie dacă oferta respectă specificaţiile tehnice elaborate.</w:t>
      </w:r>
    </w:p>
    <w:p w14:paraId="1D0B3E0D" w14:textId="5CC84ABF" w:rsidR="00653584" w:rsidRPr="00834991" w:rsidRDefault="00CD27C2"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5. Prezenta procedură nu stabileşte obligativitatea constituirii unei comisii de evaluare. Prin urmare, o persoană </w:t>
      </w:r>
      <w:r w:rsidR="0B96C46B" w:rsidRPr="00834991">
        <w:rPr>
          <w:rFonts w:ascii="Open Sans" w:hAnsi="Open Sans" w:cs="Open Sans"/>
          <w:sz w:val="22"/>
          <w:szCs w:val="22"/>
          <w:lang w:val="ro-RO"/>
        </w:rPr>
        <w:t>poate</w:t>
      </w:r>
      <w:r w:rsidRPr="00834991">
        <w:rPr>
          <w:rFonts w:ascii="Open Sans" w:hAnsi="Open Sans" w:cs="Open Sans"/>
          <w:sz w:val="22"/>
          <w:szCs w:val="22"/>
          <w:lang w:val="ro-RO"/>
        </w:rPr>
        <w:t xml:space="preserve"> întocmi şi semna nota justificativă de atribuire.</w:t>
      </w:r>
      <w:r w:rsidR="6F7FE397" w:rsidRPr="00834991">
        <w:rPr>
          <w:rFonts w:ascii="Open Sans" w:hAnsi="Open Sans" w:cs="Open Sans"/>
          <w:sz w:val="22"/>
          <w:szCs w:val="22"/>
          <w:lang w:val="ro-RO"/>
        </w:rPr>
        <w:t xml:space="preserve"> Aceasta persoan</w:t>
      </w:r>
      <w:r w:rsidR="0F9FA066" w:rsidRPr="00834991">
        <w:rPr>
          <w:rFonts w:ascii="Open Sans" w:hAnsi="Open Sans" w:cs="Open Sans"/>
          <w:sz w:val="22"/>
          <w:szCs w:val="22"/>
          <w:lang w:val="ro-RO"/>
        </w:rPr>
        <w:t>ă</w:t>
      </w:r>
      <w:r w:rsidR="6F7FE397" w:rsidRPr="00834991">
        <w:rPr>
          <w:rFonts w:ascii="Open Sans" w:hAnsi="Open Sans" w:cs="Open Sans"/>
          <w:sz w:val="22"/>
          <w:szCs w:val="22"/>
          <w:lang w:val="ro-RO"/>
        </w:rPr>
        <w:t xml:space="preserve"> / membrii comisiei de evaluare vor semna o declara</w:t>
      </w:r>
      <w:r w:rsidR="600F5B47" w:rsidRPr="00834991">
        <w:rPr>
          <w:rFonts w:ascii="Open Sans" w:hAnsi="Open Sans" w:cs="Open Sans"/>
          <w:sz w:val="22"/>
          <w:szCs w:val="22"/>
          <w:lang w:val="ro-RO"/>
        </w:rPr>
        <w:t>ț</w:t>
      </w:r>
      <w:r w:rsidR="6F7FE397" w:rsidRPr="00834991">
        <w:rPr>
          <w:rFonts w:ascii="Open Sans" w:hAnsi="Open Sans" w:cs="Open Sans"/>
          <w:sz w:val="22"/>
          <w:szCs w:val="22"/>
          <w:lang w:val="ro-RO"/>
        </w:rPr>
        <w:t xml:space="preserve">ie </w:t>
      </w:r>
      <w:r w:rsidR="515D0ED4" w:rsidRPr="00834991">
        <w:rPr>
          <w:rFonts w:ascii="Open Sans" w:hAnsi="Open Sans" w:cs="Open Sans"/>
          <w:sz w:val="22"/>
          <w:szCs w:val="22"/>
          <w:lang w:val="ro-RO"/>
        </w:rPr>
        <w:t xml:space="preserve">privind inexistența conflictului de interese și </w:t>
      </w:r>
      <w:r w:rsidR="6F7FE397" w:rsidRPr="00834991">
        <w:rPr>
          <w:rFonts w:ascii="Open Sans" w:hAnsi="Open Sans" w:cs="Open Sans"/>
          <w:sz w:val="22"/>
          <w:szCs w:val="22"/>
          <w:lang w:val="ro-RO"/>
        </w:rPr>
        <w:t>de confiden</w:t>
      </w:r>
      <w:r w:rsidR="3B22B18B" w:rsidRPr="00834991">
        <w:rPr>
          <w:rFonts w:ascii="Open Sans" w:hAnsi="Open Sans" w:cs="Open Sans"/>
          <w:sz w:val="22"/>
          <w:szCs w:val="22"/>
          <w:lang w:val="ro-RO"/>
        </w:rPr>
        <w:t>ț</w:t>
      </w:r>
      <w:r w:rsidR="6F7FE397" w:rsidRPr="00834991">
        <w:rPr>
          <w:rFonts w:ascii="Open Sans" w:hAnsi="Open Sans" w:cs="Open Sans"/>
          <w:sz w:val="22"/>
          <w:szCs w:val="22"/>
          <w:lang w:val="ro-RO"/>
        </w:rPr>
        <w:t xml:space="preserve">ialitate </w:t>
      </w:r>
      <w:r w:rsidR="3AAAAE99" w:rsidRPr="00834991">
        <w:rPr>
          <w:rFonts w:ascii="Open Sans" w:hAnsi="Open Sans" w:cs="Open Sans"/>
          <w:sz w:val="22"/>
          <w:szCs w:val="22"/>
          <w:lang w:val="ro-RO"/>
        </w:rPr>
        <w:t>ș</w:t>
      </w:r>
      <w:r w:rsidR="6F7FE397" w:rsidRPr="00834991">
        <w:rPr>
          <w:rFonts w:ascii="Open Sans" w:hAnsi="Open Sans" w:cs="Open Sans"/>
          <w:sz w:val="22"/>
          <w:szCs w:val="22"/>
          <w:lang w:val="ro-RO"/>
        </w:rPr>
        <w:t>i impar</w:t>
      </w:r>
      <w:r w:rsidR="227A032D" w:rsidRPr="00834991">
        <w:rPr>
          <w:rFonts w:ascii="Open Sans" w:hAnsi="Open Sans" w:cs="Open Sans"/>
          <w:sz w:val="22"/>
          <w:szCs w:val="22"/>
          <w:lang w:val="ro-RO"/>
        </w:rPr>
        <w:t>ț</w:t>
      </w:r>
      <w:r w:rsidR="6F7FE397" w:rsidRPr="00834991">
        <w:rPr>
          <w:rFonts w:ascii="Open Sans" w:hAnsi="Open Sans" w:cs="Open Sans"/>
          <w:sz w:val="22"/>
          <w:szCs w:val="22"/>
          <w:lang w:val="ro-RO"/>
        </w:rPr>
        <w:t>ialitate</w:t>
      </w:r>
      <w:r w:rsidR="00D234F7" w:rsidRPr="00834991">
        <w:rPr>
          <w:rFonts w:ascii="Open Sans" w:hAnsi="Open Sans" w:cs="Open Sans"/>
          <w:sz w:val="22"/>
          <w:szCs w:val="22"/>
          <w:lang w:val="ro-RO"/>
        </w:rPr>
        <w:t xml:space="preserve"> (cf. </w:t>
      </w:r>
      <w:r w:rsidR="0027054C">
        <w:rPr>
          <w:rFonts w:ascii="Open Sans" w:hAnsi="Open Sans" w:cs="Open Sans"/>
          <w:sz w:val="22"/>
          <w:szCs w:val="22"/>
          <w:lang w:val="ro-RO"/>
        </w:rPr>
        <w:t>anexa model</w:t>
      </w:r>
      <w:r w:rsidR="00D234F7" w:rsidRPr="00834991">
        <w:rPr>
          <w:rFonts w:ascii="Open Sans" w:hAnsi="Open Sans" w:cs="Open Sans"/>
          <w:sz w:val="22"/>
          <w:szCs w:val="22"/>
          <w:lang w:val="ro-RO"/>
        </w:rPr>
        <w:t>)</w:t>
      </w:r>
      <w:r w:rsidR="6F7FE397" w:rsidRPr="00834991">
        <w:rPr>
          <w:rFonts w:ascii="Open Sans" w:hAnsi="Open Sans" w:cs="Open Sans"/>
          <w:sz w:val="22"/>
          <w:szCs w:val="22"/>
          <w:lang w:val="ro-RO"/>
        </w:rPr>
        <w:t>.</w:t>
      </w:r>
    </w:p>
    <w:p w14:paraId="53583052" w14:textId="6BE52768"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6.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nu evaluează ofertele care sunt transmise după data de expirare (data şi ora din anunţ). Acestea se vor returna nedeschise.</w:t>
      </w:r>
    </w:p>
    <w:p w14:paraId="7871218F" w14:textId="28BCE0EE" w:rsidR="00B13A9E" w:rsidRPr="00834991" w:rsidRDefault="00CD27C2" w:rsidP="003304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7.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are obligaţia de a pune la dispoziţia reprezentanţilor </w:t>
      </w:r>
      <w:r w:rsidR="55D2BAED" w:rsidRPr="00834991">
        <w:rPr>
          <w:rFonts w:ascii="Open Sans" w:hAnsi="Open Sans" w:cs="Open Sans"/>
          <w:sz w:val="22"/>
          <w:szCs w:val="22"/>
          <w:lang w:val="ro-RO"/>
        </w:rPr>
        <w:t>AM/controlorilor</w:t>
      </w:r>
      <w:r w:rsidRPr="00834991">
        <w:rPr>
          <w:rFonts w:ascii="Open Sans" w:hAnsi="Open Sans" w:cs="Open Sans"/>
          <w:sz w:val="22"/>
          <w:szCs w:val="22"/>
          <w:lang w:val="ro-RO"/>
        </w:rPr>
        <w:t xml:space="preserve">/organismelor cu competenţe în verificarea fondurilor europene, </w:t>
      </w:r>
      <w:r w:rsidR="6727CA10" w:rsidRPr="00834991">
        <w:rPr>
          <w:rFonts w:ascii="Open Sans" w:hAnsi="Open Sans" w:cs="Open Sans"/>
          <w:sz w:val="22"/>
          <w:szCs w:val="22"/>
          <w:lang w:val="ro-RO"/>
        </w:rPr>
        <w:t>ata</w:t>
      </w:r>
      <w:r w:rsidR="638ABE05" w:rsidRPr="00834991">
        <w:rPr>
          <w:rFonts w:ascii="Open Sans" w:hAnsi="Open Sans" w:cs="Open Sans"/>
          <w:sz w:val="22"/>
          <w:szCs w:val="22"/>
          <w:lang w:val="ro-RO"/>
        </w:rPr>
        <w:t>șâ</w:t>
      </w:r>
      <w:r w:rsidR="6727CA10" w:rsidRPr="00834991">
        <w:rPr>
          <w:rFonts w:ascii="Open Sans" w:hAnsi="Open Sans" w:cs="Open Sans"/>
          <w:sz w:val="22"/>
          <w:szCs w:val="22"/>
          <w:lang w:val="ro-RO"/>
        </w:rPr>
        <w:t xml:space="preserve">nd </w:t>
      </w:r>
      <w:r w:rsidR="12E92486" w:rsidRPr="00834991">
        <w:rPr>
          <w:rFonts w:ascii="Open Sans" w:hAnsi="Open Sans" w:cs="Open Sans"/>
          <w:sz w:val="22"/>
          <w:szCs w:val="22"/>
          <w:lang w:val="ro-RO"/>
        </w:rPr>
        <w:t>î</w:t>
      </w:r>
      <w:r w:rsidR="6727CA10" w:rsidRPr="00834991">
        <w:rPr>
          <w:rFonts w:ascii="Open Sans" w:hAnsi="Open Sans" w:cs="Open Sans"/>
          <w:sz w:val="22"/>
          <w:szCs w:val="22"/>
          <w:lang w:val="ro-RO"/>
        </w:rPr>
        <w:t>n</w:t>
      </w:r>
      <w:r w:rsidR="00387568">
        <w:rPr>
          <w:rFonts w:ascii="Open Sans" w:hAnsi="Open Sans" w:cs="Open Sans"/>
          <w:sz w:val="22"/>
          <w:szCs w:val="22"/>
          <w:lang w:val="ro-RO"/>
        </w:rPr>
        <w:t xml:space="preserve"> Jems</w:t>
      </w:r>
      <w:r w:rsidR="0027054C">
        <w:rPr>
          <w:rFonts w:ascii="Open Sans" w:hAnsi="Open Sans" w:cs="Open Sans"/>
          <w:sz w:val="22"/>
          <w:szCs w:val="22"/>
          <w:lang w:val="ro-RO"/>
        </w:rPr>
        <w:t>,</w:t>
      </w:r>
      <w:r w:rsidR="6727CA10" w:rsidRPr="00834991">
        <w:rPr>
          <w:rFonts w:ascii="Open Sans" w:hAnsi="Open Sans" w:cs="Open Sans"/>
          <w:sz w:val="22"/>
          <w:szCs w:val="22"/>
          <w:lang w:val="ro-RO"/>
        </w:rPr>
        <w:t xml:space="preserve"> </w:t>
      </w:r>
      <w:r w:rsidR="70B5ABD1" w:rsidRPr="00834991">
        <w:rPr>
          <w:rFonts w:ascii="Open Sans" w:hAnsi="Open Sans" w:cs="Open Sans"/>
          <w:sz w:val="22"/>
          <w:szCs w:val="22"/>
          <w:lang w:val="ro-RO"/>
        </w:rPr>
        <w:t>ș</w:t>
      </w:r>
      <w:r w:rsidR="6727CA10" w:rsidRPr="00834991">
        <w:rPr>
          <w:rFonts w:ascii="Open Sans" w:hAnsi="Open Sans" w:cs="Open Sans"/>
          <w:sz w:val="22"/>
          <w:szCs w:val="22"/>
          <w:lang w:val="ro-RO"/>
        </w:rPr>
        <w:t>i dac</w:t>
      </w:r>
      <w:r w:rsidR="5C7CD7ED" w:rsidRPr="00834991">
        <w:rPr>
          <w:rFonts w:ascii="Open Sans" w:hAnsi="Open Sans" w:cs="Open Sans"/>
          <w:sz w:val="22"/>
          <w:szCs w:val="22"/>
          <w:lang w:val="ro-RO"/>
        </w:rPr>
        <w:t>ă</w:t>
      </w:r>
      <w:r w:rsidR="6727CA10" w:rsidRPr="00834991">
        <w:rPr>
          <w:rFonts w:ascii="Open Sans" w:hAnsi="Open Sans" w:cs="Open Sans"/>
          <w:sz w:val="22"/>
          <w:szCs w:val="22"/>
          <w:lang w:val="ro-RO"/>
        </w:rPr>
        <w:t xml:space="preserve"> este cazul</w:t>
      </w:r>
      <w:r w:rsidR="4EC823FD" w:rsidRPr="00834991">
        <w:rPr>
          <w:rFonts w:ascii="Open Sans" w:hAnsi="Open Sans" w:cs="Open Sans"/>
          <w:sz w:val="22"/>
          <w:szCs w:val="22"/>
          <w:lang w:val="ro-RO"/>
        </w:rPr>
        <w:t>,</w:t>
      </w:r>
      <w:r w:rsidR="6727CA10" w:rsidRPr="00834991">
        <w:rPr>
          <w:rFonts w:ascii="Open Sans" w:hAnsi="Open Sans" w:cs="Open Sans"/>
          <w:sz w:val="22"/>
          <w:szCs w:val="22"/>
          <w:lang w:val="ro-RO"/>
        </w:rPr>
        <w:t xml:space="preserve"> </w:t>
      </w:r>
      <w:r w:rsidRPr="00834991">
        <w:rPr>
          <w:rFonts w:ascii="Open Sans" w:hAnsi="Open Sans" w:cs="Open Sans"/>
          <w:sz w:val="22"/>
          <w:szCs w:val="22"/>
          <w:lang w:val="ro-RO"/>
        </w:rPr>
        <w:t>cu prilejul vizitelor la faţa locului</w:t>
      </w:r>
      <w:r w:rsidR="00D234F7" w:rsidRPr="00834991">
        <w:rPr>
          <w:rFonts w:ascii="Open Sans" w:hAnsi="Open Sans" w:cs="Open Sans"/>
          <w:sz w:val="22"/>
          <w:szCs w:val="22"/>
          <w:lang w:val="ro-RO"/>
        </w:rPr>
        <w:t>/online</w:t>
      </w:r>
      <w:r w:rsidRPr="00834991">
        <w:rPr>
          <w:rFonts w:ascii="Open Sans" w:hAnsi="Open Sans" w:cs="Open Sans"/>
          <w:sz w:val="22"/>
          <w:szCs w:val="22"/>
          <w:lang w:val="ro-RO"/>
        </w:rPr>
        <w:t xml:space="preserve">, documentele justificative ale </w:t>
      </w:r>
      <w:r w:rsidR="00B13A9E" w:rsidRPr="00834991">
        <w:rPr>
          <w:rFonts w:ascii="Open Sans" w:hAnsi="Open Sans" w:cs="Open Sans"/>
          <w:sz w:val="22"/>
          <w:szCs w:val="22"/>
          <w:lang w:val="ro-RO"/>
        </w:rPr>
        <w:t xml:space="preserve">prezentei </w:t>
      </w:r>
      <w:r w:rsidRPr="00834991">
        <w:rPr>
          <w:rFonts w:ascii="Open Sans" w:hAnsi="Open Sans" w:cs="Open Sans"/>
          <w:sz w:val="22"/>
          <w:szCs w:val="22"/>
          <w:lang w:val="ro-RO"/>
        </w:rPr>
        <w:t>proceduri</w:t>
      </w:r>
      <w:r w:rsidR="0ACCFAA2" w:rsidRPr="00834991">
        <w:rPr>
          <w:rFonts w:ascii="Open Sans" w:hAnsi="Open Sans" w:cs="Open Sans"/>
          <w:sz w:val="22"/>
          <w:szCs w:val="22"/>
          <w:lang w:val="ro-RO"/>
        </w:rPr>
        <w:t>.</w:t>
      </w:r>
      <w:r w:rsidRPr="00834991">
        <w:rPr>
          <w:rFonts w:ascii="Open Sans" w:hAnsi="Open Sans" w:cs="Open Sans"/>
          <w:sz w:val="22"/>
          <w:szCs w:val="22"/>
          <w:lang w:val="ro-RO"/>
        </w:rPr>
        <w:t> </w:t>
      </w:r>
      <w:r w:rsidRPr="00834991">
        <w:rPr>
          <w:rFonts w:ascii="Open Sans" w:hAnsi="Open Sans" w:cs="Open Sans"/>
          <w:sz w:val="22"/>
          <w:szCs w:val="22"/>
          <w:lang w:val="ro-RO"/>
        </w:rPr>
        <w:t> </w:t>
      </w:r>
    </w:p>
    <w:p w14:paraId="39A5B4E1" w14:textId="557EB1A0" w:rsidR="00653584" w:rsidRPr="00834991" w:rsidRDefault="00CD27C2" w:rsidP="0072532B">
      <w:pPr>
        <w:pStyle w:val="NormalWeb"/>
        <w:spacing w:before="0" w:beforeAutospacing="0" w:after="0" w:afterAutospacing="0"/>
        <w:ind w:firstLine="426"/>
        <w:jc w:val="both"/>
        <w:rPr>
          <w:rFonts w:ascii="Open Sans" w:eastAsia="Times New Roman" w:hAnsi="Open Sans" w:cs="Open Sans"/>
          <w:sz w:val="22"/>
          <w:szCs w:val="22"/>
          <w:lang w:val="ro-RO"/>
        </w:rPr>
      </w:pPr>
      <w:r w:rsidRPr="00834991">
        <w:rPr>
          <w:rFonts w:ascii="Open Sans" w:hAnsi="Open Sans" w:cs="Open Sans"/>
          <w:sz w:val="22"/>
          <w:szCs w:val="22"/>
          <w:lang w:val="ro-RO"/>
        </w:rPr>
        <w:t xml:space="preserve">8. Pentru a asigura o justificare corespunzătoare în alegerea ofertei pentru contractare, se elaborează nota justificativă de atribuire, pornind de la cerinţele solicitate, detaliind avantajele şi dezavantajele ofertelor primite în raport cu fiecare specificaţie în parte/celelalte oferte. De asemenea, având în vedere că scopul procedurii este realizarea optimă a obiectivelor proiectului finanţat, este recomandat ca în notă să se detalieze modalitatea în care avantajul din ofertă contribuie la realizarea proiectului.  </w:t>
      </w:r>
    </w:p>
    <w:p w14:paraId="2518DCC7" w14:textId="37941343"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9. În analiza ofertelor se ţine cont de toate cerinţele pe care le-a menţionat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în documentele achiziţiei. Dacă în conţinutul documentului "Specificaţii tehnice" sunt menţionate şi cerinţe care ţin de verificarea capacităţii tehnice/financiare a operatorilor economici sau alt tip de cerinţe, acestea vor face obiectul analizei.</w:t>
      </w:r>
    </w:p>
    <w:p w14:paraId="45DA96B5"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10. În analiza ofertelor nu se pot adăuga alte cerinţe şi nu se poate renunţa la specificaţiile deja enunţate în anunţ/specificaţii/clarificări/modificări.</w:t>
      </w:r>
    </w:p>
    <w:p w14:paraId="6DD4847A" w14:textId="784A6F1E" w:rsidR="0065358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11. Dacă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identifică erori de fond în documentele achiziţiei care nu au fost clarificate înainte de data de expirare a anunţului, procedura nu se va încheia cu atribuirea contractului. În acest caz procedura se va anula, se vor corecta erorile identificate şi se va relua procedura.</w:t>
      </w:r>
    </w:p>
    <w:p w14:paraId="0CEB3DA6"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u w:val="single"/>
          <w:lang w:val="ro-RO"/>
        </w:rPr>
        <w:t>4.3. Contestarea</w:t>
      </w:r>
    </w:p>
    <w:p w14:paraId="37A8D090" w14:textId="5870E684" w:rsidR="00653584" w:rsidRPr="00834991" w:rsidRDefault="00CD27C2" w:rsidP="123C6083">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În situaţia în care un operator economic este nemulţumit de modul în care s-a desfăşurat procedura </w:t>
      </w:r>
      <w:r w:rsidR="00B13A9E" w:rsidRPr="00834991">
        <w:rPr>
          <w:rFonts w:ascii="Open Sans" w:hAnsi="Open Sans" w:cs="Open Sans"/>
          <w:sz w:val="22"/>
          <w:szCs w:val="22"/>
          <w:lang w:val="ro-RO"/>
        </w:rPr>
        <w:t>de achiziție</w:t>
      </w:r>
      <w:r w:rsidRPr="00834991">
        <w:rPr>
          <w:rFonts w:ascii="Open Sans" w:hAnsi="Open Sans" w:cs="Open Sans"/>
          <w:sz w:val="22"/>
          <w:szCs w:val="22"/>
          <w:lang w:val="ro-RO"/>
        </w:rPr>
        <w:t>, acesta se poate adresa instanţelor de judecată competente pentru soluţionarea cauzei.</w:t>
      </w:r>
    </w:p>
    <w:p w14:paraId="3CA25004" w14:textId="1E347B8C" w:rsidR="00653584" w:rsidRPr="00834991" w:rsidRDefault="003304E4" w:rsidP="000835E4">
      <w:pPr>
        <w:pStyle w:val="NormalWeb"/>
        <w:jc w:val="both"/>
        <w:rPr>
          <w:rFonts w:ascii="Open Sans" w:eastAsia="Times New Roman" w:hAnsi="Open Sans" w:cs="Open Sans"/>
          <w:sz w:val="22"/>
          <w:szCs w:val="22"/>
          <w:lang w:val="ro-RO"/>
        </w:rPr>
      </w:pPr>
      <w:r w:rsidRPr="00834991">
        <w:rPr>
          <w:rFonts w:ascii="Open Sans" w:hAnsi="Open Sans" w:cs="Open Sans"/>
          <w:b/>
          <w:bCs/>
          <w:sz w:val="22"/>
          <w:szCs w:val="22"/>
          <w:lang w:val="ro-RO"/>
        </w:rPr>
        <w:t xml:space="preserve">Atenţie!   Consiliul Naţional de Soluţionare a Contestaţiilor nu are competenţe privind soluţionarea contestaţiilor în contextul derulării </w:t>
      </w:r>
      <w:r w:rsidR="00B13A9E" w:rsidRPr="00834991">
        <w:rPr>
          <w:rFonts w:ascii="Open Sans" w:hAnsi="Open Sans" w:cs="Open Sans"/>
          <w:b/>
          <w:bCs/>
          <w:sz w:val="22"/>
          <w:szCs w:val="22"/>
          <w:lang w:val="ro-RO"/>
        </w:rPr>
        <w:t xml:space="preserve">achizițiilor definite </w:t>
      </w:r>
      <w:r w:rsidRPr="00834991">
        <w:rPr>
          <w:rFonts w:ascii="Open Sans" w:hAnsi="Open Sans" w:cs="Open Sans"/>
          <w:b/>
          <w:bCs/>
          <w:sz w:val="22"/>
          <w:szCs w:val="22"/>
          <w:lang w:val="ro-RO"/>
        </w:rPr>
        <w:t>în cadrul prezentei proceduri.</w:t>
      </w:r>
    </w:p>
    <w:p w14:paraId="0EC72356" w14:textId="0BCC5C56" w:rsidR="00653584" w:rsidRPr="00834991" w:rsidRDefault="00CD27C2">
      <w:pPr>
        <w:pStyle w:val="NormalWeb"/>
        <w:spacing w:before="0" w:beforeAutospacing="0" w:after="0" w:afterAutospacing="0"/>
        <w:jc w:val="both"/>
        <w:rPr>
          <w:rStyle w:val="Heading2Char"/>
          <w:rFonts w:ascii="Open Sans" w:hAnsi="Open Sans" w:cs="Open Sans"/>
          <w:b/>
          <w:bCs/>
          <w:color w:val="auto"/>
          <w:sz w:val="24"/>
          <w:szCs w:val="24"/>
          <w:lang w:val="ro-RO"/>
        </w:rPr>
      </w:pPr>
      <w:bookmarkStart w:id="9" w:name="_Toc184811995"/>
      <w:r w:rsidRPr="00834991">
        <w:rPr>
          <w:rStyle w:val="Heading2Char"/>
          <w:rFonts w:ascii="Open Sans" w:hAnsi="Open Sans" w:cs="Open Sans"/>
          <w:b/>
          <w:bCs/>
          <w:color w:val="auto"/>
          <w:sz w:val="24"/>
          <w:szCs w:val="24"/>
          <w:lang w:val="ro-RO"/>
        </w:rPr>
        <w:t>SECŢIUNEA a 5-a</w:t>
      </w:r>
      <w:r w:rsidR="00767C20" w:rsidRPr="00834991">
        <w:rPr>
          <w:rStyle w:val="Heading2Char"/>
          <w:rFonts w:ascii="Open Sans" w:hAnsi="Open Sans" w:cs="Open Sans"/>
          <w:b/>
          <w:bCs/>
          <w:color w:val="auto"/>
          <w:sz w:val="24"/>
          <w:szCs w:val="24"/>
          <w:lang w:val="ro-RO"/>
        </w:rPr>
        <w:t xml:space="preserve"> - </w:t>
      </w:r>
      <w:r w:rsidRPr="00834991">
        <w:rPr>
          <w:rStyle w:val="Heading2Char"/>
          <w:rFonts w:ascii="Open Sans" w:hAnsi="Open Sans" w:cs="Open Sans"/>
          <w:b/>
          <w:bCs/>
          <w:color w:val="auto"/>
          <w:sz w:val="24"/>
          <w:szCs w:val="24"/>
          <w:lang w:val="ro-RO"/>
        </w:rPr>
        <w:t>Contractul de achiziţie</w:t>
      </w:r>
      <w:bookmarkEnd w:id="9"/>
    </w:p>
    <w:p w14:paraId="08A34794" w14:textId="77777777" w:rsidR="00653584" w:rsidRPr="00834991" w:rsidRDefault="00CD27C2" w:rsidP="000835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lang w:val="ro-RO"/>
        </w:rPr>
        <w:t> </w:t>
      </w:r>
      <w:r w:rsidRPr="00834991">
        <w:rPr>
          <w:rFonts w:ascii="Open Sans" w:hAnsi="Open Sans" w:cs="Open Sans"/>
          <w:lang w:val="ro-RO"/>
        </w:rPr>
        <w:t> </w:t>
      </w:r>
      <w:r w:rsidRPr="00834991">
        <w:rPr>
          <w:rFonts w:ascii="Open Sans" w:hAnsi="Open Sans" w:cs="Open Sans"/>
          <w:sz w:val="22"/>
          <w:szCs w:val="22"/>
          <w:u w:val="single"/>
          <w:lang w:val="ro-RO"/>
        </w:rPr>
        <w:t>5.1. Semnarea contractului de achiziţie</w:t>
      </w:r>
    </w:p>
    <w:p w14:paraId="7AFDA81E" w14:textId="77777777" w:rsidR="00653584" w:rsidRPr="00834991" w:rsidRDefault="00CD27C2" w:rsidP="123C6083">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 Contractul se va semna numai cu operatorul economic desemnat prin nota justificativă de atribuire.</w:t>
      </w:r>
    </w:p>
    <w:p w14:paraId="70277F4E" w14:textId="77777777" w:rsidR="00653584" w:rsidRPr="00834991" w:rsidRDefault="00CD27C2" w:rsidP="000835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 Contractul trebuie să menţioneze datele de identificare ale celor două părţi semnatare, obiectul, valoarea şi durata contractului. Vor fi prevăzute în mod expres condiţii referitoare la prestarea serviciilor, execuţia lucrărilor, livrare, montaj, punere în funcţiune, recepţie, standarde de calitate, service, garanţii, posibilitatea de acordare a unui avans etc., după caz, conform prevederilor legale aplicabile.</w:t>
      </w:r>
    </w:p>
    <w:p w14:paraId="364BCFA5" w14:textId="77777777" w:rsidR="00653584" w:rsidRPr="00834991" w:rsidRDefault="00CD27C2" w:rsidP="000835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3. Specificaţiile tehnice, clarificările şi oferta aleasă vor fi parte integrantă din contract, sub formă de anexe.</w:t>
      </w:r>
    </w:p>
    <w:p w14:paraId="1569AD9C" w14:textId="77777777" w:rsidR="00653584" w:rsidRPr="00834991" w:rsidRDefault="00CD27C2" w:rsidP="000835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4. Nu se pot modifica prin contract specificaţiile tehnice şi oferta câştigătoare care au stat la baza atribuirii contractului.</w:t>
      </w:r>
    </w:p>
    <w:p w14:paraId="1235E3C9" w14:textId="77777777" w:rsidR="00653584" w:rsidRPr="00834991" w:rsidRDefault="00CD27C2" w:rsidP="000835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5. Orice contract semnat în condiţiile legislaţiei naţionale în vigoare începe să producă efecte din momentul semnării acestuia de către ambele părţi. Anterior semnării contractului nu pot fi furnizate produse/prestate servicii/executate lucrări şi nu pot fi efectuate plăţi. Acelaşi principiu este aplicabil şi actelor adiţionale la aceste contracte.</w:t>
      </w:r>
    </w:p>
    <w:p w14:paraId="1961483A" w14:textId="77777777" w:rsidR="000835E4" w:rsidRPr="00834991" w:rsidRDefault="000835E4" w:rsidP="000835E4">
      <w:pPr>
        <w:pStyle w:val="NormalWeb"/>
        <w:spacing w:before="0" w:beforeAutospacing="0" w:after="0" w:afterAutospacing="0"/>
        <w:jc w:val="both"/>
        <w:rPr>
          <w:rFonts w:ascii="Open Sans" w:hAnsi="Open Sans" w:cs="Open Sans"/>
          <w:sz w:val="22"/>
          <w:szCs w:val="22"/>
          <w:lang w:val="ro-RO"/>
        </w:rPr>
      </w:pPr>
    </w:p>
    <w:p w14:paraId="38704CA5"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u w:val="single"/>
          <w:lang w:val="ro-RO"/>
        </w:rPr>
        <w:t>5.2. Implementarea contractului de achiziţie</w:t>
      </w:r>
    </w:p>
    <w:p w14:paraId="4739196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 Se vor respecta întocmai clauzele contractuale asumate.</w:t>
      </w:r>
    </w:p>
    <w:p w14:paraId="748F63FE" w14:textId="7DA07E4C" w:rsidR="00653584" w:rsidRPr="00834991" w:rsidRDefault="00CD27C2" w:rsidP="6FED367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2. Orice modificare a contractului  </w:t>
      </w:r>
      <w:r w:rsidR="533E7C36" w:rsidRPr="00834991">
        <w:rPr>
          <w:rFonts w:ascii="Open Sans" w:hAnsi="Open Sans" w:cs="Open Sans"/>
          <w:sz w:val="22"/>
          <w:szCs w:val="22"/>
          <w:lang w:val="ro-RO"/>
        </w:rPr>
        <w:t xml:space="preserve">se va face numai </w:t>
      </w:r>
      <w:r w:rsidRPr="00834991">
        <w:rPr>
          <w:rFonts w:ascii="Open Sans" w:hAnsi="Open Sans" w:cs="Open Sans"/>
          <w:sz w:val="22"/>
          <w:szCs w:val="22"/>
          <w:lang w:val="ro-RO"/>
        </w:rPr>
        <w:t>printr-un act adiţional.</w:t>
      </w:r>
    </w:p>
    <w:p w14:paraId="3BFC0B99"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3. Scopul actului adiţional trebuie să fie strâns legat de obiectul contractului iniţial.</w:t>
      </w:r>
    </w:p>
    <w:p w14:paraId="4F55BE07" w14:textId="7BD9B347" w:rsidR="00653584" w:rsidRPr="00834991" w:rsidRDefault="00CD27C2" w:rsidP="631A3516">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4. Modificări la contract se pot face doar în perioada de</w:t>
      </w:r>
      <w:r w:rsidR="0072532B" w:rsidRPr="00834991">
        <w:rPr>
          <w:rFonts w:ascii="Open Sans" w:hAnsi="Open Sans" w:cs="Open Sans"/>
          <w:sz w:val="22"/>
          <w:szCs w:val="22"/>
          <w:lang w:val="ro-RO"/>
        </w:rPr>
        <w:t xml:space="preserve"> </w:t>
      </w:r>
      <w:r w:rsidR="7595025B" w:rsidRPr="00834991">
        <w:rPr>
          <w:rFonts w:ascii="Open Sans" w:hAnsi="Open Sans" w:cs="Open Sans"/>
          <w:sz w:val="22"/>
          <w:szCs w:val="22"/>
          <w:lang w:val="ro-RO"/>
        </w:rPr>
        <w:t>valabilitate</w:t>
      </w:r>
      <w:r w:rsidRPr="00834991">
        <w:rPr>
          <w:rFonts w:ascii="Open Sans" w:hAnsi="Open Sans" w:cs="Open Sans"/>
          <w:sz w:val="22"/>
          <w:szCs w:val="22"/>
          <w:lang w:val="ro-RO"/>
        </w:rPr>
        <w:t xml:space="preserve"> a contractului.</w:t>
      </w:r>
    </w:p>
    <w:p w14:paraId="2767FD64" w14:textId="32799E59"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5. Specificaţiile tehnice/Oferta, care au/a stat la baza semnării contractului de finanţare, se pot/poate modifica în cazul produselor, dacă ceea ce s-a ofertat nu se mai comercializează în mod curent pe piaţă (cu prezentarea unei dovezi în acest sens) şi dacă produsele se înlocuiesc cu produse cu caracteristici egale sau superioare din punct de vedere tehnic care nu ridică probleme de compatibilitate, fără modificarea preţului, cu respectarea prevederilor contractului de finanţare.</w:t>
      </w:r>
    </w:p>
    <w:p w14:paraId="5B70BFEA" w14:textId="2872EE7E"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6. Orice modificare ce prelungeşte durata de execuţie a contractului trebuie efectuată astfel încât implementarea să fie realizată înaintea expirării contractului de finanţare în cauză, iar plăţile să fie realizate conform regulilor de eligibilitate stabilite prin contractul de finanţare. În cazul în care durata de execuţie a constituit un avantaj decisiv în alegerea ofertei câştigătoare, este permisă prelungirea duratei de execuţie dacă nu este afectat avantajul ofertantului câştigător faţă de următorul clasat. Dacă este afectat acest avantaj, </w:t>
      </w:r>
      <w:r w:rsidR="003304E4" w:rsidRPr="00834991">
        <w:rPr>
          <w:rFonts w:ascii="Open Sans" w:hAnsi="Open Sans" w:cs="Open Sans"/>
          <w:sz w:val="22"/>
          <w:szCs w:val="22"/>
          <w:lang w:val="ro-RO"/>
        </w:rPr>
        <w:t>partene</w:t>
      </w:r>
      <w:r w:rsidRPr="00834991">
        <w:rPr>
          <w:rFonts w:ascii="Open Sans" w:hAnsi="Open Sans" w:cs="Open Sans"/>
          <w:sz w:val="22"/>
          <w:szCs w:val="22"/>
          <w:lang w:val="ro-RO"/>
        </w:rPr>
        <w:t>rul îşi asumă aplicarea principiului proporţionalităţii de la cap. 6.</w:t>
      </w:r>
    </w:p>
    <w:p w14:paraId="0F7F6501" w14:textId="3D03CB4C"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7. Aplicarea unei clauze contractuale de revizuire clare, precise şi fără echivoc, care a fost menţionată de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în documentele achiziţiei, nu constituie o modificare contractuală.</w:t>
      </w:r>
    </w:p>
    <w:p w14:paraId="2552878B" w14:textId="2F900D53"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8.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nu are dreptul de a efectua una sau mai multe modificări succesive ale contractului de </w:t>
      </w:r>
      <w:r w:rsidR="00A16F39" w:rsidRPr="00834991">
        <w:rPr>
          <w:rFonts w:ascii="Open Sans" w:hAnsi="Open Sans" w:cs="Open Sans"/>
          <w:sz w:val="22"/>
          <w:szCs w:val="22"/>
          <w:lang w:val="ro-RO"/>
        </w:rPr>
        <w:t>achiziție</w:t>
      </w:r>
      <w:r w:rsidRPr="00834991">
        <w:rPr>
          <w:rFonts w:ascii="Open Sans" w:hAnsi="Open Sans" w:cs="Open Sans"/>
          <w:sz w:val="22"/>
          <w:szCs w:val="22"/>
          <w:lang w:val="ro-RO"/>
        </w:rPr>
        <w:t xml:space="preserve"> care cumulate au ca efect:</w:t>
      </w:r>
    </w:p>
    <w:p w14:paraId="6A26B177" w14:textId="34F07297" w:rsidR="00653584" w:rsidRPr="00834991" w:rsidRDefault="00CD27C2" w:rsidP="693ABB2D">
      <w:pPr>
        <w:pStyle w:val="NormalWeb"/>
        <w:spacing w:before="0" w:beforeAutospacing="0" w:after="0" w:afterAutospacing="0"/>
        <w:jc w:val="both"/>
        <w:rPr>
          <w:rFonts w:ascii="Open Sans" w:hAnsi="Open Sans" w:cs="Open Sans"/>
          <w:sz w:val="22"/>
          <w:szCs w:val="22"/>
        </w:rPr>
      </w:pPr>
      <w:r w:rsidRPr="00834991">
        <w:rPr>
          <w:rFonts w:ascii="Open Sans" w:hAnsi="Open Sans" w:cs="Open Sans"/>
          <w:sz w:val="22"/>
          <w:szCs w:val="22"/>
        </w:rPr>
        <w:t> </w:t>
      </w:r>
      <w:r w:rsidRPr="00834991">
        <w:rPr>
          <w:rFonts w:ascii="Open Sans" w:hAnsi="Open Sans" w:cs="Open Sans"/>
          <w:sz w:val="22"/>
          <w:szCs w:val="22"/>
        </w:rPr>
        <w:t> </w:t>
      </w:r>
      <w:r w:rsidRPr="00834991">
        <w:rPr>
          <w:rFonts w:ascii="Open Sans" w:hAnsi="Open Sans" w:cs="Open Sans"/>
          <w:sz w:val="22"/>
          <w:szCs w:val="22"/>
        </w:rPr>
        <w:t xml:space="preserve">- neaplicarea prezentei proceduri (de exemplu: mai multe achiziţii directe cu acelaşi obiect care însumate ca valoare conduceau la obligativitatea aplicării unei proceduri </w:t>
      </w:r>
      <w:r w:rsidR="00B13A9E" w:rsidRPr="00834991">
        <w:rPr>
          <w:rFonts w:ascii="Open Sans" w:hAnsi="Open Sans" w:cs="Open Sans"/>
          <w:sz w:val="22"/>
          <w:szCs w:val="22"/>
        </w:rPr>
        <w:t>pentru achiziții peste prag</w:t>
      </w:r>
      <w:r w:rsidRPr="00834991">
        <w:rPr>
          <w:rFonts w:ascii="Open Sans" w:hAnsi="Open Sans" w:cs="Open Sans"/>
          <w:sz w:val="22"/>
          <w:szCs w:val="22"/>
        </w:rPr>
        <w:t>);</w:t>
      </w:r>
    </w:p>
    <w:p w14:paraId="6973177E" w14:textId="4B754D38"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favorizarea ofertantului câştigător (de exemplu: acordarea unui avans care nu a fost prevăzut de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în documentele achiziţiei);</w:t>
      </w:r>
    </w:p>
    <w:p w14:paraId="7F5920E0" w14:textId="77777777" w:rsidR="0065358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neaplicarea prevederilor din domeniul achiziţiilor publice (de exemplu: prin modificarea/modificările efectuată/efectuate, noua situaţie creată îndeplineşte condiţiile cumulative din lege).</w:t>
      </w:r>
    </w:p>
    <w:p w14:paraId="194F24FE"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9. Este interzisă modificarea contractului dacă aceasta conduce la modificări substanţiale. Sunt considerate modificări substanţiale modificările care:</w:t>
      </w:r>
    </w:p>
    <w:p w14:paraId="0C4AE23E"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schimbă elementele ofertei sau ale achiziţiei, inclusiv ale necesităţilor şi cerinţelor stabilite prin anunţ sau specificaţiile tehnice;</w:t>
      </w:r>
    </w:p>
    <w:p w14:paraId="2FD62051" w14:textId="0768E4C6"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afectează concurenţa existentă ca urmare a aplicării procedurii </w:t>
      </w:r>
      <w:r w:rsidR="00B13A9E" w:rsidRPr="00834991">
        <w:rPr>
          <w:rFonts w:ascii="Open Sans" w:hAnsi="Open Sans" w:cs="Open Sans"/>
          <w:sz w:val="22"/>
          <w:szCs w:val="22"/>
          <w:lang w:val="ro-RO"/>
        </w:rPr>
        <w:t xml:space="preserve">pentru achiziții peste prag </w:t>
      </w:r>
      <w:r w:rsidRPr="00834991">
        <w:rPr>
          <w:rFonts w:ascii="Open Sans" w:hAnsi="Open Sans" w:cs="Open Sans"/>
          <w:sz w:val="22"/>
          <w:szCs w:val="22"/>
          <w:lang w:val="ro-RO"/>
        </w:rPr>
        <w:t>(modificarea introduce condiţii care, dacă ar fi fost incluse în procedura iniţială, ar fi permis acceptarea unei alte oferte decât cea acceptată iniţial sau ar fi atras şi alţi participanţi la procedură);</w:t>
      </w:r>
    </w:p>
    <w:p w14:paraId="15825175" w14:textId="77777777" w:rsidR="000835E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schimbă natura contractului (de exemplu: se modifică obiectul contractului prin creşterea ponderii serviciilor în raport cu produsele, astfel încât devin aplicabile prevederile legii prin îndeplinirea cumulativă a condiţiilor).</w:t>
      </w:r>
    </w:p>
    <w:p w14:paraId="2D2D4EBD"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u w:val="single"/>
          <w:lang w:val="ro-RO"/>
        </w:rPr>
        <w:t>5.3. Ajustarea preţului</w:t>
      </w:r>
    </w:p>
    <w:p w14:paraId="3E327A1C"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 Pe parcursul îndeplinirii contractului de achiziţie, preţul poate fi ajustat numai în următoarele situaţii:</w:t>
      </w:r>
    </w:p>
    <w:p w14:paraId="318348A8"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a) au avut loc modificări legislative, modificări ale normelor tehnice sau au fost emise de către autorităţile publice locale acte administrative care au ca obiect instituirea, modificarea sau renunţarea la anumite taxe/impozite locale, al căror efect se reflectă în creşterea/diminuarea costurilor pe baza cărora s-a fundamentat preţul contractului de achiziţie;</w:t>
      </w:r>
    </w:p>
    <w:p w14:paraId="7298DA37" w14:textId="77777777" w:rsidR="000835E4" w:rsidRPr="00834991" w:rsidRDefault="00CD27C2" w:rsidP="000835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b) pe piaţă au apărut anumite condiţii în urma cărora s-a constatat creşterea/diminuarea indicilor de preţ pentru elemente constitutive ale ofertei, al căror efect se reflectă în creşterea/diminuarea costurilor pe baza cărora s-a fundamentat preţul contractului de achiziţie.</w:t>
      </w:r>
    </w:p>
    <w:p w14:paraId="213AB164" w14:textId="66555488" w:rsidR="00653584" w:rsidRPr="00834991" w:rsidRDefault="00CD27C2" w:rsidP="000835E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2. Posibilitatea de ajustare a preţului trebuie să fie precizată atât în anunţ, cât şi în contractul încheiat, prin clauze speciale în acest sens. </w:t>
      </w:r>
    </w:p>
    <w:p w14:paraId="10377FFD" w14:textId="665367D6"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3.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are obligaţia de a preciza totodată atât în anunţ/specificaţii tehnice, cât şi în contractul încheiat şi modul concret de ajustare a preţului, indicii care vor fi utilizaţi, precum şi sursa informaţiilor cu privire la evoluţia acestora, cum ar fi buletine statistice sau cotaţii ale burselor de mărfuri. Lipsa, modificarea sau completarea respectivelor informaţii/clauze determină inaplicabilitatea prevederilor referitoare la posibilitatea de ajustare a preţului contractului de achiziţie, suplimentarea preţului contractului putând fi asigurată în acest caz din bugetul propriu, fără a depăşi pragurile valorice prevăzute de lege.</w:t>
      </w:r>
    </w:p>
    <w:p w14:paraId="5FC64D91" w14:textId="4499CA72" w:rsidR="00653584" w:rsidRPr="00834991" w:rsidRDefault="632DE758" w:rsidP="56B741A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4B61E978" w:rsidRPr="00834991">
        <w:rPr>
          <w:rFonts w:ascii="Open Sans" w:hAnsi="Open Sans" w:cs="Open Sans"/>
          <w:sz w:val="22"/>
          <w:szCs w:val="22"/>
          <w:lang w:val="ro-RO"/>
        </w:rPr>
        <w:t xml:space="preserve">   </w:t>
      </w:r>
      <w:r w:rsidRPr="00834991">
        <w:rPr>
          <w:rFonts w:ascii="Open Sans" w:hAnsi="Open Sans" w:cs="Open Sans"/>
          <w:sz w:val="22"/>
          <w:szCs w:val="22"/>
          <w:lang w:val="ro-RO"/>
        </w:rPr>
        <w:t>4. În orice situaţie, preţul contractului nu poate fi ajustat decât în măsura strict necesară pentru acoperirea creşterii costurilor pe baza cărora s-a fundamentat preţul contractului.</w:t>
      </w:r>
    </w:p>
    <w:p w14:paraId="559A9801" w14:textId="77777777" w:rsidR="0065358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5. Modul de ajustare a preţului contractului de achiziţie nu trebuie să conducă în niciun caz la depăşirea pragurilor prevăzute în lege sau la anularea/diminuarea avantajelor competitive menţionate în nota justificativă de atribuire, cu excepţia cazului prevăzut la pct. 1 lit. a).</w:t>
      </w:r>
    </w:p>
    <w:p w14:paraId="1EA60636" w14:textId="53A5568A" w:rsidR="00653584" w:rsidRPr="00834991" w:rsidRDefault="00CD27C2">
      <w:pPr>
        <w:pStyle w:val="NormalWeb"/>
        <w:spacing w:before="0" w:beforeAutospacing="0" w:after="0" w:afterAutospacing="0"/>
        <w:jc w:val="both"/>
        <w:rPr>
          <w:rStyle w:val="Heading2Char"/>
          <w:rFonts w:ascii="Open Sans" w:hAnsi="Open Sans" w:cs="Open Sans"/>
          <w:color w:val="auto"/>
          <w:sz w:val="24"/>
          <w:szCs w:val="24"/>
          <w:lang w:val="ro-RO"/>
        </w:rPr>
      </w:pPr>
      <w:bookmarkStart w:id="10" w:name="_Toc184811996"/>
      <w:r w:rsidRPr="00834991">
        <w:rPr>
          <w:rStyle w:val="Heading2Char"/>
          <w:rFonts w:ascii="Open Sans" w:hAnsi="Open Sans" w:cs="Open Sans"/>
          <w:b/>
          <w:bCs/>
          <w:color w:val="auto"/>
          <w:sz w:val="24"/>
          <w:szCs w:val="24"/>
          <w:lang w:val="ro-RO"/>
        </w:rPr>
        <w:t>SECŢIUNEA a 6-a</w:t>
      </w:r>
      <w:r w:rsidR="00767C20" w:rsidRPr="00834991">
        <w:rPr>
          <w:rStyle w:val="Heading2Char"/>
          <w:rFonts w:ascii="Open Sans" w:hAnsi="Open Sans" w:cs="Open Sans"/>
          <w:b/>
          <w:bCs/>
          <w:color w:val="auto"/>
          <w:sz w:val="24"/>
          <w:szCs w:val="24"/>
          <w:lang w:val="ro-RO"/>
        </w:rPr>
        <w:t xml:space="preserve"> - </w:t>
      </w:r>
      <w:r w:rsidRPr="00834991">
        <w:rPr>
          <w:rStyle w:val="Heading2Char"/>
          <w:rFonts w:ascii="Open Sans" w:hAnsi="Open Sans" w:cs="Open Sans"/>
          <w:b/>
          <w:bCs/>
          <w:color w:val="auto"/>
          <w:sz w:val="24"/>
          <w:szCs w:val="24"/>
          <w:lang w:val="ro-RO"/>
        </w:rPr>
        <w:t>Dosarul achiziţiei</w:t>
      </w:r>
      <w:bookmarkEnd w:id="10"/>
    </w:p>
    <w:p w14:paraId="6248FB9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6.1. La finalul procedurii se va întocmi dosarul de achiziţie care va conţine următoarele documente:</w:t>
      </w:r>
    </w:p>
    <w:tbl>
      <w:tblPr>
        <w:tblStyle w:val="TableGrid"/>
        <w:tblW w:w="0" w:type="auto"/>
        <w:tblLook w:val="04A0" w:firstRow="1" w:lastRow="0" w:firstColumn="1" w:lastColumn="0" w:noHBand="0" w:noVBand="1"/>
      </w:tblPr>
      <w:tblGrid>
        <w:gridCol w:w="551"/>
        <w:gridCol w:w="4973"/>
        <w:gridCol w:w="1121"/>
        <w:gridCol w:w="1147"/>
        <w:gridCol w:w="1224"/>
      </w:tblGrid>
      <w:tr w:rsidR="00E65439" w:rsidRPr="00834991" w14:paraId="0955D797" w14:textId="77777777" w:rsidTr="002E150E">
        <w:tc>
          <w:tcPr>
            <w:tcW w:w="551" w:type="dxa"/>
            <w:vMerge w:val="restart"/>
          </w:tcPr>
          <w:p w14:paraId="17656D16" w14:textId="531C97CE" w:rsidR="000926F8" w:rsidRPr="00834991" w:rsidRDefault="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Nr. crt.</w:t>
            </w:r>
          </w:p>
        </w:tc>
        <w:tc>
          <w:tcPr>
            <w:tcW w:w="4973" w:type="dxa"/>
            <w:vMerge w:val="restart"/>
          </w:tcPr>
          <w:p w14:paraId="291694CC" w14:textId="73EC39A1" w:rsidR="000926F8" w:rsidRPr="00834991" w:rsidRDefault="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Documente care trebuie introduse in dosarul achiziției</w:t>
            </w:r>
          </w:p>
        </w:tc>
        <w:tc>
          <w:tcPr>
            <w:tcW w:w="3492" w:type="dxa"/>
            <w:gridSpan w:val="3"/>
            <w:vAlign w:val="center"/>
          </w:tcPr>
          <w:p w14:paraId="74089C01" w14:textId="5E124267"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Contract de</w:t>
            </w:r>
          </w:p>
        </w:tc>
      </w:tr>
      <w:tr w:rsidR="00E65439" w:rsidRPr="00834991" w14:paraId="08DA3892" w14:textId="77777777" w:rsidTr="002E150E">
        <w:tc>
          <w:tcPr>
            <w:tcW w:w="551" w:type="dxa"/>
            <w:vMerge/>
          </w:tcPr>
          <w:p w14:paraId="3D3C6DD5" w14:textId="77777777" w:rsidR="00D53410" w:rsidRPr="00834991" w:rsidRDefault="00D53410">
            <w:pPr>
              <w:pStyle w:val="NormalWeb"/>
              <w:spacing w:before="0" w:beforeAutospacing="0" w:after="0" w:afterAutospacing="0"/>
              <w:jc w:val="both"/>
              <w:rPr>
                <w:rFonts w:ascii="Open Sans" w:hAnsi="Open Sans" w:cs="Open Sans"/>
                <w:sz w:val="22"/>
                <w:szCs w:val="22"/>
                <w:lang w:val="ro-RO"/>
              </w:rPr>
            </w:pPr>
          </w:p>
        </w:tc>
        <w:tc>
          <w:tcPr>
            <w:tcW w:w="4973" w:type="dxa"/>
            <w:vMerge/>
          </w:tcPr>
          <w:p w14:paraId="524E6423" w14:textId="77777777" w:rsidR="00D53410" w:rsidRPr="00834991" w:rsidRDefault="00D53410">
            <w:pPr>
              <w:pStyle w:val="NormalWeb"/>
              <w:spacing w:before="0" w:beforeAutospacing="0" w:after="0" w:afterAutospacing="0"/>
              <w:jc w:val="both"/>
              <w:rPr>
                <w:rFonts w:ascii="Open Sans" w:hAnsi="Open Sans" w:cs="Open Sans"/>
                <w:sz w:val="22"/>
                <w:szCs w:val="22"/>
                <w:lang w:val="ro-RO"/>
              </w:rPr>
            </w:pPr>
          </w:p>
        </w:tc>
        <w:tc>
          <w:tcPr>
            <w:tcW w:w="1121" w:type="dxa"/>
            <w:vAlign w:val="center"/>
          </w:tcPr>
          <w:p w14:paraId="246471CD" w14:textId="6C3260DE" w:rsidR="00D53410" w:rsidRPr="00834991" w:rsidRDefault="00D53410"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lucrări</w:t>
            </w:r>
          </w:p>
        </w:tc>
        <w:tc>
          <w:tcPr>
            <w:tcW w:w="1147" w:type="dxa"/>
            <w:vAlign w:val="center"/>
          </w:tcPr>
          <w:p w14:paraId="3C6E8C35" w14:textId="06DD5361" w:rsidR="00D53410" w:rsidRPr="00834991" w:rsidRDefault="00D53410"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furnizare</w:t>
            </w:r>
          </w:p>
        </w:tc>
        <w:tc>
          <w:tcPr>
            <w:tcW w:w="1224" w:type="dxa"/>
            <w:vAlign w:val="center"/>
          </w:tcPr>
          <w:p w14:paraId="780592B6" w14:textId="3773C4D2" w:rsidR="00D53410" w:rsidRPr="00834991" w:rsidRDefault="00D53410"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servicii</w:t>
            </w:r>
          </w:p>
        </w:tc>
      </w:tr>
      <w:tr w:rsidR="00E65439" w:rsidRPr="00834991" w14:paraId="13627EFF" w14:textId="77777777" w:rsidTr="002E150E">
        <w:tc>
          <w:tcPr>
            <w:tcW w:w="551" w:type="dxa"/>
          </w:tcPr>
          <w:p w14:paraId="36B8F49C" w14:textId="51D700E4"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1</w:t>
            </w:r>
          </w:p>
        </w:tc>
        <w:tc>
          <w:tcPr>
            <w:tcW w:w="4973" w:type="dxa"/>
          </w:tcPr>
          <w:p w14:paraId="708CC7A8" w14:textId="5A036DBB"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Specificațiile tehnice</w:t>
            </w:r>
          </w:p>
        </w:tc>
        <w:tc>
          <w:tcPr>
            <w:tcW w:w="1121" w:type="dxa"/>
            <w:vAlign w:val="center"/>
          </w:tcPr>
          <w:p w14:paraId="63D460B4" w14:textId="0FB17AA1"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658ED026" w14:textId="63AB09AF"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32D43E30" w14:textId="4EEF1946"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6498C27D" w14:textId="77777777" w:rsidTr="002E150E">
        <w:tc>
          <w:tcPr>
            <w:tcW w:w="551" w:type="dxa"/>
          </w:tcPr>
          <w:p w14:paraId="44AEC205" w14:textId="404A08B7"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2</w:t>
            </w:r>
          </w:p>
        </w:tc>
        <w:tc>
          <w:tcPr>
            <w:tcW w:w="4973" w:type="dxa"/>
          </w:tcPr>
          <w:p w14:paraId="7F561B4B" w14:textId="60BF7D36"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Nota privind determinarea valorii estimate</w:t>
            </w:r>
          </w:p>
        </w:tc>
        <w:tc>
          <w:tcPr>
            <w:tcW w:w="1121" w:type="dxa"/>
            <w:vAlign w:val="center"/>
          </w:tcPr>
          <w:p w14:paraId="25621884" w14:textId="26BA26A4"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3F5334A1" w14:textId="339F648D"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7616D290" w14:textId="45A95F88"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763B4C04" w14:textId="77777777" w:rsidTr="002E150E">
        <w:tc>
          <w:tcPr>
            <w:tcW w:w="551" w:type="dxa"/>
          </w:tcPr>
          <w:p w14:paraId="536A3011" w14:textId="733D1ECE"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3</w:t>
            </w:r>
          </w:p>
        </w:tc>
        <w:tc>
          <w:tcPr>
            <w:tcW w:w="4973" w:type="dxa"/>
          </w:tcPr>
          <w:p w14:paraId="2BC2E347" w14:textId="1A1B7E12"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Dovada anunțului/clarificărilor/comunicărilor rezultatului (după caz)</w:t>
            </w:r>
          </w:p>
        </w:tc>
        <w:tc>
          <w:tcPr>
            <w:tcW w:w="1121" w:type="dxa"/>
            <w:vAlign w:val="center"/>
          </w:tcPr>
          <w:p w14:paraId="6E95F23B" w14:textId="4E69253D"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097AC0AA" w14:textId="04E1573C"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453DFDB8" w14:textId="0DC2BABA"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665399C7" w14:textId="77777777" w:rsidTr="002E150E">
        <w:tc>
          <w:tcPr>
            <w:tcW w:w="551" w:type="dxa"/>
          </w:tcPr>
          <w:p w14:paraId="5BE01CED" w14:textId="0AD3CC3C"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4</w:t>
            </w:r>
          </w:p>
        </w:tc>
        <w:tc>
          <w:tcPr>
            <w:tcW w:w="4973" w:type="dxa"/>
          </w:tcPr>
          <w:p w14:paraId="3FC2AA75" w14:textId="0CCBDC0D" w:rsidR="000926F8" w:rsidRPr="00834991" w:rsidRDefault="3C55779E"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Nota justificativă de atribuire</w:t>
            </w:r>
          </w:p>
        </w:tc>
        <w:tc>
          <w:tcPr>
            <w:tcW w:w="1121" w:type="dxa"/>
            <w:vAlign w:val="center"/>
          </w:tcPr>
          <w:p w14:paraId="2A1215BC" w14:textId="32C66FD3"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12D88EDD" w14:textId="53DC3C63"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18ED654A" w14:textId="02822EA4"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17E992F1" w14:textId="77777777" w:rsidTr="002E150E">
        <w:tc>
          <w:tcPr>
            <w:tcW w:w="551" w:type="dxa"/>
          </w:tcPr>
          <w:p w14:paraId="303F5597" w14:textId="7A4ED5F6"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5</w:t>
            </w:r>
          </w:p>
        </w:tc>
        <w:tc>
          <w:tcPr>
            <w:tcW w:w="4973" w:type="dxa"/>
          </w:tcPr>
          <w:p w14:paraId="08C343B9" w14:textId="5E1D3234" w:rsidR="000926F8" w:rsidRPr="00834991" w:rsidRDefault="5170B954" w:rsidP="631A3516">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Nota justificativă privind decalarea datelor de semnare a contractelor (după caz) – pentru loturi</w:t>
            </w:r>
          </w:p>
        </w:tc>
        <w:tc>
          <w:tcPr>
            <w:tcW w:w="1121" w:type="dxa"/>
            <w:vAlign w:val="center"/>
          </w:tcPr>
          <w:p w14:paraId="4609B6B8" w14:textId="01BCC341"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7DB3989E" w14:textId="43058685"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6DF2D530" w14:textId="5743FE7A"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634D7E30" w14:textId="77777777" w:rsidTr="002E150E">
        <w:tc>
          <w:tcPr>
            <w:tcW w:w="551" w:type="dxa"/>
          </w:tcPr>
          <w:p w14:paraId="76B6EECE" w14:textId="66147F44"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6</w:t>
            </w:r>
          </w:p>
        </w:tc>
        <w:tc>
          <w:tcPr>
            <w:tcW w:w="4973" w:type="dxa"/>
          </w:tcPr>
          <w:p w14:paraId="62F44B12" w14:textId="02A37409" w:rsidR="000926F8" w:rsidRPr="00834991" w:rsidRDefault="3945FDDB" w:rsidP="56B741A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Declar</w:t>
            </w:r>
            <w:r w:rsidR="232C3AC9" w:rsidRPr="00834991">
              <w:rPr>
                <w:rFonts w:ascii="Open Sans" w:hAnsi="Open Sans" w:cs="Open Sans"/>
                <w:sz w:val="22"/>
                <w:szCs w:val="22"/>
                <w:lang w:val="ro-RO"/>
              </w:rPr>
              <w:t>a</w:t>
            </w:r>
            <w:r w:rsidRPr="00834991">
              <w:rPr>
                <w:rFonts w:ascii="Open Sans" w:hAnsi="Open Sans" w:cs="Open Sans"/>
                <w:sz w:val="22"/>
                <w:szCs w:val="22"/>
                <w:lang w:val="ro-RO"/>
              </w:rPr>
              <w:t>ții pe propria răspundere din care rezultă că partenerul privat nu a încălcat prevederile referitoare la conflictul de interese</w:t>
            </w:r>
            <w:r w:rsidR="002E150E" w:rsidRPr="00834991">
              <w:rPr>
                <w:rFonts w:ascii="Open Sans" w:hAnsi="Open Sans" w:cs="Open Sans"/>
                <w:sz w:val="22"/>
                <w:szCs w:val="22"/>
                <w:lang w:val="ro-RO"/>
              </w:rPr>
              <w:t xml:space="preserve"> (cf. model)</w:t>
            </w:r>
          </w:p>
        </w:tc>
        <w:tc>
          <w:tcPr>
            <w:tcW w:w="1121" w:type="dxa"/>
            <w:vAlign w:val="center"/>
          </w:tcPr>
          <w:p w14:paraId="50F0E3A7" w14:textId="419B40AC"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445A7002" w14:textId="46066D04"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5C87DD9C" w14:textId="6686714D"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2AD7F74E" w14:textId="77777777" w:rsidTr="002E150E">
        <w:tc>
          <w:tcPr>
            <w:tcW w:w="551" w:type="dxa"/>
          </w:tcPr>
          <w:p w14:paraId="67B8ACC7" w14:textId="3B633DA7"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7</w:t>
            </w:r>
          </w:p>
        </w:tc>
        <w:tc>
          <w:tcPr>
            <w:tcW w:w="4973" w:type="dxa"/>
          </w:tcPr>
          <w:p w14:paraId="32C9479A" w14:textId="7A17B3AA" w:rsidR="000926F8" w:rsidRPr="00834991" w:rsidRDefault="3C55779E"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Ofertele originale și clarificările (după caz)</w:t>
            </w:r>
          </w:p>
        </w:tc>
        <w:tc>
          <w:tcPr>
            <w:tcW w:w="1121" w:type="dxa"/>
            <w:vAlign w:val="center"/>
          </w:tcPr>
          <w:p w14:paraId="6ECCBBB4" w14:textId="7C0CD8D4"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3F49E3A6" w14:textId="7F90FDFA"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10AF2981" w14:textId="4EB585CB"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7322520B" w14:textId="77777777" w:rsidTr="002E150E">
        <w:tc>
          <w:tcPr>
            <w:tcW w:w="551" w:type="dxa"/>
          </w:tcPr>
          <w:p w14:paraId="4E01242D" w14:textId="6941035C"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8</w:t>
            </w:r>
          </w:p>
        </w:tc>
        <w:tc>
          <w:tcPr>
            <w:tcW w:w="4973" w:type="dxa"/>
          </w:tcPr>
          <w:p w14:paraId="1CD5A585" w14:textId="6DA4DA20"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Contractul de achiziție</w:t>
            </w:r>
          </w:p>
        </w:tc>
        <w:tc>
          <w:tcPr>
            <w:tcW w:w="1121" w:type="dxa"/>
            <w:vAlign w:val="center"/>
          </w:tcPr>
          <w:p w14:paraId="4B3BAA9E" w14:textId="13E745C3"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4B0D5E4B" w14:textId="786C639E"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5AE7367D" w14:textId="24DA8906"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4A62C7DF" w14:textId="77777777" w:rsidTr="002E150E">
        <w:tc>
          <w:tcPr>
            <w:tcW w:w="551" w:type="dxa"/>
          </w:tcPr>
          <w:p w14:paraId="7871D8B7" w14:textId="7E2ADC80"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9</w:t>
            </w:r>
          </w:p>
        </w:tc>
        <w:tc>
          <w:tcPr>
            <w:tcW w:w="4973" w:type="dxa"/>
          </w:tcPr>
          <w:p w14:paraId="4293E043" w14:textId="211E86CE"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Actele adiționale (după caz)</w:t>
            </w:r>
          </w:p>
        </w:tc>
        <w:tc>
          <w:tcPr>
            <w:tcW w:w="1121" w:type="dxa"/>
            <w:vAlign w:val="center"/>
          </w:tcPr>
          <w:p w14:paraId="3E0F46E0" w14:textId="2A6C1059"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6B1EE5BA" w14:textId="713691B7"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1B5FEF0F" w14:textId="6EC78192"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51A461BF" w14:textId="77777777" w:rsidTr="002E150E">
        <w:tc>
          <w:tcPr>
            <w:tcW w:w="551" w:type="dxa"/>
          </w:tcPr>
          <w:p w14:paraId="60857068" w14:textId="13944A97"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10</w:t>
            </w:r>
          </w:p>
        </w:tc>
        <w:tc>
          <w:tcPr>
            <w:tcW w:w="4973" w:type="dxa"/>
          </w:tcPr>
          <w:p w14:paraId="7A361CD8" w14:textId="3820CEBE" w:rsidR="000926F8" w:rsidRPr="00834991" w:rsidRDefault="3C55779E"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Alte documente relevante, inclusiv documentele care dovedesc realizarea achiziției, de exemplu: procese-verbale de recepție servicii și lucrări, livrabile, procese-verbale de predare</w:t>
            </w:r>
            <w:r w:rsidR="00017FCC" w:rsidRPr="00834991">
              <w:rPr>
                <w:rFonts w:ascii="Open Sans" w:hAnsi="Open Sans" w:cs="Open Sans"/>
                <w:sz w:val="22"/>
                <w:szCs w:val="22"/>
                <w:lang w:val="ro-RO"/>
              </w:rPr>
              <w:t>-</w:t>
            </w:r>
            <w:r w:rsidRPr="00834991">
              <w:rPr>
                <w:rFonts w:ascii="Open Sans" w:hAnsi="Open Sans" w:cs="Open Sans"/>
                <w:sz w:val="22"/>
                <w:szCs w:val="22"/>
                <w:lang w:val="ro-RO"/>
              </w:rPr>
              <w:t xml:space="preserve">primire, </w:t>
            </w:r>
            <w:r w:rsidR="01F40EE7" w:rsidRPr="00834991">
              <w:rPr>
                <w:rFonts w:ascii="Open Sans" w:hAnsi="Open Sans" w:cs="Open Sans"/>
                <w:sz w:val="22"/>
                <w:szCs w:val="22"/>
                <w:lang w:val="ro-RO"/>
              </w:rPr>
              <w:t>decla</w:t>
            </w:r>
            <w:r w:rsidR="00B2FDB9" w:rsidRPr="00834991">
              <w:rPr>
                <w:rFonts w:ascii="Open Sans" w:hAnsi="Open Sans" w:cs="Open Sans"/>
                <w:sz w:val="22"/>
                <w:szCs w:val="22"/>
                <w:lang w:val="ro-RO"/>
              </w:rPr>
              <w:t>ra</w:t>
            </w:r>
            <w:r w:rsidR="00017FCC" w:rsidRPr="00834991">
              <w:rPr>
                <w:rFonts w:ascii="Open Sans" w:hAnsi="Open Sans" w:cs="Open Sans"/>
                <w:sz w:val="22"/>
                <w:szCs w:val="22"/>
                <w:lang w:val="ro-RO"/>
              </w:rPr>
              <w:t>ț</w:t>
            </w:r>
            <w:r w:rsidR="00B2FDB9" w:rsidRPr="00834991">
              <w:rPr>
                <w:rFonts w:ascii="Open Sans" w:hAnsi="Open Sans" w:cs="Open Sans"/>
                <w:sz w:val="22"/>
                <w:szCs w:val="22"/>
                <w:lang w:val="ro-RO"/>
              </w:rPr>
              <w:t>i</w:t>
            </w:r>
            <w:r w:rsidR="4FA5D8F3" w:rsidRPr="00834991">
              <w:rPr>
                <w:rFonts w:ascii="Open Sans" w:hAnsi="Open Sans" w:cs="Open Sans"/>
                <w:sz w:val="22"/>
                <w:szCs w:val="22"/>
                <w:lang w:val="ro-RO"/>
              </w:rPr>
              <w:t>ile</w:t>
            </w:r>
            <w:r w:rsidR="00B2FDB9" w:rsidRPr="00834991">
              <w:rPr>
                <w:rFonts w:ascii="Open Sans" w:hAnsi="Open Sans" w:cs="Open Sans"/>
                <w:sz w:val="22"/>
                <w:szCs w:val="22"/>
                <w:lang w:val="ro-RO"/>
              </w:rPr>
              <w:t xml:space="preserve"> de confiden</w:t>
            </w:r>
            <w:r w:rsidR="00017FCC" w:rsidRPr="00834991">
              <w:rPr>
                <w:rFonts w:ascii="Open Sans" w:hAnsi="Open Sans" w:cs="Open Sans"/>
                <w:sz w:val="22"/>
                <w:szCs w:val="22"/>
                <w:lang w:val="ro-RO"/>
              </w:rPr>
              <w:t>ț</w:t>
            </w:r>
            <w:r w:rsidR="00B2FDB9" w:rsidRPr="00834991">
              <w:rPr>
                <w:rFonts w:ascii="Open Sans" w:hAnsi="Open Sans" w:cs="Open Sans"/>
                <w:sz w:val="22"/>
                <w:szCs w:val="22"/>
                <w:lang w:val="ro-RO"/>
              </w:rPr>
              <w:t xml:space="preserve">ialitate </w:t>
            </w:r>
            <w:r w:rsidR="00017FCC" w:rsidRPr="00834991">
              <w:rPr>
                <w:rFonts w:ascii="Open Sans" w:hAnsi="Open Sans" w:cs="Open Sans"/>
                <w:sz w:val="22"/>
                <w:szCs w:val="22"/>
                <w:lang w:val="ro-RO"/>
              </w:rPr>
              <w:t>ș</w:t>
            </w:r>
            <w:r w:rsidR="00B2FDB9" w:rsidRPr="00834991">
              <w:rPr>
                <w:rFonts w:ascii="Open Sans" w:hAnsi="Open Sans" w:cs="Open Sans"/>
                <w:sz w:val="22"/>
                <w:szCs w:val="22"/>
                <w:lang w:val="ro-RO"/>
              </w:rPr>
              <w:t>i impar</w:t>
            </w:r>
            <w:r w:rsidR="00017FCC" w:rsidRPr="00834991">
              <w:rPr>
                <w:rFonts w:ascii="Open Sans" w:hAnsi="Open Sans" w:cs="Open Sans"/>
                <w:sz w:val="22"/>
                <w:szCs w:val="22"/>
                <w:lang w:val="ro-RO"/>
              </w:rPr>
              <w:t>ț</w:t>
            </w:r>
            <w:r w:rsidR="00B2FDB9" w:rsidRPr="00834991">
              <w:rPr>
                <w:rFonts w:ascii="Open Sans" w:hAnsi="Open Sans" w:cs="Open Sans"/>
                <w:sz w:val="22"/>
                <w:szCs w:val="22"/>
                <w:lang w:val="ro-RO"/>
              </w:rPr>
              <w:t>ialitate ale membrilor comisiei de evaluare</w:t>
            </w:r>
            <w:r w:rsidR="561C733E" w:rsidRPr="00834991">
              <w:rPr>
                <w:rFonts w:ascii="Open Sans" w:hAnsi="Open Sans" w:cs="Open Sans"/>
                <w:sz w:val="22"/>
                <w:szCs w:val="22"/>
                <w:lang w:val="ro-RO"/>
              </w:rPr>
              <w:t xml:space="preserve"> /</w:t>
            </w:r>
            <w:r w:rsidR="00B2FDB9" w:rsidRPr="00834991">
              <w:rPr>
                <w:rFonts w:ascii="Open Sans" w:hAnsi="Open Sans" w:cs="Open Sans"/>
                <w:sz w:val="22"/>
                <w:szCs w:val="22"/>
                <w:lang w:val="ro-RO"/>
              </w:rPr>
              <w:t xml:space="preserve"> a pe</w:t>
            </w:r>
            <w:r w:rsidR="65B05067" w:rsidRPr="00834991">
              <w:rPr>
                <w:rFonts w:ascii="Open Sans" w:hAnsi="Open Sans" w:cs="Open Sans"/>
                <w:sz w:val="22"/>
                <w:szCs w:val="22"/>
                <w:lang w:val="ro-RO"/>
              </w:rPr>
              <w:t>r</w:t>
            </w:r>
            <w:r w:rsidR="00B2FDB9" w:rsidRPr="00834991">
              <w:rPr>
                <w:rFonts w:ascii="Open Sans" w:hAnsi="Open Sans" w:cs="Open Sans"/>
                <w:sz w:val="22"/>
                <w:szCs w:val="22"/>
                <w:lang w:val="ro-RO"/>
              </w:rPr>
              <w:t xml:space="preserve">soanei </w:t>
            </w:r>
            <w:r w:rsidR="3F210D7D" w:rsidRPr="00834991">
              <w:rPr>
                <w:rFonts w:ascii="Open Sans" w:hAnsi="Open Sans" w:cs="Open Sans"/>
                <w:sz w:val="22"/>
                <w:szCs w:val="22"/>
                <w:lang w:val="ro-RO"/>
              </w:rPr>
              <w:t xml:space="preserve">care </w:t>
            </w:r>
            <w:r w:rsidR="00017FCC" w:rsidRPr="00834991">
              <w:rPr>
                <w:rFonts w:ascii="Open Sans" w:hAnsi="Open Sans" w:cs="Open Sans"/>
                <w:sz w:val="22"/>
                <w:szCs w:val="22"/>
                <w:lang w:val="ro-RO"/>
              </w:rPr>
              <w:t>î</w:t>
            </w:r>
            <w:r w:rsidR="3F210D7D" w:rsidRPr="00834991">
              <w:rPr>
                <w:rFonts w:ascii="Open Sans" w:hAnsi="Open Sans" w:cs="Open Sans"/>
                <w:sz w:val="22"/>
                <w:szCs w:val="22"/>
                <w:lang w:val="ro-RO"/>
              </w:rPr>
              <w:t>ntocme</w:t>
            </w:r>
            <w:r w:rsidR="00017FCC" w:rsidRPr="00834991">
              <w:rPr>
                <w:rFonts w:ascii="Open Sans" w:hAnsi="Open Sans" w:cs="Open Sans"/>
                <w:sz w:val="22"/>
                <w:szCs w:val="22"/>
                <w:lang w:val="ro-RO"/>
              </w:rPr>
              <w:t>ș</w:t>
            </w:r>
            <w:r w:rsidR="3F210D7D" w:rsidRPr="00834991">
              <w:rPr>
                <w:rFonts w:ascii="Open Sans" w:hAnsi="Open Sans" w:cs="Open Sans"/>
                <w:sz w:val="22"/>
                <w:szCs w:val="22"/>
                <w:lang w:val="ro-RO"/>
              </w:rPr>
              <w:t>te nota de atribuire, dup</w:t>
            </w:r>
            <w:r w:rsidR="00017FCC" w:rsidRPr="00834991">
              <w:rPr>
                <w:rFonts w:ascii="Open Sans" w:hAnsi="Open Sans" w:cs="Open Sans"/>
                <w:sz w:val="22"/>
                <w:szCs w:val="22"/>
                <w:lang w:val="ro-RO"/>
              </w:rPr>
              <w:t>ă</w:t>
            </w:r>
            <w:r w:rsidR="3F210D7D" w:rsidRPr="00834991">
              <w:rPr>
                <w:rFonts w:ascii="Open Sans" w:hAnsi="Open Sans" w:cs="Open Sans"/>
                <w:sz w:val="22"/>
                <w:szCs w:val="22"/>
                <w:lang w:val="ro-RO"/>
              </w:rPr>
              <w:t xml:space="preserve"> caz, </w:t>
            </w:r>
            <w:r w:rsidRPr="00834991">
              <w:rPr>
                <w:rFonts w:ascii="Open Sans" w:hAnsi="Open Sans" w:cs="Open Sans"/>
                <w:sz w:val="22"/>
                <w:szCs w:val="22"/>
                <w:lang w:val="ro-RO"/>
              </w:rPr>
              <w:t>etc.</w:t>
            </w:r>
          </w:p>
        </w:tc>
        <w:tc>
          <w:tcPr>
            <w:tcW w:w="1121" w:type="dxa"/>
            <w:vAlign w:val="center"/>
          </w:tcPr>
          <w:p w14:paraId="08FD8D39" w14:textId="0EBBFD41"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021F75D7" w14:textId="55811A48"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0BF85A14" w14:textId="76C2A86F"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E65439" w:rsidRPr="00834991" w14:paraId="3D483A48" w14:textId="77777777" w:rsidTr="002E150E">
        <w:tc>
          <w:tcPr>
            <w:tcW w:w="551" w:type="dxa"/>
          </w:tcPr>
          <w:p w14:paraId="2F95A589" w14:textId="476E35EB"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11</w:t>
            </w:r>
          </w:p>
        </w:tc>
        <w:tc>
          <w:tcPr>
            <w:tcW w:w="4973" w:type="dxa"/>
          </w:tcPr>
          <w:p w14:paraId="1AFC4679" w14:textId="3E024423" w:rsidR="000926F8" w:rsidRPr="00834991" w:rsidRDefault="000926F8" w:rsidP="000926F8">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Contestațiile (după caz)</w:t>
            </w:r>
          </w:p>
        </w:tc>
        <w:tc>
          <w:tcPr>
            <w:tcW w:w="1121" w:type="dxa"/>
            <w:vAlign w:val="center"/>
          </w:tcPr>
          <w:p w14:paraId="5B28514B" w14:textId="5CEF4EB3"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34C39312" w14:textId="54DA1F49"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4DEDF7CC" w14:textId="24C4A7D5" w:rsidR="000926F8" w:rsidRPr="00834991" w:rsidRDefault="000926F8" w:rsidP="000926F8">
            <w:pPr>
              <w:pStyle w:val="NormalWeb"/>
              <w:spacing w:before="0" w:beforeAutospacing="0" w:after="0" w:afterAutospacing="0"/>
              <w:jc w:val="center"/>
              <w:rPr>
                <w:rFonts w:ascii="Open Sans" w:hAnsi="Open Sans" w:cs="Open Sans"/>
                <w:sz w:val="22"/>
                <w:szCs w:val="22"/>
                <w:lang w:val="ro-RO"/>
              </w:rPr>
            </w:pPr>
            <w:r w:rsidRPr="00834991">
              <w:rPr>
                <w:rFonts w:ascii="Open Sans" w:hAnsi="Open Sans" w:cs="Open Sans"/>
                <w:sz w:val="22"/>
                <w:szCs w:val="22"/>
                <w:lang w:val="ro-RO"/>
              </w:rPr>
              <w:t>x</w:t>
            </w:r>
          </w:p>
        </w:tc>
      </w:tr>
      <w:tr w:rsidR="002E150E" w:rsidRPr="00834991" w14:paraId="5B0F2399" w14:textId="77777777" w:rsidTr="002E150E">
        <w:trPr>
          <w:trHeight w:val="300"/>
        </w:trPr>
        <w:tc>
          <w:tcPr>
            <w:tcW w:w="551" w:type="dxa"/>
          </w:tcPr>
          <w:p w14:paraId="2663E0AC" w14:textId="2096A076" w:rsidR="002E150E" w:rsidRPr="00834991" w:rsidRDefault="002E150E" w:rsidP="002E150E">
            <w:pPr>
              <w:pStyle w:val="NormalWeb"/>
              <w:jc w:val="both"/>
              <w:rPr>
                <w:rFonts w:ascii="Open Sans" w:hAnsi="Open Sans" w:cs="Open Sans"/>
                <w:sz w:val="22"/>
                <w:szCs w:val="22"/>
                <w:lang w:val="ro-RO"/>
              </w:rPr>
            </w:pPr>
            <w:r w:rsidRPr="00834991">
              <w:rPr>
                <w:rFonts w:ascii="Open Sans" w:hAnsi="Open Sans" w:cs="Open Sans"/>
                <w:sz w:val="22"/>
                <w:szCs w:val="22"/>
                <w:lang w:val="ro-RO"/>
              </w:rPr>
              <w:t>12</w:t>
            </w:r>
          </w:p>
        </w:tc>
        <w:tc>
          <w:tcPr>
            <w:tcW w:w="4973" w:type="dxa"/>
          </w:tcPr>
          <w:p w14:paraId="51BF9860" w14:textId="4D31F92E" w:rsidR="002E150E" w:rsidRPr="00834991" w:rsidRDefault="002E150E" w:rsidP="002E150E">
            <w:pPr>
              <w:pStyle w:val="NormalWeb"/>
              <w:jc w:val="both"/>
              <w:rPr>
                <w:rFonts w:ascii="Open Sans" w:hAnsi="Open Sans" w:cs="Open Sans"/>
                <w:sz w:val="22"/>
                <w:szCs w:val="22"/>
                <w:lang w:val="ro-RO"/>
              </w:rPr>
            </w:pPr>
            <w:r w:rsidRPr="00834991">
              <w:rPr>
                <w:rFonts w:ascii="Open Sans" w:hAnsi="Open Sans" w:cs="Open Sans"/>
                <w:sz w:val="22"/>
                <w:szCs w:val="22"/>
                <w:lang w:val="ro-RO"/>
              </w:rPr>
              <w:t>Planul de achizitii pe proiect</w:t>
            </w:r>
          </w:p>
        </w:tc>
        <w:tc>
          <w:tcPr>
            <w:tcW w:w="1121" w:type="dxa"/>
            <w:vAlign w:val="center"/>
          </w:tcPr>
          <w:p w14:paraId="0807D8E3" w14:textId="6837305E" w:rsidR="002E150E" w:rsidRPr="00834991" w:rsidRDefault="002E150E" w:rsidP="002E150E">
            <w:pPr>
              <w:pStyle w:val="NormalWeb"/>
              <w:jc w:val="center"/>
              <w:rPr>
                <w:rFonts w:ascii="Open Sans" w:hAnsi="Open Sans" w:cs="Open Sans"/>
                <w:sz w:val="22"/>
                <w:szCs w:val="22"/>
                <w:lang w:val="ro-RO"/>
              </w:rPr>
            </w:pPr>
            <w:r w:rsidRPr="00834991">
              <w:rPr>
                <w:rFonts w:ascii="Open Sans" w:hAnsi="Open Sans" w:cs="Open Sans"/>
                <w:sz w:val="22"/>
                <w:szCs w:val="22"/>
                <w:lang w:val="ro-RO"/>
              </w:rPr>
              <w:t>x</w:t>
            </w:r>
          </w:p>
        </w:tc>
        <w:tc>
          <w:tcPr>
            <w:tcW w:w="1147" w:type="dxa"/>
            <w:vAlign w:val="center"/>
          </w:tcPr>
          <w:p w14:paraId="4BEB688B" w14:textId="2847750B" w:rsidR="002E150E" w:rsidRPr="00834991" w:rsidRDefault="002E150E" w:rsidP="002E150E">
            <w:pPr>
              <w:pStyle w:val="NormalWeb"/>
              <w:jc w:val="center"/>
              <w:rPr>
                <w:rFonts w:ascii="Open Sans" w:hAnsi="Open Sans" w:cs="Open Sans"/>
                <w:sz w:val="22"/>
                <w:szCs w:val="22"/>
                <w:lang w:val="ro-RO"/>
              </w:rPr>
            </w:pPr>
            <w:r w:rsidRPr="00834991">
              <w:rPr>
                <w:rFonts w:ascii="Open Sans" w:hAnsi="Open Sans" w:cs="Open Sans"/>
                <w:sz w:val="22"/>
                <w:szCs w:val="22"/>
                <w:lang w:val="ro-RO"/>
              </w:rPr>
              <w:t>x</w:t>
            </w:r>
          </w:p>
        </w:tc>
        <w:tc>
          <w:tcPr>
            <w:tcW w:w="1224" w:type="dxa"/>
            <w:vAlign w:val="center"/>
          </w:tcPr>
          <w:p w14:paraId="24424A98" w14:textId="5861FA3E" w:rsidR="002E150E" w:rsidRPr="00834991" w:rsidRDefault="002E150E" w:rsidP="002E150E">
            <w:pPr>
              <w:pStyle w:val="NormalWeb"/>
              <w:jc w:val="center"/>
              <w:rPr>
                <w:rFonts w:ascii="Open Sans" w:hAnsi="Open Sans" w:cs="Open Sans"/>
                <w:sz w:val="22"/>
                <w:szCs w:val="22"/>
                <w:lang w:val="ro-RO"/>
              </w:rPr>
            </w:pPr>
            <w:r w:rsidRPr="00834991">
              <w:rPr>
                <w:rFonts w:ascii="Open Sans" w:hAnsi="Open Sans" w:cs="Open Sans"/>
                <w:sz w:val="22"/>
                <w:szCs w:val="22"/>
                <w:lang w:val="ro-RO"/>
              </w:rPr>
              <w:t>x</w:t>
            </w:r>
          </w:p>
        </w:tc>
      </w:tr>
    </w:tbl>
    <w:p w14:paraId="0E56A673" w14:textId="77777777" w:rsidR="00B8243D" w:rsidRPr="00834991" w:rsidRDefault="00B8243D">
      <w:pPr>
        <w:pStyle w:val="NormalWeb"/>
        <w:spacing w:before="0" w:beforeAutospacing="0" w:after="0" w:afterAutospacing="0"/>
        <w:jc w:val="both"/>
        <w:rPr>
          <w:rStyle w:val="Heading2Char"/>
          <w:rFonts w:ascii="Open Sans" w:hAnsi="Open Sans" w:cs="Open Sans"/>
          <w:b/>
          <w:bCs/>
          <w:color w:val="auto"/>
          <w:sz w:val="24"/>
          <w:szCs w:val="24"/>
          <w:lang w:val="ro-RO"/>
        </w:rPr>
      </w:pPr>
    </w:p>
    <w:p w14:paraId="0E8753C5" w14:textId="02A851CC" w:rsidR="00653584" w:rsidRPr="00834991" w:rsidRDefault="00CD27C2">
      <w:pPr>
        <w:pStyle w:val="NormalWeb"/>
        <w:spacing w:before="0" w:beforeAutospacing="0" w:after="0" w:afterAutospacing="0"/>
        <w:jc w:val="both"/>
        <w:rPr>
          <w:rStyle w:val="Heading2Char"/>
          <w:rFonts w:ascii="Open Sans" w:hAnsi="Open Sans" w:cs="Open Sans"/>
          <w:color w:val="auto"/>
          <w:sz w:val="24"/>
          <w:szCs w:val="24"/>
          <w:lang w:val="ro-RO"/>
        </w:rPr>
      </w:pPr>
      <w:bookmarkStart w:id="11" w:name="_Toc184811997"/>
      <w:r w:rsidRPr="00834991">
        <w:rPr>
          <w:rStyle w:val="Heading2Char"/>
          <w:rFonts w:ascii="Open Sans" w:hAnsi="Open Sans" w:cs="Open Sans"/>
          <w:b/>
          <w:bCs/>
          <w:color w:val="auto"/>
          <w:sz w:val="24"/>
          <w:szCs w:val="24"/>
          <w:lang w:val="ro-RO"/>
        </w:rPr>
        <w:t>SECŢIUNEA a 7-a</w:t>
      </w:r>
      <w:r w:rsidR="00767C20" w:rsidRPr="00834991">
        <w:rPr>
          <w:rStyle w:val="Heading2Char"/>
          <w:rFonts w:ascii="Open Sans" w:hAnsi="Open Sans" w:cs="Open Sans"/>
          <w:b/>
          <w:bCs/>
          <w:color w:val="auto"/>
          <w:sz w:val="24"/>
          <w:szCs w:val="24"/>
          <w:lang w:val="ro-RO"/>
        </w:rPr>
        <w:t xml:space="preserve"> - </w:t>
      </w:r>
      <w:r w:rsidRPr="00834991">
        <w:rPr>
          <w:rStyle w:val="Heading2Char"/>
          <w:rFonts w:ascii="Open Sans" w:hAnsi="Open Sans" w:cs="Open Sans"/>
          <w:b/>
          <w:bCs/>
          <w:color w:val="auto"/>
          <w:sz w:val="24"/>
          <w:szCs w:val="24"/>
          <w:lang w:val="ro-RO"/>
        </w:rPr>
        <w:t>Lista de verificare</w:t>
      </w:r>
      <w:bookmarkEnd w:id="11"/>
    </w:p>
    <w:p w14:paraId="3F889DCF" w14:textId="47E71348"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xml:space="preserve">Pentru procedura </w:t>
      </w:r>
      <w:r w:rsidR="00B13A9E" w:rsidRPr="00834991">
        <w:rPr>
          <w:rFonts w:ascii="Open Sans" w:hAnsi="Open Sans" w:cs="Open Sans"/>
          <w:sz w:val="22"/>
          <w:szCs w:val="22"/>
          <w:lang w:val="ro-RO"/>
        </w:rPr>
        <w:t xml:space="preserve">pentru achiziții peste prag, </w:t>
      </w:r>
      <w:r w:rsidRPr="00834991">
        <w:rPr>
          <w:rFonts w:ascii="Open Sans" w:hAnsi="Open Sans" w:cs="Open Sans"/>
          <w:sz w:val="22"/>
          <w:szCs w:val="22"/>
          <w:lang w:val="ro-RO"/>
        </w:rPr>
        <w:t xml:space="preserve">autorităţile cu competenţe în gestionarea fondurilor europene verifică următoarele elemente: </w:t>
      </w:r>
    </w:p>
    <w:tbl>
      <w:tblPr>
        <w:tblStyle w:val="TableGrid"/>
        <w:tblW w:w="8932" w:type="dxa"/>
        <w:tblLayout w:type="fixed"/>
        <w:tblLook w:val="04A0" w:firstRow="1" w:lastRow="0" w:firstColumn="1" w:lastColumn="0" w:noHBand="0" w:noVBand="1"/>
      </w:tblPr>
      <w:tblGrid>
        <w:gridCol w:w="553"/>
        <w:gridCol w:w="1994"/>
        <w:gridCol w:w="6385"/>
      </w:tblGrid>
      <w:tr w:rsidR="00E65439" w:rsidRPr="00834991" w14:paraId="1BBDDC60" w14:textId="77777777" w:rsidTr="00650FFB">
        <w:trPr>
          <w:trHeight w:val="300"/>
        </w:trPr>
        <w:tc>
          <w:tcPr>
            <w:tcW w:w="553" w:type="dxa"/>
          </w:tcPr>
          <w:p w14:paraId="4C914740" w14:textId="2E22E2B8" w:rsidR="002C4D12" w:rsidRPr="00834991" w:rsidRDefault="002E150E">
            <w:pPr>
              <w:autoSpaceDE/>
              <w:autoSpaceDN/>
              <w:rPr>
                <w:rFonts w:ascii="Open Sans" w:eastAsia="Times New Roman" w:hAnsi="Open Sans" w:cs="Open Sans"/>
                <w:sz w:val="22"/>
                <w:szCs w:val="22"/>
                <w:lang w:val="ro-RO"/>
              </w:rPr>
            </w:pPr>
            <w:r w:rsidRPr="00834991">
              <w:rPr>
                <w:rFonts w:ascii="Open Sans" w:hAnsi="Open Sans" w:cs="Open Sans"/>
                <w:sz w:val="22"/>
                <w:szCs w:val="22"/>
                <w:lang w:val="ro-RO"/>
              </w:rPr>
              <w:t>N</w:t>
            </w:r>
            <w:r w:rsidR="002C4D12" w:rsidRPr="00834991">
              <w:rPr>
                <w:rFonts w:ascii="Open Sans" w:eastAsia="Times New Roman" w:hAnsi="Open Sans" w:cs="Open Sans"/>
                <w:sz w:val="22"/>
                <w:szCs w:val="22"/>
                <w:lang w:val="ro-RO"/>
              </w:rPr>
              <w:t>r. crt.</w:t>
            </w:r>
          </w:p>
        </w:tc>
        <w:tc>
          <w:tcPr>
            <w:tcW w:w="1994" w:type="dxa"/>
          </w:tcPr>
          <w:p w14:paraId="7C6746CD" w14:textId="2455519D" w:rsidR="002C4D12" w:rsidRPr="00834991" w:rsidRDefault="004E4DE1">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Elemente de verificat</w:t>
            </w:r>
          </w:p>
        </w:tc>
        <w:tc>
          <w:tcPr>
            <w:tcW w:w="6385" w:type="dxa"/>
          </w:tcPr>
          <w:p w14:paraId="21141D89" w14:textId="67FCBD65" w:rsidR="002C4D12" w:rsidRPr="00834991" w:rsidRDefault="004E4DE1">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Instrucțiuni</w:t>
            </w:r>
            <w:r w:rsidR="00E65439" w:rsidRPr="00834991">
              <w:rPr>
                <w:rFonts w:ascii="Open Sans" w:eastAsia="Times New Roman" w:hAnsi="Open Sans" w:cs="Open Sans"/>
                <w:sz w:val="22"/>
                <w:szCs w:val="22"/>
                <w:lang w:val="ro-RO"/>
              </w:rPr>
              <w:t xml:space="preserve"> de verificare și aplicare a corecțiilor</w:t>
            </w:r>
          </w:p>
        </w:tc>
      </w:tr>
      <w:tr w:rsidR="00E65439" w:rsidRPr="00834991" w14:paraId="05E5C3F4" w14:textId="77777777" w:rsidTr="00AF1726">
        <w:trPr>
          <w:trHeight w:val="300"/>
        </w:trPr>
        <w:tc>
          <w:tcPr>
            <w:tcW w:w="8932" w:type="dxa"/>
            <w:gridSpan w:val="3"/>
          </w:tcPr>
          <w:p w14:paraId="7C1D2A1E" w14:textId="16A9376E" w:rsidR="004E4DE1" w:rsidRPr="00834991" w:rsidRDefault="004E4DE1" w:rsidP="004E4DE1">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Elaborarea specificaţiilor tehnice şi determinarea valorii estimate           </w:t>
            </w:r>
          </w:p>
        </w:tc>
      </w:tr>
      <w:tr w:rsidR="00E65439" w:rsidRPr="00834991" w14:paraId="0104B327" w14:textId="77777777" w:rsidTr="00650FFB">
        <w:trPr>
          <w:trHeight w:val="300"/>
        </w:trPr>
        <w:tc>
          <w:tcPr>
            <w:tcW w:w="553" w:type="dxa"/>
            <w:vAlign w:val="center"/>
          </w:tcPr>
          <w:p w14:paraId="5A9B0F47" w14:textId="2A9ED991" w:rsidR="002C4D12" w:rsidRPr="00834991" w:rsidRDefault="004E4DE1"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1.</w:t>
            </w:r>
          </w:p>
        </w:tc>
        <w:tc>
          <w:tcPr>
            <w:tcW w:w="1994" w:type="dxa"/>
            <w:vAlign w:val="center"/>
          </w:tcPr>
          <w:p w14:paraId="09A5F402" w14:textId="037EA26A" w:rsidR="002C4D12" w:rsidRPr="00834991" w:rsidRDefault="004E4DE1"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Au fost motivate detaliat excepțiile de la publicarea/transmiterea specificațiilor </w:t>
            </w:r>
          </w:p>
        </w:tc>
        <w:tc>
          <w:tcPr>
            <w:tcW w:w="6385" w:type="dxa"/>
          </w:tcPr>
          <w:p w14:paraId="59E5E863" w14:textId="5E1F423E" w:rsidR="008F1940" w:rsidRPr="00834991" w:rsidRDefault="4836C06A"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În cazul în care nu există o motivare care să justifice încadrarea în </w:t>
            </w:r>
            <w:r w:rsidR="002E150E" w:rsidRPr="00834991">
              <w:rPr>
                <w:rFonts w:ascii="Open Sans" w:eastAsia="Times New Roman" w:hAnsi="Open Sans" w:cs="Open Sans"/>
                <w:sz w:val="22"/>
                <w:szCs w:val="22"/>
                <w:lang w:val="ro-RO"/>
              </w:rPr>
              <w:t>ex</w:t>
            </w:r>
            <w:r w:rsidR="004E4DE1" w:rsidRPr="00834991">
              <w:rPr>
                <w:rFonts w:ascii="Open Sans" w:eastAsia="Times New Roman" w:hAnsi="Open Sans" w:cs="Open Sans"/>
                <w:sz w:val="22"/>
                <w:szCs w:val="22"/>
                <w:lang w:val="ro-RO"/>
              </w:rPr>
              <w:t xml:space="preserve">cepţiile </w:t>
            </w:r>
            <w:r w:rsidR="008F1940" w:rsidRPr="00834991">
              <w:rPr>
                <w:rFonts w:ascii="Open Sans" w:eastAsia="Times New Roman" w:hAnsi="Open Sans" w:cs="Open Sans"/>
                <w:sz w:val="22"/>
                <w:szCs w:val="22"/>
                <w:lang w:val="ro-RO"/>
              </w:rPr>
              <w:t>p</w:t>
            </w:r>
            <w:r w:rsidR="004E4DE1" w:rsidRPr="00834991">
              <w:rPr>
                <w:rFonts w:ascii="Open Sans" w:eastAsia="Times New Roman" w:hAnsi="Open Sans" w:cs="Open Sans"/>
                <w:sz w:val="22"/>
                <w:szCs w:val="22"/>
                <w:lang w:val="ro-RO"/>
              </w:rPr>
              <w:t>revăzute, specificaţiile trebuie să fie obiective şi să se</w:t>
            </w:r>
            <w:r w:rsidR="002E150E" w:rsidRPr="00834991">
              <w:rPr>
                <w:rFonts w:ascii="Open Sans" w:eastAsia="Times New Roman" w:hAnsi="Open Sans" w:cs="Open Sans"/>
                <w:sz w:val="22"/>
                <w:szCs w:val="22"/>
                <w:lang w:val="ro-RO"/>
              </w:rPr>
              <w:t xml:space="preserve"> </w:t>
            </w:r>
            <w:r w:rsidR="004E4DE1" w:rsidRPr="00834991">
              <w:rPr>
                <w:rFonts w:ascii="Open Sans" w:eastAsia="Times New Roman" w:hAnsi="Open Sans" w:cs="Open Sans"/>
                <w:sz w:val="22"/>
                <w:szCs w:val="22"/>
                <w:lang w:val="ro-RO"/>
              </w:rPr>
              <w:t xml:space="preserve">asigure accesul </w:t>
            </w:r>
            <w:r w:rsidR="008F1940" w:rsidRPr="00834991">
              <w:rPr>
                <w:rFonts w:ascii="Open Sans" w:eastAsia="Times New Roman" w:hAnsi="Open Sans" w:cs="Open Sans"/>
                <w:sz w:val="22"/>
                <w:szCs w:val="22"/>
                <w:lang w:val="ro-RO"/>
              </w:rPr>
              <w:t>i</w:t>
            </w:r>
            <w:r w:rsidR="004E4DE1" w:rsidRPr="00834991">
              <w:rPr>
                <w:rFonts w:ascii="Open Sans" w:eastAsia="Times New Roman" w:hAnsi="Open Sans" w:cs="Open Sans"/>
                <w:sz w:val="22"/>
                <w:szCs w:val="22"/>
                <w:lang w:val="ro-RO"/>
              </w:rPr>
              <w:t xml:space="preserve">mediat </w:t>
            </w:r>
            <w:r w:rsidR="008F1940" w:rsidRPr="00834991">
              <w:rPr>
                <w:rFonts w:ascii="Open Sans" w:eastAsia="Times New Roman" w:hAnsi="Open Sans" w:cs="Open Sans"/>
                <w:sz w:val="22"/>
                <w:szCs w:val="22"/>
                <w:lang w:val="ro-RO"/>
              </w:rPr>
              <w:t>ș</w:t>
            </w:r>
            <w:r w:rsidR="004E4DE1" w:rsidRPr="00834991">
              <w:rPr>
                <w:rFonts w:ascii="Open Sans" w:eastAsia="Times New Roman" w:hAnsi="Open Sans" w:cs="Open Sans"/>
                <w:sz w:val="22"/>
                <w:szCs w:val="22"/>
                <w:lang w:val="ro-RO"/>
              </w:rPr>
              <w:t xml:space="preserve">i neîngrădit la </w:t>
            </w:r>
            <w:r w:rsidR="008F1940" w:rsidRPr="00834991">
              <w:rPr>
                <w:rFonts w:ascii="Open Sans" w:eastAsia="Times New Roman" w:hAnsi="Open Sans" w:cs="Open Sans"/>
                <w:sz w:val="22"/>
                <w:szCs w:val="22"/>
                <w:lang w:val="ro-RO"/>
              </w:rPr>
              <w:t>a</w:t>
            </w:r>
            <w:r w:rsidR="004E4DE1" w:rsidRPr="00834991">
              <w:rPr>
                <w:rFonts w:ascii="Open Sans" w:eastAsia="Times New Roman" w:hAnsi="Open Sans" w:cs="Open Sans"/>
                <w:sz w:val="22"/>
                <w:szCs w:val="22"/>
                <w:lang w:val="ro-RO"/>
              </w:rPr>
              <w:t xml:space="preserve">cestea. Se verifică dacă s-au motivat </w:t>
            </w:r>
            <w:r w:rsidR="008F1940" w:rsidRPr="00834991">
              <w:rPr>
                <w:rFonts w:ascii="Open Sans" w:eastAsia="Times New Roman" w:hAnsi="Open Sans" w:cs="Open Sans"/>
                <w:sz w:val="22"/>
                <w:szCs w:val="22"/>
                <w:lang w:val="ro-RO"/>
              </w:rPr>
              <w:t>d</w:t>
            </w:r>
            <w:r w:rsidR="004E4DE1" w:rsidRPr="00834991">
              <w:rPr>
                <w:rFonts w:ascii="Open Sans" w:eastAsia="Times New Roman" w:hAnsi="Open Sans" w:cs="Open Sans"/>
                <w:sz w:val="22"/>
                <w:szCs w:val="22"/>
                <w:lang w:val="ro-RO"/>
              </w:rPr>
              <w:t xml:space="preserve">etaliat specificaţiile tehnice particulare (dacă </w:t>
            </w:r>
            <w:r w:rsidR="008F1940" w:rsidRPr="00834991">
              <w:rPr>
                <w:rFonts w:ascii="Open Sans" w:eastAsia="Times New Roman" w:hAnsi="Open Sans" w:cs="Open Sans"/>
                <w:sz w:val="22"/>
                <w:szCs w:val="22"/>
                <w:lang w:val="ro-RO"/>
              </w:rPr>
              <w:t>e</w:t>
            </w:r>
            <w:r w:rsidR="004E4DE1" w:rsidRPr="00834991">
              <w:rPr>
                <w:rFonts w:ascii="Open Sans" w:eastAsia="Times New Roman" w:hAnsi="Open Sans" w:cs="Open Sans"/>
                <w:sz w:val="22"/>
                <w:szCs w:val="22"/>
                <w:lang w:val="ro-RO"/>
              </w:rPr>
              <w:t>ste cazul) pentru</w:t>
            </w:r>
            <w:r w:rsidR="008F1940" w:rsidRPr="00834991">
              <w:rPr>
                <w:rFonts w:ascii="Open Sans" w:eastAsia="Times New Roman" w:hAnsi="Open Sans" w:cs="Open Sans"/>
                <w:sz w:val="22"/>
                <w:szCs w:val="22"/>
                <w:lang w:val="ro-RO"/>
              </w:rPr>
              <w:t xml:space="preserve"> î</w:t>
            </w:r>
            <w:r w:rsidR="004E4DE1" w:rsidRPr="00834991">
              <w:rPr>
                <w:rFonts w:ascii="Open Sans" w:eastAsia="Times New Roman" w:hAnsi="Open Sans" w:cs="Open Sans"/>
                <w:sz w:val="22"/>
                <w:szCs w:val="22"/>
                <w:lang w:val="ro-RO"/>
              </w:rPr>
              <w:t>ncadrarea în</w:t>
            </w:r>
            <w:r w:rsidR="008F1940" w:rsidRPr="00834991">
              <w:rPr>
                <w:rFonts w:ascii="Open Sans" w:eastAsia="Times New Roman" w:hAnsi="Open Sans" w:cs="Open Sans"/>
                <w:sz w:val="22"/>
                <w:szCs w:val="22"/>
                <w:lang w:val="ro-RO"/>
              </w:rPr>
              <w:t xml:space="preserve"> </w:t>
            </w:r>
            <w:r w:rsidR="004E4DE1" w:rsidRPr="00834991">
              <w:rPr>
                <w:rFonts w:ascii="Open Sans" w:eastAsia="Times New Roman" w:hAnsi="Open Sans" w:cs="Open Sans"/>
                <w:sz w:val="22"/>
                <w:szCs w:val="22"/>
                <w:lang w:val="ro-RO"/>
              </w:rPr>
              <w:t>excepţiile</w:t>
            </w:r>
            <w:r w:rsidR="008F1940" w:rsidRPr="00834991">
              <w:rPr>
                <w:rFonts w:ascii="Open Sans" w:eastAsia="Times New Roman" w:hAnsi="Open Sans" w:cs="Open Sans"/>
                <w:sz w:val="22"/>
                <w:szCs w:val="22"/>
                <w:lang w:val="ro-RO"/>
              </w:rPr>
              <w:t xml:space="preserve"> </w:t>
            </w:r>
            <w:r w:rsidR="004E4DE1" w:rsidRPr="00834991">
              <w:rPr>
                <w:rFonts w:ascii="Open Sans" w:eastAsia="Times New Roman" w:hAnsi="Open Sans" w:cs="Open Sans"/>
                <w:sz w:val="22"/>
                <w:szCs w:val="22"/>
                <w:lang w:val="ro-RO"/>
              </w:rPr>
              <w:t>prevăzute la</w:t>
            </w:r>
            <w:r w:rsidR="008F1940" w:rsidRPr="00834991">
              <w:rPr>
                <w:rFonts w:ascii="Open Sans" w:eastAsia="Times New Roman" w:hAnsi="Open Sans" w:cs="Open Sans"/>
                <w:sz w:val="22"/>
                <w:szCs w:val="22"/>
                <w:lang w:val="ro-RO"/>
              </w:rPr>
              <w:t xml:space="preserve"> </w:t>
            </w:r>
            <w:r w:rsidR="004E4DE1" w:rsidRPr="00834991">
              <w:rPr>
                <w:rFonts w:ascii="Open Sans" w:eastAsia="Times New Roman" w:hAnsi="Open Sans" w:cs="Open Sans"/>
                <w:sz w:val="22"/>
                <w:szCs w:val="22"/>
                <w:lang w:val="ro-RO"/>
              </w:rPr>
              <w:t xml:space="preserve">nivelul prezentei </w:t>
            </w:r>
            <w:r w:rsidR="008F1940" w:rsidRPr="00834991">
              <w:rPr>
                <w:rFonts w:ascii="Open Sans" w:eastAsia="Times New Roman" w:hAnsi="Open Sans" w:cs="Open Sans"/>
                <w:sz w:val="22"/>
                <w:szCs w:val="22"/>
                <w:lang w:val="ro-RO"/>
              </w:rPr>
              <w:t>p</w:t>
            </w:r>
            <w:r w:rsidR="004E4DE1" w:rsidRPr="00834991">
              <w:rPr>
                <w:rFonts w:ascii="Open Sans" w:eastAsia="Times New Roman" w:hAnsi="Open Sans" w:cs="Open Sans"/>
                <w:sz w:val="22"/>
                <w:szCs w:val="22"/>
                <w:lang w:val="ro-RO"/>
              </w:rPr>
              <w:t>roceduri. Se verifică scopul</w:t>
            </w:r>
            <w:r w:rsidR="008F1940" w:rsidRPr="00834991">
              <w:rPr>
                <w:rFonts w:ascii="Open Sans" w:eastAsia="Times New Roman" w:hAnsi="Open Sans" w:cs="Open Sans"/>
                <w:sz w:val="22"/>
                <w:szCs w:val="22"/>
                <w:lang w:val="ro-RO"/>
              </w:rPr>
              <w:t xml:space="preserve"> a</w:t>
            </w:r>
            <w:r w:rsidR="004E4DE1" w:rsidRPr="00834991">
              <w:rPr>
                <w:rFonts w:ascii="Open Sans" w:eastAsia="Times New Roman" w:hAnsi="Open Sans" w:cs="Open Sans"/>
                <w:sz w:val="22"/>
                <w:szCs w:val="22"/>
                <w:lang w:val="ro-RO"/>
              </w:rPr>
              <w:t>chiziţiei.</w:t>
            </w:r>
          </w:p>
          <w:p w14:paraId="77D5A110" w14:textId="77777777" w:rsidR="002E150E" w:rsidRPr="007561A5" w:rsidRDefault="002E150E" w:rsidP="002446CB">
            <w:pPr>
              <w:autoSpaceDE/>
              <w:autoSpaceDN/>
              <w:jc w:val="both"/>
              <w:rPr>
                <w:rFonts w:ascii="Open Sans" w:eastAsia="Times New Roman" w:hAnsi="Open Sans" w:cs="Open Sans"/>
                <w:sz w:val="12"/>
                <w:szCs w:val="12"/>
                <w:lang w:val="ro-RO"/>
              </w:rPr>
            </w:pPr>
          </w:p>
          <w:p w14:paraId="25FA66DC" w14:textId="77777777" w:rsidR="002E150E" w:rsidRPr="00834991" w:rsidRDefault="004E4DE1" w:rsidP="002446CB">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b/>
                <w:bCs/>
                <w:sz w:val="22"/>
                <w:szCs w:val="22"/>
                <w:lang w:val="ro-RO"/>
              </w:rPr>
              <w:t>Sancţiune</w:t>
            </w:r>
            <w:r w:rsidR="008F1940" w:rsidRPr="00834991">
              <w:rPr>
                <w:rFonts w:ascii="Open Sans" w:eastAsia="Times New Roman" w:hAnsi="Open Sans" w:cs="Open Sans"/>
                <w:b/>
                <w:bCs/>
                <w:sz w:val="22"/>
                <w:szCs w:val="22"/>
                <w:lang w:val="ro-RO"/>
              </w:rPr>
              <w:t xml:space="preserve"> </w:t>
            </w:r>
          </w:p>
          <w:p w14:paraId="0546EB64" w14:textId="4C86C271" w:rsidR="007300F2" w:rsidRPr="00834991" w:rsidRDefault="3D2A31B5" w:rsidP="002446CB">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sz w:val="22"/>
                <w:szCs w:val="22"/>
                <w:lang w:val="ro-RO"/>
              </w:rPr>
              <w:t xml:space="preserve">- Nepublicarea anunţului </w:t>
            </w:r>
            <w:r w:rsidR="6A131C03" w:rsidRPr="00834991">
              <w:rPr>
                <w:rFonts w:ascii="Open Sans" w:eastAsia="Times New Roman" w:hAnsi="Open Sans" w:cs="Open Sans"/>
                <w:sz w:val="22"/>
                <w:szCs w:val="22"/>
                <w:lang w:val="ro-RO"/>
              </w:rPr>
              <w:t>pe</w:t>
            </w:r>
            <w:r w:rsidRPr="00834991">
              <w:rPr>
                <w:rFonts w:ascii="Open Sans" w:eastAsia="Times New Roman" w:hAnsi="Open Sans" w:cs="Open Sans"/>
                <w:sz w:val="22"/>
                <w:szCs w:val="22"/>
                <w:lang w:val="ro-RO"/>
              </w:rPr>
              <w:t xml:space="preserve"> pagina web </w:t>
            </w:r>
            <w:r w:rsidR="6A131C03" w:rsidRPr="00834991">
              <w:rPr>
                <w:rFonts w:ascii="Open Sans" w:eastAsia="Times New Roman" w:hAnsi="Open Sans" w:cs="Open Sans"/>
                <w:sz w:val="22"/>
                <w:szCs w:val="22"/>
                <w:lang w:val="ro-RO"/>
              </w:rPr>
              <w:t>a Pro</w:t>
            </w:r>
            <w:r w:rsidR="009C4DF5">
              <w:rPr>
                <w:rFonts w:ascii="Open Sans" w:eastAsia="Times New Roman" w:hAnsi="Open Sans" w:cs="Open Sans"/>
                <w:sz w:val="22"/>
                <w:szCs w:val="22"/>
                <w:lang w:val="ro-RO"/>
              </w:rPr>
              <w:t>gra</w:t>
            </w:r>
            <w:r w:rsidR="6A131C03" w:rsidRPr="00834991">
              <w:rPr>
                <w:rFonts w:ascii="Open Sans" w:eastAsia="Times New Roman" w:hAnsi="Open Sans" w:cs="Open Sans"/>
                <w:sz w:val="22"/>
                <w:szCs w:val="22"/>
                <w:lang w:val="ro-RO"/>
              </w:rPr>
              <w:t>mului</w:t>
            </w:r>
            <w:r w:rsidR="00136297">
              <w:rPr>
                <w:rFonts w:ascii="Open Sans" w:eastAsia="Times New Roman" w:hAnsi="Open Sans" w:cs="Open Sans"/>
                <w:sz w:val="22"/>
                <w:szCs w:val="22"/>
                <w:lang w:val="ro-RO"/>
              </w:rPr>
              <w:t>,</w:t>
            </w:r>
            <w:r w:rsidR="00136297" w:rsidRPr="00834991">
              <w:rPr>
                <w:rFonts w:ascii="Open Sans" w:hAnsi="Open Sans" w:cs="Open Sans"/>
                <w:sz w:val="22"/>
                <w:szCs w:val="22"/>
                <w:lang w:val="ro-RO"/>
              </w:rPr>
              <w:t xml:space="preserve"> însoţit de specificaţiile tehnice</w:t>
            </w:r>
            <w:r w:rsidR="00650FFB">
              <w:rPr>
                <w:rFonts w:ascii="Open Sans" w:hAnsi="Open Sans" w:cs="Open Sans"/>
                <w:sz w:val="22"/>
                <w:szCs w:val="22"/>
                <w:lang w:val="ro-RO"/>
              </w:rPr>
              <w:t xml:space="preserve"> sau</w:t>
            </w:r>
            <w:r w:rsidR="007300F2">
              <w:rPr>
                <w:rFonts w:ascii="Open Sans" w:eastAsia="Times New Roman" w:hAnsi="Open Sans" w:cs="Open Sans"/>
                <w:sz w:val="22"/>
                <w:szCs w:val="22"/>
                <w:lang w:val="ro-RO"/>
              </w:rPr>
              <w:t xml:space="preserve"> </w:t>
            </w:r>
            <w:r w:rsidR="00650FFB" w:rsidRPr="00834991">
              <w:rPr>
                <w:rFonts w:ascii="Open Sans" w:hAnsi="Open Sans" w:cs="Open Sans"/>
                <w:sz w:val="22"/>
                <w:szCs w:val="22"/>
                <w:lang w:val="ro-RO"/>
              </w:rPr>
              <w:t xml:space="preserve">însoţit </w:t>
            </w:r>
            <w:r w:rsidR="00650FFB">
              <w:rPr>
                <w:rFonts w:ascii="Open Sans" w:hAnsi="Open Sans" w:cs="Open Sans"/>
                <w:sz w:val="22"/>
                <w:szCs w:val="22"/>
                <w:lang w:val="ro-RO"/>
              </w:rPr>
              <w:t>de un link de unde se pot descărca</w:t>
            </w:r>
            <w:r w:rsidR="00650FFB" w:rsidRPr="00834991">
              <w:rPr>
                <w:rFonts w:ascii="Open Sans" w:hAnsi="Open Sans" w:cs="Open Sans"/>
                <w:sz w:val="22"/>
                <w:szCs w:val="22"/>
                <w:lang w:val="ro-RO"/>
              </w:rPr>
              <w:t xml:space="preserve"> specificaţiile tehnice</w:t>
            </w:r>
            <w:r w:rsidR="00650FFB">
              <w:rPr>
                <w:rFonts w:ascii="Open Sans" w:hAnsi="Open Sans" w:cs="Open Sans"/>
                <w:sz w:val="22"/>
                <w:szCs w:val="22"/>
                <w:lang w:val="ro-RO"/>
              </w:rPr>
              <w:t xml:space="preserve"> </w:t>
            </w:r>
            <w:r w:rsidR="007300F2">
              <w:rPr>
                <w:rFonts w:ascii="Open Sans" w:eastAsia="Times New Roman" w:hAnsi="Open Sans" w:cs="Open Sans"/>
                <w:sz w:val="22"/>
                <w:szCs w:val="22"/>
                <w:lang w:val="ro-RO"/>
              </w:rPr>
              <w:t xml:space="preserve">- </w:t>
            </w:r>
            <w:r w:rsidRPr="00834991">
              <w:rPr>
                <w:rFonts w:ascii="Open Sans" w:eastAsia="Times New Roman" w:hAnsi="Open Sans" w:cs="Open Sans"/>
                <w:b/>
                <w:bCs/>
                <w:sz w:val="22"/>
                <w:szCs w:val="22"/>
                <w:lang w:val="ro-RO"/>
              </w:rPr>
              <w:t xml:space="preserve">corecţie de 25% </w:t>
            </w:r>
            <w:r w:rsidR="2EAA3A21" w:rsidRPr="00834991">
              <w:rPr>
                <w:rFonts w:ascii="Open Sans" w:eastAsia="Times New Roman" w:hAnsi="Open Sans" w:cs="Open Sans"/>
                <w:b/>
                <w:bCs/>
                <w:sz w:val="22"/>
                <w:szCs w:val="22"/>
                <w:lang w:val="ro-RO"/>
              </w:rPr>
              <w:t>din valoarea contractului de achiziție</w:t>
            </w:r>
          </w:p>
          <w:p w14:paraId="1B9CB023" w14:textId="77777777" w:rsidR="00AF3953" w:rsidRPr="007561A5" w:rsidRDefault="00AF3953" w:rsidP="002446CB">
            <w:pPr>
              <w:autoSpaceDE/>
              <w:autoSpaceDN/>
              <w:jc w:val="both"/>
              <w:rPr>
                <w:rFonts w:ascii="Open Sans" w:eastAsia="Times New Roman" w:hAnsi="Open Sans" w:cs="Open Sans"/>
                <w:sz w:val="10"/>
                <w:szCs w:val="10"/>
                <w:lang w:val="ro-RO"/>
              </w:rPr>
            </w:pPr>
          </w:p>
          <w:p w14:paraId="09DB9463" w14:textId="72635053" w:rsidR="00AF3953" w:rsidRPr="00834991" w:rsidRDefault="00E65439"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 </w:t>
            </w:r>
            <w:r w:rsidR="00AF3953" w:rsidRPr="00834991">
              <w:rPr>
                <w:rFonts w:ascii="Open Sans" w:eastAsia="Times New Roman" w:hAnsi="Open Sans" w:cs="Open Sans"/>
                <w:sz w:val="22"/>
                <w:szCs w:val="22"/>
                <w:lang w:val="ro-RO"/>
              </w:rPr>
              <w:t xml:space="preserve">Specificații tehnice care nu au un caracter obiectiv/renunţarea pe parcursul evaluării la anumite specificaţii tehnice comunicate - </w:t>
            </w:r>
            <w:r w:rsidR="00AF3953" w:rsidRPr="00834991">
              <w:rPr>
                <w:rFonts w:ascii="Open Sans" w:eastAsia="Times New Roman" w:hAnsi="Open Sans" w:cs="Open Sans"/>
                <w:b/>
                <w:bCs/>
                <w:sz w:val="22"/>
                <w:szCs w:val="22"/>
                <w:lang w:val="ro-RO"/>
              </w:rPr>
              <w:t>corecţie proporţional cu prejudiciul</w:t>
            </w:r>
            <w:r w:rsidR="00AF3953" w:rsidRPr="00834991">
              <w:rPr>
                <w:rFonts w:ascii="Open Sans" w:eastAsia="Times New Roman" w:hAnsi="Open Sans" w:cs="Open Sans"/>
                <w:sz w:val="22"/>
                <w:szCs w:val="22"/>
                <w:lang w:val="ro-RO"/>
              </w:rPr>
              <w:t xml:space="preserve"> </w:t>
            </w:r>
          </w:p>
          <w:p w14:paraId="2D3CE61E" w14:textId="77777777" w:rsidR="00BE7FED" w:rsidRPr="007561A5" w:rsidRDefault="00BE7FED" w:rsidP="002446CB">
            <w:pPr>
              <w:autoSpaceDE/>
              <w:autoSpaceDN/>
              <w:jc w:val="both"/>
              <w:rPr>
                <w:rFonts w:ascii="Open Sans" w:eastAsia="Times New Roman" w:hAnsi="Open Sans" w:cs="Open Sans"/>
                <w:sz w:val="14"/>
                <w:szCs w:val="14"/>
                <w:lang w:val="ro-RO"/>
              </w:rPr>
            </w:pPr>
          </w:p>
          <w:p w14:paraId="3E8EA2B4" w14:textId="2A88DA2D" w:rsidR="00AF3953" w:rsidRPr="00834991" w:rsidRDefault="00BE7FED"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 </w:t>
            </w:r>
            <w:r w:rsidR="00AF3953" w:rsidRPr="00834991">
              <w:rPr>
                <w:rFonts w:ascii="Open Sans" w:eastAsia="Times New Roman" w:hAnsi="Open Sans" w:cs="Open Sans"/>
                <w:sz w:val="22"/>
                <w:szCs w:val="22"/>
                <w:lang w:val="ro-RO"/>
              </w:rPr>
              <w:t xml:space="preserve">Publicarea unor specificaţii tehnice care nu au un caracter </w:t>
            </w:r>
            <w:r w:rsidRPr="00834991">
              <w:rPr>
                <w:rFonts w:ascii="Open Sans" w:eastAsia="Times New Roman" w:hAnsi="Open Sans" w:cs="Open Sans"/>
                <w:sz w:val="22"/>
                <w:szCs w:val="22"/>
                <w:lang w:val="ro-RO"/>
              </w:rPr>
              <w:t>o</w:t>
            </w:r>
            <w:r w:rsidR="00AF3953" w:rsidRPr="00834991">
              <w:rPr>
                <w:rFonts w:ascii="Open Sans" w:eastAsia="Times New Roman" w:hAnsi="Open Sans" w:cs="Open Sans"/>
                <w:sz w:val="22"/>
                <w:szCs w:val="22"/>
                <w:lang w:val="ro-RO"/>
              </w:rPr>
              <w:t>biectiv/Renunţarea pe parcursul</w:t>
            </w:r>
            <w:r w:rsidRPr="00834991">
              <w:rPr>
                <w:rFonts w:ascii="Open Sans" w:eastAsia="Times New Roman" w:hAnsi="Open Sans" w:cs="Open Sans"/>
                <w:sz w:val="22"/>
                <w:szCs w:val="22"/>
                <w:lang w:val="ro-RO"/>
              </w:rPr>
              <w:t xml:space="preserve"> </w:t>
            </w:r>
            <w:r w:rsidR="00AF3953" w:rsidRPr="00834991">
              <w:rPr>
                <w:rFonts w:ascii="Open Sans" w:eastAsia="Times New Roman" w:hAnsi="Open Sans" w:cs="Open Sans"/>
                <w:sz w:val="22"/>
                <w:szCs w:val="22"/>
                <w:lang w:val="ro-RO"/>
              </w:rPr>
              <w:t xml:space="preserve">evaluării la </w:t>
            </w:r>
            <w:r w:rsidRPr="00834991">
              <w:rPr>
                <w:rFonts w:ascii="Open Sans" w:eastAsia="Times New Roman" w:hAnsi="Open Sans" w:cs="Open Sans"/>
                <w:sz w:val="22"/>
                <w:szCs w:val="22"/>
                <w:lang w:val="ro-RO"/>
              </w:rPr>
              <w:t>a</w:t>
            </w:r>
            <w:r w:rsidR="00AF3953" w:rsidRPr="00834991">
              <w:rPr>
                <w:rFonts w:ascii="Open Sans" w:eastAsia="Times New Roman" w:hAnsi="Open Sans" w:cs="Open Sans"/>
                <w:sz w:val="22"/>
                <w:szCs w:val="22"/>
                <w:lang w:val="ro-RO"/>
              </w:rPr>
              <w:t>numite</w:t>
            </w:r>
            <w:r w:rsidRPr="00834991">
              <w:rPr>
                <w:rFonts w:ascii="Open Sans" w:eastAsia="Times New Roman" w:hAnsi="Open Sans" w:cs="Open Sans"/>
                <w:sz w:val="22"/>
                <w:szCs w:val="22"/>
                <w:lang w:val="ro-RO"/>
              </w:rPr>
              <w:t xml:space="preserve"> </w:t>
            </w:r>
            <w:r w:rsidR="00AF3953" w:rsidRPr="00834991">
              <w:rPr>
                <w:rFonts w:ascii="Open Sans" w:eastAsia="Times New Roman" w:hAnsi="Open Sans" w:cs="Open Sans"/>
                <w:sz w:val="22"/>
                <w:szCs w:val="22"/>
                <w:lang w:val="ro-RO"/>
              </w:rPr>
              <w:t>specificaţii tehnice publicate</w:t>
            </w:r>
            <w:r w:rsidRPr="00834991">
              <w:rPr>
                <w:rFonts w:ascii="Open Sans" w:eastAsia="Times New Roman" w:hAnsi="Open Sans" w:cs="Open Sans"/>
                <w:sz w:val="22"/>
                <w:szCs w:val="22"/>
                <w:lang w:val="ro-RO"/>
              </w:rPr>
              <w:t xml:space="preserve"> </w:t>
            </w:r>
            <w:r w:rsidR="00AF3953" w:rsidRPr="00834991">
              <w:rPr>
                <w:rFonts w:ascii="Open Sans" w:eastAsia="Times New Roman" w:hAnsi="Open Sans" w:cs="Open Sans"/>
                <w:b/>
                <w:bCs/>
                <w:sz w:val="22"/>
                <w:szCs w:val="22"/>
                <w:lang w:val="ro-RO"/>
              </w:rPr>
              <w:t>- corecţie proporţională cu</w:t>
            </w:r>
            <w:r w:rsidRPr="00834991">
              <w:rPr>
                <w:rFonts w:ascii="Open Sans" w:eastAsia="Times New Roman" w:hAnsi="Open Sans" w:cs="Open Sans"/>
                <w:b/>
                <w:bCs/>
                <w:sz w:val="22"/>
                <w:szCs w:val="22"/>
                <w:lang w:val="ro-RO"/>
              </w:rPr>
              <w:t xml:space="preserve"> </w:t>
            </w:r>
            <w:r w:rsidR="00AF3953" w:rsidRPr="00834991">
              <w:rPr>
                <w:rFonts w:ascii="Open Sans" w:eastAsia="Times New Roman" w:hAnsi="Open Sans" w:cs="Open Sans"/>
                <w:b/>
                <w:bCs/>
                <w:sz w:val="22"/>
                <w:szCs w:val="22"/>
                <w:lang w:val="ro-RO"/>
              </w:rPr>
              <w:t>prejudiciul</w:t>
            </w:r>
            <w:r w:rsidRPr="00834991">
              <w:rPr>
                <w:rFonts w:ascii="Open Sans" w:eastAsia="Times New Roman" w:hAnsi="Open Sans" w:cs="Open Sans"/>
                <w:b/>
                <w:bCs/>
                <w:sz w:val="22"/>
                <w:szCs w:val="22"/>
                <w:lang w:val="ro-RO"/>
              </w:rPr>
              <w:t xml:space="preserve"> </w:t>
            </w:r>
            <w:r w:rsidR="00AF3953" w:rsidRPr="00834991">
              <w:rPr>
                <w:rFonts w:ascii="Open Sans" w:eastAsia="Times New Roman" w:hAnsi="Open Sans" w:cs="Open Sans"/>
                <w:b/>
                <w:bCs/>
                <w:sz w:val="22"/>
                <w:szCs w:val="22"/>
                <w:lang w:val="ro-RO"/>
              </w:rPr>
              <w:t>(partea a 3-a pct. 3 din anexa la H.G. nr. 519/2014)</w:t>
            </w:r>
            <w:r w:rsidR="00AF3953" w:rsidRPr="00834991">
              <w:rPr>
                <w:rFonts w:ascii="Open Sans" w:eastAsia="Times New Roman" w:hAnsi="Open Sans" w:cs="Open Sans"/>
                <w:sz w:val="22"/>
                <w:szCs w:val="22"/>
                <w:lang w:val="ro-RO"/>
              </w:rPr>
              <w:t xml:space="preserve">             </w:t>
            </w:r>
          </w:p>
        </w:tc>
      </w:tr>
      <w:tr w:rsidR="00E65439" w:rsidRPr="00834991" w14:paraId="31142B2B" w14:textId="77777777" w:rsidTr="00650FFB">
        <w:trPr>
          <w:trHeight w:val="300"/>
        </w:trPr>
        <w:tc>
          <w:tcPr>
            <w:tcW w:w="553" w:type="dxa"/>
            <w:vMerge w:val="restart"/>
            <w:vAlign w:val="center"/>
          </w:tcPr>
          <w:p w14:paraId="2C5997E4" w14:textId="69C9376A" w:rsidR="00A6020D" w:rsidRPr="00834991" w:rsidRDefault="00A6020D"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2</w:t>
            </w:r>
          </w:p>
        </w:tc>
        <w:tc>
          <w:tcPr>
            <w:tcW w:w="1994" w:type="dxa"/>
            <w:vAlign w:val="center"/>
          </w:tcPr>
          <w:p w14:paraId="0424CC91" w14:textId="33217C11" w:rsidR="00A6020D" w:rsidRPr="00834991" w:rsidRDefault="77997E99" w:rsidP="00E65439">
            <w:pPr>
              <w:autoSpaceDE/>
              <w:autoSpaceDN/>
              <w:rPr>
                <w:rFonts w:ascii="Open Sans" w:eastAsia="Times New Roman" w:hAnsi="Open Sans" w:cs="Open Sans"/>
                <w:sz w:val="22"/>
                <w:szCs w:val="22"/>
                <w:lang w:val="ro-RO"/>
              </w:rPr>
            </w:pPr>
            <w:r w:rsidRPr="00650FFB">
              <w:rPr>
                <w:rFonts w:ascii="Open Sans" w:eastAsia="Times New Roman" w:hAnsi="Open Sans" w:cs="Open Sans"/>
                <w:b/>
                <w:bCs/>
                <w:sz w:val="22"/>
                <w:szCs w:val="22"/>
                <w:lang w:val="ro-RO"/>
              </w:rPr>
              <w:t>a)</w:t>
            </w:r>
            <w:r w:rsidRPr="00834991">
              <w:rPr>
                <w:rFonts w:ascii="Open Sans" w:eastAsia="Times New Roman" w:hAnsi="Open Sans" w:cs="Open Sans"/>
                <w:sz w:val="22"/>
                <w:szCs w:val="22"/>
                <w:lang w:val="ro-RO"/>
              </w:rPr>
              <w:t xml:space="preserve"> Valoarea estimată a contractului este mai </w:t>
            </w:r>
            <w:r w:rsidR="07D9C3DB" w:rsidRPr="00834991">
              <w:rPr>
                <w:rFonts w:ascii="Open Sans" w:eastAsia="Times New Roman" w:hAnsi="Open Sans" w:cs="Open Sans"/>
                <w:sz w:val="22"/>
                <w:szCs w:val="22"/>
                <w:lang w:val="ro-RO"/>
              </w:rPr>
              <w:t xml:space="preserve">mare (sau egală) </w:t>
            </w:r>
            <w:r w:rsidRPr="00834991">
              <w:rPr>
                <w:rFonts w:ascii="Open Sans" w:eastAsia="Times New Roman" w:hAnsi="Open Sans" w:cs="Open Sans"/>
                <w:sz w:val="22"/>
                <w:szCs w:val="22"/>
                <w:lang w:val="ro-RO"/>
              </w:rPr>
              <w:t>decât pragurile valorice prevăzute în lege.</w:t>
            </w:r>
          </w:p>
        </w:tc>
        <w:tc>
          <w:tcPr>
            <w:tcW w:w="6385" w:type="dxa"/>
          </w:tcPr>
          <w:p w14:paraId="5BA5B123" w14:textId="18F38866" w:rsidR="00A6020D" w:rsidRPr="00834991" w:rsidRDefault="08088E32"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Se verifică dacă valoarea menționată în nota privind valoarea estimată este mai </w:t>
            </w:r>
            <w:r w:rsidR="03BF0208" w:rsidRPr="00834991">
              <w:rPr>
                <w:rFonts w:ascii="Open Sans" w:eastAsia="Times New Roman" w:hAnsi="Open Sans" w:cs="Open Sans"/>
                <w:sz w:val="22"/>
                <w:szCs w:val="22"/>
                <w:lang w:val="ro-RO"/>
              </w:rPr>
              <w:t>mare (sau egală)</w:t>
            </w:r>
            <w:r w:rsidRPr="00834991">
              <w:rPr>
                <w:rFonts w:ascii="Open Sans" w:eastAsia="Times New Roman" w:hAnsi="Open Sans" w:cs="Open Sans"/>
                <w:sz w:val="22"/>
                <w:szCs w:val="22"/>
                <w:lang w:val="ro-RO"/>
              </w:rPr>
              <w:t xml:space="preserve"> decât pragurile valorice prevăzute la art. 7 alin. (1) din lege.</w:t>
            </w:r>
          </w:p>
          <w:p w14:paraId="12C88147" w14:textId="65E4A5FB" w:rsidR="00A6020D" w:rsidRPr="00834991" w:rsidRDefault="00A6020D" w:rsidP="002446CB">
            <w:pPr>
              <w:autoSpaceDE/>
              <w:autoSpaceDN/>
              <w:jc w:val="both"/>
              <w:rPr>
                <w:rFonts w:ascii="Open Sans" w:eastAsia="Times New Roman" w:hAnsi="Open Sans" w:cs="Open Sans"/>
                <w:sz w:val="22"/>
                <w:szCs w:val="22"/>
                <w:lang w:val="ro-RO"/>
              </w:rPr>
            </w:pPr>
          </w:p>
        </w:tc>
      </w:tr>
      <w:tr w:rsidR="00E65439" w:rsidRPr="00834991" w14:paraId="50A5F6A2" w14:textId="77777777" w:rsidTr="001C7C65">
        <w:trPr>
          <w:trHeight w:val="300"/>
        </w:trPr>
        <w:tc>
          <w:tcPr>
            <w:tcW w:w="553" w:type="dxa"/>
            <w:vMerge/>
            <w:vAlign w:val="center"/>
          </w:tcPr>
          <w:p w14:paraId="6DC8CC73" w14:textId="77777777" w:rsidR="00A6020D" w:rsidRPr="00834991" w:rsidRDefault="00A6020D" w:rsidP="00E65439">
            <w:pPr>
              <w:autoSpaceDE/>
              <w:autoSpaceDN/>
              <w:rPr>
                <w:rFonts w:ascii="Open Sans" w:eastAsia="Times New Roman" w:hAnsi="Open Sans" w:cs="Open Sans"/>
                <w:sz w:val="22"/>
                <w:szCs w:val="22"/>
                <w:lang w:val="ro-RO"/>
              </w:rPr>
            </w:pPr>
          </w:p>
        </w:tc>
        <w:tc>
          <w:tcPr>
            <w:tcW w:w="1994" w:type="dxa"/>
            <w:vAlign w:val="center"/>
          </w:tcPr>
          <w:p w14:paraId="4B584655" w14:textId="32EF6889" w:rsidR="00A6020D" w:rsidRPr="00834991" w:rsidRDefault="08088E32" w:rsidP="00E65439">
            <w:pPr>
              <w:autoSpaceDE/>
              <w:autoSpaceDN/>
              <w:rPr>
                <w:rFonts w:ascii="Open Sans" w:eastAsia="Times New Roman" w:hAnsi="Open Sans" w:cs="Open Sans"/>
                <w:sz w:val="22"/>
                <w:szCs w:val="22"/>
                <w:lang w:val="ro-RO"/>
              </w:rPr>
            </w:pPr>
            <w:r w:rsidRPr="00650FFB">
              <w:rPr>
                <w:rFonts w:ascii="Open Sans" w:eastAsia="Times New Roman" w:hAnsi="Open Sans" w:cs="Open Sans"/>
                <w:b/>
                <w:bCs/>
                <w:sz w:val="22"/>
                <w:szCs w:val="22"/>
                <w:lang w:val="ro-RO"/>
              </w:rPr>
              <w:t>b)</w:t>
            </w:r>
            <w:r w:rsidRPr="00834991">
              <w:rPr>
                <w:rFonts w:ascii="Open Sans" w:eastAsia="Times New Roman" w:hAnsi="Open Sans" w:cs="Open Sans"/>
                <w:sz w:val="22"/>
                <w:szCs w:val="22"/>
                <w:lang w:val="ro-RO"/>
              </w:rPr>
              <w:t xml:space="preserve"> Contractul nu a fost divizat în mai multe contracte distincte cu valoarea mai mică cu scopul de evita aplicarea prevederilor art. 6 </w:t>
            </w:r>
            <w:r w:rsidR="00650FFB">
              <w:rPr>
                <w:rFonts w:ascii="Open Sans" w:eastAsia="Times New Roman" w:hAnsi="Open Sans" w:cs="Open Sans"/>
                <w:sz w:val="22"/>
                <w:szCs w:val="22"/>
                <w:lang w:val="ro-RO"/>
              </w:rPr>
              <w:t>ș</w:t>
            </w:r>
            <w:r w:rsidRPr="00834991">
              <w:rPr>
                <w:rFonts w:ascii="Open Sans" w:eastAsia="Times New Roman" w:hAnsi="Open Sans" w:cs="Open Sans"/>
                <w:sz w:val="22"/>
                <w:szCs w:val="22"/>
                <w:lang w:val="ro-RO"/>
              </w:rPr>
              <w:t>i art. 7 alin. (1) din lege/prevederile prezentei proceduri.</w:t>
            </w:r>
          </w:p>
        </w:tc>
        <w:tc>
          <w:tcPr>
            <w:tcW w:w="6385" w:type="dxa"/>
          </w:tcPr>
          <w:p w14:paraId="148F185A" w14:textId="7A3BD559" w:rsidR="00A6020D" w:rsidRPr="00834991" w:rsidRDefault="27CF37B1"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 verifică dacă contractul nu a fost divizat, având în vedere scopul și/sau obiectul achiziției, prin raportare la Planul de achiziții al proiectului, după caz.</w:t>
            </w:r>
          </w:p>
        </w:tc>
      </w:tr>
      <w:tr w:rsidR="00E65439" w:rsidRPr="00834991" w14:paraId="72F2ECD5" w14:textId="77777777" w:rsidTr="00650FFB">
        <w:trPr>
          <w:trHeight w:val="300"/>
        </w:trPr>
        <w:tc>
          <w:tcPr>
            <w:tcW w:w="553" w:type="dxa"/>
            <w:vMerge/>
            <w:vAlign w:val="center"/>
          </w:tcPr>
          <w:p w14:paraId="09F378B3" w14:textId="77777777" w:rsidR="00A6020D" w:rsidRPr="00834991" w:rsidRDefault="00A6020D" w:rsidP="00E65439">
            <w:pPr>
              <w:autoSpaceDE/>
              <w:autoSpaceDN/>
              <w:rPr>
                <w:rFonts w:ascii="Open Sans" w:eastAsia="Times New Roman" w:hAnsi="Open Sans" w:cs="Open Sans"/>
                <w:sz w:val="22"/>
                <w:szCs w:val="22"/>
                <w:lang w:val="ro-RO"/>
              </w:rPr>
            </w:pPr>
          </w:p>
        </w:tc>
        <w:tc>
          <w:tcPr>
            <w:tcW w:w="1994" w:type="dxa"/>
            <w:vAlign w:val="center"/>
          </w:tcPr>
          <w:p w14:paraId="5C6A2851" w14:textId="17A837C6" w:rsidR="00A6020D" w:rsidRPr="00834991" w:rsidRDefault="00A6020D" w:rsidP="00E65439">
            <w:pPr>
              <w:autoSpaceDE/>
              <w:autoSpaceDN/>
              <w:rPr>
                <w:rFonts w:ascii="Open Sans" w:eastAsia="Times New Roman" w:hAnsi="Open Sans" w:cs="Open Sans"/>
                <w:sz w:val="22"/>
                <w:szCs w:val="22"/>
                <w:lang w:val="ro-RO"/>
              </w:rPr>
            </w:pPr>
            <w:r w:rsidRPr="00650FFB">
              <w:rPr>
                <w:rFonts w:ascii="Open Sans" w:eastAsia="Times New Roman" w:hAnsi="Open Sans" w:cs="Open Sans"/>
                <w:b/>
                <w:bCs/>
                <w:sz w:val="22"/>
                <w:szCs w:val="22"/>
                <w:lang w:val="ro-RO"/>
              </w:rPr>
              <w:t>c)</w:t>
            </w:r>
            <w:r w:rsidRPr="00834991">
              <w:rPr>
                <w:rFonts w:ascii="Open Sans" w:eastAsia="Times New Roman" w:hAnsi="Open Sans" w:cs="Open Sans"/>
                <w:sz w:val="22"/>
                <w:szCs w:val="22"/>
                <w:lang w:val="ro-RO"/>
              </w:rPr>
              <w:t xml:space="preserve"> Partenerul privat a ales corect procedura aplicabilă</w:t>
            </w:r>
          </w:p>
        </w:tc>
        <w:tc>
          <w:tcPr>
            <w:tcW w:w="6385" w:type="dxa"/>
          </w:tcPr>
          <w:p w14:paraId="6F999B97" w14:textId="6740535D" w:rsidR="00A6020D" w:rsidRPr="00834991" w:rsidRDefault="00A6020D"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Se verifică dacă s-a ales corect procedura pornind de la valoarea estimată. Dacă valoarea estimată depășește pragul valoric prevăzute la art. 7 alin. (5) din lege și nu se încadrează în prevederile art. 6 din lege, partenerul trebuia să aplice procedura </w:t>
            </w:r>
            <w:r w:rsidR="00B13A9E" w:rsidRPr="00834991">
              <w:rPr>
                <w:rFonts w:ascii="Open Sans" w:eastAsia="Times New Roman" w:hAnsi="Open Sans" w:cs="Open Sans"/>
                <w:sz w:val="22"/>
                <w:szCs w:val="22"/>
                <w:lang w:val="ro-RO"/>
              </w:rPr>
              <w:t>pentru achiziții peste prag</w:t>
            </w:r>
            <w:r w:rsidRPr="00834991">
              <w:rPr>
                <w:rFonts w:ascii="Open Sans" w:eastAsia="Times New Roman" w:hAnsi="Open Sans" w:cs="Open Sans"/>
                <w:sz w:val="22"/>
                <w:szCs w:val="22"/>
                <w:lang w:val="ro-RO"/>
              </w:rPr>
              <w:t>.</w:t>
            </w:r>
          </w:p>
        </w:tc>
      </w:tr>
      <w:tr w:rsidR="00E65439" w:rsidRPr="00834991" w14:paraId="79E570D6" w14:textId="77777777" w:rsidTr="00AF1726">
        <w:trPr>
          <w:trHeight w:val="300"/>
        </w:trPr>
        <w:tc>
          <w:tcPr>
            <w:tcW w:w="553" w:type="dxa"/>
            <w:vMerge/>
          </w:tcPr>
          <w:p w14:paraId="6C74A6AE" w14:textId="77777777" w:rsidR="00A6020D" w:rsidRPr="00834991" w:rsidRDefault="00A6020D">
            <w:pPr>
              <w:autoSpaceDE/>
              <w:autoSpaceDN/>
              <w:rPr>
                <w:rFonts w:ascii="Open Sans" w:eastAsia="Times New Roman" w:hAnsi="Open Sans" w:cs="Open Sans"/>
                <w:sz w:val="22"/>
                <w:szCs w:val="22"/>
                <w:lang w:val="ro-RO"/>
              </w:rPr>
            </w:pPr>
          </w:p>
        </w:tc>
        <w:tc>
          <w:tcPr>
            <w:tcW w:w="8379" w:type="dxa"/>
            <w:gridSpan w:val="2"/>
          </w:tcPr>
          <w:p w14:paraId="2875F115" w14:textId="77777777" w:rsidR="00A6020D" w:rsidRPr="00650FFB" w:rsidRDefault="00A6020D" w:rsidP="002446CB">
            <w:pPr>
              <w:autoSpaceDE/>
              <w:autoSpaceDN/>
              <w:jc w:val="both"/>
              <w:rPr>
                <w:rFonts w:ascii="Open Sans" w:eastAsia="Times New Roman" w:hAnsi="Open Sans" w:cs="Open Sans"/>
                <w:b/>
                <w:bCs/>
                <w:sz w:val="22"/>
                <w:szCs w:val="22"/>
                <w:lang w:val="ro-RO"/>
              </w:rPr>
            </w:pPr>
            <w:r w:rsidRPr="00650FFB">
              <w:rPr>
                <w:rFonts w:ascii="Open Sans" w:eastAsia="Times New Roman" w:hAnsi="Open Sans" w:cs="Open Sans"/>
                <w:b/>
                <w:bCs/>
                <w:sz w:val="22"/>
                <w:szCs w:val="22"/>
                <w:lang w:val="ro-RO"/>
              </w:rPr>
              <w:t>Sancțiune</w:t>
            </w:r>
            <w:r w:rsidR="00001B0A" w:rsidRPr="00650FFB">
              <w:rPr>
                <w:rFonts w:ascii="Open Sans" w:eastAsia="Times New Roman" w:hAnsi="Open Sans" w:cs="Open Sans"/>
                <w:b/>
                <w:bCs/>
                <w:sz w:val="22"/>
                <w:szCs w:val="22"/>
                <w:lang w:val="ro-RO"/>
              </w:rPr>
              <w:t xml:space="preserve"> pentru lit. a), b) și c)</w:t>
            </w:r>
          </w:p>
          <w:p w14:paraId="46610467" w14:textId="77777777" w:rsidR="00001B0A" w:rsidRPr="00834991" w:rsidRDefault="00001B0A"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1. Dacă partenerul privat trebuia să aplice prevederile legii și a aplicat prevederile prezentei proceduri, se vor aplica sancțiunile prevăzute în anexa la H.G. 519/2014 (Partea 1 – Achiziții publice).</w:t>
            </w:r>
          </w:p>
          <w:p w14:paraId="63060B1E" w14:textId="29CAF1F9" w:rsidR="00001B0A" w:rsidRPr="00834991" w:rsidRDefault="704BEBAF"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2. Dacă partenerul privat trebuia să aplice procedura </w:t>
            </w:r>
            <w:r w:rsidR="00AF1726" w:rsidRPr="00834991">
              <w:rPr>
                <w:rFonts w:ascii="Open Sans" w:eastAsia="Times New Roman" w:hAnsi="Open Sans" w:cs="Open Sans"/>
                <w:sz w:val="22"/>
                <w:szCs w:val="22"/>
                <w:lang w:val="ro-RO"/>
              </w:rPr>
              <w:t xml:space="preserve">pentru achiziții peste prag </w:t>
            </w:r>
            <w:r w:rsidRPr="00834991">
              <w:rPr>
                <w:rFonts w:ascii="Open Sans" w:eastAsia="Times New Roman" w:hAnsi="Open Sans" w:cs="Open Sans"/>
                <w:sz w:val="22"/>
                <w:szCs w:val="22"/>
                <w:lang w:val="ro-RO"/>
              </w:rPr>
              <w:t>și a achiziționat direct, fără publicarea unui anunț pe site-ul Programului, se va aplica o corecție de 25% din valoarea contractului, ca urmare a nepublicării. Această corecție va fi aplicată și dacă motivarea încadrării pe excepțiile de la publicare nu este corectă.</w:t>
            </w:r>
          </w:p>
        </w:tc>
      </w:tr>
      <w:tr w:rsidR="00E65439" w:rsidRPr="00834991" w14:paraId="13C11960" w14:textId="77777777" w:rsidTr="00AF1726">
        <w:trPr>
          <w:trHeight w:val="300"/>
        </w:trPr>
        <w:tc>
          <w:tcPr>
            <w:tcW w:w="8932" w:type="dxa"/>
            <w:gridSpan w:val="3"/>
          </w:tcPr>
          <w:p w14:paraId="61DA6E2A" w14:textId="6AEFCA18" w:rsidR="00BB5F5E" w:rsidRPr="00834991" w:rsidRDefault="00287F7B" w:rsidP="002446CB">
            <w:pPr>
              <w:autoSpaceDE/>
              <w:autoSpaceDN/>
              <w:jc w:val="both"/>
              <w:rPr>
                <w:rFonts w:ascii="Open Sans" w:eastAsia="Times New Roman" w:hAnsi="Open Sans" w:cs="Open Sans"/>
                <w:sz w:val="22"/>
                <w:szCs w:val="22"/>
                <w:lang w:val="ro-RO"/>
              </w:rPr>
            </w:pPr>
            <w:r>
              <w:rPr>
                <w:rFonts w:ascii="Open Sans" w:eastAsia="Times New Roman" w:hAnsi="Open Sans" w:cs="Open Sans"/>
                <w:sz w:val="22"/>
                <w:szCs w:val="22"/>
                <w:lang w:val="ro-RO"/>
              </w:rPr>
              <w:t>Consul</w:t>
            </w:r>
            <w:r w:rsidR="00BB5F5E" w:rsidRPr="00834991">
              <w:rPr>
                <w:rFonts w:ascii="Open Sans" w:eastAsia="Times New Roman" w:hAnsi="Open Sans" w:cs="Open Sans"/>
                <w:sz w:val="22"/>
                <w:szCs w:val="22"/>
                <w:lang w:val="ro-RO"/>
              </w:rPr>
              <w:t>tarea pieței</w:t>
            </w:r>
          </w:p>
        </w:tc>
      </w:tr>
      <w:tr w:rsidR="00E65439" w:rsidRPr="00834991" w14:paraId="37D3435D" w14:textId="77777777" w:rsidTr="00650FFB">
        <w:trPr>
          <w:trHeight w:val="300"/>
        </w:trPr>
        <w:tc>
          <w:tcPr>
            <w:tcW w:w="553" w:type="dxa"/>
            <w:vAlign w:val="center"/>
          </w:tcPr>
          <w:p w14:paraId="3E0482C1" w14:textId="7333CD8D" w:rsidR="00BB5F5E" w:rsidRPr="00834991" w:rsidRDefault="00BB5F5E"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1.</w:t>
            </w:r>
          </w:p>
        </w:tc>
        <w:tc>
          <w:tcPr>
            <w:tcW w:w="1994" w:type="dxa"/>
            <w:vAlign w:val="center"/>
          </w:tcPr>
          <w:p w14:paraId="4E19057F" w14:textId="30BCED44" w:rsidR="00BB5F5E" w:rsidRPr="00834991" w:rsidRDefault="00BB5F5E"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Anunțul a fost publicat</w:t>
            </w:r>
          </w:p>
        </w:tc>
        <w:tc>
          <w:tcPr>
            <w:tcW w:w="6385" w:type="dxa"/>
          </w:tcPr>
          <w:p w14:paraId="6014393A" w14:textId="64AC4538" w:rsidR="00BB5F5E" w:rsidRPr="00834991" w:rsidRDefault="03004940"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 verifică dacă anunțul este publicat pe site-ul Programului</w:t>
            </w:r>
            <w:r w:rsidR="00650FFB">
              <w:rPr>
                <w:rFonts w:ascii="Open Sans" w:eastAsia="Times New Roman" w:hAnsi="Open Sans" w:cs="Open Sans"/>
                <w:sz w:val="22"/>
                <w:szCs w:val="22"/>
                <w:lang w:val="ro-RO"/>
              </w:rPr>
              <w:t>.</w:t>
            </w:r>
            <w:r w:rsidRPr="00834991">
              <w:rPr>
                <w:rFonts w:ascii="Open Sans" w:eastAsia="Times New Roman" w:hAnsi="Open Sans" w:cs="Open Sans"/>
                <w:sz w:val="22"/>
                <w:szCs w:val="22"/>
                <w:lang w:val="ro-RO"/>
              </w:rPr>
              <w:t xml:space="preserve"> </w:t>
            </w:r>
          </w:p>
          <w:p w14:paraId="1F814AFC" w14:textId="20875A0E" w:rsidR="00BB5F5E" w:rsidRPr="00834991" w:rsidRDefault="00BB5F5E" w:rsidP="002446CB">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b/>
                <w:bCs/>
                <w:sz w:val="22"/>
                <w:szCs w:val="22"/>
                <w:lang w:val="ro-RO"/>
              </w:rPr>
              <w:t>Sancțiune</w:t>
            </w:r>
            <w:r w:rsidR="001C7C65">
              <w:rPr>
                <w:rFonts w:ascii="Open Sans" w:eastAsia="Times New Roman" w:hAnsi="Open Sans" w:cs="Open Sans"/>
                <w:b/>
                <w:bCs/>
                <w:sz w:val="22"/>
                <w:szCs w:val="22"/>
                <w:lang w:val="ro-RO"/>
              </w:rPr>
              <w:t xml:space="preserve"> pentru cazul în care anunțul nu este publicat pe site-ul Programului</w:t>
            </w:r>
            <w:r w:rsidRPr="00834991">
              <w:rPr>
                <w:rFonts w:ascii="Open Sans" w:eastAsia="Times New Roman" w:hAnsi="Open Sans" w:cs="Open Sans"/>
                <w:b/>
                <w:bCs/>
                <w:sz w:val="22"/>
                <w:szCs w:val="22"/>
                <w:lang w:val="ro-RO"/>
              </w:rPr>
              <w:t>:</w:t>
            </w:r>
          </w:p>
          <w:p w14:paraId="30F4BBBE" w14:textId="748A27DF" w:rsidR="00BB5F5E" w:rsidRPr="00834991" w:rsidRDefault="00BB5F5E"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 </w:t>
            </w:r>
            <w:r w:rsidR="00B80D61" w:rsidRPr="00834991">
              <w:rPr>
                <w:rFonts w:ascii="Open Sans" w:eastAsia="Times New Roman" w:hAnsi="Open Sans" w:cs="Open Sans"/>
                <w:sz w:val="22"/>
                <w:szCs w:val="22"/>
                <w:lang w:val="ro-RO"/>
              </w:rPr>
              <w:t>Corecție de 25% din valoarea contractului de achiziţie (partea a 3-a pct.1 din an</w:t>
            </w:r>
            <w:r w:rsidR="0030177B" w:rsidRPr="00834991">
              <w:rPr>
                <w:rFonts w:ascii="Open Sans" w:eastAsia="Times New Roman" w:hAnsi="Open Sans" w:cs="Open Sans"/>
                <w:sz w:val="22"/>
                <w:szCs w:val="22"/>
                <w:lang w:val="ro-RO"/>
              </w:rPr>
              <w:t>e</w:t>
            </w:r>
            <w:r w:rsidR="00B80D61" w:rsidRPr="00834991">
              <w:rPr>
                <w:rFonts w:ascii="Open Sans" w:eastAsia="Times New Roman" w:hAnsi="Open Sans" w:cs="Open Sans"/>
                <w:sz w:val="22"/>
                <w:szCs w:val="22"/>
                <w:lang w:val="ro-RO"/>
              </w:rPr>
              <w:t>xa la H.G. nr. 519/2014)</w:t>
            </w:r>
          </w:p>
        </w:tc>
      </w:tr>
      <w:tr w:rsidR="00E65439" w:rsidRPr="00834991" w14:paraId="505149FF" w14:textId="77777777" w:rsidTr="00650FFB">
        <w:trPr>
          <w:trHeight w:val="300"/>
        </w:trPr>
        <w:tc>
          <w:tcPr>
            <w:tcW w:w="553" w:type="dxa"/>
            <w:vAlign w:val="center"/>
          </w:tcPr>
          <w:p w14:paraId="19FDD282" w14:textId="6CFEB0D1" w:rsidR="00BB5F5E" w:rsidRPr="00834991" w:rsidRDefault="0030177B"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2.</w:t>
            </w:r>
          </w:p>
        </w:tc>
        <w:tc>
          <w:tcPr>
            <w:tcW w:w="1994" w:type="dxa"/>
            <w:vAlign w:val="center"/>
          </w:tcPr>
          <w:p w14:paraId="398174BB" w14:textId="450DE88B" w:rsidR="00BB5F5E" w:rsidRPr="00834991" w:rsidRDefault="0030177B"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S-a asigurat </w:t>
            </w:r>
            <w:r w:rsidR="0080541E">
              <w:rPr>
                <w:rFonts w:ascii="Open Sans" w:eastAsia="Times New Roman" w:hAnsi="Open Sans" w:cs="Open Sans"/>
                <w:sz w:val="22"/>
                <w:szCs w:val="22"/>
                <w:lang w:val="ro-RO"/>
              </w:rPr>
              <w:t>termenul minimum de prezentare a ofertei</w:t>
            </w:r>
          </w:p>
        </w:tc>
        <w:tc>
          <w:tcPr>
            <w:tcW w:w="6385" w:type="dxa"/>
          </w:tcPr>
          <w:p w14:paraId="04DE7DB0" w14:textId="77777777" w:rsidR="0030177B" w:rsidRDefault="77ED8A1C"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Nu trebuie s</w:t>
            </w:r>
            <w:r w:rsidR="19D4C249" w:rsidRPr="00834991">
              <w:rPr>
                <w:rFonts w:ascii="Open Sans" w:eastAsia="Times New Roman" w:hAnsi="Open Sans" w:cs="Open Sans"/>
                <w:sz w:val="22"/>
                <w:szCs w:val="22"/>
                <w:lang w:val="ro-RO"/>
              </w:rPr>
              <w:t>ă</w:t>
            </w:r>
            <w:r w:rsidRPr="00834991">
              <w:rPr>
                <w:rFonts w:ascii="Open Sans" w:eastAsia="Times New Roman" w:hAnsi="Open Sans" w:cs="Open Sans"/>
                <w:sz w:val="22"/>
                <w:szCs w:val="22"/>
                <w:lang w:val="ro-RO"/>
              </w:rPr>
              <w:t xml:space="preserve"> existe obstacole în vizualizarea/comunicarea specificațiilor tehnice.</w:t>
            </w:r>
            <w:r w:rsidR="00EF1498" w:rsidRPr="00834991">
              <w:rPr>
                <w:rFonts w:ascii="Open Sans" w:eastAsia="Times New Roman" w:hAnsi="Open Sans" w:cs="Open Sans"/>
                <w:sz w:val="22"/>
                <w:szCs w:val="22"/>
                <w:lang w:val="ro-RO"/>
              </w:rPr>
              <w:t xml:space="preserve"> </w:t>
            </w:r>
            <w:r w:rsidR="0030177B" w:rsidRPr="00834991">
              <w:rPr>
                <w:rFonts w:ascii="Open Sans" w:eastAsia="Times New Roman" w:hAnsi="Open Sans" w:cs="Open Sans"/>
                <w:sz w:val="22"/>
                <w:szCs w:val="22"/>
                <w:lang w:val="ro-RO"/>
              </w:rPr>
              <w:t>Se verifică dacă pentru contractele de furnizare s-a acordat un termen pentru elaborarea și prezentarea ofertei de minimum 6 zile calendaristice, iar pentru contractele de servicii și lucrări de minimum 10 zile calendaristice.</w:t>
            </w:r>
          </w:p>
          <w:p w14:paraId="66888866" w14:textId="77777777" w:rsidR="0080541E" w:rsidRPr="00834991" w:rsidRDefault="0080541E" w:rsidP="0080541E">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b/>
                <w:bCs/>
                <w:sz w:val="22"/>
                <w:szCs w:val="22"/>
                <w:lang w:val="ro-RO"/>
              </w:rPr>
              <w:t>Sancțiune:</w:t>
            </w:r>
          </w:p>
          <w:p w14:paraId="366809EB" w14:textId="1138825F" w:rsidR="0080541E" w:rsidRPr="00834991" w:rsidRDefault="0080541E" w:rsidP="0080541E">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În cazul în care sunt identificate </w:t>
            </w:r>
            <w:r>
              <w:rPr>
                <w:rFonts w:ascii="Open Sans" w:eastAsia="Times New Roman" w:hAnsi="Open Sans" w:cs="Open Sans"/>
                <w:sz w:val="22"/>
                <w:szCs w:val="22"/>
                <w:lang w:val="ro-RO"/>
              </w:rPr>
              <w:t>nerespectări ale termenelor,</w:t>
            </w:r>
            <w:r w:rsidRPr="00834991">
              <w:rPr>
                <w:rFonts w:ascii="Open Sans" w:eastAsia="Times New Roman" w:hAnsi="Open Sans" w:cs="Open Sans"/>
                <w:sz w:val="22"/>
                <w:szCs w:val="22"/>
                <w:lang w:val="ro-RO"/>
              </w:rPr>
              <w:t xml:space="preserve"> se aplică o corecție conform părții a 3-a a din anexa la H.G. nr. 519/2014, proporțional.</w:t>
            </w:r>
          </w:p>
        </w:tc>
      </w:tr>
      <w:tr w:rsidR="00E65439" w:rsidRPr="00834991" w14:paraId="003BCF60" w14:textId="77777777" w:rsidTr="00650FFB">
        <w:trPr>
          <w:trHeight w:val="300"/>
        </w:trPr>
        <w:tc>
          <w:tcPr>
            <w:tcW w:w="553" w:type="dxa"/>
            <w:vAlign w:val="center"/>
          </w:tcPr>
          <w:p w14:paraId="25C249A4" w14:textId="785D3BCD" w:rsidR="00BB5F5E" w:rsidRPr="00834991" w:rsidRDefault="0030177B"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3. </w:t>
            </w:r>
          </w:p>
        </w:tc>
        <w:tc>
          <w:tcPr>
            <w:tcW w:w="1994" w:type="dxa"/>
            <w:vAlign w:val="center"/>
          </w:tcPr>
          <w:p w14:paraId="298FD340" w14:textId="44B99BDB" w:rsidR="00BB5F5E" w:rsidRPr="00834991" w:rsidRDefault="0030177B"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S-a elaborat corespunzător nota justificativă de atribuire</w:t>
            </w:r>
          </w:p>
        </w:tc>
        <w:tc>
          <w:tcPr>
            <w:tcW w:w="6385" w:type="dxa"/>
          </w:tcPr>
          <w:p w14:paraId="64C0E285" w14:textId="77777777" w:rsidR="00BB5F5E" w:rsidRPr="00834991" w:rsidRDefault="0030177B"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Nota justificativă de atribuire a fost completată corespunzător, adică au fost prezentate avantajele tehnice și financiare care motivează </w:t>
            </w:r>
            <w:r w:rsidR="00BA280A" w:rsidRPr="00834991">
              <w:rPr>
                <w:rFonts w:ascii="Open Sans" w:eastAsia="Times New Roman" w:hAnsi="Open Sans" w:cs="Open Sans"/>
                <w:sz w:val="22"/>
                <w:szCs w:val="22"/>
                <w:lang w:val="ro-RO"/>
              </w:rPr>
              <w:t xml:space="preserve">alegerea ofertei pentru contractare în raport cu celelalte oferte primite/specificații tehnice. </w:t>
            </w:r>
          </w:p>
          <w:p w14:paraId="543C5E07" w14:textId="5C860AD0" w:rsidR="00BA280A" w:rsidRPr="00834991" w:rsidRDefault="00BA280A" w:rsidP="002446CB">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b/>
                <w:bCs/>
                <w:sz w:val="22"/>
                <w:szCs w:val="22"/>
                <w:lang w:val="ro-RO"/>
              </w:rPr>
              <w:t>Sancțiune:</w:t>
            </w:r>
          </w:p>
          <w:p w14:paraId="0DA7FA59" w14:textId="5B66B3FC" w:rsidR="00BA280A" w:rsidRPr="00834991" w:rsidRDefault="00BA280A"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În cazul în care sunt identificate specificații tehnice care nu corespund specificațiilor tehnice solicitate se aplică o corecție conform părții a 3-a a pct. 3 din anexa la H.G. nr. 519/2014, proporțional.</w:t>
            </w:r>
          </w:p>
        </w:tc>
      </w:tr>
      <w:tr w:rsidR="00E65439" w:rsidRPr="00834991" w14:paraId="11D05A36" w14:textId="77777777" w:rsidTr="00AF1726">
        <w:trPr>
          <w:trHeight w:val="300"/>
        </w:trPr>
        <w:tc>
          <w:tcPr>
            <w:tcW w:w="8932" w:type="dxa"/>
            <w:gridSpan w:val="3"/>
          </w:tcPr>
          <w:p w14:paraId="1F54C32D" w14:textId="38122230" w:rsidR="00BA280A" w:rsidRPr="00834991" w:rsidRDefault="00BA280A"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Semnarea contractului de achiziție</w:t>
            </w:r>
          </w:p>
        </w:tc>
      </w:tr>
      <w:tr w:rsidR="00E65439" w:rsidRPr="00834991" w14:paraId="4D1C391A" w14:textId="77777777" w:rsidTr="00650FFB">
        <w:trPr>
          <w:trHeight w:val="300"/>
        </w:trPr>
        <w:tc>
          <w:tcPr>
            <w:tcW w:w="553" w:type="dxa"/>
            <w:vAlign w:val="center"/>
          </w:tcPr>
          <w:p w14:paraId="464FE11B" w14:textId="324F86DB" w:rsidR="00BB5F5E" w:rsidRPr="00834991" w:rsidRDefault="00BA280A"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1.</w:t>
            </w:r>
          </w:p>
        </w:tc>
        <w:tc>
          <w:tcPr>
            <w:tcW w:w="1994" w:type="dxa"/>
            <w:vAlign w:val="center"/>
          </w:tcPr>
          <w:p w14:paraId="017BA2BA" w14:textId="67D51107" w:rsidR="00BB5F5E" w:rsidRPr="00834991" w:rsidRDefault="00BA280A"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Contractul a fost semnat cu ofertantul menționat în nota justificativă de atribuire</w:t>
            </w:r>
          </w:p>
        </w:tc>
        <w:tc>
          <w:tcPr>
            <w:tcW w:w="6385" w:type="dxa"/>
          </w:tcPr>
          <w:p w14:paraId="722E951B" w14:textId="77777777" w:rsidR="00BB5F5E" w:rsidRPr="00834991" w:rsidRDefault="00BA280A"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 compară cele două documente.</w:t>
            </w:r>
          </w:p>
          <w:p w14:paraId="3FBE80BD" w14:textId="77777777" w:rsidR="00BA280A" w:rsidRPr="00834991" w:rsidRDefault="00BA280A" w:rsidP="002446CB">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b/>
                <w:bCs/>
                <w:sz w:val="22"/>
                <w:szCs w:val="22"/>
                <w:lang w:val="ro-RO"/>
              </w:rPr>
              <w:t>Sancțiune:</w:t>
            </w:r>
          </w:p>
          <w:p w14:paraId="7F1E6BD8" w14:textId="4B57C2B8" w:rsidR="00BA280A" w:rsidRPr="00834991" w:rsidRDefault="00BA280A"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Dacă se schimbă câștigătorul desemnat</w:t>
            </w:r>
            <w:r w:rsidR="005E4D96" w:rsidRPr="00834991">
              <w:rPr>
                <w:rFonts w:ascii="Open Sans" w:eastAsia="Times New Roman" w:hAnsi="Open Sans" w:cs="Open Sans"/>
                <w:sz w:val="22"/>
                <w:szCs w:val="22"/>
                <w:lang w:val="ro-RO"/>
              </w:rPr>
              <w:t xml:space="preserve"> și, implicit, oferta câștigătoare aferentă, se va aplica sacțiunea prevăzută în partea a 3-a a pct. 3 din anexa la H.G. nr. 519/2014.</w:t>
            </w:r>
          </w:p>
        </w:tc>
      </w:tr>
      <w:tr w:rsidR="00FD6075" w:rsidRPr="00834991" w14:paraId="1C9EC213" w14:textId="77777777" w:rsidTr="00650FFB">
        <w:trPr>
          <w:trHeight w:val="300"/>
        </w:trPr>
        <w:tc>
          <w:tcPr>
            <w:tcW w:w="553" w:type="dxa"/>
            <w:vAlign w:val="center"/>
          </w:tcPr>
          <w:p w14:paraId="197725C2" w14:textId="2C77913F" w:rsidR="005E4D96" w:rsidRPr="00834991" w:rsidRDefault="005E4D96"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2.</w:t>
            </w:r>
          </w:p>
        </w:tc>
        <w:tc>
          <w:tcPr>
            <w:tcW w:w="1994" w:type="dxa"/>
            <w:vAlign w:val="center"/>
          </w:tcPr>
          <w:p w14:paraId="0AF03C03" w14:textId="7A3D0B98" w:rsidR="005E4D96" w:rsidRPr="00834991" w:rsidRDefault="005E4D96"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A fost comunicat câștigătorul</w:t>
            </w:r>
          </w:p>
        </w:tc>
        <w:tc>
          <w:tcPr>
            <w:tcW w:w="6385" w:type="dxa"/>
          </w:tcPr>
          <w:p w14:paraId="6AED49C7" w14:textId="77777777" w:rsidR="005E4D96" w:rsidRPr="00834991" w:rsidRDefault="005E4D96"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 verifică publicarea anunțului pe pagina web a Programului.</w:t>
            </w:r>
          </w:p>
          <w:p w14:paraId="50819C37" w14:textId="77777777" w:rsidR="005E4D96" w:rsidRPr="00834991" w:rsidRDefault="005E4D96" w:rsidP="002446CB">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b/>
                <w:bCs/>
                <w:sz w:val="22"/>
                <w:szCs w:val="22"/>
                <w:lang w:val="ro-RO"/>
              </w:rPr>
              <w:t xml:space="preserve">Sancțiune: </w:t>
            </w:r>
          </w:p>
          <w:p w14:paraId="3D3B0795" w14:textId="059C65C5" w:rsidR="005E4D96" w:rsidRPr="00834991" w:rsidRDefault="1B0F4750"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Dacă nu s-a asigurat transparența rezultatului procedurii, se aplică o corecție de </w:t>
            </w:r>
            <w:r w:rsidR="1A8C4710" w:rsidRPr="00834991">
              <w:rPr>
                <w:rFonts w:ascii="Open Sans" w:eastAsia="Times New Roman" w:hAnsi="Open Sans" w:cs="Open Sans"/>
                <w:sz w:val="22"/>
                <w:szCs w:val="22"/>
                <w:lang w:val="ro-RO"/>
              </w:rPr>
              <w:t>5</w:t>
            </w:r>
            <w:r w:rsidRPr="00834991">
              <w:rPr>
                <w:rFonts w:ascii="Open Sans" w:eastAsia="Times New Roman" w:hAnsi="Open Sans" w:cs="Open Sans"/>
                <w:sz w:val="22"/>
                <w:szCs w:val="22"/>
                <w:lang w:val="ro-RO"/>
              </w:rPr>
              <w:t>%</w:t>
            </w:r>
            <w:r w:rsidR="00EF1498" w:rsidRPr="00834991">
              <w:rPr>
                <w:rStyle w:val="FootnoteReference"/>
                <w:rFonts w:ascii="Open Sans" w:eastAsia="Times New Roman" w:hAnsi="Open Sans" w:cs="Open Sans"/>
                <w:sz w:val="22"/>
                <w:szCs w:val="22"/>
                <w:lang w:val="ro-RO"/>
              </w:rPr>
              <w:footnoteReference w:id="5"/>
            </w:r>
            <w:r w:rsidRPr="00834991">
              <w:rPr>
                <w:rFonts w:ascii="Open Sans" w:eastAsia="Times New Roman" w:hAnsi="Open Sans" w:cs="Open Sans"/>
                <w:sz w:val="22"/>
                <w:szCs w:val="22"/>
                <w:lang w:val="ro-RO"/>
              </w:rPr>
              <w:t xml:space="preserve"> din valoarea contractului de achiziție. Nu se aplică corecție financiară </w:t>
            </w:r>
            <w:r w:rsidR="25670B62" w:rsidRPr="00834991">
              <w:rPr>
                <w:rFonts w:ascii="Open Sans" w:eastAsia="Times New Roman" w:hAnsi="Open Sans" w:cs="Open Sans"/>
                <w:sz w:val="22"/>
                <w:szCs w:val="22"/>
                <w:lang w:val="ro-RO"/>
              </w:rPr>
              <w:t>în cazul erorilor de tehnoredactare justificate.</w:t>
            </w:r>
          </w:p>
        </w:tc>
      </w:tr>
      <w:tr w:rsidR="00E65439" w:rsidRPr="00834991" w14:paraId="3D2C9FD5" w14:textId="77777777" w:rsidTr="00650FFB">
        <w:trPr>
          <w:trHeight w:val="300"/>
        </w:trPr>
        <w:tc>
          <w:tcPr>
            <w:tcW w:w="553" w:type="dxa"/>
            <w:vAlign w:val="center"/>
          </w:tcPr>
          <w:p w14:paraId="4FEAD099" w14:textId="3B2AB0B2" w:rsidR="00C53C0C" w:rsidRPr="00834991" w:rsidRDefault="00C53C0C"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3.</w:t>
            </w:r>
          </w:p>
        </w:tc>
        <w:tc>
          <w:tcPr>
            <w:tcW w:w="1994" w:type="dxa"/>
            <w:vAlign w:val="center"/>
          </w:tcPr>
          <w:p w14:paraId="7E5162F5" w14:textId="0756EF7C" w:rsidR="00C53C0C" w:rsidRPr="00834991" w:rsidRDefault="00C53C0C"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Contractul este însoțit de declarația pe propria răspundere din care rezultă că nu s-au încălcat prevederile referitoare la conflictul de interese</w:t>
            </w:r>
          </w:p>
        </w:tc>
        <w:tc>
          <w:tcPr>
            <w:tcW w:w="6385" w:type="dxa"/>
          </w:tcPr>
          <w:p w14:paraId="134E47FE" w14:textId="71E20140" w:rsidR="00C53C0C" w:rsidRPr="00834991" w:rsidRDefault="3FC937B5"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 verifică existența declarațiilor</w:t>
            </w:r>
            <w:r w:rsidR="002748B0" w:rsidRPr="00834991">
              <w:rPr>
                <w:rFonts w:ascii="Open Sans" w:eastAsia="Times New Roman" w:hAnsi="Open Sans" w:cs="Open Sans"/>
                <w:sz w:val="22"/>
                <w:szCs w:val="22"/>
                <w:lang w:val="ro-RO"/>
              </w:rPr>
              <w:t xml:space="preserve"> </w:t>
            </w:r>
            <w:r w:rsidRPr="00834991">
              <w:rPr>
                <w:rFonts w:ascii="Open Sans" w:eastAsia="Times New Roman" w:hAnsi="Open Sans" w:cs="Open Sans"/>
                <w:sz w:val="22"/>
                <w:szCs w:val="22"/>
                <w:lang w:val="ro-RO"/>
              </w:rPr>
              <w:t>partenerului .</w:t>
            </w:r>
          </w:p>
        </w:tc>
      </w:tr>
      <w:tr w:rsidR="00E65439" w:rsidRPr="00834991" w14:paraId="42E5964C" w14:textId="77777777" w:rsidTr="00AF1726">
        <w:trPr>
          <w:trHeight w:val="300"/>
        </w:trPr>
        <w:tc>
          <w:tcPr>
            <w:tcW w:w="8932" w:type="dxa"/>
            <w:gridSpan w:val="3"/>
          </w:tcPr>
          <w:p w14:paraId="28CC5BAC" w14:textId="54AF9681" w:rsidR="00C53C0C" w:rsidRPr="00834991" w:rsidRDefault="00C53C0C"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 xml:space="preserve">Implementarea contractului de achiziție </w:t>
            </w:r>
          </w:p>
        </w:tc>
      </w:tr>
      <w:tr w:rsidR="00E65439" w:rsidRPr="00834991" w14:paraId="47DBB778" w14:textId="77777777" w:rsidTr="00650FFB">
        <w:trPr>
          <w:trHeight w:val="300"/>
        </w:trPr>
        <w:tc>
          <w:tcPr>
            <w:tcW w:w="553" w:type="dxa"/>
            <w:vAlign w:val="center"/>
          </w:tcPr>
          <w:p w14:paraId="5D6CB929" w14:textId="46C8A13E" w:rsidR="00C53C0C" w:rsidRPr="00834991" w:rsidRDefault="00C53C0C"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1.</w:t>
            </w:r>
          </w:p>
        </w:tc>
        <w:tc>
          <w:tcPr>
            <w:tcW w:w="1994" w:type="dxa"/>
            <w:vAlign w:val="center"/>
          </w:tcPr>
          <w:p w14:paraId="2F0837DB" w14:textId="0FE3859C" w:rsidR="00C53C0C" w:rsidRPr="00834991" w:rsidRDefault="00C53C0C"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Modificările clauzelor contractuale respectă prevederile prezentei proceduri</w:t>
            </w:r>
          </w:p>
        </w:tc>
        <w:tc>
          <w:tcPr>
            <w:tcW w:w="6385" w:type="dxa"/>
          </w:tcPr>
          <w:p w14:paraId="4142B12B" w14:textId="77777777" w:rsidR="00C53C0C" w:rsidRPr="00834991" w:rsidRDefault="00C53C0C"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 verifică respectarea regulilor prevăzute. Se verifică, de asemenea, impactul modificărilor efectuate (valoarea modificărilor</w:t>
            </w:r>
            <w:r w:rsidR="00D54888" w:rsidRPr="00834991">
              <w:rPr>
                <w:rFonts w:ascii="Open Sans" w:eastAsia="Times New Roman" w:hAnsi="Open Sans" w:cs="Open Sans"/>
                <w:sz w:val="22"/>
                <w:szCs w:val="22"/>
                <w:lang w:val="ro-RO"/>
              </w:rPr>
              <w:t xml:space="preserve"> se va determina pe baza valorii cumulate a modificărilorsuccesive, dacă este cazul). </w:t>
            </w:r>
          </w:p>
          <w:p w14:paraId="4DAA6201" w14:textId="77777777" w:rsidR="00D54888" w:rsidRPr="00834991" w:rsidRDefault="00D54888" w:rsidP="002446CB">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b/>
                <w:bCs/>
                <w:sz w:val="22"/>
                <w:szCs w:val="22"/>
                <w:lang w:val="ro-RO"/>
              </w:rPr>
              <w:t>Sancțiune:</w:t>
            </w:r>
          </w:p>
          <w:p w14:paraId="69539DDB" w14:textId="7A5C3509" w:rsidR="00D54888" w:rsidRPr="00834991" w:rsidRDefault="00D54888"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 aplică o corecție conform părții a 3-a a pct. 3 din anexa la H.G. nr. 519/2014, proporțional.</w:t>
            </w:r>
          </w:p>
        </w:tc>
      </w:tr>
      <w:tr w:rsidR="00E65439" w:rsidRPr="00834991" w14:paraId="1A24259F" w14:textId="77777777" w:rsidTr="00650FFB">
        <w:trPr>
          <w:trHeight w:val="300"/>
        </w:trPr>
        <w:tc>
          <w:tcPr>
            <w:tcW w:w="553" w:type="dxa"/>
            <w:vAlign w:val="center"/>
          </w:tcPr>
          <w:p w14:paraId="0FCA1E1A" w14:textId="41933FCF" w:rsidR="00C53C0C" w:rsidRPr="00834991" w:rsidRDefault="00D54888"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2.</w:t>
            </w:r>
          </w:p>
        </w:tc>
        <w:tc>
          <w:tcPr>
            <w:tcW w:w="1994" w:type="dxa"/>
            <w:vAlign w:val="center"/>
          </w:tcPr>
          <w:p w14:paraId="57F19699" w14:textId="0BD49876" w:rsidR="00C53C0C" w:rsidRPr="00834991" w:rsidRDefault="00D54888" w:rsidP="00E65439">
            <w:pPr>
              <w:autoSpaceDE/>
              <w:autoSpaceDN/>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Ajustarea prețului s-a realizat cu respectarea prevederilor prezentei proceduri</w:t>
            </w:r>
          </w:p>
        </w:tc>
        <w:tc>
          <w:tcPr>
            <w:tcW w:w="6385" w:type="dxa"/>
          </w:tcPr>
          <w:p w14:paraId="18C54D43" w14:textId="77777777" w:rsidR="00C53C0C" w:rsidRPr="00834991" w:rsidRDefault="00D54888"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Se verifică respectarea regulilor cu privire la ajustare.</w:t>
            </w:r>
          </w:p>
          <w:p w14:paraId="1AD39871" w14:textId="77777777" w:rsidR="00D54888" w:rsidRPr="00834991" w:rsidRDefault="00D54888" w:rsidP="002446CB">
            <w:pPr>
              <w:autoSpaceDE/>
              <w:autoSpaceDN/>
              <w:jc w:val="both"/>
              <w:rPr>
                <w:rFonts w:ascii="Open Sans" w:eastAsia="Times New Roman" w:hAnsi="Open Sans" w:cs="Open Sans"/>
                <w:b/>
                <w:bCs/>
                <w:sz w:val="22"/>
                <w:szCs w:val="22"/>
                <w:lang w:val="ro-RO"/>
              </w:rPr>
            </w:pPr>
            <w:r w:rsidRPr="00834991">
              <w:rPr>
                <w:rFonts w:ascii="Open Sans" w:eastAsia="Times New Roman" w:hAnsi="Open Sans" w:cs="Open Sans"/>
                <w:b/>
                <w:bCs/>
                <w:sz w:val="22"/>
                <w:szCs w:val="22"/>
                <w:lang w:val="ro-RO"/>
              </w:rPr>
              <w:t>Sancțiune:</w:t>
            </w:r>
          </w:p>
          <w:p w14:paraId="6A2B4C89" w14:textId="26BD0F4E" w:rsidR="00D54888" w:rsidRPr="00834991" w:rsidRDefault="00D54888" w:rsidP="002446CB">
            <w:pPr>
              <w:autoSpaceDE/>
              <w:autoSpaceDN/>
              <w:jc w:val="both"/>
              <w:rPr>
                <w:rFonts w:ascii="Open Sans" w:eastAsia="Times New Roman" w:hAnsi="Open Sans" w:cs="Open Sans"/>
                <w:sz w:val="22"/>
                <w:szCs w:val="22"/>
                <w:lang w:val="ro-RO"/>
              </w:rPr>
            </w:pPr>
            <w:r w:rsidRPr="00834991">
              <w:rPr>
                <w:rFonts w:ascii="Open Sans" w:eastAsia="Times New Roman" w:hAnsi="Open Sans" w:cs="Open Sans"/>
                <w:sz w:val="22"/>
                <w:szCs w:val="22"/>
                <w:lang w:val="ro-RO"/>
              </w:rPr>
              <w:t>Dacă nu s-au respectat prevederile, se aplică o corecție conform părții a 3-a a pct. 3 din anexa la H.G. nr. 519/2014, proporțional cu prejudiciul.</w:t>
            </w:r>
          </w:p>
        </w:tc>
      </w:tr>
    </w:tbl>
    <w:p w14:paraId="0E9F662A" w14:textId="5322039E" w:rsidR="00653584" w:rsidRPr="00834991" w:rsidRDefault="002C4D12" w:rsidP="00D54888">
      <w:pPr>
        <w:autoSpaceDE/>
        <w:autoSpaceDN/>
        <w:spacing w:after="240"/>
        <w:jc w:val="both"/>
        <w:rPr>
          <w:rFonts w:ascii="Open Sans" w:eastAsia="Times New Roman" w:hAnsi="Open Sans" w:cs="Open Sans"/>
          <w:sz w:val="22"/>
          <w:szCs w:val="22"/>
          <w:lang w:val="ro-RO"/>
        </w:rPr>
      </w:pPr>
      <w:r w:rsidRPr="00834991">
        <w:rPr>
          <w:rFonts w:ascii="Open Sans" w:hAnsi="Open Sans" w:cs="Open Sans"/>
          <w:sz w:val="22"/>
          <w:szCs w:val="22"/>
          <w:lang w:val="ro-RO"/>
        </w:rPr>
        <w:t xml:space="preserve">Atenție! </w:t>
      </w:r>
      <w:r w:rsidRPr="00834991">
        <w:rPr>
          <w:rFonts w:ascii="Open Sans" w:hAnsi="Open Sans" w:cs="Open Sans"/>
          <w:sz w:val="22"/>
          <w:szCs w:val="22"/>
          <w:lang w:val="ro-RO"/>
        </w:rPr>
        <w:br/>
        <w:t>În cazul în care realizarea obiectivului achiziției presupune o serie de aprobări, avize, autorizații sau alte formalități stabilite de prevederi legale incidente, partenerul privat trebuie să se asigure că efectuarea cheltuielilor se realizează cu respectarea tuturor prevederilor legale în vigoare.</w:t>
      </w:r>
    </w:p>
    <w:p w14:paraId="0906F9A4" w14:textId="26594CBE" w:rsidR="00653584" w:rsidRPr="00834991" w:rsidRDefault="00794296" w:rsidP="00614B8E">
      <w:pPr>
        <w:pStyle w:val="Heading1"/>
        <w:rPr>
          <w:rFonts w:ascii="Open Sans" w:hAnsi="Open Sans" w:cs="Open Sans"/>
          <w:b/>
          <w:bCs/>
          <w:color w:val="auto"/>
          <w:sz w:val="22"/>
          <w:szCs w:val="28"/>
          <w:lang w:val="ro-RO"/>
        </w:rPr>
      </w:pPr>
      <w:bookmarkStart w:id="12" w:name="_Toc184811998"/>
      <w:r w:rsidRPr="00834991">
        <w:rPr>
          <w:rFonts w:ascii="Open Sans" w:hAnsi="Open Sans" w:cs="Open Sans"/>
          <w:b/>
          <w:bCs/>
          <w:color w:val="auto"/>
          <w:sz w:val="22"/>
          <w:szCs w:val="28"/>
          <w:lang w:val="ro-RO"/>
        </w:rPr>
        <w:t>Capitolul 6</w:t>
      </w:r>
      <w:r w:rsidR="00A13085" w:rsidRPr="00834991">
        <w:rPr>
          <w:rFonts w:ascii="Open Sans" w:hAnsi="Open Sans" w:cs="Open Sans"/>
          <w:b/>
          <w:bCs/>
          <w:color w:val="auto"/>
          <w:sz w:val="22"/>
          <w:szCs w:val="28"/>
          <w:lang w:val="ro-RO"/>
        </w:rPr>
        <w:t xml:space="preserve"> - </w:t>
      </w:r>
      <w:r w:rsidRPr="00834991">
        <w:rPr>
          <w:rFonts w:ascii="Open Sans" w:hAnsi="Open Sans" w:cs="Open Sans"/>
          <w:b/>
          <w:bCs/>
          <w:color w:val="auto"/>
          <w:sz w:val="22"/>
          <w:szCs w:val="28"/>
          <w:lang w:val="ro-RO"/>
        </w:rPr>
        <w:t>Aplicarea principiului proporţionalităţii</w:t>
      </w:r>
      <w:bookmarkEnd w:id="12"/>
    </w:p>
    <w:p w14:paraId="0435ADF8" w14:textId="79208143" w:rsidR="00653584" w:rsidRPr="00834991" w:rsidRDefault="00CD27C2">
      <w:pPr>
        <w:pStyle w:val="NormalWeb"/>
        <w:spacing w:before="0" w:beforeAutospacing="0" w:after="0" w:afterAutospacing="0"/>
        <w:jc w:val="both"/>
        <w:rPr>
          <w:rStyle w:val="Heading2Char"/>
          <w:rFonts w:ascii="Open Sans" w:hAnsi="Open Sans" w:cs="Open Sans"/>
          <w:b/>
          <w:bCs/>
          <w:color w:val="auto"/>
          <w:sz w:val="22"/>
          <w:szCs w:val="22"/>
          <w:lang w:val="ro-RO"/>
        </w:rPr>
      </w:pPr>
      <w:bookmarkStart w:id="13" w:name="_Toc184811999"/>
      <w:r w:rsidRPr="00834991">
        <w:rPr>
          <w:rStyle w:val="Heading2Char"/>
          <w:rFonts w:ascii="Open Sans" w:hAnsi="Open Sans" w:cs="Open Sans"/>
          <w:b/>
          <w:bCs/>
          <w:color w:val="auto"/>
          <w:sz w:val="22"/>
          <w:szCs w:val="22"/>
          <w:lang w:val="ro-RO"/>
        </w:rPr>
        <w:t>SECŢIUNEA 1</w:t>
      </w:r>
      <w:r w:rsidR="005C1F42" w:rsidRPr="00834991">
        <w:rPr>
          <w:rStyle w:val="Heading2Char"/>
          <w:rFonts w:ascii="Open Sans" w:hAnsi="Open Sans" w:cs="Open Sans"/>
          <w:b/>
          <w:bCs/>
          <w:color w:val="auto"/>
          <w:sz w:val="22"/>
          <w:szCs w:val="22"/>
          <w:lang w:val="ro-RO"/>
        </w:rPr>
        <w:t xml:space="preserve"> - </w:t>
      </w:r>
      <w:r w:rsidRPr="00834991">
        <w:rPr>
          <w:rStyle w:val="Heading2Char"/>
          <w:rFonts w:ascii="Open Sans" w:hAnsi="Open Sans" w:cs="Open Sans"/>
          <w:b/>
          <w:bCs/>
          <w:color w:val="auto"/>
          <w:sz w:val="22"/>
          <w:szCs w:val="22"/>
          <w:lang w:val="ro-RO"/>
        </w:rPr>
        <w:t>Principiul proporţionalităţii în legislaţia aplicabilă</w:t>
      </w:r>
      <w:bookmarkEnd w:id="13"/>
    </w:p>
    <w:p w14:paraId="631FE567" w14:textId="5AF1A62B"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1.1. Conform art. 2 alin. (1) lit. n) din O.U.G. nr. 66/2011, principiul proporţionalităţii presupune că orice măsură administrativă ce se adoptă trebuie să fie adecvată, necesară şi corespunzătoare scopului urmărit, atât în ceea ce priveşte resursele angajate în constatarea neregulilor, cât şi în ceea ce priveşte stabilirea creanţelor bugetare rezultate din nereguli, ţinând seama de natura şi frecvenţa neregulilor constatate şi de impactul financiar al acestora asupra proiectului/programului respectiv.</w:t>
      </w:r>
    </w:p>
    <w:p w14:paraId="6351BC02" w14:textId="0380B21E"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1.2. Art. 17 din O.U.G. nr. 66/2011 precizează că orice acţiune întreprinsă în sensul constatării unei nereguli şi al stabilirii creanţelor bugetare rezultate din nereguli se realizează cu aplicarea principiului proporţionalităţii, ţinând-se seama de natura şi de gravitatea neregulii constatate, precum şi de amploarea şi de implicaţiile financiare ale acesteia.</w:t>
      </w:r>
    </w:p>
    <w:p w14:paraId="7B5D6123" w14:textId="7B3DCAFD"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1.3. Conform părţii a 3-a, pct. 3 din anexa la H.G. nr. 519/2014, aplicarea principiului proporţionalităţii se realizează luând în considerare gravitatea abaterii, prejudiciul provocat sau posibil să fie provocat fondurilor europene şi fondurilor publice naţionale aferente acestora.</w:t>
      </w:r>
    </w:p>
    <w:p w14:paraId="486463CA"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1.4. Pentru aplicarea principiului proporţionalităţii trebuie îndeplinite cumulativ două elemente: primul este determinarea gravităţii abaterii şi cel de al doilea se referă la prejudiciul provocat sau posibil să fie provocat. În funcţie de aceste două elemente se pot întâlni mai multe situaţii:</w:t>
      </w:r>
    </w:p>
    <w:p w14:paraId="4E5521C3"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1. În funcţie de gravitatea abaterii există:</w:t>
      </w:r>
    </w:p>
    <w:p w14:paraId="32FD0677"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a) abateri cu grad mic de impact;</w:t>
      </w:r>
    </w:p>
    <w:p w14:paraId="2FEDC7CB"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b) abateri cu grad mediu de impact;</w:t>
      </w:r>
    </w:p>
    <w:p w14:paraId="501671F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c) abateri cu grad mare de impact.</w:t>
      </w:r>
    </w:p>
    <w:p w14:paraId="081DF110" w14:textId="77777777" w:rsidR="00653584"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În acest caz se menţionează actul normativ nerespectat şi descrierea gravităţii abaterii.</w:t>
      </w:r>
    </w:p>
    <w:p w14:paraId="7FB5A35D"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 Referitor la prejudiciu, acesta poate fi:</w:t>
      </w:r>
    </w:p>
    <w:p w14:paraId="76491B98" w14:textId="32CBAD6F" w:rsidR="00653584" w:rsidRPr="00834991" w:rsidRDefault="287629CA" w:rsidP="05492485">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a) prejudiciu provocat - calcularea cuantumului (valoarea efectivă) rezultat în urma abaterii de la prevederile </w:t>
      </w:r>
      <w:r w:rsidR="00AA24C1" w:rsidRPr="00834991">
        <w:rPr>
          <w:rFonts w:ascii="Open Sans" w:hAnsi="Open Sans" w:cs="Open Sans"/>
          <w:sz w:val="22"/>
          <w:szCs w:val="22"/>
          <w:lang w:val="ro-RO"/>
        </w:rPr>
        <w:t>prezentei proceduri</w:t>
      </w:r>
      <w:r w:rsidRPr="00834991">
        <w:rPr>
          <w:rFonts w:ascii="Open Sans" w:hAnsi="Open Sans" w:cs="Open Sans"/>
          <w:sz w:val="22"/>
          <w:szCs w:val="22"/>
          <w:lang w:val="ro-RO"/>
        </w:rPr>
        <w:t>;</w:t>
      </w:r>
    </w:p>
    <w:p w14:paraId="6DB49D50" w14:textId="4AC93E76"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b) prejudiciu posibil să fie provocat - estimarea valorii ce ar fi rezultat în urma abaterii de la prevederile </w:t>
      </w:r>
      <w:r w:rsidR="00AA24C1" w:rsidRPr="00834991">
        <w:rPr>
          <w:rFonts w:ascii="Open Sans" w:hAnsi="Open Sans" w:cs="Open Sans"/>
          <w:sz w:val="22"/>
          <w:szCs w:val="22"/>
          <w:lang w:val="ro-RO"/>
        </w:rPr>
        <w:t>prezentei proceduri</w:t>
      </w:r>
      <w:r w:rsidRPr="00834991">
        <w:rPr>
          <w:rFonts w:ascii="Open Sans" w:hAnsi="Open Sans" w:cs="Open Sans"/>
          <w:sz w:val="22"/>
          <w:szCs w:val="22"/>
          <w:lang w:val="ro-RO"/>
        </w:rPr>
        <w:t>;</w:t>
      </w:r>
    </w:p>
    <w:p w14:paraId="212560C1" w14:textId="256E051E" w:rsidR="00E65439"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c) imposibilitatea de a estima valoarea prejudiciului rezultat în urma abaterii de la prevederile </w:t>
      </w:r>
      <w:r w:rsidR="00AA24C1" w:rsidRPr="00834991">
        <w:rPr>
          <w:rFonts w:ascii="Open Sans" w:hAnsi="Open Sans" w:cs="Open Sans"/>
          <w:sz w:val="22"/>
          <w:szCs w:val="22"/>
          <w:lang w:val="ro-RO"/>
        </w:rPr>
        <w:t>prezentei proceduri</w:t>
      </w:r>
      <w:r w:rsidRPr="00834991">
        <w:rPr>
          <w:rFonts w:ascii="Open Sans" w:hAnsi="Open Sans" w:cs="Open Sans"/>
          <w:sz w:val="22"/>
          <w:szCs w:val="22"/>
          <w:lang w:val="ro-RO"/>
        </w:rPr>
        <w:t>.</w:t>
      </w:r>
    </w:p>
    <w:p w14:paraId="38F2A820" w14:textId="50862841" w:rsidR="00653584" w:rsidRPr="00834991" w:rsidRDefault="00CD27C2">
      <w:pPr>
        <w:pStyle w:val="NormalWeb"/>
        <w:spacing w:before="0" w:beforeAutospacing="0" w:after="0" w:afterAutospacing="0"/>
        <w:jc w:val="both"/>
        <w:rPr>
          <w:rFonts w:ascii="Open Sans" w:hAnsi="Open Sans" w:cs="Open Sans"/>
          <w:sz w:val="22"/>
          <w:szCs w:val="22"/>
          <w:lang w:val="ro-RO"/>
        </w:rPr>
      </w:pPr>
      <w:bookmarkStart w:id="14" w:name="_Toc184812000"/>
      <w:r w:rsidRPr="00834991">
        <w:rPr>
          <w:rStyle w:val="Heading2Char"/>
          <w:rFonts w:ascii="Open Sans" w:hAnsi="Open Sans" w:cs="Open Sans"/>
          <w:b/>
          <w:bCs/>
          <w:color w:val="auto"/>
          <w:sz w:val="22"/>
          <w:szCs w:val="22"/>
          <w:lang w:val="ro-RO"/>
        </w:rPr>
        <w:t>SECŢIUNEA a 2-a</w:t>
      </w:r>
      <w:r w:rsidR="005C1F42" w:rsidRPr="00834991">
        <w:rPr>
          <w:rStyle w:val="Heading2Char"/>
          <w:rFonts w:ascii="Open Sans" w:hAnsi="Open Sans" w:cs="Open Sans"/>
          <w:b/>
          <w:bCs/>
          <w:color w:val="auto"/>
          <w:sz w:val="22"/>
          <w:szCs w:val="22"/>
          <w:lang w:val="ro-RO"/>
        </w:rPr>
        <w:t xml:space="preserve"> - </w:t>
      </w:r>
      <w:r w:rsidRPr="00834991">
        <w:rPr>
          <w:rStyle w:val="Heading2Char"/>
          <w:rFonts w:ascii="Open Sans" w:hAnsi="Open Sans" w:cs="Open Sans"/>
          <w:b/>
          <w:bCs/>
          <w:color w:val="auto"/>
          <w:sz w:val="22"/>
          <w:szCs w:val="22"/>
          <w:lang w:val="ro-RO"/>
        </w:rPr>
        <w:t>Îndrumări privind aplicarea unitară a principiului proporţionalităţii</w:t>
      </w:r>
      <w:bookmarkEnd w:id="14"/>
      <w:r w:rsidR="005C1F42" w:rsidRPr="00834991">
        <w:rPr>
          <w:rStyle w:val="FootnoteReference"/>
          <w:rFonts w:ascii="Open Sans" w:eastAsiaTheme="majorEastAsia" w:hAnsi="Open Sans" w:cs="Open Sans"/>
          <w:lang w:val="ro-RO"/>
        </w:rPr>
        <w:footnoteReference w:id="6"/>
      </w:r>
    </w:p>
    <w:p w14:paraId="53490040"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2.1. În cazul în care se poate determina prin calcul valoarea prejudiciului sau a posibilului prejudiciu rezultat din abaterea de la prevederile actului normativ, valoarea rezultată reprezintă cheltuială neeligibilă/debit. În această situaţie a cuantificării efective a prejudiciului/posibilului prejudiciu nu este relevantă gravitatea abaterii.</w:t>
      </w:r>
    </w:p>
    <w:p w14:paraId="329B80D3"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Exemple:</w:t>
      </w:r>
    </w:p>
    <w:p w14:paraId="12A9F5DF" w14:textId="77777777" w:rsidR="00653584" w:rsidRPr="00834991" w:rsidRDefault="00CD27C2" w:rsidP="2DCA9834">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diferenţa de preţ dintre oferta ce ar fi fost câştigătoare şi oferta declarată câştigătoare (de exemplu: oferta 1 - 100 lei şi oferta 2 - 120 lei, se declară greşit câştigătoare oferta 2 - rezultă valoarea prejudiciului 20 lei, aceasta fiind şi cuantumul corecţiei);</w:t>
      </w:r>
    </w:p>
    <w:p w14:paraId="5C10841E" w14:textId="77777777" w:rsidR="00E65439" w:rsidRPr="00834991" w:rsidRDefault="00CD27C2">
      <w:pPr>
        <w:pStyle w:val="NormalWeb"/>
        <w:spacing w:before="0" w:beforeAutospacing="0" w:after="24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semnarea unor acte adiţionale, fără justificare, care măresc valoarea contractului [de exemplu: preţ contract 100 lei mărit (fără apariţia unor situaţii care se încadrează în regulile de modificare) la 115 lei prin actul adiţional - rezultă valoarea prejudiciului 15 lei, acesta fiind şi cuantumul corecţiei.</w:t>
      </w:r>
    </w:p>
    <w:p w14:paraId="421F33A1"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2.2. În cazul în care nu se poate determina prin calcul valoarea prejudiciului sau a posibilului prejudiciu rezultat din abaterea de la actul normativ, atunci valoarea prejudiciului se va calcula prin aplicarea unei corecţii/reduceri procentuale care se va determina ţinând seama de gravitatea abaterii. Cuantumul corecţiilor/reducerilor procentuale se va determina, în funcţie de gravitate, după cum urmează:</w:t>
      </w:r>
    </w:p>
    <w:p w14:paraId="420C8EF7"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a) între 1% şi 5% din valoarea contractului în cauză, în situaţia în care abaterea este cu grad mic de impact;</w:t>
      </w:r>
    </w:p>
    <w:p w14:paraId="76D56DA6"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b) între 6% şi 10% din valoarea contractului în cauză, în situaţia în care abaterea este cu grad mediu de impact;</w:t>
      </w:r>
    </w:p>
    <w:p w14:paraId="74DC63ED"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c) între 11% şi 15% din valoarea contractului în cauză, în situaţia în care abaterea este cu grad mare de impact.</w:t>
      </w:r>
    </w:p>
    <w:p w14:paraId="45F26738"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Exemple:</w:t>
      </w:r>
    </w:p>
    <w:p w14:paraId="7F6EAD60" w14:textId="4158E63F"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există oferte ce respectă toate specificaţiile tehnice, care se încadrează în valoarea estimată, dar </w:t>
      </w:r>
      <w:r w:rsidR="00F06779" w:rsidRPr="00834991">
        <w:rPr>
          <w:rFonts w:ascii="Open Sans" w:hAnsi="Open Sans" w:cs="Open Sans"/>
          <w:sz w:val="22"/>
          <w:szCs w:val="22"/>
          <w:lang w:val="ro-RO"/>
        </w:rPr>
        <w:t>partene</w:t>
      </w:r>
      <w:r w:rsidRPr="00834991">
        <w:rPr>
          <w:rFonts w:ascii="Open Sans" w:hAnsi="Open Sans" w:cs="Open Sans"/>
          <w:sz w:val="22"/>
          <w:szCs w:val="22"/>
          <w:lang w:val="ro-RO"/>
        </w:rPr>
        <w:t>rul privat alege o ofertă cu caracteristici tehnice inferioare - suntem în situaţia unei abateri cu grad mare de impact şi se va aplica o corecţie/reducere procentuală de 15% din valoarea contractului în cauză;</w:t>
      </w:r>
    </w:p>
    <w:p w14:paraId="53FE3A81" w14:textId="7591B80F"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există oferte care respectă toate specificaţiile tehnice, dintre care numai unele depăşesc valoarea estimată, dar </w:t>
      </w:r>
      <w:r w:rsidR="00F06779"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alege o ofertă cu caracteristici tehnice corespunzătoare, însă cu o valoare mai mare decât a altor oferte care au caracteristici tehnice similare sau superioare cu cele solicitate şi care se încadrează şi în valoarea estimată - suntem în situaţia unei abateri cu grad mare de impact şi se va aplica o corecţie/reducere procentuală de 15% din valoarea contractului în cauză (dacă diferenţa nu este plătită din bugetul propriu);</w:t>
      </w:r>
    </w:p>
    <w:p w14:paraId="5B173FCD" w14:textId="37068AB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există oferte ce respectă toate specificaţiile tehnice, care depăşesc valoarea estimată, dar </w:t>
      </w:r>
      <w:r w:rsidR="00F06779" w:rsidRPr="00834991">
        <w:rPr>
          <w:rFonts w:ascii="Open Sans" w:hAnsi="Open Sans" w:cs="Open Sans"/>
          <w:sz w:val="22"/>
          <w:szCs w:val="22"/>
          <w:lang w:val="ro-RO"/>
        </w:rPr>
        <w:t>parteneru</w:t>
      </w:r>
      <w:r w:rsidRPr="00834991">
        <w:rPr>
          <w:rFonts w:ascii="Open Sans" w:hAnsi="Open Sans" w:cs="Open Sans"/>
          <w:sz w:val="22"/>
          <w:szCs w:val="22"/>
          <w:lang w:val="ro-RO"/>
        </w:rPr>
        <w:t>l privat alege o ofertă cu caracteristici tehnice inferioare, care nu depăşeşte valoarea estimată - suntem în situaţia unei abateri cu grad mediu de impact şi se va aplica o corecţie/reducere procentuală de 10% din valoarea contractului în cauză;</w:t>
      </w:r>
    </w:p>
    <w:p w14:paraId="25F78C9E" w14:textId="17C60205"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nu există nicio ofertă care respectă toate specificaţiile tehnice, dar aceste oferte nu depăşesc valoarea estimată şi </w:t>
      </w:r>
      <w:r w:rsidR="00F06779" w:rsidRPr="00834991">
        <w:rPr>
          <w:rFonts w:ascii="Open Sans" w:hAnsi="Open Sans" w:cs="Open Sans"/>
          <w:sz w:val="22"/>
          <w:szCs w:val="22"/>
          <w:lang w:val="ro-RO"/>
        </w:rPr>
        <w:t xml:space="preserve">partenerul </w:t>
      </w:r>
      <w:r w:rsidRPr="00834991">
        <w:rPr>
          <w:rFonts w:ascii="Open Sans" w:hAnsi="Open Sans" w:cs="Open Sans"/>
          <w:sz w:val="22"/>
          <w:szCs w:val="22"/>
          <w:lang w:val="ro-RO"/>
        </w:rPr>
        <w:t>privat alege oferta care respectă majoritatea specificaţiilor tehnice - suntem în situaţia unei abateri cu grad mic de impact şi se va aplica o corecţie/reducere procentuală de 5% din valoarea contractului în cauză;</w:t>
      </w:r>
    </w:p>
    <w:p w14:paraId="24DA4784" w14:textId="1C8C82BC"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există oferte care respectă toate specificaţiile tehnice, dar care depăşesc valoarea estimată şi </w:t>
      </w:r>
      <w:r w:rsidR="00F06779" w:rsidRPr="00834991">
        <w:rPr>
          <w:rFonts w:ascii="Open Sans" w:hAnsi="Open Sans" w:cs="Open Sans"/>
          <w:sz w:val="22"/>
          <w:szCs w:val="22"/>
          <w:lang w:val="ro-RO"/>
        </w:rPr>
        <w:t xml:space="preserve">partenerul </w:t>
      </w:r>
      <w:r w:rsidRPr="00834991">
        <w:rPr>
          <w:rFonts w:ascii="Open Sans" w:hAnsi="Open Sans" w:cs="Open Sans"/>
          <w:sz w:val="22"/>
          <w:szCs w:val="22"/>
          <w:lang w:val="ro-RO"/>
        </w:rPr>
        <w:t>privat alege o ofertă care respectă toate specificaţiile tehnice, dar depăşeşte valoarea estimată - suntem în situaţia unei abateri cu grad mic de impact şi se va aplica o corecţie/reducere procentuală de 5% din valoarea contractului în cauză (dacă diferenţa nu este plătită din bugetul propriu);</w:t>
      </w:r>
    </w:p>
    <w:p w14:paraId="64F65CAE" w14:textId="39510E9B"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modificarea nejustificată a ordinii de prioritate a elementelor de departajare a ofertelor faţă de cea publicată de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în documentele achiziţiei, situaţie care determină alegerea unei alte oferte câştigătoare decât cea care ar fi rezultat din aplicarea ordinii de prioritate iniţiale - suntem în situaţia unei abateri cu grad mare de impact şi se va aplica o corecţie/reducere procentuală de 15% din valoarea contractului în cauză;</w:t>
      </w:r>
    </w:p>
    <w:p w14:paraId="5A4E7539" w14:textId="189EEDD4"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modificarea justificată a ordinii de prioritate a elementelor de departajare a ofertelor faţă de cea publicată de </w:t>
      </w:r>
      <w:r w:rsidR="00750BBB" w:rsidRPr="00834991">
        <w:rPr>
          <w:rFonts w:ascii="Open Sans" w:hAnsi="Open Sans" w:cs="Open Sans"/>
          <w:sz w:val="22"/>
          <w:szCs w:val="22"/>
          <w:lang w:val="ro-RO"/>
        </w:rPr>
        <w:t>partenerul</w:t>
      </w:r>
      <w:r w:rsidRPr="00834991">
        <w:rPr>
          <w:rFonts w:ascii="Open Sans" w:hAnsi="Open Sans" w:cs="Open Sans"/>
          <w:sz w:val="22"/>
          <w:szCs w:val="22"/>
          <w:lang w:val="ro-RO"/>
        </w:rPr>
        <w:t xml:space="preserve"> privat în documentele achiziţiei, situaţie care determină alegerea unei alte oferte câştigătoare decât cea care ar fi rezultat din aplicarea ordinii de prioritate iniţiale - suntem în situaţia unei abateri cu grad mediu de impact şi se va aplica o corecţie/reducere procentuală de 10% din valoarea contractului în cauză;</w:t>
      </w:r>
    </w:p>
    <w:p w14:paraId="69DC3068" w14:textId="77777777" w:rsidR="005E73C7" w:rsidRPr="00834991" w:rsidRDefault="00CD27C2" w:rsidP="005E73C7">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modificarea ordinii de prioritate a elementelor de departajare a ofertelor, situaţie care nu determină alegerea unei alte oferte câştigătoare decât cea care ar fi rezultat din aplicarea ordinii de prioritate iniţiale - suntem în situaţia unei abateri cu grad mic de impact şi se va aplica o corecţie/reducere procentuală de 5% din valoarea contractului în cauză.</w:t>
      </w:r>
      <w:r w:rsidRPr="00834991">
        <w:rPr>
          <w:rFonts w:ascii="Open Sans" w:hAnsi="Open Sans" w:cs="Open Sans"/>
          <w:sz w:val="22"/>
          <w:szCs w:val="22"/>
          <w:lang w:val="ro-RO"/>
        </w:rPr>
        <w:br/>
      </w:r>
    </w:p>
    <w:p w14:paraId="3E3597F8" w14:textId="3D150135" w:rsidR="00653584" w:rsidRPr="00834991" w:rsidRDefault="00CD27C2" w:rsidP="005E73C7">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2.3. În situaţia unor abateri deosebit de grave, autorităţile cu competenţe în gestionarea fondurilor europene pot aplica corecţii/reduceri procentuale cuprinse între 16% şi 25%, justificând neîncadrarea în situaţiile de la pct. 2.2.</w:t>
      </w:r>
    </w:p>
    <w:p w14:paraId="2913ED19" w14:textId="77777777" w:rsidR="00653584" w:rsidRPr="00834991" w:rsidRDefault="00CD27C2">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Exemplu:</w:t>
      </w:r>
    </w:p>
    <w:p w14:paraId="0EB01BB8" w14:textId="62789255" w:rsidR="00B72419" w:rsidRPr="00834991" w:rsidRDefault="00CD27C2" w:rsidP="005E73C7">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w:t>
      </w:r>
      <w:r w:rsidRPr="00834991">
        <w:rPr>
          <w:rFonts w:ascii="Open Sans" w:hAnsi="Open Sans" w:cs="Open Sans"/>
          <w:sz w:val="22"/>
          <w:szCs w:val="22"/>
          <w:lang w:val="ro-RO"/>
        </w:rPr>
        <w:t> </w:t>
      </w:r>
      <w:r w:rsidRPr="00834991">
        <w:rPr>
          <w:rFonts w:ascii="Open Sans" w:hAnsi="Open Sans" w:cs="Open Sans"/>
          <w:sz w:val="22"/>
          <w:szCs w:val="22"/>
          <w:lang w:val="ro-RO"/>
        </w:rPr>
        <w:t xml:space="preserve">- în situaţiile exceptate de la procedura </w:t>
      </w:r>
      <w:r w:rsidR="00AF1726" w:rsidRPr="00834991">
        <w:rPr>
          <w:rFonts w:ascii="Open Sans" w:hAnsi="Open Sans" w:cs="Open Sans"/>
          <w:sz w:val="22"/>
          <w:szCs w:val="22"/>
          <w:lang w:val="ro-RO"/>
        </w:rPr>
        <w:t xml:space="preserve">pentru achiziții peste prag </w:t>
      </w:r>
      <w:r w:rsidRPr="00834991">
        <w:rPr>
          <w:rFonts w:ascii="Open Sans" w:hAnsi="Open Sans" w:cs="Open Sans"/>
          <w:sz w:val="22"/>
          <w:szCs w:val="22"/>
          <w:lang w:val="ro-RO"/>
        </w:rPr>
        <w:t>(concurenţa lipseşte din motive tehnice) se constată că justificarea excepţiei nu este susţinută de o documentare adecvată (există în mod evident soluţii alternative) - suntem în situaţia unei abateri deosebit de grave şi se va aplica o corecţie/reducere procentuală de până la 25% din valoarea contractului în cauză.</w:t>
      </w:r>
    </w:p>
    <w:p w14:paraId="08D1D7CB" w14:textId="77777777" w:rsidR="002748B0" w:rsidRPr="00834991" w:rsidRDefault="002748B0">
      <w:pPr>
        <w:autoSpaceDE/>
        <w:autoSpaceDN/>
        <w:rPr>
          <w:rFonts w:ascii="Open Sans" w:eastAsiaTheme="minorEastAsia" w:hAnsi="Open Sans" w:cs="Open Sans"/>
          <w:sz w:val="22"/>
          <w:szCs w:val="22"/>
          <w:lang w:val="ro-RO"/>
        </w:rPr>
      </w:pPr>
      <w:r w:rsidRPr="00834991">
        <w:rPr>
          <w:rFonts w:ascii="Open Sans" w:hAnsi="Open Sans" w:cs="Open Sans"/>
          <w:sz w:val="22"/>
          <w:szCs w:val="22"/>
          <w:lang w:val="ro-RO"/>
        </w:rPr>
        <w:br w:type="page"/>
      </w:r>
    </w:p>
    <w:p w14:paraId="29F48C6B" w14:textId="0ADA72F0" w:rsidR="00A406E7" w:rsidRPr="00834991" w:rsidRDefault="00A406E7" w:rsidP="00A406E7">
      <w:pPr>
        <w:pStyle w:val="NormalWeb"/>
        <w:jc w:val="both"/>
        <w:rPr>
          <w:rFonts w:ascii="Open Sans" w:hAnsi="Open Sans" w:cs="Open Sans"/>
          <w:sz w:val="22"/>
          <w:szCs w:val="22"/>
          <w:lang w:val="ro-RO"/>
        </w:rPr>
      </w:pPr>
      <w:r w:rsidRPr="00834991">
        <w:rPr>
          <w:rFonts w:ascii="Open Sans" w:hAnsi="Open Sans" w:cs="Open Sans"/>
          <w:color w:val="FF0000"/>
          <w:sz w:val="22"/>
          <w:szCs w:val="22"/>
          <w:lang w:val="ro-RO"/>
        </w:rPr>
        <w:t>(</w:t>
      </w:r>
      <w:r w:rsidRPr="00834991">
        <w:rPr>
          <w:rFonts w:ascii="Open Sans" w:hAnsi="Open Sans" w:cs="Open Sans"/>
          <w:sz w:val="22"/>
          <w:szCs w:val="22"/>
          <w:lang w:val="ro-RO"/>
        </w:rPr>
        <w:t>Anexa - Model declarație</w:t>
      </w:r>
      <w:r w:rsidRPr="00834991">
        <w:rPr>
          <w:rFonts w:ascii="Open Sans" w:hAnsi="Open Sans" w:cs="Open Sans"/>
          <w:color w:val="FF0000"/>
          <w:sz w:val="22"/>
          <w:szCs w:val="22"/>
          <w:lang w:val="ro-RO"/>
        </w:rPr>
        <w:t>)</w:t>
      </w:r>
    </w:p>
    <w:p w14:paraId="25BBB319" w14:textId="77777777" w:rsidR="00A406E7" w:rsidRPr="00834991" w:rsidRDefault="00A406E7" w:rsidP="00A406E7">
      <w:pPr>
        <w:pStyle w:val="NoSpacing"/>
        <w:jc w:val="center"/>
        <w:rPr>
          <w:rFonts w:ascii="Open Sans" w:hAnsi="Open Sans" w:cs="Open Sans"/>
          <w:sz w:val="22"/>
          <w:szCs w:val="22"/>
          <w:lang w:val="ro-RO"/>
        </w:rPr>
      </w:pPr>
      <w:r w:rsidRPr="00834991">
        <w:rPr>
          <w:rFonts w:ascii="Open Sans" w:hAnsi="Open Sans" w:cs="Open Sans"/>
          <w:sz w:val="22"/>
          <w:szCs w:val="22"/>
          <w:lang w:val="ro-RO"/>
        </w:rPr>
        <w:t>DECLARAŢIE</w:t>
      </w:r>
    </w:p>
    <w:p w14:paraId="2CD291D6" w14:textId="08C717FC" w:rsidR="00A406E7" w:rsidRPr="00834991" w:rsidRDefault="00A406E7" w:rsidP="00A406E7">
      <w:pPr>
        <w:pStyle w:val="NoSpacing"/>
        <w:jc w:val="center"/>
        <w:rPr>
          <w:rFonts w:ascii="Open Sans" w:hAnsi="Open Sans" w:cs="Open Sans"/>
          <w:sz w:val="22"/>
          <w:szCs w:val="22"/>
          <w:lang w:val="ro-RO"/>
        </w:rPr>
      </w:pPr>
      <w:r w:rsidRPr="00834991">
        <w:rPr>
          <w:rFonts w:ascii="Open Sans" w:hAnsi="Open Sans" w:cs="Open Sans"/>
          <w:sz w:val="22"/>
          <w:szCs w:val="22"/>
          <w:lang w:val="ro-RO"/>
        </w:rPr>
        <w:t xml:space="preserve">privind  </w:t>
      </w:r>
      <w:r w:rsidR="796581EC" w:rsidRPr="00834991">
        <w:rPr>
          <w:rFonts w:ascii="Open Sans" w:hAnsi="Open Sans" w:cs="Open Sans"/>
          <w:sz w:val="22"/>
          <w:szCs w:val="22"/>
          <w:lang w:val="ro-RO"/>
        </w:rPr>
        <w:t xml:space="preserve">lipsa </w:t>
      </w:r>
      <w:r w:rsidRPr="00834991">
        <w:rPr>
          <w:rFonts w:ascii="Open Sans" w:hAnsi="Open Sans" w:cs="Open Sans"/>
          <w:sz w:val="22"/>
          <w:szCs w:val="22"/>
          <w:lang w:val="ro-RO"/>
        </w:rPr>
        <w:t>conflictului de interese și de im</w:t>
      </w:r>
      <w:r w:rsidR="008A76BE" w:rsidRPr="00834991">
        <w:rPr>
          <w:rFonts w:ascii="Open Sans" w:hAnsi="Open Sans" w:cs="Open Sans"/>
          <w:sz w:val="22"/>
          <w:szCs w:val="22"/>
          <w:lang w:val="ro-RO"/>
        </w:rPr>
        <w:t>p</w:t>
      </w:r>
      <w:r w:rsidRPr="00834991">
        <w:rPr>
          <w:rFonts w:ascii="Open Sans" w:hAnsi="Open Sans" w:cs="Open Sans"/>
          <w:sz w:val="22"/>
          <w:szCs w:val="22"/>
          <w:lang w:val="ro-RO"/>
        </w:rPr>
        <w:t>arțialitate și confidențialitate</w:t>
      </w:r>
    </w:p>
    <w:p w14:paraId="780AD625" w14:textId="77777777" w:rsidR="00A406E7" w:rsidRPr="00834991" w:rsidRDefault="00A406E7" w:rsidP="00A406E7">
      <w:pPr>
        <w:pStyle w:val="NoSpacing"/>
        <w:rPr>
          <w:rFonts w:ascii="Open Sans" w:hAnsi="Open Sans" w:cs="Open Sans"/>
          <w:sz w:val="22"/>
          <w:szCs w:val="22"/>
          <w:lang w:val="ro-RO"/>
        </w:rPr>
      </w:pPr>
    </w:p>
    <w:p w14:paraId="78A395B9" w14:textId="6F24F654" w:rsidR="00A406E7" w:rsidRPr="00834991" w:rsidRDefault="00A406E7" w:rsidP="00A406E7">
      <w:pPr>
        <w:pStyle w:val="NoSpacing"/>
        <w:rPr>
          <w:rFonts w:ascii="Open Sans" w:hAnsi="Open Sans" w:cs="Open Sans"/>
          <w:sz w:val="22"/>
          <w:szCs w:val="22"/>
          <w:lang w:val="ro-RO"/>
        </w:rPr>
      </w:pPr>
      <w:r w:rsidRPr="00834991">
        <w:rPr>
          <w:rFonts w:ascii="Open Sans" w:hAnsi="Open Sans" w:cs="Open Sans"/>
          <w:sz w:val="22"/>
          <w:szCs w:val="22"/>
          <w:lang w:val="ro-RO"/>
        </w:rPr>
        <w:t>Partener: ..........................................</w:t>
      </w:r>
    </w:p>
    <w:p w14:paraId="36B3D517" w14:textId="77777777" w:rsidR="00A406E7" w:rsidRPr="00834991" w:rsidRDefault="00A406E7" w:rsidP="00A406E7">
      <w:pPr>
        <w:pStyle w:val="NoSpacing"/>
        <w:rPr>
          <w:rFonts w:ascii="Open Sans" w:hAnsi="Open Sans" w:cs="Open Sans"/>
          <w:sz w:val="22"/>
          <w:szCs w:val="22"/>
          <w:lang w:val="ro-RO"/>
        </w:rPr>
      </w:pPr>
      <w:r w:rsidRPr="00834991">
        <w:rPr>
          <w:rFonts w:ascii="Open Sans" w:hAnsi="Open Sans" w:cs="Open Sans"/>
          <w:sz w:val="22"/>
          <w:szCs w:val="22"/>
          <w:lang w:val="ro-RO"/>
        </w:rPr>
        <w:t>Titlul proiectului: ............................</w:t>
      </w:r>
    </w:p>
    <w:p w14:paraId="2C02A900" w14:textId="611711EA" w:rsidR="00A406E7" w:rsidRPr="00834991" w:rsidRDefault="00A406E7" w:rsidP="00A406E7">
      <w:pPr>
        <w:pStyle w:val="NoSpacing"/>
        <w:rPr>
          <w:rFonts w:ascii="Open Sans" w:hAnsi="Open Sans" w:cs="Open Sans"/>
          <w:sz w:val="22"/>
          <w:szCs w:val="22"/>
          <w:lang w:val="ro-RO"/>
        </w:rPr>
      </w:pPr>
      <w:r w:rsidRPr="00834991">
        <w:rPr>
          <w:rFonts w:ascii="Open Sans" w:hAnsi="Open Sans" w:cs="Open Sans"/>
          <w:sz w:val="22"/>
          <w:szCs w:val="22"/>
          <w:lang w:val="ro-RO"/>
        </w:rPr>
        <w:t>Numărul contractului de finanţare/contractului de cofinanţare: ....................................</w:t>
      </w:r>
    </w:p>
    <w:p w14:paraId="7D1A3013" w14:textId="77777777" w:rsidR="00A406E7" w:rsidRPr="00834991" w:rsidRDefault="00A406E7" w:rsidP="00A406E7">
      <w:pPr>
        <w:pStyle w:val="NoSpacing"/>
        <w:rPr>
          <w:rFonts w:ascii="Open Sans" w:hAnsi="Open Sans" w:cs="Open Sans"/>
          <w:sz w:val="22"/>
          <w:szCs w:val="22"/>
          <w:lang w:val="ro-RO"/>
        </w:rPr>
      </w:pPr>
      <w:r w:rsidRPr="00834991">
        <w:rPr>
          <w:rFonts w:ascii="Open Sans" w:hAnsi="Open Sans" w:cs="Open Sans"/>
          <w:sz w:val="22"/>
          <w:szCs w:val="22"/>
          <w:lang w:val="ro-RO"/>
        </w:rPr>
        <w:t>Codul proiectului (Jems): ...................</w:t>
      </w:r>
    </w:p>
    <w:p w14:paraId="70B34940" w14:textId="77777777" w:rsidR="00A406E7" w:rsidRPr="00834991" w:rsidRDefault="00A406E7" w:rsidP="00A406E7">
      <w:pPr>
        <w:pStyle w:val="NoSpacing"/>
        <w:rPr>
          <w:rFonts w:ascii="Open Sans" w:hAnsi="Open Sans" w:cs="Open Sans"/>
          <w:sz w:val="22"/>
          <w:szCs w:val="22"/>
          <w:lang w:val="ro-RO"/>
        </w:rPr>
      </w:pPr>
      <w:r w:rsidRPr="00834991">
        <w:rPr>
          <w:rFonts w:ascii="Open Sans" w:hAnsi="Open Sans" w:cs="Open Sans"/>
          <w:sz w:val="22"/>
          <w:szCs w:val="22"/>
          <w:lang w:val="ro-RO"/>
        </w:rPr>
        <w:t>Titlul achiziției: ………………………..</w:t>
      </w:r>
    </w:p>
    <w:p w14:paraId="290E224C" w14:textId="77777777" w:rsidR="00A406E7" w:rsidRPr="00834991" w:rsidRDefault="00A406E7" w:rsidP="00A406E7">
      <w:pPr>
        <w:pStyle w:val="NoSpacing"/>
        <w:rPr>
          <w:rFonts w:ascii="Open Sans" w:hAnsi="Open Sans" w:cs="Open Sans"/>
          <w:sz w:val="22"/>
          <w:szCs w:val="22"/>
          <w:lang w:val="ro-RO"/>
        </w:rPr>
      </w:pPr>
      <w:r w:rsidRPr="00834991">
        <w:rPr>
          <w:rFonts w:ascii="Open Sans" w:hAnsi="Open Sans" w:cs="Open Sans"/>
          <w:sz w:val="22"/>
          <w:szCs w:val="22"/>
          <w:lang w:val="ro-RO"/>
        </w:rPr>
        <w:t>Valoarea estimată a achiziției (fără TVA): ……………………..</w:t>
      </w:r>
    </w:p>
    <w:p w14:paraId="14EDAB4C" w14:textId="77777777" w:rsidR="00A406E7" w:rsidRPr="00834991" w:rsidRDefault="00A406E7" w:rsidP="00A406E7">
      <w:pPr>
        <w:pStyle w:val="NormalWeb"/>
        <w:jc w:val="both"/>
        <w:rPr>
          <w:rFonts w:ascii="Open Sans" w:hAnsi="Open Sans" w:cs="Open Sans"/>
          <w:sz w:val="22"/>
          <w:szCs w:val="22"/>
          <w:lang w:val="ro-RO"/>
        </w:rPr>
      </w:pPr>
      <w:r w:rsidRPr="00834991">
        <w:rPr>
          <w:rFonts w:ascii="Open Sans" w:hAnsi="Open Sans" w:cs="Open Sans"/>
          <w:sz w:val="22"/>
          <w:szCs w:val="22"/>
          <w:lang w:val="ro-RO"/>
        </w:rPr>
        <w:t>  Subsemnatul, ..............................., declar pe propria răspundere, sub sancţiunea falsului în declaraţii, cunoscând prevederile art. 326 din Legea nr. 286/2009 privind Codul penal, cu modificările şi completările ulterioare, că din informaţiile cunoscute până în acest moment nu mă încadrez în situaţia în care exercitarea imparţială şi obiectivă a activităţii de evaluare/selecţie este afectată din motive care implică familia, viaţa afectivă, afinităţile politice sau naţionale, interesul economic sau orice alt interes personal direct sau indirect, pentru achiziția menționată mai sus.</w:t>
      </w:r>
    </w:p>
    <w:p w14:paraId="7CD14392" w14:textId="77777777" w:rsidR="00A406E7" w:rsidRPr="00834991" w:rsidRDefault="00A406E7" w:rsidP="00A406E7">
      <w:pPr>
        <w:pStyle w:val="NormalWeb"/>
        <w:jc w:val="both"/>
        <w:rPr>
          <w:rFonts w:ascii="Open Sans" w:hAnsi="Open Sans" w:cs="Open Sans"/>
          <w:sz w:val="22"/>
          <w:szCs w:val="22"/>
          <w:lang w:val="ro-RO"/>
        </w:rPr>
      </w:pPr>
      <w:r w:rsidRPr="00834991">
        <w:rPr>
          <w:rFonts w:ascii="Open Sans" w:hAnsi="Open Sans" w:cs="Open Sans"/>
          <w:sz w:val="22"/>
          <w:szCs w:val="22"/>
          <w:lang w:val="ro-RO"/>
        </w:rPr>
        <w:t>  Mă oblig ca, în cazul în care intervin elemente care pot genera un potenţial conflict de interese, să informez imediat şeful ierarhic superior, conform prevederilor art. 11 din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031A2464" w14:textId="77777777" w:rsidR="00A406E7" w:rsidRPr="00834991" w:rsidRDefault="00A406E7" w:rsidP="00A406E7">
      <w:pPr>
        <w:pStyle w:val="NormalWeb"/>
        <w:jc w:val="both"/>
        <w:rPr>
          <w:rFonts w:ascii="Open Sans" w:hAnsi="Open Sans" w:cs="Open Sans"/>
          <w:sz w:val="22"/>
          <w:szCs w:val="22"/>
          <w:lang w:val="ro-RO"/>
        </w:rPr>
      </w:pPr>
      <w:r w:rsidRPr="00834991">
        <w:rPr>
          <w:rFonts w:ascii="Open Sans" w:hAnsi="Open Sans" w:cs="Open Sans"/>
          <w:sz w:val="22"/>
          <w:szCs w:val="22"/>
          <w:lang w:val="ro-RO"/>
        </w:rPr>
        <w:t>  Totodată, declar că am luat cunoştinţă de prevederile legale privind conflictul de interese prevăzute de Ordonanţa de urgenţă a Guvernului nr. 66/2011, aprobată cu modificări şi completări prin Legea nr. 142/2012, cu modificările şi completările ulterioare, şi că nu mă aflu în nicio situaţie descrisă de art. 12 alin. (1) şi/sau art. 13 alin. (1) şi (2) din Ordonanţa de urgenţă a Guvernului nr. 66/2011, aprobată cu modificări şi completări prin Legea nr. 142/2012, cu modificările şi completările ulterioare.</w:t>
      </w:r>
    </w:p>
    <w:p w14:paraId="1CF2B69E" w14:textId="77777777" w:rsidR="00A406E7" w:rsidRPr="00834991" w:rsidRDefault="00A406E7" w:rsidP="00A406E7">
      <w:pPr>
        <w:pStyle w:val="NormalWeb"/>
        <w:jc w:val="both"/>
        <w:rPr>
          <w:rFonts w:ascii="Open Sans" w:hAnsi="Open Sans" w:cs="Open Sans"/>
          <w:sz w:val="22"/>
          <w:szCs w:val="22"/>
          <w:lang w:val="ro-RO"/>
        </w:rPr>
      </w:pPr>
      <w:r w:rsidRPr="00834991">
        <w:rPr>
          <w:rFonts w:ascii="Open Sans" w:hAnsi="Open Sans" w:cs="Open Sans"/>
          <w:sz w:val="22"/>
          <w:szCs w:val="22"/>
          <w:lang w:val="ro-RO"/>
        </w:rPr>
        <w:t>  Semnătura ....................................</w:t>
      </w:r>
    </w:p>
    <w:p w14:paraId="26549E46" w14:textId="77777777" w:rsidR="00A406E7" w:rsidRPr="00834991" w:rsidRDefault="00A406E7" w:rsidP="00A406E7">
      <w:pPr>
        <w:pStyle w:val="NormalWeb"/>
        <w:jc w:val="both"/>
        <w:rPr>
          <w:rFonts w:ascii="Open Sans" w:hAnsi="Open Sans" w:cs="Open Sans"/>
          <w:sz w:val="22"/>
          <w:szCs w:val="22"/>
          <w:lang w:val="ro-RO"/>
        </w:rPr>
      </w:pPr>
      <w:r w:rsidRPr="00834991">
        <w:rPr>
          <w:rFonts w:ascii="Open Sans" w:hAnsi="Open Sans" w:cs="Open Sans"/>
          <w:sz w:val="22"/>
          <w:szCs w:val="22"/>
          <w:lang w:val="ro-RO"/>
        </w:rPr>
        <w:t>  Nume ............................................</w:t>
      </w:r>
    </w:p>
    <w:p w14:paraId="7C7B900D" w14:textId="5B35947C" w:rsidR="00262D3C" w:rsidRPr="00E72505" w:rsidRDefault="00A406E7" w:rsidP="00A406E7">
      <w:pPr>
        <w:pStyle w:val="NormalWeb"/>
        <w:spacing w:before="0" w:beforeAutospacing="0" w:after="0" w:afterAutospacing="0"/>
        <w:jc w:val="both"/>
        <w:rPr>
          <w:rFonts w:ascii="Open Sans" w:hAnsi="Open Sans" w:cs="Open Sans"/>
          <w:sz w:val="22"/>
          <w:szCs w:val="22"/>
          <w:lang w:val="ro-RO"/>
        </w:rPr>
      </w:pPr>
      <w:r w:rsidRPr="00834991">
        <w:rPr>
          <w:rFonts w:ascii="Open Sans" w:hAnsi="Open Sans" w:cs="Open Sans"/>
          <w:sz w:val="22"/>
          <w:szCs w:val="22"/>
          <w:lang w:val="ro-RO"/>
        </w:rPr>
        <w:t>  Data.......................</w:t>
      </w:r>
      <w:r w:rsidR="00CD27C2" w:rsidRPr="00E72505">
        <w:rPr>
          <w:rFonts w:ascii="Open Sans" w:hAnsi="Open Sans" w:cs="Open Sans"/>
          <w:sz w:val="22"/>
          <w:szCs w:val="22"/>
          <w:lang w:val="ro-RO"/>
        </w:rPr>
        <w:br/>
      </w:r>
    </w:p>
    <w:sectPr w:rsidR="00262D3C" w:rsidRPr="00E72505">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FBAE0" w14:textId="77777777" w:rsidR="00162574" w:rsidRDefault="00162574" w:rsidP="005C1F42">
      <w:r>
        <w:separator/>
      </w:r>
    </w:p>
  </w:endnote>
  <w:endnote w:type="continuationSeparator" w:id="0">
    <w:p w14:paraId="06C33D1C" w14:textId="77777777" w:rsidR="00162574" w:rsidRDefault="00162574" w:rsidP="005C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onsolas">
    <w:panose1 w:val="020B0609020204030204"/>
    <w:charset w:val="00"/>
    <w:family w:val="roman"/>
    <w:notTrueType/>
    <w:pitch w:val="default"/>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A85BB" w14:textId="77777777" w:rsidR="00162574" w:rsidRDefault="00162574" w:rsidP="005C1F42">
      <w:r>
        <w:separator/>
      </w:r>
    </w:p>
  </w:footnote>
  <w:footnote w:type="continuationSeparator" w:id="0">
    <w:p w14:paraId="205C17F7" w14:textId="77777777" w:rsidR="00162574" w:rsidRDefault="00162574" w:rsidP="005C1F42">
      <w:r>
        <w:continuationSeparator/>
      </w:r>
    </w:p>
  </w:footnote>
  <w:footnote w:id="1">
    <w:p w14:paraId="165F1202" w14:textId="3B2A0AEE" w:rsidR="00C37061" w:rsidRDefault="00C37061">
      <w:pPr>
        <w:pStyle w:val="FootnoteText"/>
      </w:pPr>
      <w:r>
        <w:rPr>
          <w:rStyle w:val="FootnoteReference"/>
        </w:rPr>
        <w:footnoteRef/>
      </w:r>
      <w:r>
        <w:t xml:space="preserve"> </w:t>
      </w:r>
      <w:r w:rsidRPr="114FE715">
        <w:rPr>
          <w:rFonts w:ascii="Segoe UI" w:eastAsia="Segoe UI" w:hAnsi="Segoe UI" w:cs="Segoe UI"/>
          <w:color w:val="333333"/>
          <w:sz w:val="18"/>
          <w:szCs w:val="18"/>
        </w:rPr>
        <w:t>Prevederile art. 8 din Legea nr. 98/2016 privind achizițiile publice, privind revizuirea pragurilor, se aplică în mod corespunzător</w:t>
      </w:r>
    </w:p>
  </w:footnote>
  <w:footnote w:id="2">
    <w:p w14:paraId="62785122" w14:textId="277AEA7A" w:rsidR="008C3821" w:rsidRDefault="008C3821">
      <w:pPr>
        <w:pStyle w:val="FootnoteText"/>
      </w:pPr>
      <w:r>
        <w:rPr>
          <w:rStyle w:val="FootnoteReference"/>
        </w:rPr>
        <w:footnoteRef/>
      </w:r>
      <w:r>
        <w:t xml:space="preserve"> </w:t>
      </w:r>
      <w:r w:rsidRPr="008C3821">
        <w:rPr>
          <w:rFonts w:ascii="Segoe UI" w:eastAsia="Segoe UI" w:hAnsi="Segoe UI" w:cs="Segoe UI"/>
          <w:color w:val="333333"/>
          <w:sz w:val="18"/>
          <w:szCs w:val="18"/>
        </w:rPr>
        <w:t>Idem</w:t>
      </w:r>
    </w:p>
  </w:footnote>
  <w:footnote w:id="3">
    <w:p w14:paraId="30DB0323" w14:textId="3813D678" w:rsidR="114FE715" w:rsidRDefault="114FE715" w:rsidP="00AF1726">
      <w:pPr>
        <w:pStyle w:val="FootnoteText"/>
      </w:pPr>
      <w:r w:rsidRPr="114FE715">
        <w:rPr>
          <w:rStyle w:val="FootnoteReference"/>
        </w:rPr>
        <w:footnoteRef/>
      </w:r>
      <w:r>
        <w:t xml:space="preserve"> </w:t>
      </w:r>
      <w:r w:rsidRPr="114FE715">
        <w:rPr>
          <w:rFonts w:ascii="Segoe UI" w:eastAsia="Segoe UI" w:hAnsi="Segoe UI" w:cs="Segoe UI"/>
          <w:color w:val="333333"/>
          <w:sz w:val="18"/>
          <w:szCs w:val="18"/>
        </w:rPr>
        <w:t>Prevederile art. 8 din Legea nr. 98/2016 privind achizițiile publice, privind revizuirea pragurilor, se aplică în mod corespunzător</w:t>
      </w:r>
    </w:p>
  </w:footnote>
  <w:footnote w:id="4">
    <w:p w14:paraId="14C92BF7" w14:textId="57006798" w:rsidR="114FE715" w:rsidRDefault="114FE715" w:rsidP="00AF1726">
      <w:pPr>
        <w:pStyle w:val="FootnoteText"/>
      </w:pPr>
      <w:r w:rsidRPr="114FE715">
        <w:rPr>
          <w:rStyle w:val="FootnoteReference"/>
        </w:rPr>
        <w:footnoteRef/>
      </w:r>
      <w:r>
        <w:t xml:space="preserve"> </w:t>
      </w:r>
      <w:r w:rsidRPr="114FE715">
        <w:rPr>
          <w:rFonts w:ascii="Segoe UI" w:eastAsia="Segoe UI" w:hAnsi="Segoe UI" w:cs="Segoe UI"/>
          <w:color w:val="333333"/>
          <w:sz w:val="18"/>
          <w:szCs w:val="18"/>
        </w:rPr>
        <w:t>Prevederile art. 8 din Legea nr. 98/2016 privind achizițiile publice, privind revizuirea pragurilor, se aplică în mod corespunzător</w:t>
      </w:r>
    </w:p>
  </w:footnote>
  <w:footnote w:id="5">
    <w:p w14:paraId="14DC5C0E" w14:textId="60EF1FD4" w:rsidR="00EF1498" w:rsidRDefault="00EF1498">
      <w:pPr>
        <w:pStyle w:val="FootnoteText"/>
      </w:pPr>
      <w:r>
        <w:rPr>
          <w:rStyle w:val="FootnoteReference"/>
        </w:rPr>
        <w:footnoteRef/>
      </w:r>
      <w:r>
        <w:t xml:space="preserve"> Procentul aplicat va fi actualizat </w:t>
      </w:r>
      <w:r w:rsidR="00CD3256">
        <w:t>(</w:t>
      </w:r>
      <w:r>
        <w:t xml:space="preserve">conform </w:t>
      </w:r>
      <w:r w:rsidR="00CD3256" w:rsidRPr="00834991">
        <w:rPr>
          <w:rFonts w:ascii="Open Sans" w:eastAsia="Times New Roman" w:hAnsi="Open Sans" w:cs="Open Sans"/>
          <w:sz w:val="22"/>
          <w:szCs w:val="22"/>
          <w:lang w:val="ro-RO"/>
        </w:rPr>
        <w:t>H.G. nr. 519/2014</w:t>
      </w:r>
      <w:r w:rsidR="00CD3256">
        <w:rPr>
          <w:rFonts w:ascii="Open Sans" w:eastAsia="Times New Roman" w:hAnsi="Open Sans" w:cs="Open Sans"/>
          <w:sz w:val="22"/>
          <w:szCs w:val="22"/>
          <w:lang w:val="ro-RO"/>
        </w:rPr>
        <w:t>)</w:t>
      </w:r>
    </w:p>
  </w:footnote>
  <w:footnote w:id="6">
    <w:p w14:paraId="2352E330" w14:textId="5B0973C3" w:rsidR="005C1F42" w:rsidRDefault="005C1F42">
      <w:pPr>
        <w:pStyle w:val="FootnoteText"/>
      </w:pPr>
      <w:r>
        <w:rPr>
          <w:rStyle w:val="FootnoteReference"/>
        </w:rPr>
        <w:footnoteRef/>
      </w:r>
      <w:r>
        <w:t xml:space="preserve"> </w:t>
      </w:r>
      <w:r w:rsidRPr="005C1F42">
        <w:rPr>
          <w:rFonts w:ascii="Arial" w:hAnsi="Arial" w:cs="Arial"/>
          <w:sz w:val="18"/>
          <w:szCs w:val="18"/>
        </w:rPr>
        <w:t>Cu excepţia cazurilor de constatare a neregulii şi/sau fraudei, situaţie în care se vor aplica direct prevederile actelor normative din domeniul neregulilor/fraudelor.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C8A7C" w14:textId="31167227" w:rsidR="00846C1F" w:rsidRDefault="00846C1F" w:rsidP="00846C1F">
    <w:pPr>
      <w:pStyle w:val="Header"/>
      <w:jc w:val="right"/>
    </w:pPr>
    <w:r>
      <w:t>Rev. 0 – Dec. 2024</w:t>
    </w:r>
  </w:p>
</w:hdr>
</file>

<file path=word/intelligence2.xml><?xml version="1.0" encoding="utf-8"?>
<int2:intelligence xmlns:int2="http://schemas.microsoft.com/office/intelligence/2020/intelligence" xmlns:oel="http://schemas.microsoft.com/office/2019/extlst">
  <int2:observations>
    <int2:textHash int2:hashCode="aN2qQwXKh+NfZS" int2:id="yJsmLde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F332D"/>
    <w:multiLevelType w:val="hybridMultilevel"/>
    <w:tmpl w:val="E0DAA9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161CC3"/>
    <w:multiLevelType w:val="hybridMultilevel"/>
    <w:tmpl w:val="C5A83D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FD0E1E"/>
    <w:multiLevelType w:val="hybridMultilevel"/>
    <w:tmpl w:val="D1765A4A"/>
    <w:lvl w:ilvl="0" w:tplc="0AD261BC">
      <w:start w:val="1"/>
      <w:numFmt w:val="bullet"/>
      <w:lvlText w:val="-"/>
      <w:lvlJc w:val="left"/>
      <w:pPr>
        <w:ind w:left="720" w:hanging="360"/>
      </w:pPr>
      <w:rPr>
        <w:rFonts w:ascii="Times New Roman" w:eastAsia="Verdan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9B283D"/>
    <w:multiLevelType w:val="hybridMultilevel"/>
    <w:tmpl w:val="8DB0FD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9652772">
    <w:abstractNumId w:val="2"/>
  </w:num>
  <w:num w:numId="2" w16cid:durableId="1659765589">
    <w:abstractNumId w:val="0"/>
  </w:num>
  <w:num w:numId="3" w16cid:durableId="1212881935">
    <w:abstractNumId w:val="1"/>
  </w:num>
  <w:num w:numId="4" w16cid:durableId="399327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oNotHyphenateCaps/>
  <w:drawingGridHorizontalSpacing w:val="187"/>
  <w:drawingGridVerticalSpacing w:val="187"/>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76D"/>
    <w:rsid w:val="00001B0A"/>
    <w:rsid w:val="00015F96"/>
    <w:rsid w:val="00017FCC"/>
    <w:rsid w:val="0003267B"/>
    <w:rsid w:val="000835E4"/>
    <w:rsid w:val="000926F8"/>
    <w:rsid w:val="000C08AE"/>
    <w:rsid w:val="000C3E0C"/>
    <w:rsid w:val="000D1F59"/>
    <w:rsid w:val="000E4F58"/>
    <w:rsid w:val="000E654F"/>
    <w:rsid w:val="001100D1"/>
    <w:rsid w:val="0011029F"/>
    <w:rsid w:val="00130C90"/>
    <w:rsid w:val="00136297"/>
    <w:rsid w:val="00162574"/>
    <w:rsid w:val="001649DB"/>
    <w:rsid w:val="001661F7"/>
    <w:rsid w:val="001C7C65"/>
    <w:rsid w:val="0020450D"/>
    <w:rsid w:val="00233A56"/>
    <w:rsid w:val="002341CC"/>
    <w:rsid w:val="002446CB"/>
    <w:rsid w:val="00245A67"/>
    <w:rsid w:val="00262D3C"/>
    <w:rsid w:val="00267016"/>
    <w:rsid w:val="0027054C"/>
    <w:rsid w:val="00270C72"/>
    <w:rsid w:val="002748B0"/>
    <w:rsid w:val="00275762"/>
    <w:rsid w:val="002803CE"/>
    <w:rsid w:val="00287F7B"/>
    <w:rsid w:val="002C4D12"/>
    <w:rsid w:val="002C78EF"/>
    <w:rsid w:val="002D2818"/>
    <w:rsid w:val="002E150E"/>
    <w:rsid w:val="0030177B"/>
    <w:rsid w:val="003145B2"/>
    <w:rsid w:val="003304E4"/>
    <w:rsid w:val="00353920"/>
    <w:rsid w:val="003576DD"/>
    <w:rsid w:val="00357E46"/>
    <w:rsid w:val="003868DB"/>
    <w:rsid w:val="00387568"/>
    <w:rsid w:val="00392478"/>
    <w:rsid w:val="003C5863"/>
    <w:rsid w:val="003D6F99"/>
    <w:rsid w:val="003F0621"/>
    <w:rsid w:val="00421C56"/>
    <w:rsid w:val="00422E46"/>
    <w:rsid w:val="004275E0"/>
    <w:rsid w:val="00432132"/>
    <w:rsid w:val="004373CC"/>
    <w:rsid w:val="004C4FA7"/>
    <w:rsid w:val="004D09BC"/>
    <w:rsid w:val="004D0B71"/>
    <w:rsid w:val="004E4DE1"/>
    <w:rsid w:val="004E5C08"/>
    <w:rsid w:val="00505A7D"/>
    <w:rsid w:val="00521425"/>
    <w:rsid w:val="00527DE8"/>
    <w:rsid w:val="00537B64"/>
    <w:rsid w:val="0055169A"/>
    <w:rsid w:val="005756B5"/>
    <w:rsid w:val="00594462"/>
    <w:rsid w:val="005A5E30"/>
    <w:rsid w:val="005C1F42"/>
    <w:rsid w:val="005D7646"/>
    <w:rsid w:val="005E3023"/>
    <w:rsid w:val="005E4D96"/>
    <w:rsid w:val="005E73C7"/>
    <w:rsid w:val="00614B8E"/>
    <w:rsid w:val="00620117"/>
    <w:rsid w:val="0062460E"/>
    <w:rsid w:val="00650FFB"/>
    <w:rsid w:val="00653584"/>
    <w:rsid w:val="006751AE"/>
    <w:rsid w:val="00695352"/>
    <w:rsid w:val="006C6CDA"/>
    <w:rsid w:val="006D437E"/>
    <w:rsid w:val="006F000D"/>
    <w:rsid w:val="00710C8C"/>
    <w:rsid w:val="00715036"/>
    <w:rsid w:val="0072532B"/>
    <w:rsid w:val="007300F2"/>
    <w:rsid w:val="00735A5F"/>
    <w:rsid w:val="00745368"/>
    <w:rsid w:val="00750BBB"/>
    <w:rsid w:val="007561A5"/>
    <w:rsid w:val="00767C20"/>
    <w:rsid w:val="00794296"/>
    <w:rsid w:val="007D2BC5"/>
    <w:rsid w:val="007E27B8"/>
    <w:rsid w:val="007E385E"/>
    <w:rsid w:val="0080541E"/>
    <w:rsid w:val="008134F5"/>
    <w:rsid w:val="00813B69"/>
    <w:rsid w:val="00834991"/>
    <w:rsid w:val="00846C1F"/>
    <w:rsid w:val="0087775F"/>
    <w:rsid w:val="0088720E"/>
    <w:rsid w:val="0089454D"/>
    <w:rsid w:val="008A76BE"/>
    <w:rsid w:val="008B2E7F"/>
    <w:rsid w:val="008B4E75"/>
    <w:rsid w:val="008C3821"/>
    <w:rsid w:val="008D0B84"/>
    <w:rsid w:val="008D28EA"/>
    <w:rsid w:val="008D364F"/>
    <w:rsid w:val="008D4353"/>
    <w:rsid w:val="008E7170"/>
    <w:rsid w:val="008F1940"/>
    <w:rsid w:val="0092C299"/>
    <w:rsid w:val="009476C4"/>
    <w:rsid w:val="00961F3F"/>
    <w:rsid w:val="00966C54"/>
    <w:rsid w:val="00974DB7"/>
    <w:rsid w:val="009807C6"/>
    <w:rsid w:val="00980A63"/>
    <w:rsid w:val="00984147"/>
    <w:rsid w:val="009A56BA"/>
    <w:rsid w:val="009C4DF5"/>
    <w:rsid w:val="009F7CEB"/>
    <w:rsid w:val="00A01EAC"/>
    <w:rsid w:val="00A13085"/>
    <w:rsid w:val="00A16F39"/>
    <w:rsid w:val="00A26B54"/>
    <w:rsid w:val="00A34E44"/>
    <w:rsid w:val="00A405BE"/>
    <w:rsid w:val="00A406E7"/>
    <w:rsid w:val="00A53E0A"/>
    <w:rsid w:val="00A6020D"/>
    <w:rsid w:val="00A9567E"/>
    <w:rsid w:val="00AA20B9"/>
    <w:rsid w:val="00AA24C1"/>
    <w:rsid w:val="00AB5506"/>
    <w:rsid w:val="00AC16AA"/>
    <w:rsid w:val="00AF1726"/>
    <w:rsid w:val="00AF3953"/>
    <w:rsid w:val="00B10F6C"/>
    <w:rsid w:val="00B13A9E"/>
    <w:rsid w:val="00B2081C"/>
    <w:rsid w:val="00B2FDB9"/>
    <w:rsid w:val="00B72419"/>
    <w:rsid w:val="00B80D61"/>
    <w:rsid w:val="00B8243D"/>
    <w:rsid w:val="00B867EE"/>
    <w:rsid w:val="00BA280A"/>
    <w:rsid w:val="00BB5F5E"/>
    <w:rsid w:val="00BE2016"/>
    <w:rsid w:val="00BE4859"/>
    <w:rsid w:val="00BE7FED"/>
    <w:rsid w:val="00C30C4A"/>
    <w:rsid w:val="00C37061"/>
    <w:rsid w:val="00C53C0C"/>
    <w:rsid w:val="00C75438"/>
    <w:rsid w:val="00C9E2BE"/>
    <w:rsid w:val="00CA774E"/>
    <w:rsid w:val="00CB18E8"/>
    <w:rsid w:val="00CB24FC"/>
    <w:rsid w:val="00CB614C"/>
    <w:rsid w:val="00CB7F46"/>
    <w:rsid w:val="00CD27C2"/>
    <w:rsid w:val="00CD3256"/>
    <w:rsid w:val="00CE38D8"/>
    <w:rsid w:val="00D01DB1"/>
    <w:rsid w:val="00D234F7"/>
    <w:rsid w:val="00D53410"/>
    <w:rsid w:val="00D54888"/>
    <w:rsid w:val="00D7449C"/>
    <w:rsid w:val="00D83D3A"/>
    <w:rsid w:val="00D92033"/>
    <w:rsid w:val="00DA7632"/>
    <w:rsid w:val="00DB0397"/>
    <w:rsid w:val="00DB5FBB"/>
    <w:rsid w:val="00DC00CE"/>
    <w:rsid w:val="00DD3BE3"/>
    <w:rsid w:val="00DE34B8"/>
    <w:rsid w:val="00DE550E"/>
    <w:rsid w:val="00E02DAD"/>
    <w:rsid w:val="00E13A37"/>
    <w:rsid w:val="00E43571"/>
    <w:rsid w:val="00E44B87"/>
    <w:rsid w:val="00E65439"/>
    <w:rsid w:val="00E701F0"/>
    <w:rsid w:val="00E72505"/>
    <w:rsid w:val="00E72CCF"/>
    <w:rsid w:val="00E942F1"/>
    <w:rsid w:val="00E94795"/>
    <w:rsid w:val="00EA300F"/>
    <w:rsid w:val="00EA5895"/>
    <w:rsid w:val="00EB12C0"/>
    <w:rsid w:val="00EF1498"/>
    <w:rsid w:val="00F01A45"/>
    <w:rsid w:val="00F02D06"/>
    <w:rsid w:val="00F04772"/>
    <w:rsid w:val="00F06779"/>
    <w:rsid w:val="00F06C9F"/>
    <w:rsid w:val="00F3119D"/>
    <w:rsid w:val="00F44B54"/>
    <w:rsid w:val="00F50EE1"/>
    <w:rsid w:val="00F54CAD"/>
    <w:rsid w:val="00F60C05"/>
    <w:rsid w:val="00F6538D"/>
    <w:rsid w:val="00FC7888"/>
    <w:rsid w:val="00FD6075"/>
    <w:rsid w:val="00FE476D"/>
    <w:rsid w:val="00FE5CA8"/>
    <w:rsid w:val="00FF21D9"/>
    <w:rsid w:val="01577DA1"/>
    <w:rsid w:val="0157875C"/>
    <w:rsid w:val="018F2FDA"/>
    <w:rsid w:val="01F40EE7"/>
    <w:rsid w:val="020CA962"/>
    <w:rsid w:val="0217B7FF"/>
    <w:rsid w:val="023EDCEC"/>
    <w:rsid w:val="0296E2E8"/>
    <w:rsid w:val="03004940"/>
    <w:rsid w:val="030BE46D"/>
    <w:rsid w:val="033A1977"/>
    <w:rsid w:val="03499F3A"/>
    <w:rsid w:val="03641B80"/>
    <w:rsid w:val="0384F83C"/>
    <w:rsid w:val="0398A678"/>
    <w:rsid w:val="03BC384C"/>
    <w:rsid w:val="03BF0208"/>
    <w:rsid w:val="03D31351"/>
    <w:rsid w:val="03D95100"/>
    <w:rsid w:val="03DAA6E9"/>
    <w:rsid w:val="042722AB"/>
    <w:rsid w:val="042E99C8"/>
    <w:rsid w:val="0484B3E6"/>
    <w:rsid w:val="04913D73"/>
    <w:rsid w:val="04F96799"/>
    <w:rsid w:val="04FA64AB"/>
    <w:rsid w:val="05492485"/>
    <w:rsid w:val="058A7FE3"/>
    <w:rsid w:val="06CDCA1C"/>
    <w:rsid w:val="06F7E0CB"/>
    <w:rsid w:val="077FDD4A"/>
    <w:rsid w:val="07ADCDC3"/>
    <w:rsid w:val="07D9C3DB"/>
    <w:rsid w:val="08088E32"/>
    <w:rsid w:val="089C86DD"/>
    <w:rsid w:val="08ADC4F5"/>
    <w:rsid w:val="090FEF7B"/>
    <w:rsid w:val="09C2AD59"/>
    <w:rsid w:val="0A1147AA"/>
    <w:rsid w:val="0A2D61DF"/>
    <w:rsid w:val="0A3C808D"/>
    <w:rsid w:val="0A86BE8F"/>
    <w:rsid w:val="0AB708C5"/>
    <w:rsid w:val="0AC3C5A9"/>
    <w:rsid w:val="0ACCFAA2"/>
    <w:rsid w:val="0B1FE0F2"/>
    <w:rsid w:val="0B33824B"/>
    <w:rsid w:val="0B96C46B"/>
    <w:rsid w:val="0BDE8BDE"/>
    <w:rsid w:val="0BFD8A65"/>
    <w:rsid w:val="0C40DDF3"/>
    <w:rsid w:val="0CA4C4A2"/>
    <w:rsid w:val="0D3B1210"/>
    <w:rsid w:val="0D46DF9C"/>
    <w:rsid w:val="0E36FA82"/>
    <w:rsid w:val="0E37A965"/>
    <w:rsid w:val="0F13ED49"/>
    <w:rsid w:val="0F220F77"/>
    <w:rsid w:val="0F2BBA42"/>
    <w:rsid w:val="0F9FA066"/>
    <w:rsid w:val="10260645"/>
    <w:rsid w:val="109D2E78"/>
    <w:rsid w:val="114FE715"/>
    <w:rsid w:val="117C1CA7"/>
    <w:rsid w:val="117E1B44"/>
    <w:rsid w:val="11DE2687"/>
    <w:rsid w:val="120AC9CF"/>
    <w:rsid w:val="1233520B"/>
    <w:rsid w:val="123C6083"/>
    <w:rsid w:val="125847A3"/>
    <w:rsid w:val="12880453"/>
    <w:rsid w:val="12E92486"/>
    <w:rsid w:val="130831D9"/>
    <w:rsid w:val="132CF3BD"/>
    <w:rsid w:val="13ADA580"/>
    <w:rsid w:val="13BDCE94"/>
    <w:rsid w:val="141AEF82"/>
    <w:rsid w:val="142E74E1"/>
    <w:rsid w:val="1430E899"/>
    <w:rsid w:val="1479A308"/>
    <w:rsid w:val="16B364F0"/>
    <w:rsid w:val="182D8B3A"/>
    <w:rsid w:val="18F3C0F1"/>
    <w:rsid w:val="1941FA55"/>
    <w:rsid w:val="19D4C249"/>
    <w:rsid w:val="1A3E192C"/>
    <w:rsid w:val="1A646AA4"/>
    <w:rsid w:val="1A8C4710"/>
    <w:rsid w:val="1B0F4750"/>
    <w:rsid w:val="1BF07ECD"/>
    <w:rsid w:val="1C096CFE"/>
    <w:rsid w:val="1C74D11A"/>
    <w:rsid w:val="1D80DE21"/>
    <w:rsid w:val="1D8B2E7D"/>
    <w:rsid w:val="1D9AC0E8"/>
    <w:rsid w:val="1DDA291A"/>
    <w:rsid w:val="1DE02DB9"/>
    <w:rsid w:val="1E3C6B39"/>
    <w:rsid w:val="1ECD30C6"/>
    <w:rsid w:val="1FF49EC1"/>
    <w:rsid w:val="207F590A"/>
    <w:rsid w:val="2109DA8D"/>
    <w:rsid w:val="2111077E"/>
    <w:rsid w:val="2118623A"/>
    <w:rsid w:val="2127EBD2"/>
    <w:rsid w:val="21D6BF51"/>
    <w:rsid w:val="21D6D44E"/>
    <w:rsid w:val="227A032D"/>
    <w:rsid w:val="22E0306A"/>
    <w:rsid w:val="232C3AC9"/>
    <w:rsid w:val="241ADCDF"/>
    <w:rsid w:val="247310E0"/>
    <w:rsid w:val="24955B15"/>
    <w:rsid w:val="24B68A35"/>
    <w:rsid w:val="254A7DA3"/>
    <w:rsid w:val="25514344"/>
    <w:rsid w:val="25658688"/>
    <w:rsid w:val="25670B62"/>
    <w:rsid w:val="25A9ADA9"/>
    <w:rsid w:val="25D3EF17"/>
    <w:rsid w:val="260E0CEB"/>
    <w:rsid w:val="269F1408"/>
    <w:rsid w:val="26FB57CF"/>
    <w:rsid w:val="27C7D516"/>
    <w:rsid w:val="27CF37B1"/>
    <w:rsid w:val="2866583E"/>
    <w:rsid w:val="287629CA"/>
    <w:rsid w:val="28FD5232"/>
    <w:rsid w:val="2919B89C"/>
    <w:rsid w:val="297CD5FD"/>
    <w:rsid w:val="29F40ED2"/>
    <w:rsid w:val="2B8C294E"/>
    <w:rsid w:val="2BAC9A35"/>
    <w:rsid w:val="2BDEF004"/>
    <w:rsid w:val="2C21C4FF"/>
    <w:rsid w:val="2C2DF1D4"/>
    <w:rsid w:val="2C5B9607"/>
    <w:rsid w:val="2C89D819"/>
    <w:rsid w:val="2CD288BC"/>
    <w:rsid w:val="2CD2CAD9"/>
    <w:rsid w:val="2DA468A0"/>
    <w:rsid w:val="2DB30B11"/>
    <w:rsid w:val="2DCA9834"/>
    <w:rsid w:val="2E6CDF85"/>
    <w:rsid w:val="2EAA3A21"/>
    <w:rsid w:val="2ECD7643"/>
    <w:rsid w:val="2F170330"/>
    <w:rsid w:val="2F787D3A"/>
    <w:rsid w:val="2F7D48E8"/>
    <w:rsid w:val="2FBA27C3"/>
    <w:rsid w:val="3020F0FF"/>
    <w:rsid w:val="3022A323"/>
    <w:rsid w:val="30877393"/>
    <w:rsid w:val="30CF7756"/>
    <w:rsid w:val="3169D5BC"/>
    <w:rsid w:val="327FBD1C"/>
    <w:rsid w:val="32D9A700"/>
    <w:rsid w:val="33302B05"/>
    <w:rsid w:val="336B3798"/>
    <w:rsid w:val="33BA91E7"/>
    <w:rsid w:val="3492031B"/>
    <w:rsid w:val="34999B4F"/>
    <w:rsid w:val="35037CE0"/>
    <w:rsid w:val="354583EF"/>
    <w:rsid w:val="366352DD"/>
    <w:rsid w:val="36CAFB8B"/>
    <w:rsid w:val="37274ECD"/>
    <w:rsid w:val="376875D4"/>
    <w:rsid w:val="385E0AAF"/>
    <w:rsid w:val="38CEE4EC"/>
    <w:rsid w:val="38D254CE"/>
    <w:rsid w:val="38F3961F"/>
    <w:rsid w:val="3945FDDB"/>
    <w:rsid w:val="39E7AB32"/>
    <w:rsid w:val="3A075ACF"/>
    <w:rsid w:val="3AAAAE99"/>
    <w:rsid w:val="3B22B18B"/>
    <w:rsid w:val="3C55779E"/>
    <w:rsid w:val="3C9D4C6A"/>
    <w:rsid w:val="3CAFD3BC"/>
    <w:rsid w:val="3D09B298"/>
    <w:rsid w:val="3D09C69E"/>
    <w:rsid w:val="3D2A31B5"/>
    <w:rsid w:val="3DEDE05C"/>
    <w:rsid w:val="3DF46765"/>
    <w:rsid w:val="3E23E288"/>
    <w:rsid w:val="3E575BCF"/>
    <w:rsid w:val="3EF4EDB6"/>
    <w:rsid w:val="3F210D7D"/>
    <w:rsid w:val="3F43BD2D"/>
    <w:rsid w:val="3F74BF16"/>
    <w:rsid w:val="3FC937B5"/>
    <w:rsid w:val="4018AA69"/>
    <w:rsid w:val="404EE462"/>
    <w:rsid w:val="405AB5B3"/>
    <w:rsid w:val="409509B6"/>
    <w:rsid w:val="41785D22"/>
    <w:rsid w:val="42002749"/>
    <w:rsid w:val="437E29F6"/>
    <w:rsid w:val="44C0099F"/>
    <w:rsid w:val="453D4AA2"/>
    <w:rsid w:val="45556265"/>
    <w:rsid w:val="45D2CFE7"/>
    <w:rsid w:val="4645DDBD"/>
    <w:rsid w:val="468CA6CC"/>
    <w:rsid w:val="473B7F6F"/>
    <w:rsid w:val="4763457D"/>
    <w:rsid w:val="47D67A8F"/>
    <w:rsid w:val="47E5F94A"/>
    <w:rsid w:val="47EC227C"/>
    <w:rsid w:val="47EF50EB"/>
    <w:rsid w:val="47F37A79"/>
    <w:rsid w:val="4836C06A"/>
    <w:rsid w:val="488E7F05"/>
    <w:rsid w:val="48CD20F7"/>
    <w:rsid w:val="49BE5201"/>
    <w:rsid w:val="49C4F798"/>
    <w:rsid w:val="4A041865"/>
    <w:rsid w:val="4A27C416"/>
    <w:rsid w:val="4A6B669A"/>
    <w:rsid w:val="4B13A4BB"/>
    <w:rsid w:val="4B61E978"/>
    <w:rsid w:val="4B998BAF"/>
    <w:rsid w:val="4BD4862E"/>
    <w:rsid w:val="4C10A9E2"/>
    <w:rsid w:val="4C36373E"/>
    <w:rsid w:val="4C78406B"/>
    <w:rsid w:val="4CC725DE"/>
    <w:rsid w:val="4D7497D7"/>
    <w:rsid w:val="4D85D4D0"/>
    <w:rsid w:val="4DF9ADCF"/>
    <w:rsid w:val="4DFAA577"/>
    <w:rsid w:val="4E803C2F"/>
    <w:rsid w:val="4EBCB23A"/>
    <w:rsid w:val="4EC823FD"/>
    <w:rsid w:val="4F1D8693"/>
    <w:rsid w:val="4FA5D8F3"/>
    <w:rsid w:val="4FC4BE36"/>
    <w:rsid w:val="4FFFCED4"/>
    <w:rsid w:val="4FFFE2D0"/>
    <w:rsid w:val="509D0BEF"/>
    <w:rsid w:val="50BE7B3E"/>
    <w:rsid w:val="515D0ED4"/>
    <w:rsid w:val="5170B954"/>
    <w:rsid w:val="51860366"/>
    <w:rsid w:val="51CE3E4E"/>
    <w:rsid w:val="525985A5"/>
    <w:rsid w:val="525E1E86"/>
    <w:rsid w:val="52F21679"/>
    <w:rsid w:val="52F4149D"/>
    <w:rsid w:val="533E7C36"/>
    <w:rsid w:val="534ED0AC"/>
    <w:rsid w:val="5375FBD5"/>
    <w:rsid w:val="53BA372B"/>
    <w:rsid w:val="54A007BE"/>
    <w:rsid w:val="55412E3D"/>
    <w:rsid w:val="55AD4214"/>
    <w:rsid w:val="55B4DABC"/>
    <w:rsid w:val="55D2BAED"/>
    <w:rsid w:val="55F5418D"/>
    <w:rsid w:val="561C733E"/>
    <w:rsid w:val="5641ABF1"/>
    <w:rsid w:val="5695748D"/>
    <w:rsid w:val="56B741A2"/>
    <w:rsid w:val="57959796"/>
    <w:rsid w:val="57F0B161"/>
    <w:rsid w:val="586FD846"/>
    <w:rsid w:val="58BC8C21"/>
    <w:rsid w:val="5A1B7BF0"/>
    <w:rsid w:val="5A1C45A7"/>
    <w:rsid w:val="5A5453EA"/>
    <w:rsid w:val="5AAE61D0"/>
    <w:rsid w:val="5AAEC055"/>
    <w:rsid w:val="5B659F77"/>
    <w:rsid w:val="5B880CC3"/>
    <w:rsid w:val="5C7CD7ED"/>
    <w:rsid w:val="5CCF2E42"/>
    <w:rsid w:val="5CDEF799"/>
    <w:rsid w:val="5CED9F76"/>
    <w:rsid w:val="5D445E23"/>
    <w:rsid w:val="5D6BB983"/>
    <w:rsid w:val="5DC9B55F"/>
    <w:rsid w:val="5E362433"/>
    <w:rsid w:val="5E42A2FD"/>
    <w:rsid w:val="5F395844"/>
    <w:rsid w:val="600F5B47"/>
    <w:rsid w:val="602B9F71"/>
    <w:rsid w:val="60DF62D7"/>
    <w:rsid w:val="610A3B8E"/>
    <w:rsid w:val="61488DCF"/>
    <w:rsid w:val="61C4CA3A"/>
    <w:rsid w:val="621D7B18"/>
    <w:rsid w:val="6241B6B6"/>
    <w:rsid w:val="6284943A"/>
    <w:rsid w:val="62971EE3"/>
    <w:rsid w:val="631A3516"/>
    <w:rsid w:val="632DE758"/>
    <w:rsid w:val="638ABE05"/>
    <w:rsid w:val="638F259E"/>
    <w:rsid w:val="63AF8346"/>
    <w:rsid w:val="63C145CE"/>
    <w:rsid w:val="63E441BA"/>
    <w:rsid w:val="64FD1F17"/>
    <w:rsid w:val="65B05067"/>
    <w:rsid w:val="65DA6EE9"/>
    <w:rsid w:val="664009A1"/>
    <w:rsid w:val="667FDDBC"/>
    <w:rsid w:val="66F82359"/>
    <w:rsid w:val="6727CA10"/>
    <w:rsid w:val="68092E23"/>
    <w:rsid w:val="68BB4343"/>
    <w:rsid w:val="68C79319"/>
    <w:rsid w:val="68E0E9F4"/>
    <w:rsid w:val="691DEEF0"/>
    <w:rsid w:val="69238C97"/>
    <w:rsid w:val="693AB4FE"/>
    <w:rsid w:val="693ABB2D"/>
    <w:rsid w:val="69849927"/>
    <w:rsid w:val="69907EC5"/>
    <w:rsid w:val="6A131C03"/>
    <w:rsid w:val="6A335A41"/>
    <w:rsid w:val="6ABE010C"/>
    <w:rsid w:val="6B3BCAA3"/>
    <w:rsid w:val="6C609A85"/>
    <w:rsid w:val="6C62D53D"/>
    <w:rsid w:val="6C7844F6"/>
    <w:rsid w:val="6CF67FA6"/>
    <w:rsid w:val="6D322F23"/>
    <w:rsid w:val="6D64D60B"/>
    <w:rsid w:val="6D7E64DB"/>
    <w:rsid w:val="6DF0A2D7"/>
    <w:rsid w:val="6E3371F4"/>
    <w:rsid w:val="6E61E162"/>
    <w:rsid w:val="6EEEE364"/>
    <w:rsid w:val="6F15CE1B"/>
    <w:rsid w:val="6F392EE1"/>
    <w:rsid w:val="6F7DDE4B"/>
    <w:rsid w:val="6F7FE397"/>
    <w:rsid w:val="6FED3672"/>
    <w:rsid w:val="704BEBAF"/>
    <w:rsid w:val="7078FB7C"/>
    <w:rsid w:val="70A6EAA4"/>
    <w:rsid w:val="70B2AF7B"/>
    <w:rsid w:val="70B5ABD1"/>
    <w:rsid w:val="70F10D9C"/>
    <w:rsid w:val="7108A4BA"/>
    <w:rsid w:val="71538333"/>
    <w:rsid w:val="716BF8A7"/>
    <w:rsid w:val="71E46E73"/>
    <w:rsid w:val="727C8724"/>
    <w:rsid w:val="72908A82"/>
    <w:rsid w:val="73937CB3"/>
    <w:rsid w:val="73995C91"/>
    <w:rsid w:val="73E5FC57"/>
    <w:rsid w:val="74F7AA9B"/>
    <w:rsid w:val="7569D707"/>
    <w:rsid w:val="757A6EF6"/>
    <w:rsid w:val="75843FDF"/>
    <w:rsid w:val="7595025B"/>
    <w:rsid w:val="7732D067"/>
    <w:rsid w:val="777A018A"/>
    <w:rsid w:val="77888547"/>
    <w:rsid w:val="77997E99"/>
    <w:rsid w:val="77ED8A1C"/>
    <w:rsid w:val="78107866"/>
    <w:rsid w:val="7852462E"/>
    <w:rsid w:val="7932BECA"/>
    <w:rsid w:val="796581EC"/>
    <w:rsid w:val="79786D39"/>
    <w:rsid w:val="79BEC93B"/>
    <w:rsid w:val="7A16BB4D"/>
    <w:rsid w:val="7B6EFB68"/>
    <w:rsid w:val="7BB4CE3E"/>
    <w:rsid w:val="7CA6B014"/>
    <w:rsid w:val="7CBF1598"/>
    <w:rsid w:val="7D45AE82"/>
    <w:rsid w:val="7DF6AE3F"/>
    <w:rsid w:val="7E178B2C"/>
    <w:rsid w:val="7F82039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CEC92"/>
  <w15:chartTrackingRefBased/>
  <w15:docId w15:val="{6A6E24E6-F627-4E49-8DBF-314A45DB7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paragraph" w:styleId="Heading1">
    <w:name w:val="heading 1"/>
    <w:basedOn w:val="Normal"/>
    <w:next w:val="Normal"/>
    <w:link w:val="Heading1Char"/>
    <w:uiPriority w:val="9"/>
    <w:qFormat/>
    <w:rsid w:val="0079429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67C2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character" w:styleId="CommentReference">
    <w:name w:val="annotation reference"/>
    <w:basedOn w:val="DefaultParagraphFont"/>
    <w:uiPriority w:val="99"/>
    <w:semiHidden/>
    <w:unhideWhenUsed/>
    <w:rsid w:val="00750BBB"/>
    <w:rPr>
      <w:sz w:val="16"/>
      <w:szCs w:val="16"/>
    </w:rPr>
  </w:style>
  <w:style w:type="paragraph" w:styleId="CommentText">
    <w:name w:val="annotation text"/>
    <w:basedOn w:val="Normal"/>
    <w:link w:val="CommentTextChar"/>
    <w:uiPriority w:val="99"/>
    <w:unhideWhenUsed/>
    <w:rsid w:val="00750BBB"/>
    <w:rPr>
      <w:sz w:val="20"/>
      <w:szCs w:val="20"/>
    </w:rPr>
  </w:style>
  <w:style w:type="character" w:customStyle="1" w:styleId="CommentTextChar">
    <w:name w:val="Comment Text Char"/>
    <w:basedOn w:val="DefaultParagraphFont"/>
    <w:link w:val="CommentText"/>
    <w:uiPriority w:val="99"/>
    <w:rsid w:val="00750BBB"/>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750BBB"/>
    <w:rPr>
      <w:b/>
      <w:bCs/>
    </w:rPr>
  </w:style>
  <w:style w:type="character" w:customStyle="1" w:styleId="CommentSubjectChar">
    <w:name w:val="Comment Subject Char"/>
    <w:basedOn w:val="CommentTextChar"/>
    <w:link w:val="CommentSubject"/>
    <w:uiPriority w:val="99"/>
    <w:semiHidden/>
    <w:rsid w:val="00750BBB"/>
    <w:rPr>
      <w:rFonts w:ascii="Verdana" w:eastAsia="Verdana" w:hAnsi="Verdana"/>
      <w:b/>
      <w:bCs/>
    </w:rPr>
  </w:style>
  <w:style w:type="table" w:styleId="TableGrid">
    <w:name w:val="Table Grid"/>
    <w:basedOn w:val="TableNormal"/>
    <w:uiPriority w:val="39"/>
    <w:rsid w:val="0053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2081C"/>
    <w:pPr>
      <w:autoSpaceDE w:val="0"/>
      <w:autoSpaceDN w:val="0"/>
    </w:pPr>
    <w:rPr>
      <w:rFonts w:ascii="Verdana" w:eastAsia="Verdana" w:hAnsi="Verdana"/>
      <w:sz w:val="15"/>
      <w:szCs w:val="16"/>
    </w:rPr>
  </w:style>
  <w:style w:type="paragraph" w:styleId="ListParagraph">
    <w:name w:val="List Paragraph"/>
    <w:basedOn w:val="Normal"/>
    <w:uiPriority w:val="34"/>
    <w:qFormat/>
    <w:rsid w:val="00AF3953"/>
    <w:pPr>
      <w:ind w:left="720"/>
      <w:contextualSpacing/>
    </w:pPr>
  </w:style>
  <w:style w:type="character" w:customStyle="1" w:styleId="Heading1Char">
    <w:name w:val="Heading 1 Char"/>
    <w:basedOn w:val="DefaultParagraphFont"/>
    <w:link w:val="Heading1"/>
    <w:uiPriority w:val="9"/>
    <w:rsid w:val="0079429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3085"/>
    <w:pPr>
      <w:autoSpaceDE/>
      <w:autoSpaceDN/>
      <w:spacing w:line="259" w:lineRule="auto"/>
      <w:outlineLvl w:val="9"/>
    </w:pPr>
    <w:rPr>
      <w:lang w:val="en-US" w:eastAsia="en-US"/>
    </w:rPr>
  </w:style>
  <w:style w:type="paragraph" w:styleId="TOC1">
    <w:name w:val="toc 1"/>
    <w:basedOn w:val="Normal"/>
    <w:next w:val="Normal"/>
    <w:autoRedefine/>
    <w:uiPriority w:val="39"/>
    <w:unhideWhenUsed/>
    <w:rsid w:val="006D437E"/>
    <w:pPr>
      <w:spacing w:after="100"/>
    </w:pPr>
    <w:rPr>
      <w:rFonts w:ascii="Trebuchet MS" w:hAnsi="Trebuchet MS"/>
      <w:sz w:val="22"/>
    </w:rPr>
  </w:style>
  <w:style w:type="character" w:styleId="Hyperlink">
    <w:name w:val="Hyperlink"/>
    <w:basedOn w:val="DefaultParagraphFont"/>
    <w:uiPriority w:val="99"/>
    <w:unhideWhenUsed/>
    <w:rsid w:val="00A13085"/>
    <w:rPr>
      <w:color w:val="0563C1" w:themeColor="hyperlink"/>
      <w:u w:val="single"/>
    </w:rPr>
  </w:style>
  <w:style w:type="character" w:customStyle="1" w:styleId="UnresolvedMention1">
    <w:name w:val="Unresolved Mention1"/>
    <w:basedOn w:val="DefaultParagraphFont"/>
    <w:uiPriority w:val="99"/>
    <w:semiHidden/>
    <w:unhideWhenUsed/>
    <w:rsid w:val="003D6F99"/>
    <w:rPr>
      <w:color w:val="605E5C"/>
      <w:shd w:val="clear" w:color="auto" w:fill="E1DFDD"/>
    </w:rPr>
  </w:style>
  <w:style w:type="character" w:styleId="FollowedHyperlink">
    <w:name w:val="FollowedHyperlink"/>
    <w:basedOn w:val="DefaultParagraphFont"/>
    <w:uiPriority w:val="99"/>
    <w:semiHidden/>
    <w:unhideWhenUsed/>
    <w:rsid w:val="006751AE"/>
    <w:rPr>
      <w:color w:val="954F72" w:themeColor="followedHyperlink"/>
      <w:u w:val="single"/>
    </w:rPr>
  </w:style>
  <w:style w:type="character" w:customStyle="1" w:styleId="Heading2Char">
    <w:name w:val="Heading 2 Char"/>
    <w:basedOn w:val="DefaultParagraphFont"/>
    <w:link w:val="Heading2"/>
    <w:uiPriority w:val="9"/>
    <w:rsid w:val="00767C20"/>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5C1F42"/>
    <w:rPr>
      <w:sz w:val="20"/>
      <w:szCs w:val="20"/>
    </w:rPr>
  </w:style>
  <w:style w:type="character" w:customStyle="1" w:styleId="FootnoteTextChar">
    <w:name w:val="Footnote Text Char"/>
    <w:basedOn w:val="DefaultParagraphFont"/>
    <w:link w:val="FootnoteText"/>
    <w:uiPriority w:val="99"/>
    <w:semiHidden/>
    <w:rsid w:val="005C1F42"/>
    <w:rPr>
      <w:rFonts w:ascii="Verdana" w:eastAsia="Verdana" w:hAnsi="Verdana"/>
    </w:rPr>
  </w:style>
  <w:style w:type="character" w:styleId="FootnoteReference">
    <w:name w:val="footnote reference"/>
    <w:basedOn w:val="DefaultParagraphFont"/>
    <w:uiPriority w:val="99"/>
    <w:semiHidden/>
    <w:unhideWhenUsed/>
    <w:rsid w:val="005C1F42"/>
    <w:rPr>
      <w:vertAlign w:val="superscript"/>
    </w:rPr>
  </w:style>
  <w:style w:type="paragraph" w:styleId="TOC2">
    <w:name w:val="toc 2"/>
    <w:basedOn w:val="Normal"/>
    <w:next w:val="Normal"/>
    <w:autoRedefine/>
    <w:uiPriority w:val="39"/>
    <w:unhideWhenUsed/>
    <w:rsid w:val="006D437E"/>
    <w:pPr>
      <w:spacing w:after="100"/>
      <w:ind w:left="150"/>
    </w:pPr>
    <w:rPr>
      <w:rFonts w:ascii="Trebuchet MS" w:hAnsi="Trebuchet MS"/>
      <w:sz w:val="22"/>
    </w:rPr>
  </w:style>
  <w:style w:type="paragraph" w:styleId="TOC3">
    <w:name w:val="toc 3"/>
    <w:basedOn w:val="Normal"/>
    <w:next w:val="Normal"/>
    <w:autoRedefine/>
    <w:uiPriority w:val="39"/>
    <w:semiHidden/>
    <w:unhideWhenUsed/>
    <w:rsid w:val="006D437E"/>
    <w:pPr>
      <w:spacing w:after="100"/>
      <w:ind w:left="300"/>
    </w:pPr>
    <w:rPr>
      <w:rFonts w:ascii="Trebuchet MS" w:hAnsi="Trebuchet MS"/>
      <w:sz w:val="22"/>
    </w:rPr>
  </w:style>
  <w:style w:type="paragraph" w:styleId="Header">
    <w:name w:val="header"/>
    <w:basedOn w:val="Normal"/>
    <w:link w:val="HeaderChar"/>
    <w:uiPriority w:val="99"/>
    <w:unhideWhenUsed/>
    <w:rsid w:val="00B72419"/>
    <w:pPr>
      <w:tabs>
        <w:tab w:val="center" w:pos="4513"/>
        <w:tab w:val="right" w:pos="9026"/>
      </w:tabs>
    </w:pPr>
  </w:style>
  <w:style w:type="character" w:customStyle="1" w:styleId="HeaderChar">
    <w:name w:val="Header Char"/>
    <w:basedOn w:val="DefaultParagraphFont"/>
    <w:link w:val="Header"/>
    <w:uiPriority w:val="99"/>
    <w:rsid w:val="00B72419"/>
    <w:rPr>
      <w:rFonts w:ascii="Verdana" w:eastAsia="Verdana" w:hAnsi="Verdana"/>
      <w:sz w:val="15"/>
      <w:szCs w:val="16"/>
    </w:rPr>
  </w:style>
  <w:style w:type="paragraph" w:styleId="Footer">
    <w:name w:val="footer"/>
    <w:basedOn w:val="Normal"/>
    <w:link w:val="FooterChar"/>
    <w:uiPriority w:val="99"/>
    <w:unhideWhenUsed/>
    <w:rsid w:val="00B72419"/>
    <w:pPr>
      <w:tabs>
        <w:tab w:val="center" w:pos="4513"/>
        <w:tab w:val="right" w:pos="9026"/>
      </w:tabs>
    </w:pPr>
  </w:style>
  <w:style w:type="character" w:customStyle="1" w:styleId="FooterChar">
    <w:name w:val="Footer Char"/>
    <w:basedOn w:val="DefaultParagraphFont"/>
    <w:link w:val="Footer"/>
    <w:uiPriority w:val="99"/>
    <w:rsid w:val="00B72419"/>
    <w:rPr>
      <w:rFonts w:ascii="Verdana" w:eastAsia="Verdana" w:hAnsi="Verdana"/>
      <w:sz w:val="15"/>
      <w:szCs w:val="16"/>
    </w:rPr>
  </w:style>
  <w:style w:type="paragraph" w:styleId="Revision">
    <w:name w:val="Revision"/>
    <w:hidden/>
    <w:uiPriority w:val="99"/>
    <w:semiHidden/>
    <w:rsid w:val="008E7170"/>
    <w:rPr>
      <w:rFonts w:ascii="Verdana" w:eastAsia="Verdana" w:hAnsi="Verdana"/>
      <w:sz w:val="15"/>
      <w:szCs w:val="16"/>
    </w:rPr>
  </w:style>
  <w:style w:type="paragraph" w:styleId="BalloonText">
    <w:name w:val="Balloon Text"/>
    <w:basedOn w:val="Normal"/>
    <w:link w:val="BalloonTextChar"/>
    <w:uiPriority w:val="99"/>
    <w:semiHidden/>
    <w:unhideWhenUsed/>
    <w:rsid w:val="00E435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571"/>
    <w:rPr>
      <w:rFonts w:ascii="Segoe UI" w:eastAsia="Verdan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391360">
      <w:marLeft w:val="0"/>
      <w:marRight w:val="0"/>
      <w:marTop w:val="0"/>
      <w:marBottom w:val="0"/>
      <w:divBdr>
        <w:top w:val="none" w:sz="0" w:space="0" w:color="auto"/>
        <w:left w:val="none" w:sz="0" w:space="0" w:color="auto"/>
        <w:bottom w:val="none" w:sz="0" w:space="0" w:color="auto"/>
        <w:right w:val="none" w:sz="0" w:space="0" w:color="auto"/>
      </w:divBdr>
    </w:div>
    <w:div w:id="109589660">
      <w:marLeft w:val="0"/>
      <w:marRight w:val="0"/>
      <w:marTop w:val="0"/>
      <w:marBottom w:val="0"/>
      <w:divBdr>
        <w:top w:val="none" w:sz="0" w:space="0" w:color="auto"/>
        <w:left w:val="none" w:sz="0" w:space="0" w:color="auto"/>
        <w:bottom w:val="none" w:sz="0" w:space="0" w:color="auto"/>
        <w:right w:val="none" w:sz="0" w:space="0" w:color="auto"/>
      </w:divBdr>
    </w:div>
    <w:div w:id="122231358">
      <w:marLeft w:val="0"/>
      <w:marRight w:val="0"/>
      <w:marTop w:val="0"/>
      <w:marBottom w:val="0"/>
      <w:divBdr>
        <w:top w:val="none" w:sz="0" w:space="0" w:color="auto"/>
        <w:left w:val="none" w:sz="0" w:space="0" w:color="auto"/>
        <w:bottom w:val="none" w:sz="0" w:space="0" w:color="auto"/>
        <w:right w:val="none" w:sz="0" w:space="0" w:color="auto"/>
      </w:divBdr>
    </w:div>
    <w:div w:id="146211326">
      <w:marLeft w:val="0"/>
      <w:marRight w:val="0"/>
      <w:marTop w:val="0"/>
      <w:marBottom w:val="0"/>
      <w:divBdr>
        <w:top w:val="none" w:sz="0" w:space="0" w:color="auto"/>
        <w:left w:val="none" w:sz="0" w:space="0" w:color="auto"/>
        <w:bottom w:val="none" w:sz="0" w:space="0" w:color="auto"/>
        <w:right w:val="none" w:sz="0" w:space="0" w:color="auto"/>
      </w:divBdr>
    </w:div>
    <w:div w:id="239486979">
      <w:marLeft w:val="0"/>
      <w:marRight w:val="0"/>
      <w:marTop w:val="0"/>
      <w:marBottom w:val="0"/>
      <w:divBdr>
        <w:top w:val="none" w:sz="0" w:space="0" w:color="auto"/>
        <w:left w:val="none" w:sz="0" w:space="0" w:color="auto"/>
        <w:bottom w:val="none" w:sz="0" w:space="0" w:color="auto"/>
        <w:right w:val="none" w:sz="0" w:space="0" w:color="auto"/>
      </w:divBdr>
    </w:div>
    <w:div w:id="241835399">
      <w:marLeft w:val="0"/>
      <w:marRight w:val="0"/>
      <w:marTop w:val="0"/>
      <w:marBottom w:val="0"/>
      <w:divBdr>
        <w:top w:val="none" w:sz="0" w:space="0" w:color="auto"/>
        <w:left w:val="none" w:sz="0" w:space="0" w:color="auto"/>
        <w:bottom w:val="none" w:sz="0" w:space="0" w:color="auto"/>
        <w:right w:val="none" w:sz="0" w:space="0" w:color="auto"/>
      </w:divBdr>
    </w:div>
    <w:div w:id="288557746">
      <w:marLeft w:val="0"/>
      <w:marRight w:val="0"/>
      <w:marTop w:val="0"/>
      <w:marBottom w:val="0"/>
      <w:divBdr>
        <w:top w:val="none" w:sz="0" w:space="0" w:color="auto"/>
        <w:left w:val="none" w:sz="0" w:space="0" w:color="auto"/>
        <w:bottom w:val="none" w:sz="0" w:space="0" w:color="auto"/>
        <w:right w:val="none" w:sz="0" w:space="0" w:color="auto"/>
      </w:divBdr>
    </w:div>
    <w:div w:id="333268434">
      <w:marLeft w:val="0"/>
      <w:marRight w:val="0"/>
      <w:marTop w:val="0"/>
      <w:marBottom w:val="0"/>
      <w:divBdr>
        <w:top w:val="none" w:sz="0" w:space="0" w:color="auto"/>
        <w:left w:val="none" w:sz="0" w:space="0" w:color="auto"/>
        <w:bottom w:val="none" w:sz="0" w:space="0" w:color="auto"/>
        <w:right w:val="none" w:sz="0" w:space="0" w:color="auto"/>
      </w:divBdr>
    </w:div>
    <w:div w:id="414598079">
      <w:marLeft w:val="0"/>
      <w:marRight w:val="0"/>
      <w:marTop w:val="0"/>
      <w:marBottom w:val="0"/>
      <w:divBdr>
        <w:top w:val="none" w:sz="0" w:space="0" w:color="auto"/>
        <w:left w:val="none" w:sz="0" w:space="0" w:color="auto"/>
        <w:bottom w:val="none" w:sz="0" w:space="0" w:color="auto"/>
        <w:right w:val="none" w:sz="0" w:space="0" w:color="auto"/>
      </w:divBdr>
    </w:div>
    <w:div w:id="436029175">
      <w:marLeft w:val="0"/>
      <w:marRight w:val="0"/>
      <w:marTop w:val="0"/>
      <w:marBottom w:val="0"/>
      <w:divBdr>
        <w:top w:val="none" w:sz="0" w:space="0" w:color="auto"/>
        <w:left w:val="none" w:sz="0" w:space="0" w:color="auto"/>
        <w:bottom w:val="none" w:sz="0" w:space="0" w:color="auto"/>
        <w:right w:val="none" w:sz="0" w:space="0" w:color="auto"/>
      </w:divBdr>
    </w:div>
    <w:div w:id="459883708">
      <w:marLeft w:val="0"/>
      <w:marRight w:val="0"/>
      <w:marTop w:val="0"/>
      <w:marBottom w:val="0"/>
      <w:divBdr>
        <w:top w:val="none" w:sz="0" w:space="0" w:color="auto"/>
        <w:left w:val="none" w:sz="0" w:space="0" w:color="auto"/>
        <w:bottom w:val="none" w:sz="0" w:space="0" w:color="auto"/>
        <w:right w:val="none" w:sz="0" w:space="0" w:color="auto"/>
      </w:divBdr>
    </w:div>
    <w:div w:id="756947848">
      <w:marLeft w:val="0"/>
      <w:marRight w:val="0"/>
      <w:marTop w:val="0"/>
      <w:marBottom w:val="0"/>
      <w:divBdr>
        <w:top w:val="none" w:sz="0" w:space="0" w:color="auto"/>
        <w:left w:val="none" w:sz="0" w:space="0" w:color="auto"/>
        <w:bottom w:val="none" w:sz="0" w:space="0" w:color="auto"/>
        <w:right w:val="none" w:sz="0" w:space="0" w:color="auto"/>
      </w:divBdr>
    </w:div>
    <w:div w:id="799230138">
      <w:marLeft w:val="0"/>
      <w:marRight w:val="0"/>
      <w:marTop w:val="0"/>
      <w:marBottom w:val="0"/>
      <w:divBdr>
        <w:top w:val="none" w:sz="0" w:space="0" w:color="auto"/>
        <w:left w:val="none" w:sz="0" w:space="0" w:color="auto"/>
        <w:bottom w:val="none" w:sz="0" w:space="0" w:color="auto"/>
        <w:right w:val="none" w:sz="0" w:space="0" w:color="auto"/>
      </w:divBdr>
    </w:div>
    <w:div w:id="799612628">
      <w:marLeft w:val="0"/>
      <w:marRight w:val="0"/>
      <w:marTop w:val="0"/>
      <w:marBottom w:val="0"/>
      <w:divBdr>
        <w:top w:val="none" w:sz="0" w:space="0" w:color="auto"/>
        <w:left w:val="none" w:sz="0" w:space="0" w:color="auto"/>
        <w:bottom w:val="none" w:sz="0" w:space="0" w:color="auto"/>
        <w:right w:val="none" w:sz="0" w:space="0" w:color="auto"/>
      </w:divBdr>
    </w:div>
    <w:div w:id="810948854">
      <w:marLeft w:val="0"/>
      <w:marRight w:val="0"/>
      <w:marTop w:val="0"/>
      <w:marBottom w:val="0"/>
      <w:divBdr>
        <w:top w:val="none" w:sz="0" w:space="0" w:color="auto"/>
        <w:left w:val="none" w:sz="0" w:space="0" w:color="auto"/>
        <w:bottom w:val="none" w:sz="0" w:space="0" w:color="auto"/>
        <w:right w:val="none" w:sz="0" w:space="0" w:color="auto"/>
      </w:divBdr>
    </w:div>
    <w:div w:id="884414001">
      <w:marLeft w:val="0"/>
      <w:marRight w:val="0"/>
      <w:marTop w:val="0"/>
      <w:marBottom w:val="0"/>
      <w:divBdr>
        <w:top w:val="none" w:sz="0" w:space="0" w:color="auto"/>
        <w:left w:val="none" w:sz="0" w:space="0" w:color="auto"/>
        <w:bottom w:val="none" w:sz="0" w:space="0" w:color="auto"/>
        <w:right w:val="none" w:sz="0" w:space="0" w:color="auto"/>
      </w:divBdr>
    </w:div>
    <w:div w:id="920336296">
      <w:marLeft w:val="0"/>
      <w:marRight w:val="0"/>
      <w:marTop w:val="0"/>
      <w:marBottom w:val="0"/>
      <w:divBdr>
        <w:top w:val="none" w:sz="0" w:space="0" w:color="auto"/>
        <w:left w:val="none" w:sz="0" w:space="0" w:color="auto"/>
        <w:bottom w:val="none" w:sz="0" w:space="0" w:color="auto"/>
        <w:right w:val="none" w:sz="0" w:space="0" w:color="auto"/>
      </w:divBdr>
    </w:div>
    <w:div w:id="1067385114">
      <w:marLeft w:val="0"/>
      <w:marRight w:val="0"/>
      <w:marTop w:val="0"/>
      <w:marBottom w:val="0"/>
      <w:divBdr>
        <w:top w:val="none" w:sz="0" w:space="0" w:color="auto"/>
        <w:left w:val="none" w:sz="0" w:space="0" w:color="auto"/>
        <w:bottom w:val="none" w:sz="0" w:space="0" w:color="auto"/>
        <w:right w:val="none" w:sz="0" w:space="0" w:color="auto"/>
      </w:divBdr>
    </w:div>
    <w:div w:id="1079523131">
      <w:marLeft w:val="0"/>
      <w:marRight w:val="0"/>
      <w:marTop w:val="0"/>
      <w:marBottom w:val="0"/>
      <w:divBdr>
        <w:top w:val="none" w:sz="0" w:space="0" w:color="auto"/>
        <w:left w:val="none" w:sz="0" w:space="0" w:color="auto"/>
        <w:bottom w:val="none" w:sz="0" w:space="0" w:color="auto"/>
        <w:right w:val="none" w:sz="0" w:space="0" w:color="auto"/>
      </w:divBdr>
    </w:div>
    <w:div w:id="1098596305">
      <w:marLeft w:val="0"/>
      <w:marRight w:val="0"/>
      <w:marTop w:val="0"/>
      <w:marBottom w:val="0"/>
      <w:divBdr>
        <w:top w:val="none" w:sz="0" w:space="0" w:color="auto"/>
        <w:left w:val="none" w:sz="0" w:space="0" w:color="auto"/>
        <w:bottom w:val="none" w:sz="0" w:space="0" w:color="auto"/>
        <w:right w:val="none" w:sz="0" w:space="0" w:color="auto"/>
      </w:divBdr>
    </w:div>
    <w:div w:id="1109206509">
      <w:marLeft w:val="0"/>
      <w:marRight w:val="0"/>
      <w:marTop w:val="0"/>
      <w:marBottom w:val="0"/>
      <w:divBdr>
        <w:top w:val="none" w:sz="0" w:space="0" w:color="auto"/>
        <w:left w:val="none" w:sz="0" w:space="0" w:color="auto"/>
        <w:bottom w:val="none" w:sz="0" w:space="0" w:color="auto"/>
        <w:right w:val="none" w:sz="0" w:space="0" w:color="auto"/>
      </w:divBdr>
    </w:div>
    <w:div w:id="1135372936">
      <w:marLeft w:val="0"/>
      <w:marRight w:val="0"/>
      <w:marTop w:val="0"/>
      <w:marBottom w:val="0"/>
      <w:divBdr>
        <w:top w:val="none" w:sz="0" w:space="0" w:color="auto"/>
        <w:left w:val="none" w:sz="0" w:space="0" w:color="auto"/>
        <w:bottom w:val="none" w:sz="0" w:space="0" w:color="auto"/>
        <w:right w:val="none" w:sz="0" w:space="0" w:color="auto"/>
      </w:divBdr>
    </w:div>
    <w:div w:id="1152021059">
      <w:marLeft w:val="0"/>
      <w:marRight w:val="0"/>
      <w:marTop w:val="0"/>
      <w:marBottom w:val="0"/>
      <w:divBdr>
        <w:top w:val="none" w:sz="0" w:space="0" w:color="auto"/>
        <w:left w:val="none" w:sz="0" w:space="0" w:color="auto"/>
        <w:bottom w:val="none" w:sz="0" w:space="0" w:color="auto"/>
        <w:right w:val="none" w:sz="0" w:space="0" w:color="auto"/>
      </w:divBdr>
    </w:div>
    <w:div w:id="1196502942">
      <w:marLeft w:val="0"/>
      <w:marRight w:val="0"/>
      <w:marTop w:val="0"/>
      <w:marBottom w:val="0"/>
      <w:divBdr>
        <w:top w:val="none" w:sz="0" w:space="0" w:color="auto"/>
        <w:left w:val="none" w:sz="0" w:space="0" w:color="auto"/>
        <w:bottom w:val="none" w:sz="0" w:space="0" w:color="auto"/>
        <w:right w:val="none" w:sz="0" w:space="0" w:color="auto"/>
      </w:divBdr>
    </w:div>
    <w:div w:id="1346663414">
      <w:marLeft w:val="0"/>
      <w:marRight w:val="0"/>
      <w:marTop w:val="0"/>
      <w:marBottom w:val="0"/>
      <w:divBdr>
        <w:top w:val="none" w:sz="0" w:space="0" w:color="auto"/>
        <w:left w:val="none" w:sz="0" w:space="0" w:color="auto"/>
        <w:bottom w:val="none" w:sz="0" w:space="0" w:color="auto"/>
        <w:right w:val="none" w:sz="0" w:space="0" w:color="auto"/>
      </w:divBdr>
    </w:div>
    <w:div w:id="1563249659">
      <w:marLeft w:val="0"/>
      <w:marRight w:val="0"/>
      <w:marTop w:val="0"/>
      <w:marBottom w:val="0"/>
      <w:divBdr>
        <w:top w:val="none" w:sz="0" w:space="0" w:color="auto"/>
        <w:left w:val="none" w:sz="0" w:space="0" w:color="auto"/>
        <w:bottom w:val="none" w:sz="0" w:space="0" w:color="auto"/>
        <w:right w:val="none" w:sz="0" w:space="0" w:color="auto"/>
      </w:divBdr>
    </w:div>
    <w:div w:id="1670674435">
      <w:marLeft w:val="0"/>
      <w:marRight w:val="0"/>
      <w:marTop w:val="0"/>
      <w:marBottom w:val="0"/>
      <w:divBdr>
        <w:top w:val="none" w:sz="0" w:space="0" w:color="auto"/>
        <w:left w:val="none" w:sz="0" w:space="0" w:color="auto"/>
        <w:bottom w:val="none" w:sz="0" w:space="0" w:color="auto"/>
        <w:right w:val="none" w:sz="0" w:space="0" w:color="auto"/>
      </w:divBdr>
    </w:div>
    <w:div w:id="1694721190">
      <w:marLeft w:val="0"/>
      <w:marRight w:val="0"/>
      <w:marTop w:val="0"/>
      <w:marBottom w:val="0"/>
      <w:divBdr>
        <w:top w:val="none" w:sz="0" w:space="0" w:color="auto"/>
        <w:left w:val="none" w:sz="0" w:space="0" w:color="auto"/>
        <w:bottom w:val="none" w:sz="0" w:space="0" w:color="auto"/>
        <w:right w:val="none" w:sz="0" w:space="0" w:color="auto"/>
      </w:divBdr>
    </w:div>
    <w:div w:id="1701932096">
      <w:marLeft w:val="0"/>
      <w:marRight w:val="0"/>
      <w:marTop w:val="0"/>
      <w:marBottom w:val="0"/>
      <w:divBdr>
        <w:top w:val="none" w:sz="0" w:space="0" w:color="auto"/>
        <w:left w:val="none" w:sz="0" w:space="0" w:color="auto"/>
        <w:bottom w:val="none" w:sz="0" w:space="0" w:color="auto"/>
        <w:right w:val="none" w:sz="0" w:space="0" w:color="auto"/>
      </w:divBdr>
    </w:div>
    <w:div w:id="1722747026">
      <w:marLeft w:val="0"/>
      <w:marRight w:val="0"/>
      <w:marTop w:val="0"/>
      <w:marBottom w:val="0"/>
      <w:divBdr>
        <w:top w:val="none" w:sz="0" w:space="0" w:color="auto"/>
        <w:left w:val="none" w:sz="0" w:space="0" w:color="auto"/>
        <w:bottom w:val="none" w:sz="0" w:space="0" w:color="auto"/>
        <w:right w:val="none" w:sz="0" w:space="0" w:color="auto"/>
      </w:divBdr>
    </w:div>
    <w:div w:id="1777484088">
      <w:marLeft w:val="0"/>
      <w:marRight w:val="0"/>
      <w:marTop w:val="0"/>
      <w:marBottom w:val="0"/>
      <w:divBdr>
        <w:top w:val="none" w:sz="0" w:space="0" w:color="auto"/>
        <w:left w:val="none" w:sz="0" w:space="0" w:color="auto"/>
        <w:bottom w:val="none" w:sz="0" w:space="0" w:color="auto"/>
        <w:right w:val="none" w:sz="0" w:space="0" w:color="auto"/>
      </w:divBdr>
    </w:div>
    <w:div w:id="1889492572">
      <w:marLeft w:val="0"/>
      <w:marRight w:val="0"/>
      <w:marTop w:val="0"/>
      <w:marBottom w:val="0"/>
      <w:divBdr>
        <w:top w:val="none" w:sz="0" w:space="0" w:color="auto"/>
        <w:left w:val="none" w:sz="0" w:space="0" w:color="auto"/>
        <w:bottom w:val="none" w:sz="0" w:space="0" w:color="auto"/>
        <w:right w:val="none" w:sz="0" w:space="0" w:color="auto"/>
      </w:divBdr>
    </w:div>
    <w:div w:id="2113629038">
      <w:marLeft w:val="0"/>
      <w:marRight w:val="0"/>
      <w:marTop w:val="0"/>
      <w:marBottom w:val="0"/>
      <w:divBdr>
        <w:top w:val="none" w:sz="0" w:space="0" w:color="auto"/>
        <w:left w:val="none" w:sz="0" w:space="0" w:color="auto"/>
        <w:bottom w:val="none" w:sz="0" w:space="0" w:color="auto"/>
        <w:right w:val="none" w:sz="0" w:space="0" w:color="auto"/>
      </w:divBdr>
    </w:div>
    <w:div w:id="214403682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3056A7EFC3D541907C8A7680BBFFA6" ma:contentTypeVersion="18" ma:contentTypeDescription="Creați un document nou." ma:contentTypeScope="" ma:versionID="951fc429587be606243455ebc9f7a955">
  <xsd:schema xmlns:xsd="http://www.w3.org/2001/XMLSchema" xmlns:xs="http://www.w3.org/2001/XMLSchema" xmlns:p="http://schemas.microsoft.com/office/2006/metadata/properties" xmlns:ns2="03647bd7-b23b-4ffd-8684-984b2bd3b5c5" xmlns:ns3="007dfa9b-9e73-4548-b551-b9bb31188060" targetNamespace="http://schemas.microsoft.com/office/2006/metadata/properties" ma:root="true" ma:fieldsID="630a15e6c3605694f59e8d5c6e59aa43" ns2:_="" ns3:_="">
    <xsd:import namespace="03647bd7-b23b-4ffd-8684-984b2bd3b5c5"/>
    <xsd:import namespace="007dfa9b-9e73-4548-b551-b9bb311880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47bd7-b23b-4ffd-8684-984b2bd3b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Etichete imagine" ma:readOnly="false" ma:fieldId="{5cf76f15-5ced-4ddc-b409-7134ff3c332f}" ma:taxonomyMulti="true" ma:sspId="783a5d02-d3e1-4d53-9377-f9db3900e59f"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7dfa9b-9e73-4548-b551-b9bb31188060" elementFormDefault="qualified">
    <xsd:import namespace="http://schemas.microsoft.com/office/2006/documentManagement/types"/>
    <xsd:import namespace="http://schemas.microsoft.com/office/infopath/2007/PartnerControls"/>
    <xsd:element name="SharedWithUsers" ma:index="10"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jat cu detalii" ma:internalName="SharedWithDetails" ma:readOnly="true">
      <xsd:simpleType>
        <xsd:restriction base="dms:Note">
          <xsd:maxLength value="255"/>
        </xsd:restriction>
      </xsd:simpleType>
    </xsd:element>
    <xsd:element name="TaxCatchAll" ma:index="24" nillable="true" ma:displayName="Taxonomy Catch All Column" ma:hidden="true" ma:list="{aba5bde0-f2d1-4fbb-834e-a9acf9c3699f}" ma:internalName="TaxCatchAll" ma:showField="CatchAllData" ma:web="007dfa9b-9e73-4548-b551-b9bb311880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647bd7-b23b-4ffd-8684-984b2bd3b5c5">
      <Terms xmlns="http://schemas.microsoft.com/office/infopath/2007/PartnerControls"/>
    </lcf76f155ced4ddcb4097134ff3c332f>
    <TaxCatchAll xmlns="007dfa9b-9e73-4548-b551-b9bb3118806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CC9F3-8AFD-48BE-B9C5-22D34BC33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47bd7-b23b-4ffd-8684-984b2bd3b5c5"/>
    <ds:schemaRef ds:uri="007dfa9b-9e73-4548-b551-b9bb31188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13BC27-45D3-417D-A629-2B20E3797CB5}">
  <ds:schemaRefs>
    <ds:schemaRef ds:uri="http://schemas.microsoft.com/sharepoint/v3/contenttype/forms"/>
  </ds:schemaRefs>
</ds:datastoreItem>
</file>

<file path=customXml/itemProps3.xml><?xml version="1.0" encoding="utf-8"?>
<ds:datastoreItem xmlns:ds="http://schemas.openxmlformats.org/officeDocument/2006/customXml" ds:itemID="{EFEBD22B-3DE0-4E0D-86FE-FBBA8D7127A3}">
  <ds:schemaRefs>
    <ds:schemaRef ds:uri="http://schemas.microsoft.com/office/2006/metadata/properties"/>
    <ds:schemaRef ds:uri="http://schemas.microsoft.com/office/infopath/2007/PartnerControls"/>
    <ds:schemaRef ds:uri="03647bd7-b23b-4ffd-8684-984b2bd3b5c5"/>
    <ds:schemaRef ds:uri="007dfa9b-9e73-4548-b551-b9bb31188060"/>
  </ds:schemaRefs>
</ds:datastoreItem>
</file>

<file path=customXml/itemProps4.xml><?xml version="1.0" encoding="utf-8"?>
<ds:datastoreItem xmlns:ds="http://schemas.openxmlformats.org/officeDocument/2006/customXml" ds:itemID="{3F32C158-46C0-435A-95D5-8845BACE7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22</Pages>
  <Words>8847</Words>
  <Characters>50429</Characters>
  <Application>Microsoft Office Word</Application>
  <DocSecurity>0</DocSecurity>
  <Lines>420</Lines>
  <Paragraphs>118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Capitolul 1 - Domeniu de aplicare</vt:lpstr>
      <vt:lpstr>Capitolul 2 - Prevederi generale</vt:lpstr>
      <vt:lpstr>Capitolul 3 - Definiţii</vt:lpstr>
      <vt:lpstr>Capitolul 4 - Achiziţia directă</vt:lpstr>
      <vt:lpstr>Capitolul 5 - Procedura pentru achiziții peste prag</vt:lpstr>
      <vt:lpstr>Capitolul 6 - Aplicarea principiului proporţionalităţii</vt:lpstr>
    </vt:vector>
  </TitlesOfParts>
  <Company/>
  <LinksUpToDate>false</LinksUpToDate>
  <CharactersWithSpaces>59158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Chirila Cosmin</dc:creator>
  <cp:keywords/>
  <dc:description/>
  <cp:lastModifiedBy>Cosmin Chirila</cp:lastModifiedBy>
  <cp:revision>13</cp:revision>
  <dcterms:created xsi:type="dcterms:W3CDTF">2024-12-11T10:19:00Z</dcterms:created>
  <dcterms:modified xsi:type="dcterms:W3CDTF">2024-12-13T11:06:00Z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0x010100D33056A7EFC3D541907C8A7680BBFFA6</vt:lpwstr>
  </property>
  <property fmtid="{D5CDD505-2E9C-101B-9397-08002B2CF9AE}" pid="3" name="MediaServiceImageTags">
    <vt:lpwstr/>
  </property>
</Properties>
</file>