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6A50CB" w:rsidRDefault="006A50CB">
      <w:pPr>
        <w:jc w:val="both"/>
        <w:rPr>
          <w:rFonts w:cs="Open Sans"/>
          <w:color w:val="003399"/>
        </w:rPr>
      </w:pPr>
    </w:p>
    <w:tbl>
      <w:tblPr>
        <w:tblW w:w="10525" w:type="dxa"/>
        <w:tblLayout w:type="fixed"/>
        <w:tblCellMar>
          <w:left w:w="10" w:type="dxa"/>
          <w:right w:w="10" w:type="dxa"/>
        </w:tblCellMar>
        <w:tblLook w:val="0000" w:firstRow="0" w:lastRow="0" w:firstColumn="0" w:lastColumn="0" w:noHBand="0" w:noVBand="0"/>
      </w:tblPr>
      <w:tblGrid>
        <w:gridCol w:w="2155"/>
        <w:gridCol w:w="8370"/>
      </w:tblGrid>
      <w:tr w:rsidR="006A50CB" w14:paraId="2FCB8905" w14:textId="77777777">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5725622C" w:rsidR="006A50CB" w:rsidRDefault="00000000">
            <w:pPr>
              <w:pStyle w:val="P68B1DB1-Normal1"/>
              <w:spacing w:after="120" w:line="276" w:lineRule="auto"/>
              <w:jc w:val="both"/>
            </w:pPr>
            <w:r>
              <w:t>Call Type: Call for operations of strategic importance (OSI)</w:t>
            </w:r>
          </w:p>
        </w:tc>
      </w:tr>
      <w:tr w:rsidR="006A50CB"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6A50CB" w:rsidRDefault="00000000">
            <w:pPr>
              <w:pStyle w:val="P68B1DB1-Normal2"/>
              <w:spacing w:after="120" w:line="251" w:lineRule="auto"/>
              <w:jc w:val="center"/>
            </w:pPr>
            <w:r>
              <w:t>Acronym &amp; Project code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2F8AE7CE" w:rsidR="006A50CB" w:rsidRDefault="00000000">
            <w:pPr>
              <w:pStyle w:val="P68B1DB1-Normal2"/>
              <w:spacing w:after="120" w:line="276" w:lineRule="auto"/>
              <w:jc w:val="both"/>
            </w:pPr>
            <w:r>
              <w:t>RENEW – ROHU00617</w:t>
            </w:r>
          </w:p>
        </w:tc>
      </w:tr>
      <w:tr w:rsidR="006A50CB" w14:paraId="1D2DEC3A" w14:textId="77777777" w:rsidTr="001204B7">
        <w:trPr>
          <w:trHeight w:val="482"/>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6A50CB" w:rsidRDefault="00000000">
            <w:pPr>
              <w:pStyle w:val="P68B1DB1-Normal2"/>
              <w:spacing w:after="120"/>
              <w:jc w:val="center"/>
            </w:pPr>
            <w: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4A1AC49B" w:rsidR="006A50CB" w:rsidRDefault="001204B7">
            <w:pPr>
              <w:pStyle w:val="P68B1DB1-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1204B7">
              <w:t>Renewable Energy Works Well</w:t>
            </w:r>
          </w:p>
        </w:tc>
      </w:tr>
      <w:tr w:rsidR="006A50CB"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6A50CB" w:rsidRDefault="00000000">
            <w:pPr>
              <w:pStyle w:val="P68B1DB1-Normal2"/>
              <w:spacing w:after="120"/>
              <w:jc w:val="center"/>
            </w:pPr>
            <w:r>
              <w:t>Priority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10EC776D" w:rsidR="006A50CB" w:rsidRDefault="001204B7">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1204B7">
              <w:t>P1 - Cooperation for a green and more resilient cross-border area between Romania and Hungary</w:t>
            </w:r>
          </w:p>
        </w:tc>
      </w:tr>
      <w:tr w:rsidR="006A50CB"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6A50CB" w:rsidRDefault="00000000">
            <w:pPr>
              <w:pStyle w:val="P68B1DB1-Normal2"/>
              <w:spacing w:after="120"/>
              <w:jc w:val="center"/>
            </w:pPr>
            <w:r>
              <w:t xml:space="preserve">Objective </w:t>
            </w:r>
          </w:p>
          <w:p w14:paraId="468B4CF9" w14:textId="6EA812C5" w:rsidR="006A50CB" w:rsidRDefault="00000000">
            <w:pPr>
              <w:pStyle w:val="P68B1DB1-Normal2"/>
              <w:spacing w:after="120"/>
              <w:jc w:val="center"/>
            </w:pPr>
            <w: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294D7980" w:rsidR="006A50CB" w:rsidRDefault="001204B7">
            <w:pPr>
              <w:pStyle w:val="P68B1DB1-Normal3"/>
              <w:spacing w:after="120" w:line="276" w:lineRule="auto"/>
              <w:jc w:val="both"/>
            </w:pPr>
            <w:r w:rsidRPr="001204B7">
              <w:t>RS02.2 - Promoting renewable energy in accordance with Renewable Energy Directive (EU) 2018/2001, including the sustainability criteria set out therein</w:t>
            </w:r>
          </w:p>
        </w:tc>
      </w:tr>
      <w:tr w:rsidR="006A50CB"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6A50CB" w:rsidRDefault="00000000">
            <w:pPr>
              <w:pStyle w:val="P68B1DB1-Normal2"/>
              <w:spacing w:after="120"/>
              <w:jc w:val="center"/>
            </w:pPr>
            <w: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156B5A3E" w:rsidR="006A50CB" w:rsidRDefault="00000000">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36 months (23 December 2024 – 22 December 2027)</w:t>
            </w:r>
          </w:p>
        </w:tc>
      </w:tr>
      <w:tr w:rsidR="006A50CB" w14:paraId="010F0453" w14:textId="77777777">
        <w:trPr>
          <w:trHeight w:val="19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6A50CB" w:rsidRDefault="00000000">
            <w:pPr>
              <w:pStyle w:val="P68B1DB1-Normal2"/>
              <w:spacing w:after="120"/>
              <w:jc w:val="center"/>
            </w:pPr>
            <w:r>
              <w:t>Objective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6F300A99" w:rsidR="006A50CB" w:rsidRDefault="00E32878" w:rsidP="00E3287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E32878">
              <w:t xml:space="preserve">The main objective of the project is to promote and contribute to a green, resilient, and more cohesive transition in the </w:t>
            </w:r>
            <w:proofErr w:type="gramStart"/>
            <w:r w:rsidRPr="00E32878">
              <w:t>Romanian-Hungarian</w:t>
            </w:r>
            <w:proofErr w:type="gramEnd"/>
            <w:r w:rsidRPr="00E32878">
              <w:t xml:space="preserve"> cross-border area through the promotion and utilization of renewable energy sources. The project focuses on harnessing the potential of geothermal water and the gas produced from geothermal water, as well as solar energy for heating. This transition fosters economic growth, energy independence, and encourages further collaboration initiatives.</w:t>
            </w:r>
          </w:p>
        </w:tc>
      </w:tr>
      <w:tr w:rsidR="006A50CB"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6A50CB" w:rsidRDefault="00000000">
            <w:pPr>
              <w:pStyle w:val="P68B1DB1-Normal2"/>
              <w:spacing w:after="120"/>
              <w:jc w:val="center"/>
            </w:pPr>
            <w: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554CE" w14:textId="21138CDD" w:rsidR="006A50CB" w:rsidRDefault="00000000">
            <w:pPr>
              <w:pStyle w:val="P68B1DB1-Norm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Lead Partner: </w:t>
            </w:r>
          </w:p>
          <w:p w14:paraId="6332623C" w14:textId="62DE0291" w:rsidR="006A50CB" w:rsidRDefault="00000000">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Hajdú-Bihar County Council (Hungary)</w:t>
            </w:r>
          </w:p>
        </w:tc>
      </w:tr>
      <w:tr w:rsidR="006A50CB"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6A50CB" w:rsidRDefault="006A50CB">
            <w:pPr>
              <w:spacing w:after="0" w:line="251" w:lineRule="auto"/>
              <w:rPr>
                <w:rFonts w:cs="Open Sans"/>
                <w:b/>
                <w:color w:val="1F3864" w:themeColor="accent5" w:themeShade="8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7777777" w:rsidR="006A50CB" w:rsidRDefault="00000000">
            <w:pPr>
              <w:pStyle w:val="P68B1DB1-Normal2"/>
              <w:spacing w:after="0" w:line="276" w:lineRule="auto"/>
              <w:jc w:val="both"/>
            </w:pPr>
            <w:r>
              <w:t xml:space="preserve">Project Partners: </w:t>
            </w:r>
          </w:p>
          <w:p w14:paraId="6BBD4969" w14:textId="7DF13472" w:rsidR="006A50CB" w:rsidRDefault="00000000">
            <w:pPr>
              <w:pStyle w:val="P68B1DB1-Normal3"/>
              <w:spacing w:after="0" w:line="276" w:lineRule="auto"/>
              <w:jc w:val="both"/>
            </w:pPr>
            <w:r>
              <w:t>PP2 HU:</w:t>
            </w:r>
            <w:r>
              <w:rPr>
                <w:b/>
              </w:rPr>
              <w:t xml:space="preserve"> </w:t>
            </w:r>
            <w:r>
              <w:t>Municipality of Berettyóújfalu,</w:t>
            </w:r>
          </w:p>
          <w:p w14:paraId="2AA03AA2" w14:textId="39A8BB54" w:rsidR="006A50CB" w:rsidRDefault="00000000">
            <w:pPr>
              <w:pStyle w:val="P68B1DB1-Normal3"/>
              <w:spacing w:after="0" w:line="276" w:lineRule="auto"/>
              <w:jc w:val="both"/>
            </w:pPr>
            <w:r>
              <w:t>PP3 HU: Municipality of Hajdúdorog</w:t>
            </w:r>
          </w:p>
          <w:p w14:paraId="77F62C2B" w14:textId="5E82E536" w:rsidR="006A50CB" w:rsidRDefault="00000000">
            <w:pPr>
              <w:pStyle w:val="P68B1DB1-Normal3"/>
              <w:spacing w:after="0" w:line="276" w:lineRule="auto"/>
              <w:jc w:val="both"/>
            </w:pPr>
            <w:r>
              <w:t>PP4 HU: Municipality of Kaba</w:t>
            </w:r>
          </w:p>
          <w:p w14:paraId="7AAA8761" w14:textId="72215B17" w:rsidR="006A50CB" w:rsidRDefault="00000000">
            <w:pPr>
              <w:pStyle w:val="P68B1DB1-Normal3"/>
              <w:spacing w:after="0" w:line="276" w:lineRule="auto"/>
              <w:jc w:val="both"/>
            </w:pPr>
            <w:r>
              <w:t>PP5 HU: Municipality of Létavértes</w:t>
            </w:r>
          </w:p>
          <w:p w14:paraId="66650754" w14:textId="4B688288" w:rsidR="006A50CB" w:rsidRDefault="00000000">
            <w:pPr>
              <w:pStyle w:val="P68B1DB1-Normal3"/>
              <w:spacing w:after="0" w:line="276" w:lineRule="auto"/>
              <w:jc w:val="both"/>
            </w:pPr>
            <w:r>
              <w:t xml:space="preserve">PP6 HU: Hajdú-Bihar County Development Agency </w:t>
            </w:r>
          </w:p>
          <w:p w14:paraId="7BCBBF71" w14:textId="3A53F503" w:rsidR="006A50CB" w:rsidRDefault="00000000">
            <w:pPr>
              <w:pStyle w:val="P68B1DB1-Normal3"/>
              <w:spacing w:after="0" w:line="276" w:lineRule="auto"/>
              <w:jc w:val="both"/>
            </w:pPr>
            <w:r>
              <w:t>PP7 RO: UAT Bihor County - Bihor County Council</w:t>
            </w:r>
          </w:p>
        </w:tc>
      </w:tr>
      <w:tr w:rsidR="006A50CB"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6A50CB" w:rsidRDefault="00000000">
            <w:pPr>
              <w:pStyle w:val="P68B1DB1-Normal2"/>
              <w:jc w:val="center"/>
            </w:pPr>
            <w:r>
              <w:t>Total budget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9CAF4F3" w:rsidR="006A50CB" w:rsidRDefault="00000000">
            <w:pPr>
              <w:pStyle w:val="P68B1DB1-Normal4"/>
              <w:spacing w:after="0" w:line="276" w:lineRule="auto"/>
              <w:jc w:val="both"/>
              <w:rPr>
                <w:rFonts w:cs="Open Sans"/>
              </w:rPr>
            </w:pPr>
            <w:r>
              <w:rPr>
                <w:rFonts w:cs="Open Sans"/>
              </w:rPr>
              <w:t>EUR 9.010.615,03 of which ERDF EUR 7.208.492,00</w:t>
            </w:r>
            <w:r>
              <w:rPr>
                <w:rFonts w:eastAsia="Times New Roman" w:cs="Open Sans"/>
                <w:b/>
              </w:rPr>
              <w:t xml:space="preserve"> </w:t>
            </w:r>
          </w:p>
        </w:tc>
      </w:tr>
      <w:tr w:rsidR="006A50CB"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6A50CB" w:rsidRDefault="00000000">
            <w:pPr>
              <w:pStyle w:val="P68B1DB1-Normal2"/>
              <w:jc w:val="center"/>
            </w:pPr>
            <w:r>
              <w:t>Summary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50E2" w14:textId="77777777" w:rsidR="00E32878" w:rsidRPr="00E32878" w:rsidRDefault="00E32878" w:rsidP="00E3287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002060"/>
              </w:rPr>
            </w:pPr>
            <w:r w:rsidRPr="00E32878">
              <w:rPr>
                <w:color w:val="002060"/>
              </w:rPr>
              <w:t>The cross-border region of Hajdú-Bihar County and Bihor County faces several common challenges affecting environmental, economic, and social aspects. A key issue is the dependence on gas heating, which contributes to harmful emissions and climate change. Given the decline in domestic natural gas production, the region will soon be fully reliant on imports, raising concerns about security, quality, and price.</w:t>
            </w:r>
          </w:p>
          <w:p w14:paraId="2899966B" w14:textId="77777777" w:rsidR="00E32878" w:rsidRPr="00E32878" w:rsidRDefault="00E32878" w:rsidP="00E3287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002060"/>
              </w:rPr>
            </w:pPr>
            <w:r w:rsidRPr="00E32878">
              <w:rPr>
                <w:color w:val="002060"/>
              </w:rPr>
              <w:t>The partnership will install geothermal systems at the premises of six partners on both sides of the border (WP1). Through this large-scale investment, the partnership aims to address institutional and financial obstacles to cross-border cooperation in renewable energy and contribute to the output indicator RCO116 and result indicator RCR104.</w:t>
            </w:r>
          </w:p>
          <w:p w14:paraId="272C49EF" w14:textId="77777777" w:rsidR="00E32878" w:rsidRPr="00E32878" w:rsidRDefault="00E32878" w:rsidP="00E3287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color w:val="002060"/>
              </w:rPr>
            </w:pPr>
          </w:p>
          <w:p w14:paraId="1EEB7C0A" w14:textId="77777777" w:rsidR="00E32878" w:rsidRDefault="00E32878" w:rsidP="00E3287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color w:val="002060"/>
              </w:rPr>
            </w:pPr>
            <w:r w:rsidRPr="00E32878">
              <w:rPr>
                <w:color w:val="002060"/>
              </w:rPr>
              <w:lastRenderedPageBreak/>
              <w:t>The main activities of the project are as follows:</w:t>
            </w:r>
          </w:p>
          <w:p w14:paraId="0814897C" w14:textId="77777777" w:rsidR="00E32878" w:rsidRDefault="00E32878" w:rsidP="00E32878">
            <w:pPr>
              <w:pStyle w:val="P68B1DB1-Normal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beforeAutospacing="1" w:after="100" w:afterAutospacing="1" w:line="240" w:lineRule="auto"/>
              <w:jc w:val="both"/>
              <w:textAlignment w:val="auto"/>
              <w:rPr>
                <w:rFonts w:eastAsia="Times New Roman"/>
                <w:color w:val="002060"/>
                <w:lang w:val="en-US"/>
              </w:rPr>
            </w:pPr>
            <w:r w:rsidRPr="00E32878">
              <w:rPr>
                <w:rFonts w:eastAsia="Times New Roman"/>
                <w:b/>
                <w:bCs/>
                <w:color w:val="002060"/>
                <w:lang w:val="en-US"/>
              </w:rPr>
              <w:t>Infrastructure modernization at Hajdú-Bihar County Council</w:t>
            </w:r>
            <w:r w:rsidRPr="00E32878">
              <w:rPr>
                <w:rFonts w:eastAsia="Times New Roman"/>
                <w:color w:val="002060"/>
                <w:lang w:val="en-US"/>
              </w:rPr>
              <w:t xml:space="preserve">: Works to enhance the energy performance of buildings and reduce environmental impact, including thermal insulation, replacement of windows and doors, installation of heat pumps, underfloor heating, etc. Additionally, LP1 will acquire two plug-in hybrid cars and install two electric charging stations (at </w:t>
            </w:r>
            <w:proofErr w:type="spellStart"/>
            <w:r w:rsidRPr="00E32878">
              <w:rPr>
                <w:rFonts w:eastAsia="Times New Roman"/>
                <w:color w:val="002060"/>
                <w:lang w:val="en-US"/>
              </w:rPr>
              <w:t>Piac</w:t>
            </w:r>
            <w:proofErr w:type="spellEnd"/>
            <w:r w:rsidRPr="00E32878">
              <w:rPr>
                <w:rFonts w:eastAsia="Times New Roman"/>
                <w:color w:val="002060"/>
                <w:lang w:val="en-US"/>
              </w:rPr>
              <w:t xml:space="preserve"> u 71 and </w:t>
            </w:r>
            <w:proofErr w:type="spellStart"/>
            <w:r w:rsidRPr="00E32878">
              <w:rPr>
                <w:rFonts w:eastAsia="Times New Roman"/>
                <w:color w:val="002060"/>
                <w:lang w:val="en-US"/>
              </w:rPr>
              <w:t>Piac</w:t>
            </w:r>
            <w:proofErr w:type="spellEnd"/>
            <w:r w:rsidRPr="00E32878">
              <w:rPr>
                <w:rFonts w:eastAsia="Times New Roman"/>
                <w:color w:val="002060"/>
                <w:lang w:val="en-US"/>
              </w:rPr>
              <w:t xml:space="preserve"> u 54).</w:t>
            </w:r>
          </w:p>
          <w:p w14:paraId="5704E5E5" w14:textId="34504FDC" w:rsidR="00E32878" w:rsidRPr="00E32878" w:rsidRDefault="00E32878" w:rsidP="00E32878">
            <w:pPr>
              <w:pStyle w:val="P68B1DB1-Normal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100" w:beforeAutospacing="1" w:after="100" w:afterAutospacing="1" w:line="240" w:lineRule="auto"/>
              <w:jc w:val="both"/>
              <w:textAlignment w:val="auto"/>
              <w:rPr>
                <w:rFonts w:eastAsia="Times New Roman"/>
                <w:color w:val="002060"/>
                <w:lang w:val="en-US"/>
              </w:rPr>
            </w:pPr>
            <w:r w:rsidRPr="00E32878">
              <w:rPr>
                <w:rFonts w:eastAsia="Times New Roman"/>
                <w:b/>
                <w:bCs/>
                <w:color w:val="002060"/>
                <w:lang w:val="en-US"/>
              </w:rPr>
              <w:t xml:space="preserve">Infrastructure modernization in </w:t>
            </w:r>
            <w:proofErr w:type="spellStart"/>
            <w:r w:rsidRPr="00E32878">
              <w:rPr>
                <w:rFonts w:eastAsia="Times New Roman"/>
                <w:b/>
                <w:bCs/>
                <w:color w:val="002060"/>
                <w:lang w:val="en-US"/>
              </w:rPr>
              <w:t>Berettyóújfalu</w:t>
            </w:r>
            <w:proofErr w:type="spellEnd"/>
            <w:r w:rsidRPr="00E32878">
              <w:rPr>
                <w:rFonts w:eastAsia="Times New Roman"/>
                <w:color w:val="002060"/>
                <w:lang w:val="en-US"/>
              </w:rPr>
              <w:t>: Utilization of thermal water at temperatures of 32-36°C from thermal pools, using water-to-water heat pumps to heat five municipal buildings.</w:t>
            </w:r>
          </w:p>
          <w:p w14:paraId="71F459EE"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 xml:space="preserve">Infrastructure modernization in </w:t>
            </w:r>
            <w:proofErr w:type="spellStart"/>
            <w:r w:rsidRPr="00E32878">
              <w:rPr>
                <w:rFonts w:eastAsia="Times New Roman" w:cs="Open Sans"/>
                <w:b/>
                <w:bCs/>
                <w:color w:val="002060"/>
                <w:lang w:val="en-US"/>
              </w:rPr>
              <w:t>Hajdúdorog</w:t>
            </w:r>
            <w:proofErr w:type="spellEnd"/>
            <w:r w:rsidRPr="00E32878">
              <w:rPr>
                <w:rFonts w:eastAsia="Times New Roman" w:cs="Open Sans"/>
                <w:color w:val="002060"/>
                <w:lang w:val="en-US"/>
              </w:rPr>
              <w:t>: Use of existing thermal water to heat seven public institutions, aiming to increase energy efficiency and reduce costs for these institutions.</w:t>
            </w:r>
          </w:p>
          <w:p w14:paraId="462AF433"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Infrastructure modernization in Kaba</w:t>
            </w:r>
            <w:r w:rsidRPr="00E32878">
              <w:rPr>
                <w:rFonts w:eastAsia="Times New Roman" w:cs="Open Sans"/>
                <w:color w:val="002060"/>
                <w:lang w:val="en-US"/>
              </w:rPr>
              <w:t>: Use of existing thermal water to heat seven public institutions.</w:t>
            </w:r>
          </w:p>
          <w:p w14:paraId="78E7225D"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 xml:space="preserve">Infrastructure modernization in </w:t>
            </w:r>
            <w:proofErr w:type="spellStart"/>
            <w:r w:rsidRPr="00E32878">
              <w:rPr>
                <w:rFonts w:eastAsia="Times New Roman" w:cs="Open Sans"/>
                <w:b/>
                <w:bCs/>
                <w:color w:val="002060"/>
                <w:lang w:val="en-US"/>
              </w:rPr>
              <w:t>Létavértes</w:t>
            </w:r>
            <w:proofErr w:type="spellEnd"/>
            <w:r w:rsidRPr="00E32878">
              <w:rPr>
                <w:rFonts w:eastAsia="Times New Roman" w:cs="Open Sans"/>
                <w:color w:val="002060"/>
                <w:lang w:val="en-US"/>
              </w:rPr>
              <w:t>: Extension of the existing geothermal heating network to connect six additional buildings to the system.</w:t>
            </w:r>
          </w:p>
          <w:p w14:paraId="561E41D2"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Works for an efficient and sustainable heating system at the Multifunctional Cultural Center</w:t>
            </w:r>
            <w:r w:rsidRPr="00E32878">
              <w:rPr>
                <w:rFonts w:eastAsia="Times New Roman" w:cs="Open Sans"/>
                <w:color w:val="002060"/>
                <w:lang w:val="en-US"/>
              </w:rPr>
              <w:t>: Installation of an efficient and durable heating system using state-of-the-art technological solutions, energy management flows based on the partners' expertise in the energy sector, and renewable energy sources, including the effective management and use of geothermal energy.</w:t>
            </w:r>
          </w:p>
          <w:p w14:paraId="61CFEED4"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 xml:space="preserve">Creation of a </w:t>
            </w:r>
            <w:proofErr w:type="gramStart"/>
            <w:r w:rsidRPr="00E32878">
              <w:rPr>
                <w:rFonts w:eastAsia="Times New Roman" w:cs="Open Sans"/>
                <w:b/>
                <w:bCs/>
                <w:color w:val="002060"/>
                <w:lang w:val="en-US"/>
              </w:rPr>
              <w:t>Romanian-Hungarian</w:t>
            </w:r>
            <w:proofErr w:type="gramEnd"/>
            <w:r w:rsidRPr="00E32878">
              <w:rPr>
                <w:rFonts w:eastAsia="Times New Roman" w:cs="Open Sans"/>
                <w:b/>
                <w:bCs/>
                <w:color w:val="002060"/>
                <w:lang w:val="en-US"/>
              </w:rPr>
              <w:t xml:space="preserve"> cross-border renewable energy action plan</w:t>
            </w:r>
            <w:r w:rsidRPr="00E32878">
              <w:rPr>
                <w:rFonts w:eastAsia="Times New Roman" w:cs="Open Sans"/>
                <w:color w:val="002060"/>
                <w:lang w:val="en-US"/>
              </w:rPr>
              <w:t>: PP7 CJBH will coordinate the development of the joint energy action plan and will hire external expertise to collect data and solutions related to energy.</w:t>
            </w:r>
          </w:p>
          <w:p w14:paraId="010A172E" w14:textId="77777777" w:rsidR="00E32878" w:rsidRPr="00E32878" w:rsidRDefault="00E32878" w:rsidP="00E32878">
            <w:pPr>
              <w:numPr>
                <w:ilvl w:val="0"/>
                <w:numId w:val="10"/>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b/>
                <w:bCs/>
                <w:color w:val="002060"/>
                <w:lang w:val="en-US"/>
              </w:rPr>
              <w:t>Soft activities</w:t>
            </w:r>
            <w:r w:rsidRPr="00E32878">
              <w:rPr>
                <w:rFonts w:eastAsia="Times New Roman" w:cs="Open Sans"/>
                <w:color w:val="002060"/>
                <w:lang w:val="en-US"/>
              </w:rPr>
              <w:t>:</w:t>
            </w:r>
          </w:p>
          <w:p w14:paraId="7B280338"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PP2, PP3, PP4, PP5 will purchase and plant at least 100 trees/bushes at the intervention sites.</w:t>
            </w:r>
          </w:p>
          <w:p w14:paraId="49106E6F"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PP6 and PP7 will organize three joint summer thematic camps (one camp per year).</w:t>
            </w:r>
          </w:p>
          <w:p w14:paraId="16697DB4"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 xml:space="preserve">Thematic participation in events held at five locations: </w:t>
            </w:r>
            <w:proofErr w:type="spellStart"/>
            <w:r w:rsidRPr="00E32878">
              <w:rPr>
                <w:rFonts w:eastAsia="Times New Roman" w:cs="Open Sans"/>
                <w:color w:val="002060"/>
                <w:lang w:val="en-US"/>
              </w:rPr>
              <w:t>Berettyóújfalu</w:t>
            </w:r>
            <w:proofErr w:type="spellEnd"/>
            <w:r w:rsidRPr="00E32878">
              <w:rPr>
                <w:rFonts w:eastAsia="Times New Roman" w:cs="Open Sans"/>
                <w:color w:val="002060"/>
                <w:lang w:val="en-US"/>
              </w:rPr>
              <w:t xml:space="preserve">, </w:t>
            </w:r>
            <w:proofErr w:type="spellStart"/>
            <w:r w:rsidRPr="00E32878">
              <w:rPr>
                <w:rFonts w:eastAsia="Times New Roman" w:cs="Open Sans"/>
                <w:color w:val="002060"/>
                <w:lang w:val="en-US"/>
              </w:rPr>
              <w:t>Hajdúdorog</w:t>
            </w:r>
            <w:proofErr w:type="spellEnd"/>
            <w:r w:rsidRPr="00E32878">
              <w:rPr>
                <w:rFonts w:eastAsia="Times New Roman" w:cs="Open Sans"/>
                <w:color w:val="002060"/>
                <w:lang w:val="en-US"/>
              </w:rPr>
              <w:t xml:space="preserve">, Kaba, </w:t>
            </w:r>
            <w:proofErr w:type="spellStart"/>
            <w:r w:rsidRPr="00E32878">
              <w:rPr>
                <w:rFonts w:eastAsia="Times New Roman" w:cs="Open Sans"/>
                <w:color w:val="002060"/>
                <w:lang w:val="en-US"/>
              </w:rPr>
              <w:t>Létavértes</w:t>
            </w:r>
            <w:proofErr w:type="spellEnd"/>
            <w:r w:rsidRPr="00E32878">
              <w:rPr>
                <w:rFonts w:eastAsia="Times New Roman" w:cs="Open Sans"/>
                <w:color w:val="002060"/>
                <w:lang w:val="en-US"/>
              </w:rPr>
              <w:t>, Oradea.</w:t>
            </w:r>
          </w:p>
          <w:p w14:paraId="68083303"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 xml:space="preserve">Six joint study visits to </w:t>
            </w:r>
            <w:proofErr w:type="spellStart"/>
            <w:r w:rsidRPr="00E32878">
              <w:rPr>
                <w:rFonts w:eastAsia="Times New Roman" w:cs="Open Sans"/>
                <w:color w:val="002060"/>
                <w:lang w:val="en-US"/>
              </w:rPr>
              <w:t>Tiszalök</w:t>
            </w:r>
            <w:proofErr w:type="spellEnd"/>
            <w:r w:rsidRPr="00E32878">
              <w:rPr>
                <w:rFonts w:eastAsia="Times New Roman" w:cs="Open Sans"/>
                <w:color w:val="002060"/>
                <w:lang w:val="en-US"/>
              </w:rPr>
              <w:t xml:space="preserve"> (hydroelectric power station), </w:t>
            </w:r>
            <w:proofErr w:type="spellStart"/>
            <w:r w:rsidRPr="00E32878">
              <w:rPr>
                <w:rFonts w:eastAsia="Times New Roman" w:cs="Open Sans"/>
                <w:color w:val="002060"/>
                <w:lang w:val="en-US"/>
              </w:rPr>
              <w:t>Berettyóújfalu</w:t>
            </w:r>
            <w:proofErr w:type="spellEnd"/>
            <w:r w:rsidRPr="00E32878">
              <w:rPr>
                <w:rFonts w:eastAsia="Times New Roman" w:cs="Open Sans"/>
                <w:color w:val="002060"/>
                <w:lang w:val="en-US"/>
              </w:rPr>
              <w:t xml:space="preserve"> (solar energy park), and </w:t>
            </w:r>
            <w:proofErr w:type="spellStart"/>
            <w:r w:rsidRPr="00E32878">
              <w:rPr>
                <w:rFonts w:eastAsia="Times New Roman" w:cs="Open Sans"/>
                <w:color w:val="002060"/>
                <w:lang w:val="en-US"/>
              </w:rPr>
              <w:t>Kulcs</w:t>
            </w:r>
            <w:proofErr w:type="spellEnd"/>
            <w:r w:rsidRPr="00E32878">
              <w:rPr>
                <w:rFonts w:eastAsia="Times New Roman" w:cs="Open Sans"/>
                <w:color w:val="002060"/>
                <w:lang w:val="en-US"/>
              </w:rPr>
              <w:t xml:space="preserve"> (wind power station) for students from the cross-border area.</w:t>
            </w:r>
          </w:p>
          <w:p w14:paraId="1D99E504"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 xml:space="preserve">Two joint good practice visits organized in Oradea, </w:t>
            </w:r>
            <w:proofErr w:type="spellStart"/>
            <w:r w:rsidRPr="00E32878">
              <w:rPr>
                <w:rFonts w:eastAsia="Times New Roman" w:cs="Open Sans"/>
                <w:color w:val="002060"/>
                <w:lang w:val="en-US"/>
              </w:rPr>
              <w:t>Berettyóújfalu</w:t>
            </w:r>
            <w:proofErr w:type="spellEnd"/>
            <w:r w:rsidRPr="00E32878">
              <w:rPr>
                <w:rFonts w:eastAsia="Times New Roman" w:cs="Open Sans"/>
                <w:color w:val="002060"/>
                <w:lang w:val="en-US"/>
              </w:rPr>
              <w:t>, and Kaba.</w:t>
            </w:r>
          </w:p>
          <w:p w14:paraId="33F385A6" w14:textId="77777777" w:rsidR="00E32878"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eastAsia="Times New Roman" w:cs="Open Sans"/>
                <w:color w:val="002060"/>
                <w:lang w:val="en-US"/>
              </w:rPr>
            </w:pPr>
            <w:r w:rsidRPr="00E32878">
              <w:rPr>
                <w:rFonts w:eastAsia="Times New Roman" w:cs="Open Sans"/>
                <w:color w:val="002060"/>
                <w:lang w:val="en-US"/>
              </w:rPr>
              <w:t xml:space="preserve">Awareness activities for primary school children </w:t>
            </w:r>
            <w:proofErr w:type="gramStart"/>
            <w:r w:rsidRPr="00E32878">
              <w:rPr>
                <w:rFonts w:eastAsia="Times New Roman" w:cs="Open Sans"/>
                <w:color w:val="002060"/>
                <w:lang w:val="en-US"/>
              </w:rPr>
              <w:t>organized</w:t>
            </w:r>
            <w:proofErr w:type="gramEnd"/>
            <w:r w:rsidRPr="00E32878">
              <w:rPr>
                <w:rFonts w:eastAsia="Times New Roman" w:cs="Open Sans"/>
                <w:color w:val="002060"/>
                <w:lang w:val="en-US"/>
              </w:rPr>
              <w:t xml:space="preserve"> in four localities.</w:t>
            </w:r>
          </w:p>
          <w:p w14:paraId="769F20B1" w14:textId="27A2FB98" w:rsidR="006A50CB" w:rsidRPr="00E32878" w:rsidRDefault="00E32878" w:rsidP="00E32878">
            <w:pPr>
              <w:numPr>
                <w:ilvl w:val="1"/>
                <w:numId w:val="12"/>
              </w:numPr>
              <w:suppressAutoHyphens w:val="0"/>
              <w:autoSpaceDN/>
              <w:spacing w:before="100" w:beforeAutospacing="1" w:after="100" w:afterAutospacing="1" w:line="240" w:lineRule="auto"/>
              <w:jc w:val="both"/>
              <w:textAlignment w:val="auto"/>
              <w:rPr>
                <w:rFonts w:cs="Open Sans"/>
                <w:color w:val="002060"/>
              </w:rPr>
            </w:pPr>
            <w:r w:rsidRPr="00E32878">
              <w:rPr>
                <w:rFonts w:eastAsia="Times New Roman" w:cs="Open Sans"/>
                <w:color w:val="002060"/>
                <w:lang w:val="en-US"/>
              </w:rPr>
              <w:t>A program where school children share their knowledge with kindergarten children about an ecological lifestyle, consisting of 12 events.</w:t>
            </w:r>
          </w:p>
        </w:tc>
      </w:tr>
      <w:tr w:rsidR="006A50CB" w14:paraId="47DF7069"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6A50CB" w:rsidRDefault="00000000">
            <w:pPr>
              <w:pStyle w:val="P68B1DB1-Normal2"/>
              <w:jc w:val="center"/>
            </w:pPr>
            <w: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8D6" w14:textId="77777777" w:rsidR="00DD151F" w:rsidRDefault="00DD151F" w:rsidP="00DD151F">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main results of the project include:</w:t>
            </w:r>
          </w:p>
          <w:p w14:paraId="3AD4FE3A" w14:textId="77777777" w:rsidR="00DD151F" w:rsidRDefault="00DD151F" w:rsidP="00DD151F">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
          <w:p w14:paraId="1829D1A9" w14:textId="77777777" w:rsidR="00DD151F"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DD151F">
              <w:rPr>
                <w:b/>
                <w:bCs/>
              </w:rPr>
              <w:lastRenderedPageBreak/>
              <w:t>Strengthening infrastructure and utilizing renewable energy sources</w:t>
            </w:r>
            <w:r>
              <w:t>, particularly geothermal energy, for the LP partners, PP2, PP3, PP4, PP5, and PP7, through the installation of heat pumps (for LP, PP2, and PP7) and heat exchangers (for PP3, PP4, and PP5). The number of buildings involved in the project:</w:t>
            </w:r>
          </w:p>
          <w:p w14:paraId="677CBBB8" w14:textId="6193C250"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LP: 1 building, plus an electric vehicle charging station at another </w:t>
            </w:r>
            <w:r>
              <w:t>location.</w:t>
            </w:r>
          </w:p>
          <w:p w14:paraId="373A7A2E" w14:textId="17E5552C"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PP2: 5 </w:t>
            </w:r>
            <w:r>
              <w:t>buildings.</w:t>
            </w:r>
          </w:p>
          <w:p w14:paraId="596E059C" w14:textId="506ECA5C"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PP3: 7 </w:t>
            </w:r>
            <w:r>
              <w:t>buildings.</w:t>
            </w:r>
          </w:p>
          <w:p w14:paraId="6CDA15C6" w14:textId="11DAD895"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PP4: 7 </w:t>
            </w:r>
            <w:r>
              <w:t>buildings.</w:t>
            </w:r>
          </w:p>
          <w:p w14:paraId="0582408C" w14:textId="684A2DF2"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PP5: 6 </w:t>
            </w:r>
            <w:r>
              <w:t>buildings.</w:t>
            </w:r>
          </w:p>
          <w:p w14:paraId="70F2F8D3" w14:textId="77777777" w:rsidR="00DD151F" w:rsidRDefault="00DD151F" w:rsidP="00DD151F">
            <w:pPr>
              <w:pStyle w:val="P68B1DB1-Normal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PP7: 1 building.</w:t>
            </w:r>
          </w:p>
          <w:p w14:paraId="344098CF" w14:textId="77777777" w:rsidR="00DD151F"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DD151F">
              <w:rPr>
                <w:b/>
                <w:bCs/>
              </w:rPr>
              <w:t>Development of a Cross-Border Renewable Energy Action Plan</w:t>
            </w:r>
            <w:r>
              <w:t>, which will support the transition to sustainable energy in the region, focusing on harnessing the potential of geothermal water and solar energy for heating.</w:t>
            </w:r>
          </w:p>
          <w:p w14:paraId="1BC2AF69" w14:textId="77777777" w:rsidR="00DD151F"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Engagement of various stakeholders, residents, educational institutions, and local and regional authorities through the organization of </w:t>
            </w:r>
            <w:r w:rsidRPr="00DD151F">
              <w:rPr>
                <w:b/>
                <w:bCs/>
              </w:rPr>
              <w:t xml:space="preserve">3 good practice exchange visits, 3 summer camps, and 20 Energy Café events. </w:t>
            </w:r>
            <w:r>
              <w:t>These activities will take place in the Bihor and Hajdú-Bihar regions and will be organized collaboratively by PP6 and PP7. By the end of the implementation period, it is expected that at least 884 participants will take part in these activities, and through extended collaboration measures, approximately 1,000,000 residents of the region will be informed about the benefits of renewable energy solutions.</w:t>
            </w:r>
          </w:p>
          <w:p w14:paraId="4842F9EE" w14:textId="77777777" w:rsidR="00DD151F"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DD151F">
              <w:rPr>
                <w:b/>
                <w:bCs/>
              </w:rPr>
              <w:t>Good Practice Guideline</w:t>
            </w:r>
            <w:r>
              <w:t xml:space="preserve"> developed by the partners for joint solutions for utilizing renewable energy sources in the cross-border area for public buildings. The guideline will describe the installation solutions for heat pumps and heat exchangers, based on information collected from all partners.</w:t>
            </w:r>
          </w:p>
          <w:p w14:paraId="23C95B83" w14:textId="77777777" w:rsidR="00DD151F"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Exchange of best practices will be facilitated among stakeholders and decision-makers, as well as European networks, during international project meetings organized at LP to share lessons learned:</w:t>
            </w:r>
          </w:p>
          <w:p w14:paraId="68C4F112" w14:textId="77777777" w:rsidR="00DD151F" w:rsidRDefault="00DD151F" w:rsidP="00DD151F">
            <w:pPr>
              <w:pStyle w:val="P68B1DB1-Normal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EXPRESS (Interreg Europe project): August 2025</w:t>
            </w:r>
          </w:p>
          <w:p w14:paraId="66612690" w14:textId="77777777" w:rsidR="00DD151F" w:rsidRDefault="00DD151F" w:rsidP="00DD151F">
            <w:pPr>
              <w:pStyle w:val="P68B1DB1-Normal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roofErr w:type="spellStart"/>
            <w:r>
              <w:t>WEEEWaste</w:t>
            </w:r>
            <w:proofErr w:type="spellEnd"/>
            <w:r>
              <w:t xml:space="preserve"> (Interreg Europe project): February 2025</w:t>
            </w:r>
          </w:p>
          <w:p w14:paraId="173E30B6" w14:textId="53D76804" w:rsidR="006A50CB" w:rsidRDefault="00DD151F" w:rsidP="00DD151F">
            <w:pPr>
              <w:pStyle w:val="P68B1DB1-Normal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project’s trilingual website and leaflets will contribute to promoting multilingualism. All project events will be free and open to the public, without any discrimination.</w:t>
            </w:r>
          </w:p>
        </w:tc>
      </w:tr>
    </w:tbl>
    <w:p w14:paraId="2E5160C3" w14:textId="5D0B5ABE" w:rsidR="006A50CB" w:rsidRDefault="006A50CB">
      <w:pPr>
        <w:spacing w:after="0"/>
        <w:jc w:val="both"/>
        <w:rPr>
          <w:rFonts w:cs="Open Sans"/>
          <w:color w:val="003399"/>
        </w:rPr>
      </w:pPr>
    </w:p>
    <w:sectPr w:rsidR="006A50CB">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EBBA8" w14:textId="77777777" w:rsidR="001946CE" w:rsidRDefault="001946CE">
      <w:pPr>
        <w:spacing w:after="0" w:line="240" w:lineRule="auto"/>
      </w:pPr>
      <w:r>
        <w:separator/>
      </w:r>
    </w:p>
  </w:endnote>
  <w:endnote w:type="continuationSeparator" w:id="0">
    <w:p w14:paraId="60F54D64" w14:textId="77777777" w:rsidR="001946CE" w:rsidRDefault="0019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6A50CB" w:rsidRDefault="00000000">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F194" w14:textId="77777777" w:rsidR="001946CE" w:rsidRDefault="001946CE">
      <w:pPr>
        <w:spacing w:after="0" w:line="240" w:lineRule="auto"/>
      </w:pPr>
      <w:r>
        <w:separator/>
      </w:r>
    </w:p>
  </w:footnote>
  <w:footnote w:type="continuationSeparator" w:id="0">
    <w:p w14:paraId="21E7CDDB" w14:textId="77777777" w:rsidR="001946CE" w:rsidRDefault="0019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6A50CB" w:rsidRDefault="00000000">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88A"/>
    <w:multiLevelType w:val="multilevel"/>
    <w:tmpl w:val="103C1070"/>
    <w:lvl w:ilvl="0">
      <w:start w:val="1"/>
      <w:numFmt w:val="decimal"/>
      <w:lvlText w:val="%1."/>
      <w:lvlJc w:val="left"/>
      <w:pPr>
        <w:tabs>
          <w:tab w:val="num" w:pos="720"/>
        </w:tabs>
        <w:ind w:left="720" w:hanging="360"/>
      </w:p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D2CAA"/>
    <w:multiLevelType w:val="multilevel"/>
    <w:tmpl w:val="103C1070"/>
    <w:lvl w:ilvl="0">
      <w:start w:val="1"/>
      <w:numFmt w:val="decimal"/>
      <w:lvlText w:val="%1."/>
      <w:lvlJc w:val="left"/>
      <w:pPr>
        <w:tabs>
          <w:tab w:val="num" w:pos="720"/>
        </w:tabs>
        <w:ind w:left="720" w:hanging="360"/>
      </w:p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17267"/>
    <w:multiLevelType w:val="multilevel"/>
    <w:tmpl w:val="103C1070"/>
    <w:lvl w:ilvl="0">
      <w:start w:val="1"/>
      <w:numFmt w:val="decimal"/>
      <w:lvlText w:val="%1."/>
      <w:lvlJc w:val="left"/>
      <w:pPr>
        <w:tabs>
          <w:tab w:val="num" w:pos="720"/>
        </w:tabs>
        <w:ind w:left="720" w:hanging="360"/>
      </w:p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342B23"/>
    <w:multiLevelType w:val="multilevel"/>
    <w:tmpl w:val="103C1070"/>
    <w:lvl w:ilvl="0">
      <w:start w:val="1"/>
      <w:numFmt w:val="decimal"/>
      <w:lvlText w:val="%1."/>
      <w:lvlJc w:val="left"/>
      <w:pPr>
        <w:tabs>
          <w:tab w:val="num" w:pos="720"/>
        </w:tabs>
        <w:ind w:left="720" w:hanging="360"/>
      </w:p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B3F70"/>
    <w:multiLevelType w:val="hybridMultilevel"/>
    <w:tmpl w:val="FAD6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63268"/>
    <w:multiLevelType w:val="hybridMultilevel"/>
    <w:tmpl w:val="183E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E05800"/>
    <w:multiLevelType w:val="hybridMultilevel"/>
    <w:tmpl w:val="3EA0E9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81CA6"/>
    <w:multiLevelType w:val="hybridMultilevel"/>
    <w:tmpl w:val="796C9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1256C4"/>
    <w:multiLevelType w:val="multilevel"/>
    <w:tmpl w:val="CA526330"/>
    <w:lvl w:ilvl="0">
      <w:start w:val="36"/>
      <w:numFmt w:val="bullet"/>
      <w:lvlText w:val="-"/>
      <w:lvlJc w:val="left"/>
      <w:pPr>
        <w:tabs>
          <w:tab w:val="num" w:pos="720"/>
        </w:tabs>
        <w:ind w:left="720" w:hanging="360"/>
      </w:pPr>
      <w:rPr>
        <w:rFonts w:ascii="Open Sans" w:eastAsia="Calibri" w:hAnsi="Open Sans" w:cs="Open Sans" w:hint="default"/>
      </w:r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6F5E3F"/>
    <w:multiLevelType w:val="multilevel"/>
    <w:tmpl w:val="D6E49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692ADB"/>
    <w:multiLevelType w:val="multilevel"/>
    <w:tmpl w:val="CA526330"/>
    <w:lvl w:ilvl="0">
      <w:start w:val="36"/>
      <w:numFmt w:val="bullet"/>
      <w:lvlText w:val="-"/>
      <w:lvlJc w:val="left"/>
      <w:pPr>
        <w:tabs>
          <w:tab w:val="num" w:pos="720"/>
        </w:tabs>
        <w:ind w:left="720" w:hanging="360"/>
      </w:pPr>
      <w:rPr>
        <w:rFonts w:ascii="Open Sans" w:eastAsia="Calibri" w:hAnsi="Open Sans" w:cs="Open Sans" w:hint="default"/>
      </w:rPr>
    </w:lvl>
    <w:lvl w:ilvl="1">
      <w:start w:val="36"/>
      <w:numFmt w:val="bullet"/>
      <w:lvlText w:val="-"/>
      <w:lvlJc w:val="left"/>
      <w:pPr>
        <w:ind w:left="1440" w:hanging="360"/>
      </w:pPr>
      <w:rPr>
        <w:rFonts w:ascii="Open Sans" w:eastAsia="Calibri" w:hAnsi="Open Sans" w:cs="Open San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864262">
    <w:abstractNumId w:val="3"/>
  </w:num>
  <w:num w:numId="2" w16cid:durableId="1335305497">
    <w:abstractNumId w:val="16"/>
  </w:num>
  <w:num w:numId="3" w16cid:durableId="1487355793">
    <w:abstractNumId w:val="11"/>
  </w:num>
  <w:num w:numId="4" w16cid:durableId="881287704">
    <w:abstractNumId w:val="9"/>
  </w:num>
  <w:num w:numId="5" w16cid:durableId="874852420">
    <w:abstractNumId w:val="10"/>
  </w:num>
  <w:num w:numId="6" w16cid:durableId="1785149724">
    <w:abstractNumId w:val="6"/>
  </w:num>
  <w:num w:numId="7" w16cid:durableId="1504667513">
    <w:abstractNumId w:val="13"/>
  </w:num>
  <w:num w:numId="8" w16cid:durableId="917439275">
    <w:abstractNumId w:val="8"/>
  </w:num>
  <w:num w:numId="9" w16cid:durableId="304428663">
    <w:abstractNumId w:val="5"/>
  </w:num>
  <w:num w:numId="10" w16cid:durableId="1381710945">
    <w:abstractNumId w:val="15"/>
  </w:num>
  <w:num w:numId="11" w16cid:durableId="808714320">
    <w:abstractNumId w:val="7"/>
  </w:num>
  <w:num w:numId="12" w16cid:durableId="1188255359">
    <w:abstractNumId w:val="0"/>
  </w:num>
  <w:num w:numId="13" w16cid:durableId="1013608934">
    <w:abstractNumId w:val="12"/>
  </w:num>
  <w:num w:numId="14" w16cid:durableId="2108453976">
    <w:abstractNumId w:val="2"/>
  </w:num>
  <w:num w:numId="15" w16cid:durableId="1979720818">
    <w:abstractNumId w:val="14"/>
  </w:num>
  <w:num w:numId="16" w16cid:durableId="806124846">
    <w:abstractNumId w:val="4"/>
  </w:num>
  <w:num w:numId="17" w16cid:durableId="2145342098">
    <w:abstractNumId w:val="17"/>
  </w:num>
  <w:num w:numId="18" w16cid:durableId="68381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445CF"/>
    <w:rsid w:val="000F0D69"/>
    <w:rsid w:val="00105385"/>
    <w:rsid w:val="001163BF"/>
    <w:rsid w:val="001204B7"/>
    <w:rsid w:val="00190E0A"/>
    <w:rsid w:val="001946CE"/>
    <w:rsid w:val="001B0289"/>
    <w:rsid w:val="002216AE"/>
    <w:rsid w:val="00242594"/>
    <w:rsid w:val="002601E5"/>
    <w:rsid w:val="002642B0"/>
    <w:rsid w:val="00290CD3"/>
    <w:rsid w:val="002A5B39"/>
    <w:rsid w:val="003035E1"/>
    <w:rsid w:val="00352959"/>
    <w:rsid w:val="003620F5"/>
    <w:rsid w:val="00366834"/>
    <w:rsid w:val="00376591"/>
    <w:rsid w:val="00476033"/>
    <w:rsid w:val="004970FC"/>
    <w:rsid w:val="004A3DA2"/>
    <w:rsid w:val="004C55A5"/>
    <w:rsid w:val="0054292D"/>
    <w:rsid w:val="005A58E8"/>
    <w:rsid w:val="005B7B70"/>
    <w:rsid w:val="005C3698"/>
    <w:rsid w:val="00611F1C"/>
    <w:rsid w:val="00614C99"/>
    <w:rsid w:val="00620F95"/>
    <w:rsid w:val="00656019"/>
    <w:rsid w:val="00677B02"/>
    <w:rsid w:val="006A50CB"/>
    <w:rsid w:val="006B30F3"/>
    <w:rsid w:val="007120ED"/>
    <w:rsid w:val="00722416"/>
    <w:rsid w:val="00732D28"/>
    <w:rsid w:val="00761E91"/>
    <w:rsid w:val="007B6147"/>
    <w:rsid w:val="008C34C7"/>
    <w:rsid w:val="008C59FB"/>
    <w:rsid w:val="008E24AC"/>
    <w:rsid w:val="0097126B"/>
    <w:rsid w:val="009D0623"/>
    <w:rsid w:val="00A170BA"/>
    <w:rsid w:val="00A35463"/>
    <w:rsid w:val="00A53CBE"/>
    <w:rsid w:val="00A64984"/>
    <w:rsid w:val="00B24F49"/>
    <w:rsid w:val="00B57F8C"/>
    <w:rsid w:val="00B77B00"/>
    <w:rsid w:val="00B92ED0"/>
    <w:rsid w:val="00C02611"/>
    <w:rsid w:val="00C23211"/>
    <w:rsid w:val="00C23EAD"/>
    <w:rsid w:val="00CA0AA2"/>
    <w:rsid w:val="00CC0D9F"/>
    <w:rsid w:val="00D1768D"/>
    <w:rsid w:val="00D736AC"/>
    <w:rsid w:val="00DD151F"/>
    <w:rsid w:val="00DE4738"/>
    <w:rsid w:val="00DF4008"/>
    <w:rsid w:val="00DF48C5"/>
    <w:rsid w:val="00E06159"/>
    <w:rsid w:val="00E32878"/>
    <w:rsid w:val="00E3633D"/>
    <w:rsid w:val="00E71A4D"/>
    <w:rsid w:val="00E91B08"/>
    <w:rsid w:val="00EB0D64"/>
    <w:rsid w:val="00ED5F9F"/>
    <w:rsid w:val="00F0230A"/>
    <w:rsid w:val="00F119CB"/>
    <w:rsid w:val="00F5533E"/>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rPr>
  </w:style>
  <w:style w:type="paragraph" w:customStyle="1" w:styleId="P68B1DB1-Normal1">
    <w:name w:val="P68B1DB1-Normal1"/>
    <w:basedOn w:val="Normal"/>
    <w:rPr>
      <w:rFonts w:cs="Open Sans"/>
      <w:b/>
      <w:color w:val="FFFFFF"/>
    </w:rPr>
  </w:style>
  <w:style w:type="paragraph" w:customStyle="1" w:styleId="P68B1DB1-Normal2">
    <w:name w:val="P68B1DB1-Normal2"/>
    <w:basedOn w:val="Normal"/>
    <w:rPr>
      <w:rFonts w:cs="Open Sans"/>
      <w:b/>
      <w:color w:val="1F3864" w:themeColor="accent5" w:themeShade="80"/>
    </w:rPr>
  </w:style>
  <w:style w:type="paragraph" w:customStyle="1" w:styleId="P68B1DB1-Normal3">
    <w:name w:val="P68B1DB1-Normal3"/>
    <w:basedOn w:val="Normal"/>
    <w:rPr>
      <w:rFonts w:cs="Open Sans"/>
      <w:color w:val="1F3864" w:themeColor="accent5" w:themeShade="80"/>
    </w:rPr>
  </w:style>
  <w:style w:type="paragraph" w:customStyle="1" w:styleId="P68B1DB1-Normal4">
    <w:name w:val="P68B1DB1-Normal4"/>
    <w:basedOn w:val="Normal"/>
    <w:rPr>
      <w:color w:val="1F3864" w:themeColor="accent5" w:themeShade="80"/>
    </w:rPr>
  </w:style>
  <w:style w:type="paragraph" w:customStyle="1" w:styleId="P68B1DB1-ListParagraph5">
    <w:name w:val="P68B1DB1-ListParagraph5"/>
    <w:basedOn w:val="ListParagraph"/>
    <w:rPr>
      <w:rFonts w:cs="Open Sans"/>
    </w:rPr>
  </w:style>
  <w:style w:type="paragraph" w:customStyle="1" w:styleId="P68B1DB1-ListParagraph6">
    <w:name w:val="P68B1DB1-ListParagraph6"/>
    <w:basedOn w:val="ListParagraph"/>
    <w:rPr>
      <w:rFonts w:cs="Open Sans"/>
      <w:color w:val="1F3864" w:themeColor="accent5" w:themeShade="80"/>
    </w:rPr>
  </w:style>
  <w:style w:type="paragraph" w:customStyle="1" w:styleId="P68B1DB1-ListParagraph7">
    <w:name w:val="P68B1DB1-ListParagraph7"/>
    <w:basedOn w:val="ListParagraph"/>
    <w:rPr>
      <w:rFonts w:cs="Open Sans"/>
      <w:b/>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657487858">
      <w:bodyDiv w:val="1"/>
      <w:marLeft w:val="0"/>
      <w:marRight w:val="0"/>
      <w:marTop w:val="0"/>
      <w:marBottom w:val="0"/>
      <w:divBdr>
        <w:top w:val="none" w:sz="0" w:space="0" w:color="auto"/>
        <w:left w:val="none" w:sz="0" w:space="0" w:color="auto"/>
        <w:bottom w:val="none" w:sz="0" w:space="0" w:color="auto"/>
        <w:right w:val="none" w:sz="0" w:space="0" w:color="auto"/>
      </w:divBdr>
      <w:divsChild>
        <w:div w:id="459540324">
          <w:marLeft w:val="0"/>
          <w:marRight w:val="0"/>
          <w:marTop w:val="0"/>
          <w:marBottom w:val="0"/>
          <w:divBdr>
            <w:top w:val="none" w:sz="0" w:space="0" w:color="auto"/>
            <w:left w:val="none" w:sz="0" w:space="0" w:color="auto"/>
            <w:bottom w:val="none" w:sz="0" w:space="0" w:color="auto"/>
            <w:right w:val="none" w:sz="0" w:space="0" w:color="auto"/>
          </w:divBdr>
          <w:divsChild>
            <w:div w:id="750661853">
              <w:marLeft w:val="0"/>
              <w:marRight w:val="0"/>
              <w:marTop w:val="0"/>
              <w:marBottom w:val="0"/>
              <w:divBdr>
                <w:top w:val="none" w:sz="0" w:space="0" w:color="auto"/>
                <w:left w:val="none" w:sz="0" w:space="0" w:color="auto"/>
                <w:bottom w:val="none" w:sz="0" w:space="0" w:color="auto"/>
                <w:right w:val="none" w:sz="0" w:space="0" w:color="auto"/>
              </w:divBdr>
              <w:divsChild>
                <w:div w:id="1974865241">
                  <w:marLeft w:val="0"/>
                  <w:marRight w:val="0"/>
                  <w:marTop w:val="0"/>
                  <w:marBottom w:val="0"/>
                  <w:divBdr>
                    <w:top w:val="none" w:sz="0" w:space="0" w:color="auto"/>
                    <w:left w:val="none" w:sz="0" w:space="0" w:color="auto"/>
                    <w:bottom w:val="none" w:sz="0" w:space="0" w:color="auto"/>
                    <w:right w:val="none" w:sz="0" w:space="0" w:color="auto"/>
                  </w:divBdr>
                  <w:divsChild>
                    <w:div w:id="613682176">
                      <w:marLeft w:val="0"/>
                      <w:marRight w:val="0"/>
                      <w:marTop w:val="0"/>
                      <w:marBottom w:val="0"/>
                      <w:divBdr>
                        <w:top w:val="none" w:sz="0" w:space="0" w:color="auto"/>
                        <w:left w:val="none" w:sz="0" w:space="0" w:color="auto"/>
                        <w:bottom w:val="none" w:sz="0" w:space="0" w:color="auto"/>
                        <w:right w:val="none" w:sz="0" w:space="0" w:color="auto"/>
                      </w:divBdr>
                      <w:divsChild>
                        <w:div w:id="1101605068">
                          <w:marLeft w:val="0"/>
                          <w:marRight w:val="0"/>
                          <w:marTop w:val="0"/>
                          <w:marBottom w:val="0"/>
                          <w:divBdr>
                            <w:top w:val="none" w:sz="0" w:space="0" w:color="auto"/>
                            <w:left w:val="none" w:sz="0" w:space="0" w:color="auto"/>
                            <w:bottom w:val="none" w:sz="0" w:space="0" w:color="auto"/>
                            <w:right w:val="none" w:sz="0" w:space="0" w:color="auto"/>
                          </w:divBdr>
                          <w:divsChild>
                            <w:div w:id="184636757">
                              <w:marLeft w:val="0"/>
                              <w:marRight w:val="0"/>
                              <w:marTop w:val="0"/>
                              <w:marBottom w:val="0"/>
                              <w:divBdr>
                                <w:top w:val="none" w:sz="0" w:space="0" w:color="auto"/>
                                <w:left w:val="none" w:sz="0" w:space="0" w:color="auto"/>
                                <w:bottom w:val="none" w:sz="0" w:space="0" w:color="auto"/>
                                <w:right w:val="none" w:sz="0" w:space="0" w:color="auto"/>
                              </w:divBdr>
                              <w:divsChild>
                                <w:div w:id="539442294">
                                  <w:marLeft w:val="0"/>
                                  <w:marRight w:val="0"/>
                                  <w:marTop w:val="0"/>
                                  <w:marBottom w:val="0"/>
                                  <w:divBdr>
                                    <w:top w:val="none" w:sz="0" w:space="0" w:color="auto"/>
                                    <w:left w:val="none" w:sz="0" w:space="0" w:color="auto"/>
                                    <w:bottom w:val="none" w:sz="0" w:space="0" w:color="auto"/>
                                    <w:right w:val="none" w:sz="0" w:space="0" w:color="auto"/>
                                  </w:divBdr>
                                  <w:divsChild>
                                    <w:div w:id="2135324167">
                                      <w:marLeft w:val="0"/>
                                      <w:marRight w:val="0"/>
                                      <w:marTop w:val="0"/>
                                      <w:marBottom w:val="0"/>
                                      <w:divBdr>
                                        <w:top w:val="none" w:sz="0" w:space="0" w:color="auto"/>
                                        <w:left w:val="none" w:sz="0" w:space="0" w:color="auto"/>
                                        <w:bottom w:val="none" w:sz="0" w:space="0" w:color="auto"/>
                                        <w:right w:val="none" w:sz="0" w:space="0" w:color="auto"/>
                                      </w:divBdr>
                                      <w:divsChild>
                                        <w:div w:id="381365631">
                                          <w:marLeft w:val="0"/>
                                          <w:marRight w:val="0"/>
                                          <w:marTop w:val="0"/>
                                          <w:marBottom w:val="0"/>
                                          <w:divBdr>
                                            <w:top w:val="none" w:sz="0" w:space="0" w:color="auto"/>
                                            <w:left w:val="none" w:sz="0" w:space="0" w:color="auto"/>
                                            <w:bottom w:val="none" w:sz="0" w:space="0" w:color="auto"/>
                                            <w:right w:val="none" w:sz="0" w:space="0" w:color="auto"/>
                                          </w:divBdr>
                                          <w:divsChild>
                                            <w:div w:id="1625964873">
                                              <w:marLeft w:val="0"/>
                                              <w:marRight w:val="0"/>
                                              <w:marTop w:val="0"/>
                                              <w:marBottom w:val="0"/>
                                              <w:divBdr>
                                                <w:top w:val="none" w:sz="0" w:space="0" w:color="auto"/>
                                                <w:left w:val="none" w:sz="0" w:space="0" w:color="auto"/>
                                                <w:bottom w:val="none" w:sz="0" w:space="0" w:color="auto"/>
                                                <w:right w:val="none" w:sz="0" w:space="0" w:color="auto"/>
                                              </w:divBdr>
                                              <w:divsChild>
                                                <w:div w:id="1177232225">
                                                  <w:marLeft w:val="0"/>
                                                  <w:marRight w:val="0"/>
                                                  <w:marTop w:val="0"/>
                                                  <w:marBottom w:val="0"/>
                                                  <w:divBdr>
                                                    <w:top w:val="none" w:sz="0" w:space="0" w:color="auto"/>
                                                    <w:left w:val="none" w:sz="0" w:space="0" w:color="auto"/>
                                                    <w:bottom w:val="none" w:sz="0" w:space="0" w:color="auto"/>
                                                    <w:right w:val="none" w:sz="0" w:space="0" w:color="auto"/>
                                                  </w:divBdr>
                                                  <w:divsChild>
                                                    <w:div w:id="4869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635517">
          <w:marLeft w:val="0"/>
          <w:marRight w:val="0"/>
          <w:marTop w:val="0"/>
          <w:marBottom w:val="0"/>
          <w:divBdr>
            <w:top w:val="none" w:sz="0" w:space="0" w:color="auto"/>
            <w:left w:val="none" w:sz="0" w:space="0" w:color="auto"/>
            <w:bottom w:val="none" w:sz="0" w:space="0" w:color="auto"/>
            <w:right w:val="none" w:sz="0" w:space="0" w:color="auto"/>
          </w:divBdr>
          <w:divsChild>
            <w:div w:id="695622138">
              <w:marLeft w:val="0"/>
              <w:marRight w:val="0"/>
              <w:marTop w:val="0"/>
              <w:marBottom w:val="0"/>
              <w:divBdr>
                <w:top w:val="none" w:sz="0" w:space="0" w:color="auto"/>
                <w:left w:val="none" w:sz="0" w:space="0" w:color="auto"/>
                <w:bottom w:val="none" w:sz="0" w:space="0" w:color="auto"/>
                <w:right w:val="none" w:sz="0" w:space="0" w:color="auto"/>
              </w:divBdr>
              <w:divsChild>
                <w:div w:id="153451376">
                  <w:marLeft w:val="0"/>
                  <w:marRight w:val="0"/>
                  <w:marTop w:val="0"/>
                  <w:marBottom w:val="0"/>
                  <w:divBdr>
                    <w:top w:val="none" w:sz="0" w:space="0" w:color="auto"/>
                    <w:left w:val="none" w:sz="0" w:space="0" w:color="auto"/>
                    <w:bottom w:val="none" w:sz="0" w:space="0" w:color="auto"/>
                    <w:right w:val="none" w:sz="0" w:space="0" w:color="auto"/>
                  </w:divBdr>
                  <w:divsChild>
                    <w:div w:id="1732772010">
                      <w:marLeft w:val="0"/>
                      <w:marRight w:val="0"/>
                      <w:marTop w:val="0"/>
                      <w:marBottom w:val="0"/>
                      <w:divBdr>
                        <w:top w:val="none" w:sz="0" w:space="0" w:color="auto"/>
                        <w:left w:val="none" w:sz="0" w:space="0" w:color="auto"/>
                        <w:bottom w:val="none" w:sz="0" w:space="0" w:color="auto"/>
                        <w:right w:val="none" w:sz="0" w:space="0" w:color="auto"/>
                      </w:divBdr>
                      <w:divsChild>
                        <w:div w:id="1663586062">
                          <w:marLeft w:val="0"/>
                          <w:marRight w:val="0"/>
                          <w:marTop w:val="0"/>
                          <w:marBottom w:val="0"/>
                          <w:divBdr>
                            <w:top w:val="none" w:sz="0" w:space="0" w:color="auto"/>
                            <w:left w:val="none" w:sz="0" w:space="0" w:color="auto"/>
                            <w:bottom w:val="none" w:sz="0" w:space="0" w:color="auto"/>
                            <w:right w:val="none" w:sz="0" w:space="0" w:color="auto"/>
                          </w:divBdr>
                          <w:divsChild>
                            <w:div w:id="1820686467">
                              <w:marLeft w:val="0"/>
                              <w:marRight w:val="0"/>
                              <w:marTop w:val="0"/>
                              <w:marBottom w:val="0"/>
                              <w:divBdr>
                                <w:top w:val="none" w:sz="0" w:space="0" w:color="auto"/>
                                <w:left w:val="none" w:sz="0" w:space="0" w:color="auto"/>
                                <w:bottom w:val="none" w:sz="0" w:space="0" w:color="auto"/>
                                <w:right w:val="none" w:sz="0" w:space="0" w:color="auto"/>
                              </w:divBdr>
                              <w:divsChild>
                                <w:div w:id="1822693594">
                                  <w:marLeft w:val="0"/>
                                  <w:marRight w:val="0"/>
                                  <w:marTop w:val="0"/>
                                  <w:marBottom w:val="0"/>
                                  <w:divBdr>
                                    <w:top w:val="none" w:sz="0" w:space="0" w:color="auto"/>
                                    <w:left w:val="none" w:sz="0" w:space="0" w:color="auto"/>
                                    <w:bottom w:val="none" w:sz="0" w:space="0" w:color="auto"/>
                                    <w:right w:val="none" w:sz="0" w:space="0" w:color="auto"/>
                                  </w:divBdr>
                                  <w:divsChild>
                                    <w:div w:id="1958099301">
                                      <w:marLeft w:val="0"/>
                                      <w:marRight w:val="0"/>
                                      <w:marTop w:val="0"/>
                                      <w:marBottom w:val="0"/>
                                      <w:divBdr>
                                        <w:top w:val="none" w:sz="0" w:space="0" w:color="auto"/>
                                        <w:left w:val="none" w:sz="0" w:space="0" w:color="auto"/>
                                        <w:bottom w:val="none" w:sz="0" w:space="0" w:color="auto"/>
                                        <w:right w:val="none" w:sz="0" w:space="0" w:color="auto"/>
                                      </w:divBdr>
                                      <w:divsChild>
                                        <w:div w:id="1154879692">
                                          <w:marLeft w:val="0"/>
                                          <w:marRight w:val="0"/>
                                          <w:marTop w:val="0"/>
                                          <w:marBottom w:val="0"/>
                                          <w:divBdr>
                                            <w:top w:val="none" w:sz="0" w:space="0" w:color="auto"/>
                                            <w:left w:val="none" w:sz="0" w:space="0" w:color="auto"/>
                                            <w:bottom w:val="none" w:sz="0" w:space="0" w:color="auto"/>
                                            <w:right w:val="none" w:sz="0" w:space="0" w:color="auto"/>
                                          </w:divBdr>
                                          <w:divsChild>
                                            <w:div w:id="2053113051">
                                              <w:marLeft w:val="0"/>
                                              <w:marRight w:val="0"/>
                                              <w:marTop w:val="0"/>
                                              <w:marBottom w:val="0"/>
                                              <w:divBdr>
                                                <w:top w:val="none" w:sz="0" w:space="0" w:color="auto"/>
                                                <w:left w:val="none" w:sz="0" w:space="0" w:color="auto"/>
                                                <w:bottom w:val="none" w:sz="0" w:space="0" w:color="auto"/>
                                                <w:right w:val="none" w:sz="0" w:space="0" w:color="auto"/>
                                              </w:divBdr>
                                              <w:divsChild>
                                                <w:div w:id="512039777">
                                                  <w:marLeft w:val="0"/>
                                                  <w:marRight w:val="0"/>
                                                  <w:marTop w:val="0"/>
                                                  <w:marBottom w:val="0"/>
                                                  <w:divBdr>
                                                    <w:top w:val="none" w:sz="0" w:space="0" w:color="auto"/>
                                                    <w:left w:val="none" w:sz="0" w:space="0" w:color="auto"/>
                                                    <w:bottom w:val="none" w:sz="0" w:space="0" w:color="auto"/>
                                                    <w:right w:val="none" w:sz="0" w:space="0" w:color="auto"/>
                                                  </w:divBdr>
                                                  <w:divsChild>
                                                    <w:div w:id="371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55</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10</cp:revision>
  <dcterms:created xsi:type="dcterms:W3CDTF">2025-02-25T10:03:00Z</dcterms:created>
  <dcterms:modified xsi:type="dcterms:W3CDTF">2025-03-07T11:45:00Z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