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5" w:type="dxa"/>
        <w:tblLayout w:type="fixed"/>
        <w:tblCellMar>
          <w:left w:w="10" w:type="dxa"/>
          <w:right w:w="10" w:type="dxa"/>
        </w:tblCellMar>
        <w:tblLook w:val="0000" w:firstRow="0" w:lastRow="0" w:firstColumn="0" w:lastColumn="0" w:noHBand="0" w:noVBand="0"/>
      </w:tblPr>
      <w:tblGrid>
        <w:gridCol w:w="2155"/>
        <w:gridCol w:w="8010"/>
      </w:tblGrid>
      <w:tr w:rsidR="00F46970" w:rsidRPr="009973C3" w14:paraId="489DEBDD" w14:textId="77777777" w:rsidTr="00033C48">
        <w:trPr>
          <w:trHeight w:val="333"/>
        </w:trPr>
        <w:tc>
          <w:tcPr>
            <w:tcW w:w="1016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4A876E43" w14:textId="386E6929" w:rsidR="00F46970" w:rsidRPr="009973C3" w:rsidRDefault="00F46970" w:rsidP="00033C48">
            <w:pPr>
              <w:spacing w:after="120" w:line="276" w:lineRule="auto"/>
              <w:jc w:val="both"/>
            </w:pPr>
            <w:r w:rsidRPr="009973C3">
              <w:rPr>
                <w:rFonts w:cs="Calibri"/>
                <w:b/>
                <w:color w:val="FFFFFF"/>
                <w:lang w:eastAsia="en-GB"/>
              </w:rPr>
              <w:t xml:space="preserve">Type of Call – </w:t>
            </w:r>
            <w:r w:rsidR="0015303F">
              <w:rPr>
                <w:rFonts w:cs="Calibri"/>
                <w:b/>
                <w:color w:val="FFFFFF"/>
                <w:lang w:eastAsia="en-GB"/>
              </w:rPr>
              <w:t>Targeted call</w:t>
            </w:r>
            <w:r w:rsidRPr="009973C3">
              <w:rPr>
                <w:rFonts w:cs="Calibri"/>
                <w:b/>
                <w:color w:val="FFFFFF"/>
                <w:lang w:eastAsia="en-GB"/>
              </w:rPr>
              <w:t xml:space="preserve"> </w:t>
            </w:r>
            <w:r w:rsidR="0015303F">
              <w:rPr>
                <w:rFonts w:cs="Calibri"/>
                <w:b/>
                <w:color w:val="FFFFFF"/>
                <w:lang w:eastAsia="en-GB"/>
              </w:rPr>
              <w:t>for</w:t>
            </w:r>
            <w:r w:rsidRPr="009973C3">
              <w:rPr>
                <w:rFonts w:cs="Calibri"/>
                <w:b/>
                <w:color w:val="FFFFFF"/>
                <w:lang w:eastAsia="en-GB"/>
              </w:rPr>
              <w:t xml:space="preserve"> operations of strategic importance (OSI) </w:t>
            </w:r>
          </w:p>
        </w:tc>
      </w:tr>
      <w:tr w:rsidR="00F46970" w:rsidRPr="009973C3" w14:paraId="35055B35" w14:textId="77777777" w:rsidTr="00033C48">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49DC" w14:textId="7B98475B" w:rsidR="00F46970" w:rsidRPr="009973C3" w:rsidRDefault="00F46970" w:rsidP="00033C48">
            <w:pPr>
              <w:spacing w:after="120" w:line="251" w:lineRule="auto"/>
              <w:jc w:val="center"/>
              <w:rPr>
                <w:rFonts w:cs="Calibri"/>
                <w:b/>
                <w:color w:val="1F3864" w:themeColor="accent5" w:themeShade="80"/>
                <w:sz w:val="22"/>
                <w:lang w:eastAsia="en-GB"/>
              </w:rPr>
            </w:pPr>
            <w:r w:rsidRPr="009973C3">
              <w:rPr>
                <w:rFonts w:cs="Calibri"/>
                <w:b/>
                <w:color w:val="1F3864" w:themeColor="accent5" w:themeShade="80"/>
                <w:sz w:val="22"/>
                <w:lang w:eastAsia="en-GB"/>
              </w:rPr>
              <w:t>Project Acronym &amp; Code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46F30" w14:textId="3F7A5BC2" w:rsidR="00F46970" w:rsidRPr="009973C3" w:rsidRDefault="0015303F" w:rsidP="00033C48">
            <w:pPr>
              <w:spacing w:after="120" w:line="276" w:lineRule="auto"/>
              <w:jc w:val="both"/>
              <w:rPr>
                <w:rFonts w:cs="Calibri"/>
                <w:b/>
                <w:color w:val="1F3864" w:themeColor="accent5" w:themeShade="80"/>
                <w:sz w:val="22"/>
                <w:lang w:eastAsia="en-GB"/>
              </w:rPr>
            </w:pPr>
            <w:r>
              <w:rPr>
                <w:rFonts w:cs="Calibri"/>
                <w:b/>
                <w:color w:val="1F3864" w:themeColor="accent5" w:themeShade="80"/>
                <w:sz w:val="22"/>
                <w:lang w:eastAsia="en-GB"/>
              </w:rPr>
              <w:t>DENIM</w:t>
            </w:r>
          </w:p>
          <w:p w14:paraId="19FA5E6E" w14:textId="4487F07F" w:rsidR="00F46970" w:rsidRPr="009973C3" w:rsidRDefault="00F46970" w:rsidP="00033C48">
            <w:pPr>
              <w:spacing w:after="120" w:line="276" w:lineRule="auto"/>
              <w:jc w:val="both"/>
              <w:rPr>
                <w:rFonts w:cs="Calibri"/>
                <w:b/>
                <w:color w:val="1F3864" w:themeColor="accent5" w:themeShade="80"/>
                <w:sz w:val="22"/>
                <w:lang w:eastAsia="en-GB"/>
              </w:rPr>
            </w:pPr>
            <w:r w:rsidRPr="009973C3">
              <w:rPr>
                <w:rFonts w:cs="Calibri"/>
                <w:b/>
                <w:color w:val="1F3864" w:themeColor="accent5" w:themeShade="80"/>
                <w:sz w:val="22"/>
                <w:lang w:eastAsia="en-GB"/>
              </w:rPr>
              <w:t>ROHU0062</w:t>
            </w:r>
            <w:r w:rsidR="0015303F">
              <w:rPr>
                <w:rFonts w:cs="Calibri"/>
                <w:b/>
                <w:color w:val="1F3864" w:themeColor="accent5" w:themeShade="80"/>
                <w:sz w:val="22"/>
                <w:lang w:eastAsia="en-GB"/>
              </w:rPr>
              <w:t>1</w:t>
            </w:r>
          </w:p>
        </w:tc>
      </w:tr>
      <w:tr w:rsidR="00F46970" w:rsidRPr="009973C3" w14:paraId="334B8667" w14:textId="77777777" w:rsidTr="00033C48">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D167" w14:textId="2EAA1D89" w:rsidR="00F46970" w:rsidRPr="009973C3" w:rsidRDefault="00F46970" w:rsidP="00033C48">
            <w:pPr>
              <w:spacing w:after="120"/>
              <w:jc w:val="center"/>
              <w:rPr>
                <w:rFonts w:cs="Calibri"/>
                <w:b/>
                <w:color w:val="1F3864" w:themeColor="accent5" w:themeShade="80"/>
                <w:sz w:val="22"/>
                <w:lang w:eastAsia="en-GB"/>
              </w:rPr>
            </w:pPr>
            <w:r w:rsidRPr="009973C3">
              <w:rPr>
                <w:rFonts w:cs="Calibri"/>
                <w:b/>
                <w:color w:val="1F3864" w:themeColor="accent5" w:themeShade="80"/>
                <w:sz w:val="22"/>
                <w:lang w:eastAsia="en-GB"/>
              </w:rPr>
              <w:t>Project Title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62B66" w14:textId="4E11B229" w:rsidR="00F46970" w:rsidRPr="009973C3" w:rsidRDefault="0015303F" w:rsidP="0003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rPr>
            </w:pPr>
            <w:r w:rsidRPr="0015303F">
              <w:rPr>
                <w:color w:val="1F3864" w:themeColor="accent5" w:themeShade="80"/>
              </w:rPr>
              <w:t>Development of Network to Improve Health Status of Population (DENIM)</w:t>
            </w:r>
          </w:p>
        </w:tc>
      </w:tr>
      <w:tr w:rsidR="00F46970" w:rsidRPr="009973C3" w14:paraId="58EA6856" w14:textId="77777777" w:rsidTr="00033C48">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E68C" w14:textId="088ABD79" w:rsidR="00F46970" w:rsidRPr="009973C3" w:rsidRDefault="009973C3" w:rsidP="00033C48">
            <w:pPr>
              <w:spacing w:after="120"/>
              <w:jc w:val="center"/>
              <w:rPr>
                <w:b/>
                <w:color w:val="1F3864" w:themeColor="accent5" w:themeShade="80"/>
                <w:sz w:val="22"/>
              </w:rPr>
            </w:pPr>
            <w:r w:rsidRPr="009973C3">
              <w:rPr>
                <w:b/>
                <w:color w:val="1F3864" w:themeColor="accent5" w:themeShade="80"/>
                <w:sz w:val="22"/>
              </w:rPr>
              <w:t>Priority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78FE" w14:textId="1209DE93" w:rsidR="00F46970" w:rsidRPr="009973C3" w:rsidRDefault="0015303F" w:rsidP="00033C48">
            <w:pPr>
              <w:spacing w:after="120" w:line="276" w:lineRule="auto"/>
              <w:jc w:val="both"/>
              <w:rPr>
                <w:color w:val="1F3864" w:themeColor="accent5" w:themeShade="80"/>
              </w:rPr>
            </w:pPr>
            <w:r w:rsidRPr="0015303F">
              <w:rPr>
                <w:color w:val="1F3864" w:themeColor="accent5" w:themeShade="80"/>
              </w:rPr>
              <w:t>P2 - Cooperation for a more social and cohesive PA between Romania and Hungary</w:t>
            </w:r>
          </w:p>
        </w:tc>
      </w:tr>
      <w:tr w:rsidR="00F46970" w:rsidRPr="009973C3" w14:paraId="3420CC71" w14:textId="77777777" w:rsidTr="00033C48">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D441" w14:textId="5F7D5989" w:rsidR="00F46970" w:rsidRPr="009973C3" w:rsidRDefault="009973C3" w:rsidP="00033C48">
            <w:pPr>
              <w:spacing w:after="120"/>
              <w:jc w:val="center"/>
              <w:rPr>
                <w:b/>
                <w:color w:val="1F3864" w:themeColor="accent5" w:themeShade="80"/>
                <w:sz w:val="22"/>
              </w:rPr>
            </w:pPr>
            <w:r w:rsidRPr="009973C3">
              <w:rPr>
                <w:b/>
                <w:color w:val="1F3864" w:themeColor="accent5" w:themeShade="80"/>
                <w:sz w:val="22"/>
              </w:rPr>
              <w:t>Specific objective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3A869" w14:textId="1A119B4F" w:rsidR="00F46970" w:rsidRPr="009973C3" w:rsidRDefault="0015303F" w:rsidP="00033C48">
            <w:pPr>
              <w:spacing w:after="120" w:line="276" w:lineRule="auto"/>
              <w:jc w:val="both"/>
              <w:rPr>
                <w:color w:val="1F3864" w:themeColor="accent5" w:themeShade="80"/>
              </w:rPr>
            </w:pPr>
            <w:r w:rsidRPr="0015303F">
              <w:rPr>
                <w:color w:val="1F3864" w:themeColor="accent5" w:themeShade="80"/>
              </w:rPr>
              <w:t>RS04.5 - Ensuring equal access to health care and fostering resilience of health systems, including primary care, and promoting the transition from institutional to family and community</w:t>
            </w:r>
            <w:r w:rsidR="00972954">
              <w:rPr>
                <w:color w:val="1F3864" w:themeColor="accent5" w:themeShade="80"/>
              </w:rPr>
              <w:t>-</w:t>
            </w:r>
            <w:r w:rsidRPr="0015303F">
              <w:rPr>
                <w:color w:val="1F3864" w:themeColor="accent5" w:themeShade="80"/>
              </w:rPr>
              <w:t>based care</w:t>
            </w:r>
          </w:p>
        </w:tc>
      </w:tr>
      <w:tr w:rsidR="00F46970" w:rsidRPr="009973C3" w14:paraId="3CDB966A" w14:textId="77777777" w:rsidTr="00033C4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FCE1C" w14:textId="5F8FF735" w:rsidR="00F46970" w:rsidRPr="009973C3" w:rsidRDefault="009973C3" w:rsidP="00033C48">
            <w:pPr>
              <w:spacing w:after="120"/>
              <w:jc w:val="center"/>
              <w:rPr>
                <w:b/>
                <w:color w:val="1F3864" w:themeColor="accent5" w:themeShade="80"/>
                <w:sz w:val="22"/>
              </w:rPr>
            </w:pPr>
            <w:r w:rsidRPr="009973C3">
              <w:rPr>
                <w:b/>
                <w:color w:val="1F3864" w:themeColor="accent5" w:themeShade="80"/>
                <w:sz w:val="22"/>
              </w:rPr>
              <w:t>Implementation period</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F7D1" w14:textId="749F5716" w:rsidR="00F46970" w:rsidRPr="009973C3" w:rsidRDefault="00F46970" w:rsidP="00033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r w:rsidRPr="009973C3">
              <w:rPr>
                <w:color w:val="1F3864" w:themeColor="accent5" w:themeShade="80"/>
              </w:rPr>
              <w:t xml:space="preserve">36 </w:t>
            </w:r>
            <w:r w:rsidR="0052270E">
              <w:rPr>
                <w:color w:val="1F3864" w:themeColor="accent5" w:themeShade="80"/>
              </w:rPr>
              <w:t>months</w:t>
            </w:r>
            <w:r w:rsidRPr="009973C3">
              <w:rPr>
                <w:color w:val="1F3864" w:themeColor="accent5" w:themeShade="80"/>
              </w:rPr>
              <w:t xml:space="preserve"> (23.12.2024 – </w:t>
            </w:r>
            <w:r w:rsidR="0015303F" w:rsidRPr="009973C3">
              <w:rPr>
                <w:color w:val="1F3864" w:themeColor="accent5" w:themeShade="80"/>
              </w:rPr>
              <w:t>22.12.2027)</w:t>
            </w:r>
          </w:p>
          <w:p w14:paraId="4809D921" w14:textId="77777777" w:rsidR="00F46970" w:rsidRPr="009973C3" w:rsidRDefault="00F46970" w:rsidP="00033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p>
        </w:tc>
      </w:tr>
      <w:tr w:rsidR="00F46970" w:rsidRPr="009973C3" w14:paraId="5069738E" w14:textId="77777777" w:rsidTr="00033C4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628AA" w14:textId="069A1136" w:rsidR="00F46970" w:rsidRPr="009973C3" w:rsidRDefault="0052270E" w:rsidP="00033C48">
            <w:pPr>
              <w:spacing w:after="120"/>
              <w:jc w:val="center"/>
              <w:rPr>
                <w:b/>
                <w:color w:val="1F3864" w:themeColor="accent5" w:themeShade="80"/>
                <w:sz w:val="22"/>
              </w:rPr>
            </w:pPr>
            <w:r>
              <w:rPr>
                <w:b/>
                <w:color w:val="1F3864" w:themeColor="accent5" w:themeShade="80"/>
                <w:sz w:val="22"/>
              </w:rPr>
              <w:t>Project Overall</w:t>
            </w:r>
            <w:r w:rsidR="009973C3" w:rsidRPr="009973C3">
              <w:rPr>
                <w:b/>
                <w:color w:val="1F3864" w:themeColor="accent5" w:themeShade="80"/>
                <w:sz w:val="22"/>
              </w:rPr>
              <w:t xml:space="preserve"> </w:t>
            </w:r>
            <w:r>
              <w:rPr>
                <w:b/>
                <w:color w:val="1F3864" w:themeColor="accent5" w:themeShade="80"/>
                <w:sz w:val="22"/>
              </w:rPr>
              <w:t>O</w:t>
            </w:r>
            <w:r w:rsidR="009973C3" w:rsidRPr="009973C3">
              <w:rPr>
                <w:b/>
                <w:color w:val="1F3864" w:themeColor="accent5" w:themeShade="80"/>
                <w:sz w:val="22"/>
              </w:rPr>
              <w:t>bject</w:t>
            </w:r>
            <w:r w:rsidR="009973C3">
              <w:rPr>
                <w:b/>
                <w:color w:val="1F3864" w:themeColor="accent5" w:themeShade="80"/>
                <w:sz w:val="22"/>
              </w:rPr>
              <w:t>i</w:t>
            </w:r>
            <w:r w:rsidR="009973C3" w:rsidRPr="009973C3">
              <w:rPr>
                <w:b/>
                <w:color w:val="1F3864" w:themeColor="accent5" w:themeShade="80"/>
                <w:sz w:val="22"/>
              </w:rPr>
              <w:t xml:space="preserve">ve </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D887" w14:textId="1E6721EF" w:rsidR="00F46970" w:rsidRPr="009973C3" w:rsidRDefault="0015303F" w:rsidP="0003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rPr>
            </w:pPr>
            <w:r w:rsidRPr="0015303F">
              <w:rPr>
                <w:color w:val="1F3864" w:themeColor="accent5" w:themeShade="80"/>
              </w:rPr>
              <w:t xml:space="preserve">Through the support of joint </w:t>
            </w:r>
            <w:r w:rsidRPr="0015303F">
              <w:rPr>
                <w:color w:val="1F3864" w:themeColor="accent5" w:themeShade="80"/>
              </w:rPr>
              <w:t>initiatives,</w:t>
            </w:r>
            <w:r w:rsidRPr="0015303F">
              <w:rPr>
                <w:color w:val="1F3864" w:themeColor="accent5" w:themeShade="80"/>
              </w:rPr>
              <w:t xml:space="preserve"> the overall objective – </w:t>
            </w:r>
            <w:r w:rsidRPr="0015303F">
              <w:rPr>
                <w:b/>
                <w:bCs/>
                <w:color w:val="1F3864" w:themeColor="accent5" w:themeShade="80"/>
              </w:rPr>
              <w:t>Identification and exploitation of possible synergies of the healthcare systems in the cross-border region through the implementation of complex set of tools</w:t>
            </w:r>
            <w:r w:rsidRPr="0015303F">
              <w:rPr>
                <w:color w:val="1F3864" w:themeColor="accent5" w:themeShade="80"/>
              </w:rPr>
              <w:t xml:space="preserve"> – aims to provide equal opportunity to the access of the healthcare system for the population of the RO-HU cross-border area. In line with SO4.5, the overall objective also aims to support the creation of suitable conditions for a community-based integrated healthcare system.</w:t>
            </w:r>
          </w:p>
        </w:tc>
      </w:tr>
      <w:tr w:rsidR="00F46970" w:rsidRPr="009973C3" w14:paraId="3B15C65B" w14:textId="77777777" w:rsidTr="00033C48">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2F77B" w14:textId="02762B49" w:rsidR="00F46970" w:rsidRPr="009973C3" w:rsidRDefault="0052270E" w:rsidP="00033C48">
            <w:pPr>
              <w:spacing w:after="120"/>
              <w:jc w:val="center"/>
              <w:rPr>
                <w:rFonts w:cs="Calibri"/>
                <w:b/>
                <w:color w:val="1F3864" w:themeColor="accent5" w:themeShade="80"/>
                <w:sz w:val="22"/>
                <w:lang w:eastAsia="en-GB"/>
              </w:rPr>
            </w:pPr>
            <w:r>
              <w:rPr>
                <w:rFonts w:cs="Calibri"/>
                <w:b/>
                <w:color w:val="1F3864" w:themeColor="accent5" w:themeShade="80"/>
                <w:sz w:val="22"/>
                <w:lang w:eastAsia="en-GB"/>
              </w:rPr>
              <w:t>Partnership</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546" w14:textId="033859E1" w:rsidR="00F46970" w:rsidRPr="009973C3" w:rsidRDefault="00F46970" w:rsidP="00033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r w:rsidRPr="009973C3">
              <w:rPr>
                <w:rFonts w:eastAsia="Times New Roman"/>
                <w:b/>
                <w:color w:val="1F3864" w:themeColor="accent5" w:themeShade="80"/>
                <w:sz w:val="22"/>
                <w:lang w:bidi="en-US"/>
              </w:rPr>
              <w:t>Lead</w:t>
            </w:r>
            <w:r w:rsidR="0052270E">
              <w:rPr>
                <w:rFonts w:eastAsia="Times New Roman"/>
                <w:b/>
                <w:color w:val="1F3864" w:themeColor="accent5" w:themeShade="80"/>
                <w:sz w:val="22"/>
                <w:lang w:bidi="en-US"/>
              </w:rPr>
              <w:t xml:space="preserve"> Partner</w:t>
            </w:r>
            <w:r w:rsidRPr="009973C3">
              <w:rPr>
                <w:rFonts w:cs="Calibri"/>
                <w:b/>
                <w:color w:val="1F3864" w:themeColor="accent5" w:themeShade="80"/>
                <w:sz w:val="22"/>
                <w:lang w:eastAsia="en-GB"/>
              </w:rPr>
              <w:t xml:space="preserve">: </w:t>
            </w:r>
          </w:p>
          <w:p w14:paraId="39D1A78E" w14:textId="025C1DE0" w:rsidR="00F46970" w:rsidRPr="009973C3" w:rsidRDefault="0015303F" w:rsidP="00033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r w:rsidRPr="0015303F">
              <w:rPr>
                <w:color w:val="1F3864" w:themeColor="accent5" w:themeShade="80"/>
              </w:rPr>
              <w:t>Békés County Council</w:t>
            </w:r>
            <w:r w:rsidRPr="0015303F">
              <w:rPr>
                <w:color w:val="1F3864" w:themeColor="accent5" w:themeShade="80"/>
              </w:rPr>
              <w:t xml:space="preserve"> </w:t>
            </w:r>
            <w:r w:rsidR="0052270E">
              <w:rPr>
                <w:color w:val="1F3864" w:themeColor="accent5" w:themeShade="80"/>
              </w:rPr>
              <w:t>(</w:t>
            </w:r>
            <w:r>
              <w:rPr>
                <w:color w:val="1F3864" w:themeColor="accent5" w:themeShade="80"/>
              </w:rPr>
              <w:t>HU</w:t>
            </w:r>
            <w:r w:rsidR="0052270E">
              <w:rPr>
                <w:color w:val="1F3864" w:themeColor="accent5" w:themeShade="80"/>
              </w:rPr>
              <w:t>)</w:t>
            </w:r>
          </w:p>
        </w:tc>
      </w:tr>
      <w:tr w:rsidR="00F46970" w:rsidRPr="009973C3" w14:paraId="461CC261" w14:textId="77777777" w:rsidTr="00033C48">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76DBF" w14:textId="77777777" w:rsidR="00F46970" w:rsidRPr="009973C3" w:rsidRDefault="00F46970" w:rsidP="00033C48">
            <w:pPr>
              <w:spacing w:after="0" w:line="251" w:lineRule="auto"/>
              <w:rPr>
                <w:rFonts w:cs="Calibri"/>
                <w:b/>
                <w:color w:val="1F3864" w:themeColor="accent5" w:themeShade="80"/>
                <w:sz w:val="22"/>
                <w:lang w:eastAsia="en-GB"/>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0651" w14:textId="2414DC34" w:rsidR="00F46970" w:rsidRPr="009973C3" w:rsidRDefault="0052270E" w:rsidP="00033C48">
            <w:pPr>
              <w:spacing w:after="120" w:line="276" w:lineRule="auto"/>
              <w:jc w:val="both"/>
              <w:rPr>
                <w:b/>
                <w:color w:val="1F3864" w:themeColor="accent5" w:themeShade="80"/>
                <w:sz w:val="22"/>
              </w:rPr>
            </w:pPr>
            <w:r>
              <w:rPr>
                <w:rFonts w:eastAsia="Times New Roman"/>
                <w:b/>
                <w:color w:val="1F3864" w:themeColor="accent5" w:themeShade="80"/>
                <w:sz w:val="22"/>
                <w:lang w:bidi="en-US"/>
              </w:rPr>
              <w:t>Project Partners</w:t>
            </w:r>
            <w:r w:rsidR="00F46970" w:rsidRPr="009973C3">
              <w:rPr>
                <w:b/>
                <w:color w:val="1F3864" w:themeColor="accent5" w:themeShade="80"/>
                <w:sz w:val="22"/>
              </w:rPr>
              <w:t xml:space="preserve">: </w:t>
            </w:r>
          </w:p>
          <w:p w14:paraId="1401014F" w14:textId="672EACE3" w:rsidR="00F46970" w:rsidRPr="009973C3" w:rsidRDefault="00F46970" w:rsidP="00033C48">
            <w:pPr>
              <w:spacing w:after="120" w:line="276" w:lineRule="auto"/>
              <w:jc w:val="both"/>
              <w:rPr>
                <w:color w:val="1F3864" w:themeColor="accent5" w:themeShade="80"/>
              </w:rPr>
            </w:pPr>
            <w:r w:rsidRPr="009973C3">
              <w:rPr>
                <w:color w:val="1F3864" w:themeColor="accent5" w:themeShade="80"/>
              </w:rPr>
              <w:t xml:space="preserve">PP2 – </w:t>
            </w:r>
            <w:r w:rsidR="0015303F" w:rsidRPr="0015303F">
              <w:rPr>
                <w:color w:val="1F3864" w:themeColor="accent5" w:themeShade="80"/>
              </w:rPr>
              <w:t xml:space="preserve">Dr. László Elek Hospital and Medical </w:t>
            </w:r>
            <w:proofErr w:type="spellStart"/>
            <w:r w:rsidR="0015303F" w:rsidRPr="0015303F">
              <w:rPr>
                <w:color w:val="1F3864" w:themeColor="accent5" w:themeShade="80"/>
              </w:rPr>
              <w:t>Center</w:t>
            </w:r>
            <w:proofErr w:type="spellEnd"/>
            <w:r w:rsidR="0015303F" w:rsidRPr="0015303F">
              <w:rPr>
                <w:color w:val="1F3864" w:themeColor="accent5" w:themeShade="80"/>
              </w:rPr>
              <w:t xml:space="preserve">, </w:t>
            </w:r>
            <w:proofErr w:type="spellStart"/>
            <w:r w:rsidR="0015303F" w:rsidRPr="0015303F">
              <w:rPr>
                <w:color w:val="1F3864" w:themeColor="accent5" w:themeShade="80"/>
              </w:rPr>
              <w:t>Orosháza</w:t>
            </w:r>
            <w:proofErr w:type="spellEnd"/>
            <w:r w:rsidRPr="009973C3">
              <w:rPr>
                <w:color w:val="1F3864" w:themeColor="accent5" w:themeShade="80"/>
              </w:rPr>
              <w:t xml:space="preserve"> (</w:t>
            </w:r>
            <w:r w:rsidR="0015303F">
              <w:rPr>
                <w:color w:val="1F3864" w:themeColor="accent5" w:themeShade="80"/>
              </w:rPr>
              <w:t>HU</w:t>
            </w:r>
            <w:r w:rsidRPr="009973C3">
              <w:rPr>
                <w:color w:val="1F3864" w:themeColor="accent5" w:themeShade="80"/>
              </w:rPr>
              <w:t>)</w:t>
            </w:r>
          </w:p>
          <w:p w14:paraId="059BE9CD" w14:textId="72A8E6C0" w:rsidR="00F46970" w:rsidRPr="009973C3" w:rsidRDefault="00F46970" w:rsidP="00033C48">
            <w:pPr>
              <w:spacing w:after="120" w:line="276" w:lineRule="auto"/>
              <w:jc w:val="both"/>
              <w:rPr>
                <w:color w:val="1F3864" w:themeColor="accent5" w:themeShade="80"/>
              </w:rPr>
            </w:pPr>
            <w:r w:rsidRPr="009973C3">
              <w:rPr>
                <w:color w:val="1F3864" w:themeColor="accent5" w:themeShade="80"/>
              </w:rPr>
              <w:t xml:space="preserve">PP3 </w:t>
            </w:r>
            <w:r w:rsidR="0015303F">
              <w:rPr>
                <w:color w:val="1F3864" w:themeColor="accent5" w:themeShade="80"/>
              </w:rPr>
              <w:t>–</w:t>
            </w:r>
            <w:r w:rsidRPr="009973C3">
              <w:rPr>
                <w:color w:val="1F3864" w:themeColor="accent5" w:themeShade="80"/>
              </w:rPr>
              <w:t xml:space="preserve"> </w:t>
            </w:r>
            <w:r w:rsidR="0015303F" w:rsidRPr="0015303F">
              <w:rPr>
                <w:color w:val="1F3864" w:themeColor="accent5" w:themeShade="80"/>
              </w:rPr>
              <w:t>Békés County Central Hospital</w:t>
            </w:r>
            <w:r w:rsidRPr="009973C3">
              <w:rPr>
                <w:color w:val="1F3864" w:themeColor="accent5" w:themeShade="80"/>
              </w:rPr>
              <w:t xml:space="preserve"> (</w:t>
            </w:r>
            <w:r w:rsidR="0015303F">
              <w:rPr>
                <w:color w:val="1F3864" w:themeColor="accent5" w:themeShade="80"/>
              </w:rPr>
              <w:t>HU</w:t>
            </w:r>
            <w:r w:rsidRPr="009973C3">
              <w:rPr>
                <w:color w:val="1F3864" w:themeColor="accent5" w:themeShade="80"/>
              </w:rPr>
              <w:t>)</w:t>
            </w:r>
          </w:p>
          <w:p w14:paraId="4965167E" w14:textId="2DF77C3C" w:rsidR="00F46970" w:rsidRPr="009973C3" w:rsidRDefault="00F46970" w:rsidP="00033C48">
            <w:pPr>
              <w:spacing w:after="120" w:line="276" w:lineRule="auto"/>
              <w:jc w:val="both"/>
              <w:rPr>
                <w:color w:val="1F3864" w:themeColor="accent5" w:themeShade="80"/>
              </w:rPr>
            </w:pPr>
            <w:r w:rsidRPr="009973C3">
              <w:rPr>
                <w:color w:val="1F3864" w:themeColor="accent5" w:themeShade="80"/>
              </w:rPr>
              <w:t xml:space="preserve">PP4 – </w:t>
            </w:r>
            <w:r w:rsidR="0015303F" w:rsidRPr="0015303F">
              <w:rPr>
                <w:color w:val="1F3864" w:themeColor="accent5" w:themeShade="80"/>
              </w:rPr>
              <w:t xml:space="preserve">Arad County </w:t>
            </w:r>
            <w:r w:rsidR="0015303F">
              <w:rPr>
                <w:color w:val="1F3864" w:themeColor="accent5" w:themeShade="80"/>
              </w:rPr>
              <w:t xml:space="preserve">(Arad County </w:t>
            </w:r>
            <w:r w:rsidR="0015303F" w:rsidRPr="0015303F">
              <w:rPr>
                <w:color w:val="1F3864" w:themeColor="accent5" w:themeShade="80"/>
              </w:rPr>
              <w:t>Council</w:t>
            </w:r>
            <w:r w:rsidR="0015303F">
              <w:rPr>
                <w:color w:val="1F3864" w:themeColor="accent5" w:themeShade="80"/>
              </w:rPr>
              <w:t>)</w:t>
            </w:r>
            <w:r w:rsidR="0052270E" w:rsidRPr="0052270E">
              <w:rPr>
                <w:color w:val="1F3864" w:themeColor="accent5" w:themeShade="80"/>
              </w:rPr>
              <w:t xml:space="preserve"> </w:t>
            </w:r>
            <w:r w:rsidRPr="009973C3">
              <w:rPr>
                <w:color w:val="1F3864" w:themeColor="accent5" w:themeShade="80"/>
              </w:rPr>
              <w:t>(</w:t>
            </w:r>
            <w:r w:rsidR="0015303F">
              <w:rPr>
                <w:color w:val="1F3864" w:themeColor="accent5" w:themeShade="80"/>
              </w:rPr>
              <w:t>RO</w:t>
            </w:r>
            <w:r w:rsidRPr="009973C3">
              <w:rPr>
                <w:color w:val="1F3864" w:themeColor="accent5" w:themeShade="80"/>
              </w:rPr>
              <w:t>)</w:t>
            </w:r>
          </w:p>
        </w:tc>
      </w:tr>
      <w:tr w:rsidR="00F46970" w:rsidRPr="009973C3" w14:paraId="00072B65" w14:textId="77777777" w:rsidTr="00033C4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9DE93" w14:textId="29947A05" w:rsidR="00F46970" w:rsidRPr="009973C3" w:rsidRDefault="00D060BD" w:rsidP="00033C48">
            <w:pPr>
              <w:jc w:val="center"/>
              <w:rPr>
                <w:rFonts w:cs="Calibri"/>
                <w:b/>
                <w:color w:val="1F3864" w:themeColor="accent5" w:themeShade="80"/>
                <w:sz w:val="22"/>
                <w:lang w:eastAsia="en-GB"/>
              </w:rPr>
            </w:pPr>
            <w:r>
              <w:rPr>
                <w:rFonts w:cs="Calibri"/>
                <w:b/>
                <w:color w:val="1F3864" w:themeColor="accent5" w:themeShade="80"/>
                <w:sz w:val="22"/>
                <w:lang w:eastAsia="en-GB"/>
              </w:rPr>
              <w:t>T</w:t>
            </w:r>
            <w:r w:rsidR="00F46970" w:rsidRPr="009973C3">
              <w:rPr>
                <w:rFonts w:cs="Calibri"/>
                <w:b/>
                <w:color w:val="1F3864" w:themeColor="accent5" w:themeShade="80"/>
                <w:sz w:val="22"/>
                <w:lang w:eastAsia="en-GB"/>
              </w:rPr>
              <w:t>otal</w:t>
            </w:r>
            <w:r>
              <w:rPr>
                <w:rFonts w:cs="Calibri"/>
                <w:b/>
                <w:color w:val="1F3864" w:themeColor="accent5" w:themeShade="80"/>
                <w:sz w:val="22"/>
                <w:lang w:eastAsia="en-GB"/>
              </w:rPr>
              <w:t xml:space="preserve"> Budget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975B" w14:textId="745CB255" w:rsidR="00F46970" w:rsidRPr="009973C3" w:rsidRDefault="0015303F" w:rsidP="00033C48">
            <w:pPr>
              <w:spacing w:line="276" w:lineRule="auto"/>
              <w:jc w:val="both"/>
              <w:rPr>
                <w:rFonts w:cs="Calibri"/>
                <w:color w:val="1F3864" w:themeColor="accent5" w:themeShade="80"/>
                <w:sz w:val="22"/>
                <w:lang w:eastAsia="en-GB"/>
              </w:rPr>
            </w:pPr>
            <w:r w:rsidRPr="0015303F">
              <w:rPr>
                <w:rFonts w:cs="Calibri"/>
                <w:color w:val="1F3864" w:themeColor="accent5" w:themeShade="80"/>
                <w:sz w:val="22"/>
                <w:lang w:eastAsia="en-GB"/>
              </w:rPr>
              <w:t>9</w:t>
            </w:r>
            <w:r>
              <w:rPr>
                <w:rFonts w:cs="Calibri"/>
                <w:color w:val="1F3864" w:themeColor="accent5" w:themeShade="80"/>
                <w:sz w:val="22"/>
                <w:lang w:eastAsia="en-GB"/>
              </w:rPr>
              <w:t>,</w:t>
            </w:r>
            <w:r w:rsidRPr="0015303F">
              <w:rPr>
                <w:rFonts w:cs="Calibri"/>
                <w:color w:val="1F3864" w:themeColor="accent5" w:themeShade="80"/>
                <w:sz w:val="22"/>
                <w:lang w:eastAsia="en-GB"/>
              </w:rPr>
              <w:t>013</w:t>
            </w:r>
            <w:r>
              <w:rPr>
                <w:rFonts w:cs="Calibri"/>
                <w:color w:val="1F3864" w:themeColor="accent5" w:themeShade="80"/>
                <w:sz w:val="22"/>
                <w:lang w:eastAsia="en-GB"/>
              </w:rPr>
              <w:t>,</w:t>
            </w:r>
            <w:r w:rsidRPr="0015303F">
              <w:rPr>
                <w:rFonts w:cs="Calibri"/>
                <w:color w:val="1F3864" w:themeColor="accent5" w:themeShade="80"/>
                <w:sz w:val="22"/>
                <w:lang w:eastAsia="en-GB"/>
              </w:rPr>
              <w:t>225</w:t>
            </w:r>
            <w:r>
              <w:rPr>
                <w:rFonts w:cs="Calibri"/>
                <w:color w:val="1F3864" w:themeColor="accent5" w:themeShade="80"/>
                <w:sz w:val="22"/>
                <w:lang w:eastAsia="en-GB"/>
              </w:rPr>
              <w:t>.</w:t>
            </w:r>
            <w:r w:rsidRPr="0015303F">
              <w:rPr>
                <w:rFonts w:cs="Calibri"/>
                <w:color w:val="1F3864" w:themeColor="accent5" w:themeShade="80"/>
                <w:sz w:val="22"/>
                <w:lang w:eastAsia="en-GB"/>
              </w:rPr>
              <w:t>62</w:t>
            </w:r>
            <w:r w:rsidR="00F46970" w:rsidRPr="009973C3">
              <w:rPr>
                <w:rFonts w:cs="Calibri"/>
                <w:color w:val="1F3864" w:themeColor="accent5" w:themeShade="80"/>
                <w:sz w:val="22"/>
                <w:lang w:eastAsia="en-GB"/>
              </w:rPr>
              <w:t xml:space="preserve"> EUR, </w:t>
            </w:r>
            <w:r w:rsidR="00D060BD">
              <w:rPr>
                <w:rFonts w:eastAsia="Times New Roman"/>
                <w:color w:val="1F3864" w:themeColor="accent5" w:themeShade="80"/>
                <w:sz w:val="22"/>
                <w:lang w:bidi="en-US"/>
              </w:rPr>
              <w:t xml:space="preserve">out of which </w:t>
            </w:r>
            <w:r w:rsidR="00FE0A5B" w:rsidRPr="00FE0A5B">
              <w:rPr>
                <w:rFonts w:cs="Calibri"/>
                <w:color w:val="1F3864" w:themeColor="accent5" w:themeShade="80"/>
                <w:sz w:val="22"/>
                <w:lang w:eastAsia="en-GB"/>
              </w:rPr>
              <w:t>7</w:t>
            </w:r>
            <w:r w:rsidR="00FE0A5B">
              <w:rPr>
                <w:rFonts w:cs="Calibri"/>
                <w:color w:val="1F3864" w:themeColor="accent5" w:themeShade="80"/>
                <w:sz w:val="22"/>
                <w:lang w:eastAsia="en-GB"/>
              </w:rPr>
              <w:t>,</w:t>
            </w:r>
            <w:r w:rsidR="00FE0A5B" w:rsidRPr="00FE0A5B">
              <w:rPr>
                <w:rFonts w:cs="Calibri"/>
                <w:color w:val="1F3864" w:themeColor="accent5" w:themeShade="80"/>
                <w:sz w:val="22"/>
                <w:lang w:eastAsia="en-GB"/>
              </w:rPr>
              <w:t>210</w:t>
            </w:r>
            <w:r w:rsidR="00FE0A5B">
              <w:rPr>
                <w:rFonts w:cs="Calibri"/>
                <w:color w:val="1F3864" w:themeColor="accent5" w:themeShade="80"/>
                <w:sz w:val="22"/>
                <w:lang w:eastAsia="en-GB"/>
              </w:rPr>
              <w:t>,</w:t>
            </w:r>
            <w:r w:rsidR="00FE0A5B" w:rsidRPr="00FE0A5B">
              <w:rPr>
                <w:rFonts w:cs="Calibri"/>
                <w:color w:val="1F3864" w:themeColor="accent5" w:themeShade="80"/>
                <w:sz w:val="22"/>
                <w:lang w:eastAsia="en-GB"/>
              </w:rPr>
              <w:t>580</w:t>
            </w:r>
            <w:r w:rsidR="00FE0A5B">
              <w:rPr>
                <w:rFonts w:cs="Calibri"/>
                <w:color w:val="1F3864" w:themeColor="accent5" w:themeShade="80"/>
                <w:sz w:val="22"/>
                <w:lang w:eastAsia="en-GB"/>
              </w:rPr>
              <w:t>.</w:t>
            </w:r>
            <w:r w:rsidR="00FE0A5B" w:rsidRPr="00FE0A5B">
              <w:rPr>
                <w:rFonts w:cs="Calibri"/>
                <w:color w:val="1F3864" w:themeColor="accent5" w:themeShade="80"/>
                <w:sz w:val="22"/>
                <w:lang w:eastAsia="en-GB"/>
              </w:rPr>
              <w:t>48</w:t>
            </w:r>
            <w:r w:rsidR="00F46970" w:rsidRPr="009973C3">
              <w:rPr>
                <w:rFonts w:cs="Calibri"/>
                <w:color w:val="1F3864" w:themeColor="accent5" w:themeShade="80"/>
                <w:sz w:val="22"/>
                <w:lang w:eastAsia="en-GB"/>
              </w:rPr>
              <w:t xml:space="preserve"> EUR</w:t>
            </w:r>
            <w:r w:rsidR="00D060BD">
              <w:rPr>
                <w:rFonts w:cs="Calibri"/>
                <w:color w:val="1F3864" w:themeColor="accent5" w:themeShade="80"/>
                <w:sz w:val="22"/>
                <w:lang w:eastAsia="en-GB"/>
              </w:rPr>
              <w:t xml:space="preserve"> ERDF</w:t>
            </w:r>
            <w:r w:rsidR="00F46970" w:rsidRPr="009973C3">
              <w:rPr>
                <w:rFonts w:eastAsia="Times New Roman" w:cs="Courier New"/>
                <w:b/>
                <w:color w:val="1F3864" w:themeColor="accent5" w:themeShade="80"/>
                <w:sz w:val="22"/>
                <w:lang w:eastAsia="en-GB"/>
              </w:rPr>
              <w:tab/>
            </w:r>
          </w:p>
        </w:tc>
      </w:tr>
      <w:tr w:rsidR="00F46970" w:rsidRPr="009973C3" w14:paraId="1EB7B41B" w14:textId="77777777" w:rsidTr="00033C4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8710C" w14:textId="3C535348" w:rsidR="00F46970" w:rsidRPr="009973C3" w:rsidRDefault="00D060BD" w:rsidP="00033C48">
            <w:pPr>
              <w:jc w:val="center"/>
              <w:rPr>
                <w:rFonts w:cs="Calibri"/>
                <w:b/>
                <w:color w:val="1F3864" w:themeColor="accent5" w:themeShade="80"/>
                <w:sz w:val="22"/>
                <w:lang w:eastAsia="en-GB"/>
              </w:rPr>
            </w:pPr>
            <w:bookmarkStart w:id="0" w:name="_Hlk192079895"/>
            <w:r>
              <w:rPr>
                <w:rFonts w:cs="Calibri"/>
                <w:b/>
                <w:color w:val="1F3864" w:themeColor="accent5" w:themeShade="80"/>
                <w:sz w:val="22"/>
                <w:lang w:eastAsia="en-GB"/>
              </w:rPr>
              <w:t>Summary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1D8E3" w14:textId="77777777" w:rsidR="00FE0A5B" w:rsidRPr="00FE0A5B" w:rsidRDefault="00FE0A5B" w:rsidP="00FE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The project aims to enhance the quality of life for the local population in the cross-border area by improving infrastructure and access to the healthcare system through a comprehensive and integrated approach:</w:t>
            </w:r>
          </w:p>
          <w:p w14:paraId="79EA685C" w14:textId="77777777" w:rsidR="00FE0A5B" w:rsidRPr="00FE0A5B" w:rsidRDefault="00FE0A5B" w:rsidP="00FE0A5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Middle-aged and elderly individuals are the primary focus of awareness campaigns promoting the importance of regular medical screenings. Prevention activities will also target this group with specific actions aimed at early detection and intervention.</w:t>
            </w:r>
          </w:p>
          <w:p w14:paraId="30B280D7" w14:textId="77777777" w:rsidR="00FE0A5B" w:rsidRPr="00FE0A5B" w:rsidRDefault="00FE0A5B" w:rsidP="00FE0A5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 xml:space="preserve">Younger age groups (24 years old and under) will be a key focus of prevention efforts, as unhealthy lifestyles and poor nutrition during youth significantly contribute to the development of circulatory diseases later in life. These </w:t>
            </w:r>
            <w:r w:rsidRPr="00FE0A5B">
              <w:rPr>
                <w:color w:val="1F3864" w:themeColor="accent5" w:themeShade="80"/>
                <w:lang w:val="en"/>
              </w:rPr>
              <w:lastRenderedPageBreak/>
              <w:t>activities will emphasize the benefits of healthy nutrition, the risks associated with obesity, and other critical health topics.</w:t>
            </w:r>
          </w:p>
          <w:p w14:paraId="4B0595D7" w14:textId="77777777" w:rsidR="00FE0A5B" w:rsidRPr="00FE0A5B" w:rsidRDefault="00FE0A5B" w:rsidP="00FE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To strengthen cross-border cooperation in healthcare, the project includes activities based on extensive statistical data obtained through multi-level stakeholder collaboration. It promotes cross-border partnerships between healthcare systems in the border region, aligning with the objectives of the EU Directive on the Rights of Patients in Cross-Border Healthcare.</w:t>
            </w:r>
          </w:p>
          <w:p w14:paraId="30523BDD" w14:textId="77777777" w:rsidR="00FE0A5B" w:rsidRPr="00FE0A5B" w:rsidRDefault="00FE0A5B" w:rsidP="00FE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A key component of the project is the development of a common data management network and the formulation of recommendations for related technological solutions. The creation of a database and an integrated dashboard will facilitate user-friendly access to a broad range of specialized data (e.g., statistical office records, survey results). Additionally, the DENIM project will explore how integrating health and patient mobility data with regional spatial planning initiatives (e.g., Smart Regions, Smart Cities) can enhance future data collection on patient mobility and contribute to the development of intelligent and resilient regions.</w:t>
            </w:r>
          </w:p>
          <w:p w14:paraId="5DCF5032" w14:textId="77777777" w:rsidR="00FE0A5B" w:rsidRPr="00FE0A5B" w:rsidRDefault="00FE0A5B" w:rsidP="00FE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Patients will be engaged through campaign events, workshops, social media initiatives, and awareness-raising activities designed to encourage early intervention and preventive care, particularly for key target groups such as elderly individuals and young people.</w:t>
            </w:r>
          </w:p>
          <w:p w14:paraId="75446FDE" w14:textId="77777777" w:rsidR="00FE0A5B" w:rsidRPr="00FE0A5B" w:rsidRDefault="00FE0A5B" w:rsidP="00FE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The project will also focus on strengthening networking capacities in the two counties, enhancing the resilience of the regional healthcare system in the medium and long term. This will be achieved through workshops, exchanges of best practices, study visits, and professional collaborations.</w:t>
            </w:r>
          </w:p>
          <w:p w14:paraId="5D849274" w14:textId="77777777" w:rsidR="00FE0A5B" w:rsidRPr="00FE0A5B" w:rsidRDefault="00FE0A5B" w:rsidP="00FE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Addressing healthcare challenges more directly, the project targets one of the leading causes of mortality in the region by providing a joint solution and an integrated approach, with a strong emphasis on prevention and treatment of oncological diseases. The project’s comprehensive set of measures includes improving healthcare infrastructure—both in terms of medical equipment and facility modernization—within the cross-border region to ensure equitable access to medical services for the population.</w:t>
            </w:r>
          </w:p>
          <w:p w14:paraId="41F36141" w14:textId="77777777" w:rsidR="00FE0A5B" w:rsidRPr="00FE0A5B" w:rsidRDefault="00FE0A5B" w:rsidP="00FE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As part of these efforts, two hospital sites will be modernized:</w:t>
            </w:r>
          </w:p>
          <w:p w14:paraId="30E6D0C8" w14:textId="77777777" w:rsidR="00FE0A5B" w:rsidRPr="00FE0A5B" w:rsidRDefault="00FE0A5B" w:rsidP="00FE0A5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 xml:space="preserve">Dr. László Elek Hospital and Medical Center in </w:t>
            </w:r>
            <w:proofErr w:type="spellStart"/>
            <w:r w:rsidRPr="00FE0A5B">
              <w:rPr>
                <w:color w:val="1F3864" w:themeColor="accent5" w:themeShade="80"/>
                <w:lang w:val="en"/>
              </w:rPr>
              <w:t>Orosháza</w:t>
            </w:r>
            <w:proofErr w:type="spellEnd"/>
          </w:p>
          <w:p w14:paraId="21E45E27" w14:textId="77777777" w:rsidR="00FE0A5B" w:rsidRPr="00FE0A5B" w:rsidRDefault="00FE0A5B" w:rsidP="00FE0A5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Békés County Central Hospital in Gyula</w:t>
            </w:r>
          </w:p>
          <w:p w14:paraId="5AA8F479" w14:textId="5F9118A8" w:rsidR="00F46970" w:rsidRPr="004E001B" w:rsidRDefault="00FE0A5B" w:rsidP="00FE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
              </w:rPr>
            </w:pPr>
            <w:r w:rsidRPr="00FE0A5B">
              <w:rPr>
                <w:color w:val="1F3864" w:themeColor="accent5" w:themeShade="80"/>
                <w:lang w:val="en"/>
              </w:rPr>
              <w:t>Both facilities will be equipped with state-of-the-art medical technology. Additionally, the Arad County Emergency Clinical Hospital will receive advanced medical equipment, including</w:t>
            </w:r>
            <w:r>
              <w:rPr>
                <w:color w:val="1F3864" w:themeColor="accent5" w:themeShade="80"/>
                <w:lang w:val="en"/>
              </w:rPr>
              <w:t xml:space="preserve"> a</w:t>
            </w:r>
            <w:r w:rsidRPr="00FE0A5B">
              <w:rPr>
                <w:color w:val="1F3864" w:themeColor="accent5" w:themeShade="80"/>
                <w:lang w:val="en"/>
              </w:rPr>
              <w:t>n ultrasound machine with contrast-enhanced ultrasound software</w:t>
            </w:r>
            <w:r>
              <w:rPr>
                <w:color w:val="1F3864" w:themeColor="accent5" w:themeShade="80"/>
                <w:lang w:val="en"/>
              </w:rPr>
              <w:t>, a</w:t>
            </w:r>
            <w:r w:rsidRPr="00FE0A5B">
              <w:rPr>
                <w:color w:val="1F3864" w:themeColor="accent5" w:themeShade="80"/>
                <w:lang w:val="en"/>
              </w:rPr>
              <w:t>n automated system for preparing personalized cytostatic medication, including a microbiological hood</w:t>
            </w:r>
            <w:r>
              <w:rPr>
                <w:color w:val="1F3864" w:themeColor="accent5" w:themeShade="80"/>
                <w:lang w:val="en"/>
              </w:rPr>
              <w:t>, and a</w:t>
            </w:r>
            <w:r w:rsidRPr="00FE0A5B">
              <w:rPr>
                <w:color w:val="1F3864" w:themeColor="accent5" w:themeShade="80"/>
                <w:lang w:val="en"/>
              </w:rPr>
              <w:t xml:space="preserve"> lithotripsy laser</w:t>
            </w:r>
            <w:r>
              <w:rPr>
                <w:color w:val="1F3864" w:themeColor="accent5" w:themeShade="80"/>
                <w:lang w:val="en"/>
              </w:rPr>
              <w:t>.</w:t>
            </w:r>
          </w:p>
        </w:tc>
      </w:tr>
      <w:bookmarkEnd w:id="0"/>
      <w:tr w:rsidR="00F46970" w:rsidRPr="009973C3" w14:paraId="2E73159B" w14:textId="77777777" w:rsidTr="00033C4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523BD" w14:textId="6EE37A86" w:rsidR="00F46970" w:rsidRPr="009973C3" w:rsidRDefault="00AD3A2D" w:rsidP="00033C48">
            <w:pPr>
              <w:jc w:val="center"/>
              <w:rPr>
                <w:rFonts w:cs="Calibri"/>
                <w:b/>
                <w:color w:val="1F3864" w:themeColor="accent5" w:themeShade="80"/>
                <w:sz w:val="22"/>
                <w:lang w:eastAsia="en-GB"/>
              </w:rPr>
            </w:pPr>
            <w:r>
              <w:rPr>
                <w:rFonts w:cs="Calibri"/>
                <w:b/>
                <w:color w:val="1F3864" w:themeColor="accent5" w:themeShade="80"/>
                <w:sz w:val="22"/>
                <w:lang w:eastAsia="en-GB"/>
              </w:rPr>
              <w:lastRenderedPageBreak/>
              <w:t>Main results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F6B1" w14:textId="77777777" w:rsidR="00BB0591" w:rsidRPr="00BB0591" w:rsidRDefault="00BB0591" w:rsidP="00BB059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738"/>
              <w:jc w:val="both"/>
              <w:rPr>
                <w:color w:val="1F3864" w:themeColor="accent5" w:themeShade="80"/>
              </w:rPr>
            </w:pPr>
            <w:r w:rsidRPr="00BB0591">
              <w:rPr>
                <w:color w:val="1F3864" w:themeColor="accent5" w:themeShade="80"/>
              </w:rPr>
              <w:t>The project aims to achieve the following key results:</w:t>
            </w:r>
          </w:p>
          <w:p w14:paraId="41A8A6FD" w14:textId="2008A33D" w:rsidR="00BB0591" w:rsidRPr="00BB0591" w:rsidRDefault="00BB0591" w:rsidP="00BB059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rPr>
            </w:pPr>
            <w:r>
              <w:rPr>
                <w:color w:val="1F3864" w:themeColor="accent5" w:themeShade="80"/>
              </w:rPr>
              <w:t>Organizing w</w:t>
            </w:r>
            <w:r w:rsidRPr="00BB0591">
              <w:rPr>
                <w:color w:val="1F3864" w:themeColor="accent5" w:themeShade="80"/>
              </w:rPr>
              <w:t xml:space="preserve">orkshops and networking events designed to strengthen partnerships between participating countries by facilitating knowledge sharing and the transfer of best practices. These events will engage a diverse range of </w:t>
            </w:r>
            <w:r w:rsidRPr="00BB0591">
              <w:rPr>
                <w:color w:val="1F3864" w:themeColor="accent5" w:themeShade="80"/>
              </w:rPr>
              <w:lastRenderedPageBreak/>
              <w:t>stakeholders, including decision-makers, NGO representatives, and clinical experts.</w:t>
            </w:r>
          </w:p>
          <w:p w14:paraId="7E1B04B5" w14:textId="77777777" w:rsidR="00BB0591" w:rsidRPr="00BB0591" w:rsidRDefault="00BB0591" w:rsidP="00BB059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rPr>
            </w:pPr>
            <w:r w:rsidRPr="00BB0591">
              <w:rPr>
                <w:color w:val="1F3864" w:themeColor="accent5" w:themeShade="80"/>
              </w:rPr>
              <w:t>Development of a Case Study on Integrated Care, addressing the legal, financial, and infrastructural aspects relevant to both partner countries.</w:t>
            </w:r>
          </w:p>
          <w:p w14:paraId="6D909AEC" w14:textId="77777777" w:rsidR="00BB0591" w:rsidRPr="00BB0591" w:rsidRDefault="00BB0591" w:rsidP="00BB059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rPr>
            </w:pPr>
            <w:r w:rsidRPr="00BB0591">
              <w:rPr>
                <w:color w:val="1F3864" w:themeColor="accent5" w:themeShade="80"/>
              </w:rPr>
              <w:t>Creation of a cross-border common healthcare strategy, outlining key priorities and providing strategic guidance for decision-makers in Romania and Hungary. This strategy will support high-level decisions related to healthcare system integration, data management, and other essential areas.</w:t>
            </w:r>
          </w:p>
          <w:p w14:paraId="5F9443A6" w14:textId="77777777" w:rsidR="00BB0591" w:rsidRPr="00BB0591" w:rsidRDefault="00BB0591" w:rsidP="00BB059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rPr>
            </w:pPr>
            <w:r w:rsidRPr="00BB0591">
              <w:rPr>
                <w:color w:val="1F3864" w:themeColor="accent5" w:themeShade="80"/>
              </w:rPr>
              <w:t>Formulation of a Cross-Border Multi-Stakeholder Population Health Improvement Strategy, identifying unmet healthcare needs based on data analysis from both countries. This strategy will serve as a foundation for future developments in cross-border healthcare beyond 2027.</w:t>
            </w:r>
          </w:p>
          <w:p w14:paraId="55F41125" w14:textId="77777777" w:rsidR="00BB0591" w:rsidRPr="00BB0591" w:rsidRDefault="00BB0591" w:rsidP="00BB059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rPr>
            </w:pPr>
            <w:r w:rsidRPr="00BB0591">
              <w:rPr>
                <w:color w:val="1F3864" w:themeColor="accent5" w:themeShade="80"/>
              </w:rPr>
              <w:t>Development of a health improvement dashboard and database, ensuring user-friendly access to a comprehensive range of specified data sources, including statistical office records and questionnaire surveys.</w:t>
            </w:r>
          </w:p>
          <w:p w14:paraId="0F428A1E" w14:textId="77777777" w:rsidR="00BB0591" w:rsidRPr="00BB0591" w:rsidRDefault="00BB0591" w:rsidP="00BB059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rPr>
            </w:pPr>
            <w:r w:rsidRPr="00BB0591">
              <w:rPr>
                <w:color w:val="1F3864" w:themeColor="accent5" w:themeShade="80"/>
              </w:rPr>
              <w:t>Implementation of digital tools for patient assessment, diagnosis, treatment, and monitoring, with a focus on telemedicine as a key pilot activity. The project highlights the importance of integrating emerging technologies, including artificial intelligence, into healthcare services.</w:t>
            </w:r>
          </w:p>
          <w:p w14:paraId="06B953EE" w14:textId="77777777" w:rsidR="00BB0591" w:rsidRPr="00BB0591" w:rsidRDefault="00BB0591" w:rsidP="00BB059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rPr>
            </w:pPr>
            <w:r w:rsidRPr="00BB0591">
              <w:rPr>
                <w:color w:val="1F3864" w:themeColor="accent5" w:themeShade="80"/>
              </w:rPr>
              <w:t xml:space="preserve">Renovation, modernization, expansion, and equipping of the “Dr. László Elek” Hospital and Medical </w:t>
            </w:r>
            <w:proofErr w:type="spellStart"/>
            <w:r w:rsidRPr="00BB0591">
              <w:rPr>
                <w:color w:val="1F3864" w:themeColor="accent5" w:themeShade="80"/>
              </w:rPr>
              <w:t>Center</w:t>
            </w:r>
            <w:proofErr w:type="spellEnd"/>
            <w:r w:rsidRPr="00BB0591">
              <w:rPr>
                <w:color w:val="1F3864" w:themeColor="accent5" w:themeShade="80"/>
              </w:rPr>
              <w:t xml:space="preserve"> in </w:t>
            </w:r>
            <w:proofErr w:type="spellStart"/>
            <w:r w:rsidRPr="00BB0591">
              <w:rPr>
                <w:color w:val="1F3864" w:themeColor="accent5" w:themeShade="80"/>
              </w:rPr>
              <w:t>Orosháza</w:t>
            </w:r>
            <w:proofErr w:type="spellEnd"/>
            <w:r w:rsidRPr="00BB0591">
              <w:rPr>
                <w:color w:val="1F3864" w:themeColor="accent5" w:themeShade="80"/>
              </w:rPr>
              <w:t xml:space="preserve"> and the Békés County Central Hospital in Gyula, Békés County, with state-of-the-art medical equipment.</w:t>
            </w:r>
          </w:p>
          <w:p w14:paraId="0ED57953" w14:textId="77777777" w:rsidR="00BB0591" w:rsidRPr="00BB0591" w:rsidRDefault="00BB0591" w:rsidP="00BB059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rPr>
            </w:pPr>
            <w:r w:rsidRPr="00BB0591">
              <w:rPr>
                <w:color w:val="1F3864" w:themeColor="accent5" w:themeShade="80"/>
              </w:rPr>
              <w:t>Procurement of advanced medical equipment for the Arad County Emergency Clinical Hospital in Arad County.</w:t>
            </w:r>
          </w:p>
          <w:p w14:paraId="1458D1BE" w14:textId="1691C964" w:rsidR="00F46970" w:rsidRPr="00BB0591" w:rsidRDefault="00F46970" w:rsidP="00BB0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rPr>
            </w:pPr>
          </w:p>
        </w:tc>
      </w:tr>
    </w:tbl>
    <w:p w14:paraId="5EC8497C" w14:textId="77777777" w:rsidR="000F0D69" w:rsidRPr="009973C3" w:rsidRDefault="000F0D69" w:rsidP="000F0D69">
      <w:pPr>
        <w:jc w:val="both"/>
        <w:rPr>
          <w:rFonts w:cs="Open Sans"/>
          <w:bCs/>
          <w:color w:val="003399"/>
        </w:rPr>
      </w:pPr>
    </w:p>
    <w:p w14:paraId="44B7FB4E" w14:textId="77777777" w:rsidR="000F0D69" w:rsidRPr="009973C3" w:rsidRDefault="000F0D69" w:rsidP="000F0D69">
      <w:pPr>
        <w:jc w:val="both"/>
        <w:rPr>
          <w:rFonts w:cs="Open Sans"/>
          <w:bCs/>
          <w:color w:val="003399"/>
        </w:rPr>
      </w:pPr>
    </w:p>
    <w:p w14:paraId="6130B055" w14:textId="77777777" w:rsidR="000F0D69" w:rsidRPr="009973C3" w:rsidRDefault="000F0D69" w:rsidP="000F0D69">
      <w:pPr>
        <w:jc w:val="both"/>
        <w:rPr>
          <w:rFonts w:cs="Open Sans"/>
          <w:bCs/>
          <w:color w:val="003399"/>
        </w:rPr>
      </w:pPr>
    </w:p>
    <w:p w14:paraId="02284050" w14:textId="77777777" w:rsidR="000F0D69" w:rsidRPr="009973C3" w:rsidRDefault="000F0D69" w:rsidP="000F0D69">
      <w:pPr>
        <w:jc w:val="both"/>
        <w:rPr>
          <w:rFonts w:cs="Open Sans"/>
          <w:bCs/>
          <w:color w:val="003399"/>
        </w:rPr>
        <w:sectPr w:rsidR="000F0D69" w:rsidRPr="009973C3" w:rsidSect="00A170BA">
          <w:headerReference w:type="default" r:id="rId8"/>
          <w:footerReference w:type="default" r:id="rId9"/>
          <w:pgSz w:w="11906" w:h="16838" w:code="9"/>
          <w:pgMar w:top="1985" w:right="851" w:bottom="1134" w:left="851" w:header="567" w:footer="567" w:gutter="0"/>
          <w:cols w:space="720"/>
          <w:docGrid w:linePitch="360"/>
        </w:sectPr>
      </w:pPr>
    </w:p>
    <w:p w14:paraId="5D37F5EE" w14:textId="1A3B158D" w:rsidR="0054292D" w:rsidRPr="00F46970" w:rsidRDefault="0054292D" w:rsidP="00A170BA">
      <w:pPr>
        <w:spacing w:after="0"/>
        <w:jc w:val="both"/>
        <w:rPr>
          <w:rFonts w:cs="Open Sans"/>
          <w:noProof/>
          <w:color w:val="003399"/>
        </w:rPr>
      </w:pPr>
    </w:p>
    <w:sectPr w:rsidR="0054292D" w:rsidRPr="00F46970" w:rsidSect="00A170BA">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B0636" w14:textId="77777777" w:rsidR="00443286" w:rsidRPr="009973C3" w:rsidRDefault="00443286" w:rsidP="00C23211">
      <w:pPr>
        <w:spacing w:after="0" w:line="240" w:lineRule="auto"/>
      </w:pPr>
      <w:r w:rsidRPr="009973C3">
        <w:separator/>
      </w:r>
    </w:p>
  </w:endnote>
  <w:endnote w:type="continuationSeparator" w:id="0">
    <w:p w14:paraId="7EB221B7" w14:textId="77777777" w:rsidR="00443286" w:rsidRPr="009973C3" w:rsidRDefault="00443286" w:rsidP="00C23211">
      <w:pPr>
        <w:spacing w:after="0" w:line="240" w:lineRule="auto"/>
      </w:pPr>
      <w:r w:rsidRPr="009973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1ADF" w14:textId="77777777" w:rsidR="00E91B08" w:rsidRPr="009973C3" w:rsidRDefault="00A170BA" w:rsidP="00CA0AA2">
    <w:pPr>
      <w:pStyle w:val="Footer"/>
      <w:jc w:val="center"/>
      <w:rPr>
        <w:rFonts w:cs="Open Sans"/>
        <w:color w:val="003399"/>
      </w:rPr>
    </w:pPr>
    <w:r w:rsidRPr="009973C3">
      <w:ptab w:relativeTo="margin" w:alignment="right" w:leader="none"/>
    </w:r>
    <w:r w:rsidRPr="009973C3">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6788" w14:textId="77777777" w:rsidR="00443286" w:rsidRPr="009973C3" w:rsidRDefault="00443286" w:rsidP="00C23211">
      <w:pPr>
        <w:spacing w:after="0" w:line="240" w:lineRule="auto"/>
      </w:pPr>
      <w:r w:rsidRPr="009973C3">
        <w:separator/>
      </w:r>
    </w:p>
  </w:footnote>
  <w:footnote w:type="continuationSeparator" w:id="0">
    <w:p w14:paraId="32926973" w14:textId="77777777" w:rsidR="00443286" w:rsidRPr="009973C3" w:rsidRDefault="00443286" w:rsidP="00C23211">
      <w:pPr>
        <w:spacing w:after="0" w:line="240" w:lineRule="auto"/>
      </w:pPr>
      <w:r w:rsidRPr="009973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D977" w14:textId="77777777" w:rsidR="00E91B08" w:rsidRPr="009973C3" w:rsidRDefault="00A170BA">
    <w:pPr>
      <w:pStyle w:val="Header"/>
    </w:pPr>
    <w:r w:rsidRPr="009973C3">
      <w:drawing>
        <wp:inline distT="0" distB="0" distL="0" distR="0" wp14:anchorId="6462E880" wp14:editId="417E66BE">
          <wp:extent cx="6467475" cy="748198"/>
          <wp:effectExtent l="0" t="0" r="0" b="0"/>
          <wp:docPr id="972049401" name="Graphic 97204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66498" cy="759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790"/>
    <w:multiLevelType w:val="hybridMultilevel"/>
    <w:tmpl w:val="A62435BE"/>
    <w:lvl w:ilvl="0" w:tplc="65B8C89E">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B463C"/>
    <w:multiLevelType w:val="hybridMultilevel"/>
    <w:tmpl w:val="4A285E18"/>
    <w:lvl w:ilvl="0" w:tplc="65B8C89E">
      <w:numFmt w:val="bullet"/>
      <w:lvlText w:val="-"/>
      <w:lvlJc w:val="left"/>
      <w:pPr>
        <w:ind w:left="702" w:hanging="360"/>
      </w:pPr>
      <w:rPr>
        <w:rFonts w:ascii="Open Sans" w:eastAsia="Calibri" w:hAnsi="Open Sans" w:cs="Open Sans"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2" w15:restartNumberingAfterBreak="0">
    <w:nsid w:val="073D4DDE"/>
    <w:multiLevelType w:val="hybridMultilevel"/>
    <w:tmpl w:val="CA6C04AC"/>
    <w:lvl w:ilvl="0" w:tplc="65B8C89E">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D3D9A"/>
    <w:multiLevelType w:val="hybridMultilevel"/>
    <w:tmpl w:val="FE8CEC12"/>
    <w:lvl w:ilvl="0" w:tplc="65B8C89E">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E7B21"/>
    <w:multiLevelType w:val="hybridMultilevel"/>
    <w:tmpl w:val="CDA022B6"/>
    <w:lvl w:ilvl="0" w:tplc="65B8C89E">
      <w:numFmt w:val="bullet"/>
      <w:lvlText w:val="-"/>
      <w:lvlJc w:val="left"/>
      <w:pPr>
        <w:ind w:left="702" w:hanging="360"/>
      </w:pPr>
      <w:rPr>
        <w:rFonts w:ascii="Open Sans" w:eastAsia="Calibri" w:hAnsi="Open Sans" w:cs="Open Sans"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5" w15:restartNumberingAfterBreak="0">
    <w:nsid w:val="34E61173"/>
    <w:multiLevelType w:val="hybridMultilevel"/>
    <w:tmpl w:val="1440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F634C"/>
    <w:multiLevelType w:val="hybridMultilevel"/>
    <w:tmpl w:val="43348EB8"/>
    <w:lvl w:ilvl="0" w:tplc="65B8C89E">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C56E3"/>
    <w:multiLevelType w:val="hybridMultilevel"/>
    <w:tmpl w:val="04F6A0B6"/>
    <w:lvl w:ilvl="0" w:tplc="65B8C89E">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507647">
    <w:abstractNumId w:val="5"/>
  </w:num>
  <w:num w:numId="2" w16cid:durableId="660230260">
    <w:abstractNumId w:val="2"/>
  </w:num>
  <w:num w:numId="3" w16cid:durableId="401876722">
    <w:abstractNumId w:val="6"/>
  </w:num>
  <w:num w:numId="4" w16cid:durableId="1449544441">
    <w:abstractNumId w:val="0"/>
  </w:num>
  <w:num w:numId="5" w16cid:durableId="399594481">
    <w:abstractNumId w:val="3"/>
  </w:num>
  <w:num w:numId="6" w16cid:durableId="636228314">
    <w:abstractNumId w:val="7"/>
  </w:num>
  <w:num w:numId="7" w16cid:durableId="1727609816">
    <w:abstractNumId w:val="1"/>
  </w:num>
  <w:num w:numId="8" w16cid:durableId="733311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70"/>
    <w:rsid w:val="000F0D69"/>
    <w:rsid w:val="0015303F"/>
    <w:rsid w:val="00190E0A"/>
    <w:rsid w:val="00242594"/>
    <w:rsid w:val="002601E5"/>
    <w:rsid w:val="002642B0"/>
    <w:rsid w:val="002A5B39"/>
    <w:rsid w:val="00443286"/>
    <w:rsid w:val="004838E9"/>
    <w:rsid w:val="004A3DA2"/>
    <w:rsid w:val="004E001B"/>
    <w:rsid w:val="0052270E"/>
    <w:rsid w:val="0054292D"/>
    <w:rsid w:val="005A58E8"/>
    <w:rsid w:val="00610C81"/>
    <w:rsid w:val="00614C99"/>
    <w:rsid w:val="006B30F3"/>
    <w:rsid w:val="00732D28"/>
    <w:rsid w:val="00761E91"/>
    <w:rsid w:val="007D6D76"/>
    <w:rsid w:val="008E24AC"/>
    <w:rsid w:val="0097126B"/>
    <w:rsid w:val="00972954"/>
    <w:rsid w:val="009973C3"/>
    <w:rsid w:val="009D0623"/>
    <w:rsid w:val="00A170BA"/>
    <w:rsid w:val="00A35463"/>
    <w:rsid w:val="00A64984"/>
    <w:rsid w:val="00A73C7E"/>
    <w:rsid w:val="00AD3A2D"/>
    <w:rsid w:val="00B77B00"/>
    <w:rsid w:val="00B92ED0"/>
    <w:rsid w:val="00BB0591"/>
    <w:rsid w:val="00C23211"/>
    <w:rsid w:val="00C23EAD"/>
    <w:rsid w:val="00CA0AA2"/>
    <w:rsid w:val="00D060BD"/>
    <w:rsid w:val="00D1768D"/>
    <w:rsid w:val="00D26E7B"/>
    <w:rsid w:val="00D736AC"/>
    <w:rsid w:val="00DE4738"/>
    <w:rsid w:val="00E91B08"/>
    <w:rsid w:val="00EB0D64"/>
    <w:rsid w:val="00F0230A"/>
    <w:rsid w:val="00F46970"/>
    <w:rsid w:val="00F7622A"/>
    <w:rsid w:val="00FB5250"/>
    <w:rsid w:val="00F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8897D"/>
  <w15:chartTrackingRefBased/>
  <w15:docId w15:val="{14D65388-7F77-46AE-92B0-0E469590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970"/>
    <w:pPr>
      <w:suppressAutoHyphens/>
      <w:autoSpaceDN w:val="0"/>
      <w:spacing w:line="249" w:lineRule="auto"/>
      <w:textAlignment w:val="baseline"/>
    </w:pPr>
    <w:rPr>
      <w:rFonts w:ascii="Open Sans" w:eastAsia="Calibri" w:hAnsi="Open Sans" w:cs="Times New Roman"/>
      <w:color w:val="2F5496"/>
      <w:sz w:val="20"/>
      <w:lang w:val="en-GB"/>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2358">
      <w:bodyDiv w:val="1"/>
      <w:marLeft w:val="0"/>
      <w:marRight w:val="0"/>
      <w:marTop w:val="0"/>
      <w:marBottom w:val="0"/>
      <w:divBdr>
        <w:top w:val="none" w:sz="0" w:space="0" w:color="auto"/>
        <w:left w:val="none" w:sz="0" w:space="0" w:color="auto"/>
        <w:bottom w:val="none" w:sz="0" w:space="0" w:color="auto"/>
        <w:right w:val="none" w:sz="0" w:space="0" w:color="auto"/>
      </w:divBdr>
    </w:div>
    <w:div w:id="90128945">
      <w:bodyDiv w:val="1"/>
      <w:marLeft w:val="0"/>
      <w:marRight w:val="0"/>
      <w:marTop w:val="0"/>
      <w:marBottom w:val="0"/>
      <w:divBdr>
        <w:top w:val="none" w:sz="0" w:space="0" w:color="auto"/>
        <w:left w:val="none" w:sz="0" w:space="0" w:color="auto"/>
        <w:bottom w:val="none" w:sz="0" w:space="0" w:color="auto"/>
        <w:right w:val="none" w:sz="0" w:space="0" w:color="auto"/>
      </w:divBdr>
    </w:div>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514609948">
      <w:bodyDiv w:val="1"/>
      <w:marLeft w:val="0"/>
      <w:marRight w:val="0"/>
      <w:marTop w:val="0"/>
      <w:marBottom w:val="0"/>
      <w:divBdr>
        <w:top w:val="none" w:sz="0" w:space="0" w:color="auto"/>
        <w:left w:val="none" w:sz="0" w:space="0" w:color="auto"/>
        <w:bottom w:val="none" w:sz="0" w:space="0" w:color="auto"/>
        <w:right w:val="none" w:sz="0" w:space="0" w:color="auto"/>
      </w:divBdr>
    </w:div>
    <w:div w:id="1149522100">
      <w:bodyDiv w:val="1"/>
      <w:marLeft w:val="0"/>
      <w:marRight w:val="0"/>
      <w:marTop w:val="0"/>
      <w:marBottom w:val="0"/>
      <w:divBdr>
        <w:top w:val="none" w:sz="0" w:space="0" w:color="auto"/>
        <w:left w:val="none" w:sz="0" w:space="0" w:color="auto"/>
        <w:bottom w:val="none" w:sz="0" w:space="0" w:color="auto"/>
        <w:right w:val="none" w:sz="0" w:space="0" w:color="auto"/>
      </w:divBdr>
    </w:div>
    <w:div w:id="1581478982">
      <w:bodyDiv w:val="1"/>
      <w:marLeft w:val="0"/>
      <w:marRight w:val="0"/>
      <w:marTop w:val="0"/>
      <w:marBottom w:val="0"/>
      <w:divBdr>
        <w:top w:val="none" w:sz="0" w:space="0" w:color="auto"/>
        <w:left w:val="none" w:sz="0" w:space="0" w:color="auto"/>
        <w:bottom w:val="none" w:sz="0" w:space="0" w:color="auto"/>
        <w:right w:val="none" w:sz="0" w:space="0" w:color="auto"/>
      </w:divBdr>
    </w:div>
    <w:div w:id="19322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MIN~1.RAR\AppData\Local\Temp\Rar$DIa20908.46946\Antet%20A4%20Interreg%20EN%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9A56-2238-4BA5-9030-6C72C013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A4 Interreg EN Portrait</Template>
  <TotalTime>36</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cosmina.raret</dc:creator>
  <cp:keywords/>
  <dc:description/>
  <cp:lastModifiedBy>cosmina.raret</cp:lastModifiedBy>
  <cp:revision>4</cp:revision>
  <dcterms:created xsi:type="dcterms:W3CDTF">2025-03-05T12:02:00Z</dcterms:created>
  <dcterms:modified xsi:type="dcterms:W3CDTF">2025-03-05T13:21:00Z</dcterms:modified>
</cp:coreProperties>
</file>