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27279B" w14:textId="77777777" w:rsidR="00894820" w:rsidRDefault="00894820">
      <w:pPr>
        <w:jc w:val="both"/>
        <w:rPr>
          <w:rFonts w:cs="Open Sans"/>
          <w:color w:val="003399"/>
        </w:rPr>
      </w:pPr>
    </w:p>
    <w:tbl>
      <w:tblPr>
        <w:tblW w:w="1016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55"/>
        <w:gridCol w:w="8010"/>
      </w:tblGrid>
      <w:tr w:rsidR="00894820" w14:paraId="2FCB8905" w14:textId="77777777">
        <w:trPr>
          <w:trHeight w:val="333"/>
        </w:trPr>
        <w:tc>
          <w:tcPr>
            <w:tcW w:w="101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1F4E79" w:themeFill="accent1" w:themeFillShade="8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CA3120" w14:textId="16B8A732" w:rsidR="00894820" w:rsidRDefault="00000000">
            <w:pPr>
              <w:pStyle w:val="P68B1DB1-Normal1"/>
              <w:spacing w:after="120" w:line="276" w:lineRule="auto"/>
              <w:jc w:val="both"/>
            </w:pPr>
            <w:r>
              <w:t xml:space="preserve">Call type: </w:t>
            </w:r>
            <w:r w:rsidR="000B3AE9">
              <w:t>1</w:t>
            </w:r>
            <w:r w:rsidR="000B3AE9" w:rsidRPr="000B3AE9">
              <w:rPr>
                <w:vertAlign w:val="superscript"/>
              </w:rPr>
              <w:t>st</w:t>
            </w:r>
            <w:r w:rsidR="000B3AE9">
              <w:t xml:space="preserve"> Open Call of Proposals</w:t>
            </w:r>
          </w:p>
        </w:tc>
      </w:tr>
      <w:tr w:rsidR="00894820" w14:paraId="0362BCF6" w14:textId="77777777">
        <w:trPr>
          <w:trHeight w:val="333"/>
        </w:trPr>
        <w:tc>
          <w:tcPr>
            <w:tcW w:w="2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5449FA" w14:textId="78826771" w:rsidR="00894820" w:rsidRDefault="00000000">
            <w:pPr>
              <w:pStyle w:val="P68B1DB1-Normal2"/>
              <w:spacing w:after="120" w:line="251" w:lineRule="auto"/>
              <w:jc w:val="center"/>
            </w:pPr>
            <w:r>
              <w:t>Acronym &amp; Project code</w:t>
            </w:r>
          </w:p>
        </w:tc>
        <w:tc>
          <w:tcPr>
            <w:tcW w:w="8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A6C865" w14:textId="07480FCD" w:rsidR="00894820" w:rsidRDefault="00000000">
            <w:pPr>
              <w:pStyle w:val="P68B1DB1-Normal2"/>
              <w:spacing w:after="120" w:line="276" w:lineRule="auto"/>
              <w:jc w:val="both"/>
            </w:pPr>
            <w:r>
              <w:t>ROHU</w:t>
            </w:r>
            <w:r w:rsidR="0013541B">
              <w:t>00</w:t>
            </w:r>
            <w:r w:rsidR="00C43C3E">
              <w:t>172</w:t>
            </w:r>
            <w:r>
              <w:t xml:space="preserve"> </w:t>
            </w:r>
            <w:r w:rsidR="00E906F5">
              <w:t>C</w:t>
            </w:r>
            <w:r w:rsidR="00C43C3E">
              <w:t>CSA</w:t>
            </w:r>
          </w:p>
        </w:tc>
      </w:tr>
      <w:tr w:rsidR="00894820" w14:paraId="1D2DEC3A" w14:textId="77777777" w:rsidTr="00C43C3E">
        <w:trPr>
          <w:trHeight w:val="622"/>
        </w:trPr>
        <w:tc>
          <w:tcPr>
            <w:tcW w:w="2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F7DCFD" w14:textId="77777777" w:rsidR="00894820" w:rsidRDefault="00000000">
            <w:pPr>
              <w:pStyle w:val="P68B1DB1-Normal2"/>
              <w:spacing w:after="120"/>
              <w:jc w:val="center"/>
            </w:pPr>
            <w:r>
              <w:t>Project title</w:t>
            </w:r>
          </w:p>
        </w:tc>
        <w:tc>
          <w:tcPr>
            <w:tcW w:w="8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313E40" w14:textId="0F6D50E0" w:rsidR="00894820" w:rsidRDefault="00000000">
            <w:pPr>
              <w:pStyle w:val="P68B1DB1-Normal3"/>
              <w:spacing w:after="120" w:line="276" w:lineRule="auto"/>
              <w:jc w:val="both"/>
            </w:pPr>
            <w:r>
              <w:rPr>
                <w:rFonts w:cs="Calibri"/>
                <w:b/>
              </w:rPr>
              <w:t>"</w:t>
            </w:r>
            <w:r w:rsidR="00C43C3E" w:rsidRPr="00C43C3E">
              <w:rPr>
                <w:rFonts w:cs="Calibri"/>
                <w:b/>
              </w:rPr>
              <w:t>Closer to citizens for a safer area</w:t>
            </w:r>
            <w:r>
              <w:rPr>
                <w:rFonts w:cs="Calibri"/>
                <w:b/>
              </w:rPr>
              <w:t>"</w:t>
            </w:r>
            <w:r>
              <w:t xml:space="preserve"> </w:t>
            </w:r>
          </w:p>
        </w:tc>
      </w:tr>
      <w:tr w:rsidR="00894820" w14:paraId="2ED899A6" w14:textId="77777777">
        <w:trPr>
          <w:trHeight w:val="700"/>
        </w:trPr>
        <w:tc>
          <w:tcPr>
            <w:tcW w:w="2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C31C9" w14:textId="7F3E20E8" w:rsidR="00894820" w:rsidRDefault="00000000">
            <w:pPr>
              <w:pStyle w:val="P68B1DB1-Normal4"/>
              <w:spacing w:after="120"/>
              <w:jc w:val="center"/>
            </w:pPr>
            <w:r>
              <w:t>Priority</w:t>
            </w:r>
          </w:p>
        </w:tc>
        <w:tc>
          <w:tcPr>
            <w:tcW w:w="8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E8ECA" w14:textId="6BDC5D4F" w:rsidR="00894820" w:rsidRPr="0013541B" w:rsidRDefault="00000000" w:rsidP="0013541B">
            <w:pPr>
              <w:pStyle w:val="P68B1DB1-Normal2"/>
              <w:spacing w:after="120" w:line="276" w:lineRule="auto"/>
              <w:jc w:val="both"/>
              <w:rPr>
                <w:b w:val="0"/>
                <w:bCs/>
              </w:rPr>
            </w:pPr>
            <w:r w:rsidRPr="000B3AE9">
              <w:rPr>
                <w:b w:val="0"/>
                <w:bCs/>
                <w:smallCaps/>
              </w:rPr>
              <w:t>PRIORITY 3:</w:t>
            </w:r>
            <w:r w:rsidRPr="0013541B">
              <w:rPr>
                <w:b w:val="0"/>
                <w:bCs/>
              </w:rPr>
              <w:t xml:space="preserve"> </w:t>
            </w:r>
            <w:r w:rsidR="0013541B" w:rsidRPr="0013541B">
              <w:rPr>
                <w:b w:val="0"/>
                <w:bCs/>
                <w:smallCaps/>
              </w:rPr>
              <w:t>A more sustainable, community-based and effective cross-border cooperation</w:t>
            </w:r>
          </w:p>
        </w:tc>
      </w:tr>
      <w:tr w:rsidR="00894820" w14:paraId="5A450318" w14:textId="77777777">
        <w:trPr>
          <w:trHeight w:val="585"/>
        </w:trPr>
        <w:tc>
          <w:tcPr>
            <w:tcW w:w="2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C08E83" w14:textId="77777777" w:rsidR="00070E90" w:rsidRDefault="00070E90">
            <w:pPr>
              <w:pStyle w:val="P68B1DB1-Normal4"/>
              <w:spacing w:after="120"/>
              <w:jc w:val="center"/>
            </w:pPr>
            <w:r>
              <w:t>Specific</w:t>
            </w:r>
          </w:p>
          <w:p w14:paraId="468B4CF9" w14:textId="36E9F4E3" w:rsidR="00894820" w:rsidRDefault="00070E90" w:rsidP="00070E90">
            <w:pPr>
              <w:pStyle w:val="P68B1DB1-Normal4"/>
              <w:spacing w:after="120"/>
              <w:jc w:val="center"/>
            </w:pPr>
            <w:r>
              <w:t xml:space="preserve"> Objective</w:t>
            </w:r>
          </w:p>
        </w:tc>
        <w:tc>
          <w:tcPr>
            <w:tcW w:w="8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4B3DD" w14:textId="66D0612C" w:rsidR="00894820" w:rsidRDefault="00000000">
            <w:pPr>
              <w:pStyle w:val="P68B1DB1-Normal3"/>
              <w:spacing w:after="120" w:line="276" w:lineRule="auto"/>
              <w:jc w:val="both"/>
            </w:pPr>
            <w:r>
              <w:t xml:space="preserve">Specific objective Interreg </w:t>
            </w:r>
            <w:r w:rsidR="00E906F5" w:rsidRPr="00E906F5">
              <w:t>ISO6.3 - Building up mutual trust, in particular by encouraging people-to-people actions</w:t>
            </w:r>
          </w:p>
        </w:tc>
      </w:tr>
      <w:tr w:rsidR="00894820" w14:paraId="7703D1F8" w14:textId="77777777">
        <w:tc>
          <w:tcPr>
            <w:tcW w:w="2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949972" w14:textId="77777777" w:rsidR="00894820" w:rsidRDefault="00000000">
            <w:pPr>
              <w:pStyle w:val="P68B1DB1-Normal4"/>
              <w:spacing w:after="120"/>
              <w:jc w:val="center"/>
            </w:pPr>
            <w:r>
              <w:t>Implementation period</w:t>
            </w:r>
          </w:p>
        </w:tc>
        <w:tc>
          <w:tcPr>
            <w:tcW w:w="8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CF6933" w14:textId="44BF9F32" w:rsidR="00894820" w:rsidRDefault="00E906F5">
            <w:pPr>
              <w:pStyle w:val="P68B1DB1-Normal3"/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76" w:lineRule="auto"/>
              <w:jc w:val="both"/>
            </w:pPr>
            <w:r>
              <w:t>12 months (</w:t>
            </w:r>
            <w:r w:rsidR="00C43C3E">
              <w:t>07</w:t>
            </w:r>
            <w:r w:rsidR="00C43C3E" w:rsidRPr="00C43C3E">
              <w:rPr>
                <w:vertAlign w:val="superscript"/>
              </w:rPr>
              <w:t>th</w:t>
            </w:r>
            <w:r>
              <w:t xml:space="preserve"> of </w:t>
            </w:r>
            <w:r w:rsidR="00C43C3E">
              <w:t xml:space="preserve">March </w:t>
            </w:r>
            <w:r>
              <w:t xml:space="preserve">2025 – </w:t>
            </w:r>
            <w:r w:rsidR="00C43C3E">
              <w:t>6</w:t>
            </w:r>
            <w:r w:rsidRPr="00E906F5">
              <w:rPr>
                <w:vertAlign w:val="superscript"/>
              </w:rPr>
              <w:t>th</w:t>
            </w:r>
            <w:r>
              <w:t xml:space="preserve"> of </w:t>
            </w:r>
            <w:r w:rsidR="00C43C3E">
              <w:t xml:space="preserve">March </w:t>
            </w:r>
            <w:r>
              <w:t>2026)</w:t>
            </w:r>
          </w:p>
        </w:tc>
      </w:tr>
      <w:tr w:rsidR="00894820" w14:paraId="010F0453" w14:textId="77777777">
        <w:tc>
          <w:tcPr>
            <w:tcW w:w="2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9B0E74" w14:textId="77777777" w:rsidR="00894820" w:rsidRDefault="00000000">
            <w:pPr>
              <w:pStyle w:val="P68B1DB1-Normal4"/>
              <w:spacing w:after="120"/>
              <w:jc w:val="center"/>
            </w:pPr>
            <w:r>
              <w:t>Objective</w:t>
            </w:r>
          </w:p>
        </w:tc>
        <w:tc>
          <w:tcPr>
            <w:tcW w:w="8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865F9E" w14:textId="473E09D0" w:rsidR="00894820" w:rsidRDefault="00E23534">
            <w:pPr>
              <w:pStyle w:val="P68B1DB1-Normal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</w:pPr>
            <w:r w:rsidRPr="00E23534">
              <w:t>The project a</w:t>
            </w:r>
            <w:r>
              <w:t>i</w:t>
            </w:r>
            <w:r w:rsidRPr="00215B0F">
              <w:t xml:space="preserve">ms to </w:t>
            </w:r>
            <w:r w:rsidR="00C43C3E">
              <w:t>implement</w:t>
            </w:r>
            <w:r w:rsidR="00C43C3E" w:rsidRPr="00C43C3E">
              <w:t xml:space="preserve"> transformative change by significantly enhancing public awareness of border control measures and legal provisions in cross-border areas</w:t>
            </w:r>
          </w:p>
        </w:tc>
      </w:tr>
      <w:tr w:rsidR="00894820" w14:paraId="1EEF8B90" w14:textId="77777777">
        <w:trPr>
          <w:trHeight w:val="754"/>
        </w:trPr>
        <w:tc>
          <w:tcPr>
            <w:tcW w:w="215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25820D" w14:textId="77777777" w:rsidR="00894820" w:rsidRDefault="00000000">
            <w:pPr>
              <w:pStyle w:val="P68B1DB1-Normal2"/>
              <w:spacing w:after="120"/>
              <w:jc w:val="center"/>
            </w:pPr>
            <w:r>
              <w:t>Partnership</w:t>
            </w:r>
          </w:p>
        </w:tc>
        <w:tc>
          <w:tcPr>
            <w:tcW w:w="8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B576D" w14:textId="06C398AC" w:rsidR="00894820" w:rsidRDefault="00000000">
            <w:pPr>
              <w:pStyle w:val="P68B1DB1-Normal5"/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76" w:lineRule="auto"/>
              <w:jc w:val="both"/>
              <w:rPr>
                <w:rFonts w:cs="Calibri"/>
              </w:rPr>
            </w:pPr>
            <w:r>
              <w:t xml:space="preserve">Lead Partner: </w:t>
            </w:r>
          </w:p>
          <w:p w14:paraId="6332623C" w14:textId="2B084C31" w:rsidR="00894820" w:rsidRDefault="00C43C3E">
            <w:pPr>
              <w:pStyle w:val="P68B1DB1-Normal6"/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76" w:lineRule="auto"/>
              <w:jc w:val="both"/>
            </w:pPr>
            <w:r w:rsidRPr="00C43C3E">
              <w:t>Avram Iancu Border Police Training School Oradea</w:t>
            </w:r>
            <w:r w:rsidRPr="00C43C3E">
              <w:t xml:space="preserve"> </w:t>
            </w:r>
            <w:r w:rsidR="008760C1">
              <w:t>(RO)</w:t>
            </w:r>
          </w:p>
        </w:tc>
      </w:tr>
      <w:tr w:rsidR="00894820" w14:paraId="527C4A89" w14:textId="77777777">
        <w:trPr>
          <w:trHeight w:val="926"/>
        </w:trPr>
        <w:tc>
          <w:tcPr>
            <w:tcW w:w="215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C9DF23" w14:textId="77777777" w:rsidR="00894820" w:rsidRDefault="00894820">
            <w:pPr>
              <w:spacing w:after="0" w:line="251" w:lineRule="auto"/>
              <w:rPr>
                <w:rFonts w:cs="Calibri"/>
                <w:b/>
                <w:color w:val="1F3864" w:themeColor="accent5" w:themeShade="80"/>
                <w:sz w:val="22"/>
              </w:rPr>
            </w:pPr>
          </w:p>
        </w:tc>
        <w:tc>
          <w:tcPr>
            <w:tcW w:w="8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BC38C0" w14:textId="23DD6FD8" w:rsidR="00894820" w:rsidRDefault="00000000">
            <w:pPr>
              <w:pStyle w:val="P68B1DB1-Normal4"/>
              <w:spacing w:after="120" w:line="276" w:lineRule="auto"/>
              <w:jc w:val="both"/>
            </w:pPr>
            <w:r>
              <w:rPr>
                <w:rFonts w:eastAsia="Times New Roman"/>
              </w:rPr>
              <w:t>Project partner</w:t>
            </w:r>
            <w:r>
              <w:t xml:space="preserve">: </w:t>
            </w:r>
          </w:p>
          <w:p w14:paraId="7BCBBF71" w14:textId="6A9AAFB4" w:rsidR="00894820" w:rsidRDefault="00000000">
            <w:pPr>
              <w:pStyle w:val="P68B1DB1-Normal3"/>
              <w:spacing w:after="120" w:line="276" w:lineRule="auto"/>
              <w:jc w:val="both"/>
            </w:pPr>
            <w:r>
              <w:t xml:space="preserve">PP 2: </w:t>
            </w:r>
            <w:r w:rsidR="00C43C3E" w:rsidRPr="00C43C3E">
              <w:t>Police Education and Training Center</w:t>
            </w:r>
            <w:r w:rsidR="00C43C3E" w:rsidRPr="00C43C3E">
              <w:t xml:space="preserve"> </w:t>
            </w:r>
            <w:r>
              <w:t>(</w:t>
            </w:r>
            <w:r w:rsidR="008760C1">
              <w:t>HU</w:t>
            </w:r>
            <w:r>
              <w:t>)</w:t>
            </w:r>
          </w:p>
        </w:tc>
      </w:tr>
      <w:tr w:rsidR="00894820" w14:paraId="4EE4EBD1" w14:textId="77777777">
        <w:tc>
          <w:tcPr>
            <w:tcW w:w="2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44469C" w14:textId="77777777" w:rsidR="00894820" w:rsidRDefault="00000000">
            <w:pPr>
              <w:pStyle w:val="P68B1DB1-Normal2"/>
              <w:jc w:val="center"/>
            </w:pPr>
            <w:r>
              <w:t>Total budget</w:t>
            </w:r>
          </w:p>
        </w:tc>
        <w:tc>
          <w:tcPr>
            <w:tcW w:w="8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D4F5C2" w14:textId="567EF7F2" w:rsidR="00894820" w:rsidRDefault="00000000">
            <w:pPr>
              <w:spacing w:line="276" w:lineRule="auto"/>
              <w:jc w:val="both"/>
              <w:rPr>
                <w:rFonts w:cs="Calibri"/>
                <w:color w:val="1F3864" w:themeColor="accent5" w:themeShade="80"/>
                <w:sz w:val="22"/>
              </w:rPr>
            </w:pPr>
            <w:r>
              <w:rPr>
                <w:color w:val="1F3864" w:themeColor="accent5" w:themeShade="80"/>
                <w:sz w:val="22"/>
              </w:rPr>
              <w:t xml:space="preserve">EUR </w:t>
            </w:r>
            <w:r w:rsidR="00BF1B39" w:rsidRPr="00BF1B39">
              <w:rPr>
                <w:color w:val="1F3864" w:themeColor="accent5" w:themeShade="80"/>
                <w:sz w:val="22"/>
              </w:rPr>
              <w:t>154</w:t>
            </w:r>
            <w:r w:rsidR="00BF1B39" w:rsidRPr="00BF1B39">
              <w:rPr>
                <w:color w:val="1F3864" w:themeColor="accent5" w:themeShade="80"/>
                <w:sz w:val="22"/>
              </w:rPr>
              <w:t>,</w:t>
            </w:r>
            <w:r w:rsidR="00BF1B39" w:rsidRPr="00BF1B39">
              <w:rPr>
                <w:color w:val="1F3864" w:themeColor="accent5" w:themeShade="80"/>
                <w:sz w:val="22"/>
              </w:rPr>
              <w:t>339</w:t>
            </w:r>
            <w:r w:rsidR="00BF1B39" w:rsidRPr="00BF1B39">
              <w:rPr>
                <w:color w:val="1F3864" w:themeColor="accent5" w:themeShade="80"/>
                <w:sz w:val="22"/>
              </w:rPr>
              <w:t>.</w:t>
            </w:r>
            <w:r w:rsidR="00BF1B39" w:rsidRPr="00BF1B39">
              <w:rPr>
                <w:color w:val="1F3864" w:themeColor="accent5" w:themeShade="80"/>
                <w:sz w:val="22"/>
              </w:rPr>
              <w:t>92</w:t>
            </w:r>
            <w:r w:rsidR="00BF1B39">
              <w:rPr>
                <w:b/>
                <w:bCs/>
                <w:color w:val="1F3864" w:themeColor="accent5" w:themeShade="80"/>
                <w:sz w:val="22"/>
              </w:rPr>
              <w:t xml:space="preserve"> </w:t>
            </w:r>
            <w:r w:rsidR="00BF1B39" w:rsidRPr="00BF1B39">
              <w:rPr>
                <w:color w:val="1F3864" w:themeColor="accent5" w:themeShade="80"/>
                <w:sz w:val="22"/>
              </w:rPr>
              <w:t xml:space="preserve">out </w:t>
            </w:r>
            <w:r>
              <w:rPr>
                <w:color w:val="1F3864" w:themeColor="accent5" w:themeShade="80"/>
                <w:sz w:val="22"/>
              </w:rPr>
              <w:t xml:space="preserve">of which ERDF EUR </w:t>
            </w:r>
            <w:r w:rsidR="00BF1B39" w:rsidRPr="00BF1B39">
              <w:rPr>
                <w:color w:val="1F3864" w:themeColor="accent5" w:themeShade="80"/>
                <w:sz w:val="22"/>
              </w:rPr>
              <w:t>123</w:t>
            </w:r>
            <w:r w:rsidR="00BF1B39" w:rsidRPr="00BF1B39">
              <w:rPr>
                <w:color w:val="1F3864" w:themeColor="accent5" w:themeShade="80"/>
                <w:sz w:val="22"/>
              </w:rPr>
              <w:t>,</w:t>
            </w:r>
            <w:r w:rsidR="00BF1B39" w:rsidRPr="00BF1B39">
              <w:rPr>
                <w:color w:val="1F3864" w:themeColor="accent5" w:themeShade="80"/>
                <w:sz w:val="22"/>
              </w:rPr>
              <w:t>471</w:t>
            </w:r>
            <w:r w:rsidR="00BF1B39" w:rsidRPr="00BF1B39">
              <w:rPr>
                <w:color w:val="1F3864" w:themeColor="accent5" w:themeShade="80"/>
                <w:sz w:val="22"/>
              </w:rPr>
              <w:t>.</w:t>
            </w:r>
            <w:r w:rsidR="00BF1B39" w:rsidRPr="00BF1B39">
              <w:rPr>
                <w:color w:val="1F3864" w:themeColor="accent5" w:themeShade="80"/>
                <w:sz w:val="22"/>
              </w:rPr>
              <w:t>93</w:t>
            </w:r>
            <w:r>
              <w:tab/>
            </w:r>
          </w:p>
        </w:tc>
      </w:tr>
      <w:tr w:rsidR="00894820" w14:paraId="51B61C9D" w14:textId="77777777">
        <w:tc>
          <w:tcPr>
            <w:tcW w:w="2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3790AF" w14:textId="77777777" w:rsidR="00894820" w:rsidRDefault="00000000">
            <w:pPr>
              <w:pStyle w:val="P68B1DB1-Normal2"/>
              <w:jc w:val="center"/>
            </w:pPr>
            <w:r>
              <w:t>Summary</w:t>
            </w:r>
          </w:p>
        </w:tc>
        <w:tc>
          <w:tcPr>
            <w:tcW w:w="8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223DFA" w14:textId="2840DA21" w:rsidR="00215B0F" w:rsidRDefault="00000000">
            <w:pPr>
              <w:pStyle w:val="P68B1DB1-Normal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</w:pPr>
            <w:r>
              <w:t xml:space="preserve">The project </w:t>
            </w:r>
            <w:r w:rsidR="00BF1B39" w:rsidRPr="00C43C3E">
              <w:rPr>
                <w:rFonts w:cs="Calibri"/>
                <w:b/>
              </w:rPr>
              <w:t>Closer to citizens for a safer area</w:t>
            </w:r>
            <w:r w:rsidR="00BF1B39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(ROHU00</w:t>
            </w:r>
            <w:r w:rsidR="00BF1B39">
              <w:rPr>
                <w:b/>
                <w:i/>
              </w:rPr>
              <w:t>172</w:t>
            </w:r>
            <w:r>
              <w:rPr>
                <w:b/>
                <w:i/>
              </w:rPr>
              <w:t xml:space="preserve"> - </w:t>
            </w:r>
            <w:r w:rsidR="00D75B5B">
              <w:rPr>
                <w:b/>
                <w:i/>
              </w:rPr>
              <w:t>C</w:t>
            </w:r>
            <w:r w:rsidR="00BF1B39">
              <w:rPr>
                <w:b/>
                <w:i/>
              </w:rPr>
              <w:t>CSA</w:t>
            </w:r>
            <w:r>
              <w:rPr>
                <w:b/>
                <w:i/>
              </w:rPr>
              <w:t>)</w:t>
            </w:r>
            <w:r>
              <w:t xml:space="preserve"> </w:t>
            </w:r>
            <w:r w:rsidR="0058768C" w:rsidRPr="0058768C">
              <w:t>responds to a significant territorial challenge that looms over the program area, spanning both Romania and Hungary. This issue revolves around a lack of public understanding concerning border control, security measures, and related legal provisions. This knowledge gap poses considerable challenges and risks to the region</w:t>
            </w:r>
            <w:r w:rsidR="0058768C">
              <w:t xml:space="preserve">, as it leads </w:t>
            </w:r>
            <w:r w:rsidR="0058768C" w:rsidRPr="0058768C">
              <w:t>to confusion, potential legal complications, and operational inefficiencies at border checkpoints</w:t>
            </w:r>
            <w:r w:rsidR="0058768C">
              <w:t>.</w:t>
            </w:r>
          </w:p>
          <w:p w14:paraId="769F20B1" w14:textId="0317D684" w:rsidR="003349D8" w:rsidRDefault="003349D8">
            <w:pPr>
              <w:pStyle w:val="P68B1DB1-Normal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</w:pPr>
            <w:r>
              <w:t>T</w:t>
            </w:r>
            <w:r w:rsidRPr="003349D8">
              <w:t>he project's innovative and comprehensive approach to tackling common challenges in the field of border control and public understanding sets it apart from existing practices. The development of a comprehensive guide, the use of modern communication tools, the establishment of digital information centers, and cross-border collaboration all contribute to a project that goes beyond existing practices in the sector, program area, and participating countries.</w:t>
            </w:r>
          </w:p>
        </w:tc>
      </w:tr>
      <w:tr w:rsidR="00894820" w14:paraId="47DF7069" w14:textId="77777777">
        <w:tc>
          <w:tcPr>
            <w:tcW w:w="2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7485AE" w14:textId="77777777" w:rsidR="00894820" w:rsidRDefault="00000000">
            <w:pPr>
              <w:pStyle w:val="P68B1DB1-Normal2"/>
              <w:jc w:val="center"/>
            </w:pPr>
            <w:r>
              <w:t>Main results</w:t>
            </w:r>
          </w:p>
        </w:tc>
        <w:tc>
          <w:tcPr>
            <w:tcW w:w="8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21CEF7" w14:textId="77777777" w:rsidR="00A55404" w:rsidRPr="00C936FF" w:rsidRDefault="00C20D74" w:rsidP="00A55404">
            <w:pPr>
              <w:pStyle w:val="NormalWeb"/>
              <w:numPr>
                <w:ilvl w:val="0"/>
                <w:numId w:val="2"/>
              </w:numPr>
              <w:spacing w:after="0" w:line="276" w:lineRule="auto"/>
              <w:rPr>
                <w:rFonts w:ascii="Open Sans" w:hAnsi="Open Sans" w:cs="Open Sans"/>
                <w:b/>
                <w:bCs/>
                <w:color w:val="1F3864" w:themeColor="accent5" w:themeShade="80"/>
                <w:sz w:val="20"/>
              </w:rPr>
            </w:pPr>
            <w:r w:rsidRPr="00C20D74">
              <w:rPr>
                <w:rFonts w:ascii="Open Sans" w:eastAsia="Calibri" w:hAnsi="Open Sans"/>
                <w:bCs/>
                <w:color w:val="1F3864" w:themeColor="accent5" w:themeShade="80"/>
                <w:sz w:val="20"/>
              </w:rPr>
              <w:t xml:space="preserve">Setting-up </w:t>
            </w:r>
            <w:r w:rsidRPr="00C20D74">
              <w:rPr>
                <w:rFonts w:ascii="Open Sans" w:eastAsia="Calibri" w:hAnsi="Open Sans"/>
                <w:b/>
                <w:color w:val="1F3864" w:themeColor="accent5" w:themeShade="80"/>
                <w:sz w:val="20"/>
              </w:rPr>
              <w:t>two</w:t>
            </w:r>
            <w:r w:rsidRPr="00C20D74">
              <w:rPr>
                <w:rFonts w:ascii="Open Sans" w:eastAsia="Calibri" w:hAnsi="Open Sans"/>
                <w:b/>
                <w:color w:val="1F3864" w:themeColor="accent5" w:themeShade="80"/>
                <w:sz w:val="20"/>
              </w:rPr>
              <w:t xml:space="preserve"> Digital Information Center</w:t>
            </w:r>
            <w:r>
              <w:rPr>
                <w:rFonts w:ascii="Open Sans" w:eastAsia="Calibri" w:hAnsi="Open Sans"/>
                <w:b/>
                <w:color w:val="1F3864" w:themeColor="accent5" w:themeShade="80"/>
                <w:sz w:val="20"/>
              </w:rPr>
              <w:t>s</w:t>
            </w:r>
            <w:r>
              <w:rPr>
                <w:rFonts w:ascii="Open Sans" w:eastAsia="Calibri" w:hAnsi="Open Sans"/>
                <w:b/>
                <w:bCs/>
                <w:color w:val="1F3864" w:themeColor="accent5" w:themeShade="80"/>
                <w:sz w:val="20"/>
              </w:rPr>
              <w:t xml:space="preserve">, </w:t>
            </w:r>
            <w:r w:rsidRPr="00C20D74">
              <w:rPr>
                <w:rFonts w:ascii="Open Sans" w:eastAsia="Calibri" w:hAnsi="Open Sans"/>
                <w:color w:val="1F3864" w:themeColor="accent5" w:themeShade="80"/>
                <w:sz w:val="20"/>
              </w:rPr>
              <w:t>in Romania and Hungary,</w:t>
            </w:r>
            <w:r>
              <w:rPr>
                <w:rFonts w:ascii="Open Sans" w:eastAsia="Calibri" w:hAnsi="Open Sans"/>
                <w:b/>
                <w:bCs/>
                <w:color w:val="1F3864" w:themeColor="accent5" w:themeShade="80"/>
                <w:sz w:val="20"/>
              </w:rPr>
              <w:t xml:space="preserve"> </w:t>
            </w:r>
            <w:r w:rsidRPr="00C20D74">
              <w:rPr>
                <w:rFonts w:ascii="Open Sans" w:eastAsia="Calibri" w:hAnsi="Open Sans"/>
                <w:color w:val="1F3864" w:themeColor="accent5" w:themeShade="80"/>
                <w:sz w:val="20"/>
              </w:rPr>
              <w:t xml:space="preserve">which will </w:t>
            </w:r>
            <w:r w:rsidRPr="00C20D74">
              <w:rPr>
                <w:rFonts w:ascii="Open Sans" w:eastAsia="Calibri" w:hAnsi="Open Sans"/>
                <w:color w:val="1F3864" w:themeColor="accent5" w:themeShade="80"/>
                <w:sz w:val="20"/>
              </w:rPr>
              <w:t>improv</w:t>
            </w:r>
            <w:r w:rsidRPr="00C20D74">
              <w:rPr>
                <w:rFonts w:ascii="Open Sans" w:eastAsia="Calibri" w:hAnsi="Open Sans"/>
                <w:color w:val="1F3864" w:themeColor="accent5" w:themeShade="80"/>
                <w:sz w:val="20"/>
              </w:rPr>
              <w:t>e</w:t>
            </w:r>
            <w:r w:rsidRPr="00C20D74">
              <w:rPr>
                <w:rFonts w:ascii="Open Sans" w:eastAsia="Calibri" w:hAnsi="Open Sans"/>
                <w:color w:val="1F3864" w:themeColor="accent5" w:themeShade="80"/>
                <w:sz w:val="20"/>
              </w:rPr>
              <w:t xml:space="preserve"> public awareness and understanding of border control measures in the eligible cross-border areas</w:t>
            </w:r>
          </w:p>
          <w:p w14:paraId="6A2F742F" w14:textId="77777777" w:rsidR="00C936FF" w:rsidRDefault="00C936FF" w:rsidP="00A55404">
            <w:pPr>
              <w:pStyle w:val="NormalWeb"/>
              <w:numPr>
                <w:ilvl w:val="0"/>
                <w:numId w:val="2"/>
              </w:numPr>
              <w:spacing w:after="0" w:line="276" w:lineRule="auto"/>
              <w:rPr>
                <w:rFonts w:ascii="Open Sans" w:hAnsi="Open Sans" w:cs="Open Sans"/>
                <w:color w:val="1F3864" w:themeColor="accent5" w:themeShade="80"/>
                <w:sz w:val="20"/>
              </w:rPr>
            </w:pPr>
            <w:r w:rsidRPr="00C936FF">
              <w:rPr>
                <w:rFonts w:ascii="Open Sans" w:hAnsi="Open Sans" w:cs="Open Sans"/>
                <w:color w:val="1F3864" w:themeColor="accent5" w:themeShade="80"/>
                <w:sz w:val="20"/>
              </w:rPr>
              <w:lastRenderedPageBreak/>
              <w:t xml:space="preserve">Organization of </w:t>
            </w:r>
            <w:r w:rsidRPr="00C936FF">
              <w:rPr>
                <w:rFonts w:ascii="Open Sans" w:hAnsi="Open Sans" w:cs="Open Sans"/>
                <w:b/>
                <w:bCs/>
                <w:color w:val="1F3864" w:themeColor="accent5" w:themeShade="80"/>
                <w:sz w:val="20"/>
              </w:rPr>
              <w:t>2 workshops</w:t>
            </w:r>
            <w:r>
              <w:rPr>
                <w:rFonts w:ascii="Open Sans" w:hAnsi="Open Sans" w:cs="Open Sans"/>
                <w:b/>
                <w:bCs/>
                <w:color w:val="1F3864" w:themeColor="accent5" w:themeShade="80"/>
                <w:sz w:val="20"/>
              </w:rPr>
              <w:t xml:space="preserve">, </w:t>
            </w:r>
            <w:r w:rsidRPr="00C936FF">
              <w:rPr>
                <w:rFonts w:ascii="Open Sans" w:hAnsi="Open Sans" w:cs="Open Sans"/>
                <w:color w:val="1F3864" w:themeColor="accent5" w:themeShade="80"/>
                <w:sz w:val="20"/>
              </w:rPr>
              <w:t xml:space="preserve">in order to produce </w:t>
            </w:r>
            <w:r w:rsidRPr="00C936FF">
              <w:rPr>
                <w:rFonts w:ascii="Open Sans" w:hAnsi="Open Sans" w:cs="Open Sans"/>
                <w:b/>
                <w:bCs/>
                <w:color w:val="1F3864" w:themeColor="accent5" w:themeShade="80"/>
                <w:sz w:val="20"/>
              </w:rPr>
              <w:t>a guide</w:t>
            </w:r>
            <w:r w:rsidRPr="00C936FF">
              <w:rPr>
                <w:rFonts w:ascii="Open Sans" w:hAnsi="Open Sans" w:cs="Open Sans"/>
                <w:b/>
                <w:bCs/>
                <w:color w:val="1F3864" w:themeColor="accent5" w:themeShade="80"/>
                <w:sz w:val="20"/>
              </w:rPr>
              <w:t xml:space="preserve"> </w:t>
            </w:r>
            <w:r w:rsidRPr="00C936FF">
              <w:rPr>
                <w:rFonts w:ascii="Open Sans" w:hAnsi="Open Sans" w:cs="Open Sans"/>
                <w:b/>
                <w:bCs/>
                <w:color w:val="1F3864" w:themeColor="accent5" w:themeShade="80"/>
                <w:sz w:val="20"/>
              </w:rPr>
              <w:t xml:space="preserve">of </w:t>
            </w:r>
            <w:r w:rsidRPr="00C936FF">
              <w:rPr>
                <w:rFonts w:ascii="Open Sans" w:hAnsi="Open Sans" w:cs="Open Sans"/>
                <w:b/>
                <w:bCs/>
                <w:color w:val="1F3864" w:themeColor="accent5" w:themeShade="80"/>
                <w:sz w:val="20"/>
              </w:rPr>
              <w:t>best practices</w:t>
            </w:r>
            <w:r w:rsidRPr="00C936FF">
              <w:rPr>
                <w:rFonts w:ascii="Open Sans" w:hAnsi="Open Sans" w:cs="Open Sans"/>
                <w:color w:val="1F3864" w:themeColor="accent5" w:themeShade="80"/>
                <w:sz w:val="20"/>
              </w:rPr>
              <w:t xml:space="preserve"> to inform the citizens about border related measures</w:t>
            </w:r>
          </w:p>
          <w:p w14:paraId="173E30B6" w14:textId="19734411" w:rsidR="00C936FF" w:rsidRPr="00C936FF" w:rsidRDefault="00C936FF" w:rsidP="00A55404">
            <w:pPr>
              <w:pStyle w:val="NormalWeb"/>
              <w:numPr>
                <w:ilvl w:val="0"/>
                <w:numId w:val="2"/>
              </w:numPr>
              <w:spacing w:after="0" w:line="276" w:lineRule="auto"/>
              <w:rPr>
                <w:rFonts w:ascii="Open Sans" w:hAnsi="Open Sans" w:cs="Open Sans"/>
                <w:color w:val="1F3864" w:themeColor="accent5" w:themeShade="80"/>
                <w:sz w:val="20"/>
              </w:rPr>
            </w:pPr>
            <w:r w:rsidRPr="00C936FF">
              <w:rPr>
                <w:rFonts w:ascii="Open Sans" w:hAnsi="Open Sans" w:cs="Open Sans"/>
                <w:color w:val="1F3864" w:themeColor="accent5" w:themeShade="80"/>
                <w:sz w:val="20"/>
              </w:rPr>
              <w:t xml:space="preserve">Organization of </w:t>
            </w:r>
            <w:r w:rsidRPr="00C936FF">
              <w:rPr>
                <w:rFonts w:ascii="Open Sans" w:hAnsi="Open Sans" w:cs="Open Sans"/>
                <w:b/>
                <w:bCs/>
                <w:color w:val="1F3864" w:themeColor="accent5" w:themeShade="80"/>
                <w:sz w:val="20"/>
              </w:rPr>
              <w:t xml:space="preserve">2 public information </w:t>
            </w:r>
            <w:r w:rsidRPr="00C936FF">
              <w:rPr>
                <w:rFonts w:ascii="Open Sans" w:hAnsi="Open Sans" w:cs="Open Sans"/>
                <w:b/>
                <w:bCs/>
                <w:color w:val="1F3864" w:themeColor="accent5" w:themeShade="80"/>
                <w:sz w:val="20"/>
              </w:rPr>
              <w:t>campaigns</w:t>
            </w:r>
            <w:r>
              <w:rPr>
                <w:rFonts w:ascii="Open Sans" w:hAnsi="Open Sans" w:cs="Open Sans"/>
                <w:color w:val="1F3864" w:themeColor="accent5" w:themeShade="80"/>
                <w:sz w:val="20"/>
              </w:rPr>
              <w:t xml:space="preserve">, </w:t>
            </w:r>
            <w:r w:rsidRPr="00C936FF">
              <w:rPr>
                <w:rFonts w:ascii="Open Sans" w:hAnsi="Open Sans" w:cs="Open Sans"/>
                <w:color w:val="1F3864" w:themeColor="accent5" w:themeShade="80"/>
                <w:sz w:val="20"/>
              </w:rPr>
              <w:t>aimed at enhancing public awareness and understanding of border control measures, legal provisions, and compliance with the state border's legal regime, while also addressing the prevention of illegal migration</w:t>
            </w:r>
          </w:p>
        </w:tc>
      </w:tr>
    </w:tbl>
    <w:p w14:paraId="2E5160C3" w14:textId="5D0B5ABE" w:rsidR="00894820" w:rsidRDefault="00894820">
      <w:pPr>
        <w:spacing w:after="0"/>
        <w:jc w:val="both"/>
        <w:rPr>
          <w:rFonts w:cs="Open Sans"/>
          <w:color w:val="003399"/>
        </w:rPr>
      </w:pPr>
    </w:p>
    <w:sectPr w:rsidR="00894820">
      <w:headerReference w:type="default" r:id="rId7"/>
      <w:footerReference w:type="default" r:id="rId8"/>
      <w:type w:val="continuous"/>
      <w:pgSz w:w="11906" w:h="16838" w:code="9"/>
      <w:pgMar w:top="2127" w:right="707" w:bottom="1440" w:left="851" w:header="720" w:footer="62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7F81D5" w14:textId="77777777" w:rsidR="00043A12" w:rsidRDefault="00043A12">
      <w:pPr>
        <w:spacing w:after="0" w:line="240" w:lineRule="auto"/>
      </w:pPr>
      <w:r>
        <w:separator/>
      </w:r>
    </w:p>
  </w:endnote>
  <w:endnote w:type="continuationSeparator" w:id="0">
    <w:p w14:paraId="2500F839" w14:textId="77777777" w:rsidR="00043A12" w:rsidRDefault="00043A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Open Sans">
    <w:altName w:val="Arial Nova Cond"/>
    <w:charset w:val="00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FF0886" w14:textId="77777777" w:rsidR="00894820" w:rsidRDefault="00000000">
    <w:pPr>
      <w:pStyle w:val="Footer"/>
      <w:jc w:val="center"/>
      <w:rPr>
        <w:rFonts w:cs="Open Sans"/>
        <w:color w:val="003399"/>
      </w:rPr>
    </w:pPr>
    <w:r>
      <w:ptab w:relativeTo="margin" w:alignment="right" w:leader="none"/>
    </w:r>
    <w:r>
      <w:t>interreg-rohu.eu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F7F258" w14:textId="77777777" w:rsidR="00043A12" w:rsidRDefault="00043A12">
      <w:pPr>
        <w:spacing w:after="0" w:line="240" w:lineRule="auto"/>
      </w:pPr>
      <w:r>
        <w:separator/>
      </w:r>
    </w:p>
  </w:footnote>
  <w:footnote w:type="continuationSeparator" w:id="0">
    <w:p w14:paraId="02F35295" w14:textId="77777777" w:rsidR="00043A12" w:rsidRDefault="00043A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FD5E6E" w14:textId="77777777" w:rsidR="00894820" w:rsidRDefault="00000000">
    <w:pPr>
      <w:pStyle w:val="Header"/>
    </w:pPr>
    <w:r>
      <w:rPr>
        <w:noProof/>
      </w:rPr>
      <w:drawing>
        <wp:inline distT="0" distB="0" distL="0" distR="0" wp14:anchorId="0D4E0297" wp14:editId="04C60E86">
          <wp:extent cx="6462214" cy="747589"/>
          <wp:effectExtent l="0" t="0" r="0" b="0"/>
          <wp:docPr id="1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20404" cy="7543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34617D"/>
    <w:multiLevelType w:val="hybridMultilevel"/>
    <w:tmpl w:val="6B24D83E"/>
    <w:lvl w:ilvl="0" w:tplc="DA98B68A">
      <w:numFmt w:val="bullet"/>
      <w:lvlText w:val="-"/>
      <w:lvlJc w:val="left"/>
      <w:pPr>
        <w:ind w:left="720" w:hanging="360"/>
      </w:pPr>
      <w:rPr>
        <w:rFonts w:ascii="Open Sans" w:eastAsia="Times New Roman" w:hAnsi="Open Sans" w:cs="Open Sans" w:hint="default"/>
        <w:b/>
        <w:sz w:val="22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6203A7"/>
    <w:multiLevelType w:val="multilevel"/>
    <w:tmpl w:val="97ECE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146BE6"/>
    <w:multiLevelType w:val="multilevel"/>
    <w:tmpl w:val="44469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91864262">
    <w:abstractNumId w:val="0"/>
  </w:num>
  <w:num w:numId="2" w16cid:durableId="1420561953">
    <w:abstractNumId w:val="1"/>
  </w:num>
  <w:num w:numId="3" w16cid:durableId="12703578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33E"/>
    <w:rsid w:val="00043A12"/>
    <w:rsid w:val="00070E90"/>
    <w:rsid w:val="000821B2"/>
    <w:rsid w:val="000B388F"/>
    <w:rsid w:val="000B3AE9"/>
    <w:rsid w:val="000F0D69"/>
    <w:rsid w:val="0013541B"/>
    <w:rsid w:val="00144932"/>
    <w:rsid w:val="0016380B"/>
    <w:rsid w:val="00190E0A"/>
    <w:rsid w:val="00192991"/>
    <w:rsid w:val="001A4018"/>
    <w:rsid w:val="001B2270"/>
    <w:rsid w:val="001F0CBF"/>
    <w:rsid w:val="00215B0F"/>
    <w:rsid w:val="002216AE"/>
    <w:rsid w:val="00221748"/>
    <w:rsid w:val="00235D99"/>
    <w:rsid w:val="00242594"/>
    <w:rsid w:val="00243DEE"/>
    <w:rsid w:val="002601E5"/>
    <w:rsid w:val="002642B0"/>
    <w:rsid w:val="00286B53"/>
    <w:rsid w:val="00291991"/>
    <w:rsid w:val="002A5B39"/>
    <w:rsid w:val="00306792"/>
    <w:rsid w:val="003156EA"/>
    <w:rsid w:val="003349D8"/>
    <w:rsid w:val="00352959"/>
    <w:rsid w:val="003B4BA5"/>
    <w:rsid w:val="003B5549"/>
    <w:rsid w:val="00466100"/>
    <w:rsid w:val="004A3DA2"/>
    <w:rsid w:val="004F06D5"/>
    <w:rsid w:val="00514C1B"/>
    <w:rsid w:val="0054292D"/>
    <w:rsid w:val="005711D1"/>
    <w:rsid w:val="0058768C"/>
    <w:rsid w:val="005A58E8"/>
    <w:rsid w:val="005D110C"/>
    <w:rsid w:val="00614C99"/>
    <w:rsid w:val="00626B3C"/>
    <w:rsid w:val="006738B4"/>
    <w:rsid w:val="006B30F3"/>
    <w:rsid w:val="006F277A"/>
    <w:rsid w:val="00715503"/>
    <w:rsid w:val="00732D28"/>
    <w:rsid w:val="00746173"/>
    <w:rsid w:val="00761E91"/>
    <w:rsid w:val="0083050E"/>
    <w:rsid w:val="008559B6"/>
    <w:rsid w:val="008760C1"/>
    <w:rsid w:val="00894820"/>
    <w:rsid w:val="008E24AC"/>
    <w:rsid w:val="009173AA"/>
    <w:rsid w:val="009315FC"/>
    <w:rsid w:val="0097126B"/>
    <w:rsid w:val="00987F13"/>
    <w:rsid w:val="0099310D"/>
    <w:rsid w:val="009C40D1"/>
    <w:rsid w:val="009D0623"/>
    <w:rsid w:val="00A170BA"/>
    <w:rsid w:val="00A35463"/>
    <w:rsid w:val="00A55404"/>
    <w:rsid w:val="00A64984"/>
    <w:rsid w:val="00A872D9"/>
    <w:rsid w:val="00AE4986"/>
    <w:rsid w:val="00AF087F"/>
    <w:rsid w:val="00B0144D"/>
    <w:rsid w:val="00B24F49"/>
    <w:rsid w:val="00B77B00"/>
    <w:rsid w:val="00B92ED0"/>
    <w:rsid w:val="00BF1B39"/>
    <w:rsid w:val="00C02611"/>
    <w:rsid w:val="00C20D74"/>
    <w:rsid w:val="00C23211"/>
    <w:rsid w:val="00C23EAD"/>
    <w:rsid w:val="00C43C3E"/>
    <w:rsid w:val="00C84D1D"/>
    <w:rsid w:val="00C936FF"/>
    <w:rsid w:val="00CA0AA2"/>
    <w:rsid w:val="00CA6A28"/>
    <w:rsid w:val="00CC68F1"/>
    <w:rsid w:val="00D1768D"/>
    <w:rsid w:val="00D46934"/>
    <w:rsid w:val="00D6779D"/>
    <w:rsid w:val="00D736AC"/>
    <w:rsid w:val="00D75B5B"/>
    <w:rsid w:val="00DE0099"/>
    <w:rsid w:val="00DE4738"/>
    <w:rsid w:val="00DE5E8D"/>
    <w:rsid w:val="00DF4008"/>
    <w:rsid w:val="00DF43E7"/>
    <w:rsid w:val="00E02D1E"/>
    <w:rsid w:val="00E23534"/>
    <w:rsid w:val="00E66CBF"/>
    <w:rsid w:val="00E7799E"/>
    <w:rsid w:val="00E902C1"/>
    <w:rsid w:val="00E906F5"/>
    <w:rsid w:val="00E91B08"/>
    <w:rsid w:val="00EB0D64"/>
    <w:rsid w:val="00F0230A"/>
    <w:rsid w:val="00F5533E"/>
    <w:rsid w:val="00F7622A"/>
    <w:rsid w:val="00F960C5"/>
    <w:rsid w:val="00FB5250"/>
    <w:rsid w:val="00FB7657"/>
    <w:rsid w:val="00FE2FE7"/>
    <w:rsid w:val="00FF6536"/>
    <w:rsid w:val="01B8237E"/>
    <w:rsid w:val="107CC2E1"/>
    <w:rsid w:val="123F9A3A"/>
    <w:rsid w:val="1A21A60E"/>
    <w:rsid w:val="1F1CE431"/>
    <w:rsid w:val="25699B0A"/>
    <w:rsid w:val="28A515CE"/>
    <w:rsid w:val="291456F0"/>
    <w:rsid w:val="2B1802DD"/>
    <w:rsid w:val="394791B3"/>
    <w:rsid w:val="3AFB5219"/>
    <w:rsid w:val="4113AC48"/>
    <w:rsid w:val="48CFA109"/>
    <w:rsid w:val="49734651"/>
    <w:rsid w:val="4DDCF216"/>
    <w:rsid w:val="5F3FACFD"/>
    <w:rsid w:val="663D5F72"/>
    <w:rsid w:val="698560EE"/>
    <w:rsid w:val="6D744695"/>
    <w:rsid w:val="71A75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C059757"/>
  <w15:chartTrackingRefBased/>
  <w15:docId w15:val="{AFCDA521-B67C-4DE2-822F-598315B30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4008"/>
    <w:pPr>
      <w:suppressAutoHyphens/>
      <w:autoSpaceDN w:val="0"/>
      <w:spacing w:line="249" w:lineRule="auto"/>
      <w:textAlignment w:val="baseline"/>
    </w:pPr>
    <w:rPr>
      <w:rFonts w:ascii="Open Sans" w:eastAsia="Calibri" w:hAnsi="Open Sans" w:cs="Times New Roman"/>
      <w:color w:val="2F5496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E91B08"/>
    <w:pPr>
      <w:keepNext/>
      <w:keepLines/>
      <w:spacing w:before="240" w:after="0"/>
      <w:outlineLvl w:val="0"/>
    </w:pPr>
    <w:rPr>
      <w:rFonts w:eastAsiaTheme="majorEastAsia" w:cstheme="majorBidi"/>
      <w:b/>
      <w:color w:val="2E74B5" w:themeColor="accent1" w:themeShade="BF"/>
      <w:sz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32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3211"/>
  </w:style>
  <w:style w:type="paragraph" w:styleId="Footer">
    <w:name w:val="footer"/>
    <w:basedOn w:val="Normal"/>
    <w:link w:val="FooterChar"/>
    <w:uiPriority w:val="99"/>
    <w:unhideWhenUsed/>
    <w:rsid w:val="00C232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3211"/>
  </w:style>
  <w:style w:type="character" w:customStyle="1" w:styleId="Heading1Char">
    <w:name w:val="Heading 1 Char"/>
    <w:basedOn w:val="DefaultParagraphFont"/>
    <w:link w:val="Heading1"/>
    <w:uiPriority w:val="9"/>
    <w:rsid w:val="00E91B08"/>
    <w:rPr>
      <w:rFonts w:ascii="Arial" w:eastAsiaTheme="majorEastAsia" w:hAnsi="Arial" w:cstheme="majorBidi"/>
      <w:b/>
      <w:color w:val="2E74B5" w:themeColor="accent1" w:themeShade="BF"/>
      <w:sz w:val="32"/>
    </w:rPr>
  </w:style>
  <w:style w:type="paragraph" w:styleId="Title">
    <w:name w:val="Title"/>
    <w:basedOn w:val="Normal"/>
    <w:next w:val="Normal"/>
    <w:link w:val="TitleChar"/>
    <w:uiPriority w:val="10"/>
    <w:qFormat/>
    <w:rsid w:val="00E91B08"/>
    <w:pPr>
      <w:spacing w:after="0" w:line="240" w:lineRule="auto"/>
      <w:contextualSpacing/>
    </w:pPr>
    <w:rPr>
      <w:rFonts w:eastAsiaTheme="majorEastAsia" w:cstheme="majorBidi"/>
      <w:kern w:val="28"/>
      <w:sz w:val="56"/>
    </w:rPr>
  </w:style>
  <w:style w:type="character" w:customStyle="1" w:styleId="TitleChar">
    <w:name w:val="Title Char"/>
    <w:basedOn w:val="DefaultParagraphFont"/>
    <w:link w:val="Title"/>
    <w:uiPriority w:val="10"/>
    <w:rsid w:val="00E91B08"/>
    <w:rPr>
      <w:rFonts w:ascii="Arial" w:eastAsiaTheme="majorEastAsia" w:hAnsi="Arial" w:cstheme="majorBidi"/>
      <w:kern w:val="28"/>
      <w:sz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91B08"/>
    <w:pPr>
      <w:numPr>
        <w:ilvl w:val="1"/>
      </w:numPr>
    </w:pPr>
    <w:rPr>
      <w:rFonts w:eastAsiaTheme="minorEastAsia"/>
      <w:color w:val="5A5A5A" w:themeColor="text1" w:themeTint="A5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91B08"/>
    <w:rPr>
      <w:rFonts w:ascii="Arial" w:eastAsiaTheme="minorEastAsia" w:hAnsi="Arial"/>
      <w:color w:val="5A5A5A" w:themeColor="text1" w:themeTint="A5"/>
      <w:sz w:val="28"/>
    </w:rPr>
  </w:style>
  <w:style w:type="character" w:styleId="IntenseEmphasis">
    <w:name w:val="Intense Emphasis"/>
    <w:basedOn w:val="DefaultParagraphFont"/>
    <w:uiPriority w:val="21"/>
    <w:qFormat/>
    <w:rsid w:val="00E91B08"/>
    <w:rPr>
      <w:rFonts w:ascii="Arial" w:hAnsi="Arial"/>
      <w:i/>
      <w:color w:val="5B9BD5" w:themeColor="accent1"/>
    </w:rPr>
  </w:style>
  <w:style w:type="character" w:styleId="SubtleEmphasis">
    <w:name w:val="Subtle Emphasis"/>
    <w:basedOn w:val="DefaultParagraphFont"/>
    <w:uiPriority w:val="19"/>
    <w:qFormat/>
    <w:rsid w:val="00E91B08"/>
    <w:rPr>
      <w:rFonts w:ascii="Arial" w:hAnsi="Arial"/>
      <w:i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E91B08"/>
    <w:rPr>
      <w:rFonts w:ascii="Arial" w:hAnsi="Arial"/>
      <w:i/>
    </w:rPr>
  </w:style>
  <w:style w:type="table" w:styleId="TableGrid">
    <w:name w:val="Table Grid"/>
    <w:basedOn w:val="TableNormal"/>
    <w:uiPriority w:val="39"/>
    <w:rsid w:val="00E91B08"/>
    <w:pPr>
      <w:spacing w:after="0"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F400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B4BA5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color w:val="auto"/>
      <w:sz w:val="24"/>
    </w:rPr>
  </w:style>
  <w:style w:type="character" w:styleId="Strong">
    <w:name w:val="Strong"/>
    <w:basedOn w:val="DefaultParagraphFont"/>
    <w:uiPriority w:val="22"/>
    <w:qFormat/>
    <w:rsid w:val="003B4BA5"/>
    <w:rPr>
      <w:b/>
    </w:rPr>
  </w:style>
  <w:style w:type="paragraph" w:customStyle="1" w:styleId="P68B1DB1-Normal1">
    <w:name w:val="P68B1DB1-Normal1"/>
    <w:basedOn w:val="Normal"/>
    <w:rPr>
      <w:rFonts w:cs="Calibri"/>
      <w:b/>
      <w:color w:val="FFFFFF" w:themeColor="background1"/>
    </w:rPr>
  </w:style>
  <w:style w:type="paragraph" w:customStyle="1" w:styleId="P68B1DB1-Normal2">
    <w:name w:val="P68B1DB1-Normal2"/>
    <w:basedOn w:val="Normal"/>
    <w:rPr>
      <w:rFonts w:cs="Calibri"/>
      <w:b/>
      <w:color w:val="1F3864" w:themeColor="accent5" w:themeShade="80"/>
      <w:sz w:val="22"/>
    </w:rPr>
  </w:style>
  <w:style w:type="paragraph" w:customStyle="1" w:styleId="P68B1DB1-Normal3">
    <w:name w:val="P68B1DB1-Normal3"/>
    <w:basedOn w:val="Normal"/>
    <w:rPr>
      <w:color w:val="1F3864" w:themeColor="accent5" w:themeShade="80"/>
    </w:rPr>
  </w:style>
  <w:style w:type="paragraph" w:customStyle="1" w:styleId="P68B1DB1-Normal4">
    <w:name w:val="P68B1DB1-Normal4"/>
    <w:basedOn w:val="Normal"/>
    <w:rPr>
      <w:b/>
      <w:color w:val="1F3864" w:themeColor="accent5" w:themeShade="80"/>
      <w:sz w:val="22"/>
    </w:rPr>
  </w:style>
  <w:style w:type="paragraph" w:customStyle="1" w:styleId="P68B1DB1-Normal5">
    <w:name w:val="P68B1DB1-Normal5"/>
    <w:basedOn w:val="Normal"/>
    <w:rPr>
      <w:b/>
      <w:color w:val="1F3864" w:themeColor="accent5" w:themeShade="80"/>
      <w:sz w:val="22"/>
    </w:rPr>
  </w:style>
  <w:style w:type="paragraph" w:customStyle="1" w:styleId="P68B1DB1-Normal6">
    <w:name w:val="P68B1DB1-Normal6"/>
    <w:basedOn w:val="Normal"/>
    <w:rPr>
      <w:rFonts w:cs="Calibri"/>
      <w:color w:val="1F3864" w:themeColor="accent5" w:themeShade="80"/>
    </w:rPr>
  </w:style>
  <w:style w:type="paragraph" w:customStyle="1" w:styleId="P68B1DB1-ListParagraph7">
    <w:name w:val="P68B1DB1-ListParagraph7"/>
    <w:basedOn w:val="ListParagraph"/>
    <w:rPr>
      <w:color w:val="1F3864" w:themeColor="accent5" w:themeShade="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6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9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76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48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054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66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92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23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52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076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00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7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0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70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6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1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942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37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94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28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10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53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28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65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22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84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456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88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95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9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44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753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erzanOrsolya\Interreg%20ROHU\_VIM%202021-2027\7.%20Antet%20A4\RO\Antet%20A4%20Interreg%20RO%20Portrai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Antet A4 Interreg RO Portrait</Template>
  <TotalTime>75</TotalTime>
  <Pages>2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Camerzan Orsolya</dc:creator>
  <cp:keywords/>
  <dc:description/>
  <cp:lastModifiedBy>Marius Corduneanu</cp:lastModifiedBy>
  <cp:revision>25</cp:revision>
  <dcterms:created xsi:type="dcterms:W3CDTF">2025-03-03T09:50:00Z</dcterms:created>
  <dcterms:modified xsi:type="dcterms:W3CDTF">2025-03-13T12:25:00Z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ee1d862b9f0a5f44e41e5ff8af84f86f9ccb5e30310b3c22c4357e3f4228f5fa</vt:lpwstr>
  </property>
</Properties>
</file>