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Default="000F0D69" w:rsidP="002C2ADA">
      <w:pPr>
        <w:spacing w:after="0" w:line="250" w:lineRule="auto"/>
        <w:jc w:val="both"/>
        <w:rPr>
          <w:rFonts w:cs="Open Sans"/>
          <w:bCs/>
          <w:color w:val="003399"/>
          <w:lang w:val="en-GB"/>
        </w:rPr>
      </w:pP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945828" w14:paraId="2FCB8905" w14:textId="77777777" w:rsidTr="00D47A26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3120" w14:textId="228DD842" w:rsidR="00DF4008" w:rsidRPr="00945828" w:rsidRDefault="00945828" w:rsidP="00D47A26">
            <w:pPr>
              <w:spacing w:before="60" w:after="120" w:line="276" w:lineRule="auto"/>
              <w:jc w:val="both"/>
              <w:rPr>
                <w:lang w:val="en-GB"/>
              </w:rPr>
            </w:pPr>
            <w:r w:rsidRPr="00945828">
              <w:rPr>
                <w:rFonts w:cs="Calibri"/>
                <w:b/>
                <w:color w:val="FFFFFF"/>
                <w:lang w:val="en-GB" w:eastAsia="en-GB"/>
              </w:rPr>
              <w:t>1st Open Call – People to People Projects</w:t>
            </w:r>
          </w:p>
        </w:tc>
      </w:tr>
      <w:tr w:rsidR="00DF4008" w:rsidRPr="00945828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39EBFC8" w:rsidR="00DF4008" w:rsidRPr="00945828" w:rsidRDefault="00945828" w:rsidP="00D47A26">
            <w:pPr>
              <w:spacing w:after="120" w:line="252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code &amp; </w:t>
            </w:r>
            <w:r w:rsidR="00D47A26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509D7AEB" w:rsidR="00DF4008" w:rsidRPr="00D47A26" w:rsidRDefault="004515C7" w:rsidP="00D47A26">
            <w:pPr>
              <w:spacing w:after="120" w:line="276" w:lineRule="auto"/>
              <w:jc w:val="both"/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ROHU00179 – BRINGA</w:t>
            </w:r>
          </w:p>
        </w:tc>
      </w:tr>
      <w:tr w:rsidR="00DF4008" w:rsidRPr="00945828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6D6D50A1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j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ect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241C4CBB" w:rsidR="00DF4008" w:rsidRPr="00D47A26" w:rsidRDefault="004515C7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15C7">
              <w:rPr>
                <w:color w:val="1F3864" w:themeColor="accent5" w:themeShade="80"/>
                <w:szCs w:val="20"/>
                <w:lang w:val="en-GB"/>
              </w:rPr>
              <w:t>BRINGing cross-border inhabitants together by joint Activities focusing on cycling and sustainability</w:t>
            </w:r>
          </w:p>
        </w:tc>
      </w:tr>
      <w:tr w:rsidR="00DF4008" w:rsidRPr="00945828" w14:paraId="2ED899A6" w14:textId="77777777" w:rsidTr="00B3453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68594934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Priori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F655868" w:rsidR="00DF4008" w:rsidRPr="00D47A26" w:rsidRDefault="00945828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P3 - A more sustainable, community-based and effective cross-border cooperation</w:t>
            </w:r>
          </w:p>
        </w:tc>
      </w:tr>
      <w:tr w:rsidR="00DF4008" w:rsidRPr="00945828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548F1F1E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8A1E29C" w:rsidR="00DF4008" w:rsidRPr="00D47A26" w:rsidRDefault="00945828" w:rsidP="00D47A26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ISO6.3 - Building up mutual trust, in particular by encouraging people-to-people actions</w:t>
            </w:r>
          </w:p>
        </w:tc>
      </w:tr>
      <w:tr w:rsidR="00DF4008" w:rsidRPr="00945828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20EFEDAF" w:rsidR="00DF4008" w:rsidRPr="00945828" w:rsidRDefault="0094582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02D20B91" w:rsidR="00DF4008" w:rsidRPr="00D47A26" w:rsidRDefault="00945828" w:rsidP="00D47A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12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>months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6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March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–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March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 xml:space="preserve"> 2026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010F0453" w14:textId="77777777" w:rsidTr="00BB5E38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E01275F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58691701" w:rsidR="00F119CB" w:rsidRPr="00D47A26" w:rsidRDefault="004515C7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15C7">
              <w:rPr>
                <w:color w:val="1F3864" w:themeColor="accent5" w:themeShade="80"/>
                <w:szCs w:val="20"/>
                <w:lang w:val="en-GB"/>
              </w:rPr>
              <w:t>BRINGA project's overall objective is to strengthen the mutual trust of cross-border inhabitants by community-based, people-to-people action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  <w:r w:rsidRPr="004515C7">
              <w:rPr>
                <w:color w:val="1F3864" w:themeColor="accent5" w:themeShade="80"/>
                <w:szCs w:val="20"/>
                <w:lang w:val="en-GB"/>
              </w:rPr>
              <w:t xml:space="preserve">Organizing a common, large-scale, cross-border bike tour and </w:t>
            </w:r>
            <w:r w:rsidR="002C2ADA">
              <w:rPr>
                <w:color w:val="1F3864" w:themeColor="accent5" w:themeShade="80"/>
                <w:szCs w:val="20"/>
                <w:lang w:val="en-GB"/>
              </w:rPr>
              <w:t>follow-up</w:t>
            </w:r>
            <w:r w:rsidRPr="004515C7">
              <w:rPr>
                <w:color w:val="1F3864" w:themeColor="accent5" w:themeShade="80"/>
                <w:szCs w:val="20"/>
                <w:lang w:val="en-GB"/>
              </w:rPr>
              <w:t xml:space="preserve"> events - in order to build mutual trust among people living in the Romanian-Hungarian border-region.</w:t>
            </w:r>
          </w:p>
        </w:tc>
      </w:tr>
      <w:tr w:rsidR="00DF4008" w:rsidRPr="00945828" w14:paraId="1EEF8B90" w14:textId="77777777" w:rsidTr="00B80A04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359A81D6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623C" w14:textId="2C69B727" w:rsidR="00DF4008" w:rsidRPr="00D47A26" w:rsidRDefault="00DF4008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Lead</w:t>
            </w:r>
            <w:r w:rsidR="00945828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="004515C7"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Asociatia Bastion-Varbastya 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(</w:t>
            </w:r>
            <w:r w:rsidR="00B80A04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Romania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)</w:t>
            </w:r>
          </w:p>
        </w:tc>
      </w:tr>
      <w:tr w:rsidR="00DF4008" w:rsidRPr="00945828" w14:paraId="527C4A89" w14:textId="77777777" w:rsidTr="00BB5E38">
        <w:trPr>
          <w:trHeight w:val="78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945828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17A6FE83" w:rsidR="00DF4008" w:rsidRPr="00D47A26" w:rsidRDefault="00DF4008" w:rsidP="003620F5">
            <w:pPr>
              <w:spacing w:after="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Pro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j</w:t>
            </w: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ect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</w:p>
          <w:p w14:paraId="7BCBBF71" w14:textId="066600CD" w:rsidR="003620F5" w:rsidRPr="00D47A26" w:rsidRDefault="003620F5" w:rsidP="00B34538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PP2 HU: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 w:rsidRPr="004515C7">
              <w:rPr>
                <w:bCs/>
                <w:color w:val="1F3864" w:themeColor="accent5" w:themeShade="80"/>
                <w:szCs w:val="20"/>
                <w:lang w:val="en-GB"/>
              </w:rPr>
              <w:t>Platán Sport Közhasznú Egyesület</w:t>
            </w:r>
            <w:r w:rsidR="004515C7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DF4008" w:rsidRPr="00945828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59CE43D2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64E" w14:textId="77F20DC0" w:rsidR="003620F5" w:rsidRPr="00D47A26" w:rsidRDefault="00DF4008" w:rsidP="003620F5">
            <w:pPr>
              <w:spacing w:after="0"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66,635.00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52D4F5C2" w14:textId="5068CEA8" w:rsidR="00DF4008" w:rsidRPr="00D47A26" w:rsidRDefault="00B80A04" w:rsidP="00B34538">
            <w:pPr>
              <w:spacing w:after="120" w:line="276" w:lineRule="auto"/>
              <w:jc w:val="both"/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F4008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33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30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8.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00</w:t>
            </w:r>
            <w:r w:rsidR="00DF4008" w:rsidRPr="00D47A26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DF4008" w:rsidRPr="00945828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56E09BBA" w:rsidR="00DF4008" w:rsidRPr="00945828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ar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787F" w14:textId="2B2CC13A" w:rsidR="005F088C" w:rsidRDefault="004515C7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4515C7">
              <w:rPr>
                <w:color w:val="1F3864" w:themeColor="accent5" w:themeShade="80"/>
                <w:szCs w:val="20"/>
                <w:lang w:val="en-GB"/>
              </w:rPr>
              <w:t xml:space="preserve">The innovative approach of BRINGA project is based on the involvement and promotion of former INTERREG beneficiaries of the target region - resulting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in </w:t>
            </w:r>
            <w:r w:rsidRPr="004515C7">
              <w:rPr>
                <w:color w:val="1F3864" w:themeColor="accent5" w:themeShade="80"/>
                <w:szCs w:val="20"/>
                <w:lang w:val="en-GB"/>
              </w:rPr>
              <w:t>cost efficiency and utilization of existing results</w:t>
            </w:r>
            <w:r w:rsidR="00B80A04" w:rsidRPr="00D47A26"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  <w:r w:rsidR="005F088C" w:rsidRPr="005F088C">
              <w:rPr>
                <w:color w:val="1F3864" w:themeColor="accent5" w:themeShade="80"/>
                <w:szCs w:val="20"/>
                <w:lang w:val="en-GB"/>
              </w:rPr>
              <w:t xml:space="preserve">The project’s approach is </w:t>
            </w:r>
            <w:r w:rsidR="005F088C">
              <w:rPr>
                <w:color w:val="1F3864" w:themeColor="accent5" w:themeShade="80"/>
                <w:szCs w:val="20"/>
                <w:lang w:val="en-GB"/>
              </w:rPr>
              <w:t>coming from</w:t>
            </w:r>
            <w:r w:rsidR="005F088C" w:rsidRPr="005F088C">
              <w:rPr>
                <w:color w:val="1F3864" w:themeColor="accent5" w:themeShade="80"/>
                <w:szCs w:val="20"/>
                <w:lang w:val="en-GB"/>
              </w:rPr>
              <w:t xml:space="preserve"> the fact that </w:t>
            </w:r>
            <w:r w:rsidR="005F088C">
              <w:rPr>
                <w:color w:val="1F3864" w:themeColor="accent5" w:themeShade="80"/>
                <w:szCs w:val="20"/>
                <w:lang w:val="en-GB"/>
              </w:rPr>
              <w:t>bicycle usage</w:t>
            </w:r>
            <w:r w:rsidR="005F088C" w:rsidRPr="005F088C">
              <w:rPr>
                <w:color w:val="1F3864" w:themeColor="accent5" w:themeShade="80"/>
                <w:szCs w:val="20"/>
                <w:lang w:val="en-GB"/>
              </w:rPr>
              <w:t xml:space="preserve"> is relatively high in </w:t>
            </w:r>
            <w:r w:rsidR="005F088C">
              <w:rPr>
                <w:color w:val="1F3864" w:themeColor="accent5" w:themeShade="80"/>
                <w:szCs w:val="20"/>
                <w:lang w:val="en-GB"/>
              </w:rPr>
              <w:t xml:space="preserve">the </w:t>
            </w:r>
            <w:r w:rsidR="005F088C" w:rsidRPr="005F088C">
              <w:rPr>
                <w:color w:val="1F3864" w:themeColor="accent5" w:themeShade="80"/>
                <w:szCs w:val="20"/>
                <w:lang w:val="en-GB"/>
              </w:rPr>
              <w:t xml:space="preserve">Ro-Hu programme area, and numerous </w:t>
            </w:r>
            <w:r w:rsidR="005F088C">
              <w:rPr>
                <w:color w:val="1F3864" w:themeColor="accent5" w:themeShade="80"/>
                <w:szCs w:val="20"/>
                <w:lang w:val="en-GB"/>
              </w:rPr>
              <w:t>cycling-related</w:t>
            </w:r>
            <w:r w:rsidR="005F088C" w:rsidRPr="005F088C">
              <w:rPr>
                <w:color w:val="1F3864" w:themeColor="accent5" w:themeShade="80"/>
                <w:szCs w:val="20"/>
                <w:lang w:val="en-GB"/>
              </w:rPr>
              <w:t xml:space="preserve"> organisations operate here. </w:t>
            </w:r>
          </w:p>
          <w:p w14:paraId="4F6852BD" w14:textId="03932394" w:rsidR="00B80A04" w:rsidRPr="00927C94" w:rsidRDefault="005F088C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5F088C">
              <w:rPr>
                <w:color w:val="1F3864" w:themeColor="accent5" w:themeShade="80"/>
                <w:szCs w:val="20"/>
                <w:lang w:val="en-GB"/>
              </w:rPr>
              <w:t>T</w:t>
            </w:r>
            <w:r w:rsidRPr="005F088C">
              <w:rPr>
                <w:color w:val="1F3864" w:themeColor="accent5" w:themeShade="80"/>
                <w:szCs w:val="20"/>
                <w:lang w:val="en-GB"/>
              </w:rPr>
              <w:t>he activities by which the project achieves the project specific objective</w:t>
            </w:r>
            <w:r w:rsidRPr="005F088C">
              <w:rPr>
                <w:color w:val="1F3864" w:themeColor="accent5" w:themeShade="80"/>
                <w:szCs w:val="20"/>
                <w:lang w:val="en-GB"/>
              </w:rPr>
              <w:t xml:space="preserve"> are the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following</w:t>
            </w:r>
            <w:r w:rsidR="00B80A04" w:rsidRPr="00927C94">
              <w:rPr>
                <w:color w:val="1F3864" w:themeColor="accent5" w:themeShade="80"/>
                <w:szCs w:val="20"/>
                <w:lang w:val="en-GB"/>
              </w:rPr>
              <w:t>:</w:t>
            </w:r>
          </w:p>
          <w:p w14:paraId="12C53C15" w14:textId="67D56BFF" w:rsidR="00672AAA" w:rsidRPr="00927C94" w:rsidRDefault="005F088C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27C94">
              <w:rPr>
                <w:color w:val="1F3864" w:themeColor="accent5" w:themeShade="80"/>
                <w:szCs w:val="20"/>
                <w:lang w:val="en-GB"/>
              </w:rPr>
              <w:t>Preparation of the cross-border bike tour,</w:t>
            </w:r>
            <w:r w:rsidR="007C1787" w:rsidRPr="00927C94">
              <w:rPr>
                <w:color w:val="1F3864" w:themeColor="accent5" w:themeShade="80"/>
                <w:szCs w:val="20"/>
                <w:lang w:val="en-GB"/>
              </w:rPr>
              <w:t xml:space="preserve"> including </w:t>
            </w:r>
            <w:r w:rsidR="007C1787"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>exploratory 5-day bike tour</w:t>
            </w:r>
            <w:r w:rsidR="007C1787" w:rsidRPr="00927C94">
              <w:rPr>
                <w:color w:val="1F3864" w:themeColor="accent5" w:themeShade="80"/>
                <w:szCs w:val="20"/>
                <w:lang w:val="en-GB"/>
              </w:rPr>
              <w:t xml:space="preserve"> of at least 250 km </w:t>
            </w:r>
            <w:r w:rsidR="00672AAA" w:rsidRPr="00927C94">
              <w:rPr>
                <w:color w:val="1F3864" w:themeColor="accent5" w:themeShade="80"/>
                <w:szCs w:val="20"/>
                <w:lang w:val="en-GB"/>
              </w:rPr>
              <w:t>in the cross-border region, with at least 30 participants.</w:t>
            </w:r>
          </w:p>
          <w:p w14:paraId="1F7450AB" w14:textId="5B2BF9A6" w:rsidR="00B80A04" w:rsidRPr="00927C94" w:rsidRDefault="007C1787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3-day </w:t>
            </w: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>common workshops for event organization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, involving local communities and with special attention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for representatives of disadvantaged and women organisations</w:t>
            </w:r>
            <w:r w:rsidR="00672AAA" w:rsidRPr="00927C94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672AAA" w:rsidRPr="00927C94">
              <w:rPr>
                <w:color w:val="1F3864" w:themeColor="accent5" w:themeShade="80"/>
                <w:szCs w:val="20"/>
                <w:lang w:val="en-GB"/>
              </w:rPr>
              <w:t>at least 10-10 participants from Hungary and Romania)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1B79BB9F" w14:textId="410985AF" w:rsidR="007C1787" w:rsidRPr="00927C94" w:rsidRDefault="00672AAA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Implementation of a </w:t>
            </w: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large-scale, 3-day, </w:t>
            </w: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>cross-border</w:t>
            </w: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bike tour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, route Timișoara-Szeged-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Timișoara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for </w:t>
            </w:r>
            <w:r w:rsidR="00927C94">
              <w:rPr>
                <w:color w:val="1F3864" w:themeColor="accent5" w:themeShade="80"/>
                <w:szCs w:val="20"/>
                <w:lang w:val="en-GB"/>
              </w:rPr>
              <w:t xml:space="preserve">about 170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professional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cyclists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and amateur cyclist/participants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40BBFB7A" w14:textId="2163C945" w:rsidR="00672AAA" w:rsidRPr="00927C94" w:rsidRDefault="00672AAA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>Open-air movie screening, workshops and presentations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for participants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in the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cross-border bike tour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15577253" w14:textId="062EECDC" w:rsidR="00927C94" w:rsidRDefault="00672AAA" w:rsidP="00927C94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lastRenderedPageBreak/>
              <w:t>3 events/round table discussions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f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or dissemination and strengthening of project results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, for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at least 12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people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from 6 Romanian and Hungarian organisations/event, who earlier implemented projects in the project region (i</w:t>
            </w:r>
            <w:r w:rsidR="002C2ADA">
              <w:rPr>
                <w:color w:val="1F3864" w:themeColor="accent5" w:themeShade="80"/>
                <w:szCs w:val="20"/>
                <w:lang w:val="en-GB"/>
              </w:rPr>
              <w:t>.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e</w:t>
            </w:r>
            <w:r w:rsidR="002C2ADA">
              <w:rPr>
                <w:color w:val="1F3864" w:themeColor="accent5" w:themeShade="80"/>
                <w:szCs w:val="20"/>
                <w:lang w:val="en-GB"/>
              </w:rPr>
              <w:t>.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tourism, sports), or working in project-related sectors and open to join the BRINGA network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69F20B1" w14:textId="6082CF4C" w:rsidR="007120ED" w:rsidRPr="00927C94" w:rsidRDefault="00672AAA" w:rsidP="00927C94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A cross-border </w:t>
            </w:r>
            <w:r w:rsidRPr="00927C94">
              <w:rPr>
                <w:b/>
                <w:bCs/>
                <w:color w:val="1F3864" w:themeColor="accent5" w:themeShade="80"/>
                <w:szCs w:val="20"/>
                <w:lang w:val="en-GB"/>
              </w:rPr>
              <w:t>tour-book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summarizing the results of BRINGA project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, including s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uggested bike ro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u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tes with maps, based on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the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experience of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the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 xml:space="preserve"> project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0295A7CE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7219" w14:textId="60AD5591" w:rsidR="004515C7" w:rsidRDefault="007F6072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S</w:t>
            </w:r>
            <w:r w:rsidRPr="007F6072">
              <w:rPr>
                <w:color w:val="1F3864" w:themeColor="accent5" w:themeShade="80"/>
                <w:szCs w:val="20"/>
                <w:lang w:val="en-GB"/>
              </w:rPr>
              <w:t xml:space="preserve">port events </w:t>
            </w:r>
            <w:r>
              <w:rPr>
                <w:color w:val="1F3864" w:themeColor="accent5" w:themeShade="80"/>
                <w:szCs w:val="20"/>
                <w:lang w:val="en-GB"/>
              </w:rPr>
              <w:t>are one of</w:t>
            </w:r>
            <w:r w:rsidRPr="007F6072">
              <w:rPr>
                <w:color w:val="1F3864" w:themeColor="accent5" w:themeShade="80"/>
                <w:szCs w:val="20"/>
                <w:lang w:val="en-GB"/>
              </w:rPr>
              <w:t xml:space="preserve"> the most effective ways to involve local people </w:t>
            </w:r>
            <w:r>
              <w:rPr>
                <w:color w:val="1F3864" w:themeColor="accent5" w:themeShade="80"/>
                <w:szCs w:val="20"/>
                <w:lang w:val="en-GB"/>
              </w:rPr>
              <w:t>in</w:t>
            </w:r>
            <w:r w:rsidRPr="007F6072">
              <w:rPr>
                <w:color w:val="1F3864" w:themeColor="accent5" w:themeShade="80"/>
                <w:szCs w:val="20"/>
                <w:lang w:val="en-GB"/>
              </w:rPr>
              <w:t xml:space="preserve"> community activities. </w:t>
            </w:r>
            <w:r w:rsidR="004515C7" w:rsidRPr="004515C7">
              <w:rPr>
                <w:color w:val="1F3864" w:themeColor="accent5" w:themeShade="80"/>
                <w:szCs w:val="20"/>
                <w:lang w:val="en-GB"/>
              </w:rPr>
              <w:t xml:space="preserve">Project participants will have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 xml:space="preserve">a </w:t>
            </w:r>
            <w:r w:rsidR="004515C7" w:rsidRPr="004515C7">
              <w:rPr>
                <w:color w:val="1F3864" w:themeColor="accent5" w:themeShade="80"/>
                <w:szCs w:val="20"/>
                <w:lang w:val="en-GB"/>
              </w:rPr>
              <w:t xml:space="preserve">better understanding of each other’s way of thinking based on similar </w:t>
            </w:r>
            <w:r w:rsidR="00927C94">
              <w:rPr>
                <w:color w:val="1F3864" w:themeColor="accent5" w:themeShade="80"/>
                <w:szCs w:val="20"/>
                <w:lang w:val="en-GB"/>
              </w:rPr>
              <w:t>interests</w:t>
            </w:r>
            <w:r w:rsidR="004515C7" w:rsidRPr="004515C7">
              <w:rPr>
                <w:color w:val="1F3864" w:themeColor="accent5" w:themeShade="80"/>
                <w:szCs w:val="20"/>
                <w:lang w:val="en-GB"/>
              </w:rPr>
              <w:t xml:space="preserve"> and through </w:t>
            </w:r>
            <w:r w:rsidR="00CB0DB7">
              <w:rPr>
                <w:color w:val="1F3864" w:themeColor="accent5" w:themeShade="80"/>
                <w:szCs w:val="20"/>
                <w:lang w:val="en-GB"/>
              </w:rPr>
              <w:t>joint</w:t>
            </w:r>
            <w:r w:rsidR="004515C7" w:rsidRPr="004515C7">
              <w:rPr>
                <w:color w:val="1F3864" w:themeColor="accent5" w:themeShade="80"/>
                <w:szCs w:val="20"/>
                <w:lang w:val="en-GB"/>
              </w:rPr>
              <w:t xml:space="preserve"> cross-border events</w:t>
            </w:r>
          </w:p>
          <w:p w14:paraId="7967967B" w14:textId="02ECDD96" w:rsidR="00BB5E38" w:rsidRPr="00BB5E38" w:rsidRDefault="00BB5E38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BB5E38">
              <w:rPr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2108A93E" w14:textId="55848196" w:rsidR="00CB0DB7" w:rsidRDefault="00CB0DB7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CB0DB7">
              <w:rPr>
                <w:b/>
                <w:bCs/>
                <w:color w:val="1F3864" w:themeColor="accent5" w:themeShade="80"/>
                <w:lang w:val="en-GB"/>
              </w:rPr>
              <w:t>S</w:t>
            </w:r>
            <w:r w:rsidRPr="00CB0DB7">
              <w:rPr>
                <w:b/>
                <w:bCs/>
                <w:color w:val="1F3864" w:themeColor="accent5" w:themeShade="80"/>
                <w:lang w:val="en-GB"/>
              </w:rPr>
              <w:t>trengthen the mutual trust of the inhabitants</w:t>
            </w:r>
            <w:r w:rsidRPr="00CB0DB7">
              <w:rPr>
                <w:color w:val="1F3864" w:themeColor="accent5" w:themeShade="80"/>
                <w:lang w:val="en-GB"/>
              </w:rPr>
              <w:t xml:space="preserve"> of </w:t>
            </w:r>
            <w:r>
              <w:rPr>
                <w:color w:val="1F3864" w:themeColor="accent5" w:themeShade="80"/>
                <w:lang w:val="en-GB"/>
              </w:rPr>
              <w:t xml:space="preserve">the </w:t>
            </w:r>
            <w:r w:rsidRPr="00CB0DB7">
              <w:rPr>
                <w:color w:val="1F3864" w:themeColor="accent5" w:themeShade="80"/>
                <w:lang w:val="en-GB"/>
              </w:rPr>
              <w:t>cross-border region</w:t>
            </w:r>
            <w:r>
              <w:rPr>
                <w:color w:val="1F3864" w:themeColor="accent5" w:themeShade="80"/>
                <w:lang w:val="en-GB"/>
              </w:rPr>
              <w:t xml:space="preserve"> through </w:t>
            </w:r>
            <w:r w:rsidR="002C2ADA">
              <w:rPr>
                <w:color w:val="1F3864" w:themeColor="accent5" w:themeShade="80"/>
                <w:lang w:val="en-GB"/>
              </w:rPr>
              <w:t xml:space="preserve">a </w:t>
            </w:r>
            <w:r>
              <w:rPr>
                <w:color w:val="1F3864" w:themeColor="accent5" w:themeShade="80"/>
                <w:lang w:val="en-GB"/>
              </w:rPr>
              <w:t>well-prepared</w:t>
            </w:r>
            <w:r w:rsidRPr="00CB0DB7">
              <w:rPr>
                <w:color w:val="1F3864" w:themeColor="accent5" w:themeShade="80"/>
                <w:lang w:val="en-GB"/>
              </w:rPr>
              <w:t xml:space="preserve"> and organised cross-border bike tour including community events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03B16291" w14:textId="6FD7F714" w:rsidR="00CB0DB7" w:rsidRDefault="007F6072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7F6072">
              <w:rPr>
                <w:b/>
                <w:bCs/>
                <w:color w:val="1F3864" w:themeColor="accent5" w:themeShade="80"/>
                <w:lang w:val="en-GB"/>
              </w:rPr>
              <w:t>P</w:t>
            </w:r>
            <w:r w:rsidRPr="007F6072">
              <w:rPr>
                <w:b/>
                <w:bCs/>
                <w:color w:val="1F3864" w:themeColor="accent5" w:themeShade="80"/>
                <w:lang w:val="en-GB"/>
              </w:rPr>
              <w:t>roject’s sport and community events available for everyone interested</w:t>
            </w:r>
            <w:r>
              <w:rPr>
                <w:color w:val="1F3864" w:themeColor="accent5" w:themeShade="80"/>
                <w:lang w:val="en-GB"/>
              </w:rPr>
              <w:t xml:space="preserve">, involving not </w:t>
            </w:r>
            <w:r w:rsidRPr="007F6072">
              <w:rPr>
                <w:color w:val="1F3864" w:themeColor="accent5" w:themeShade="80"/>
                <w:lang w:val="en-GB"/>
              </w:rPr>
              <w:t>only professional athletes</w:t>
            </w:r>
            <w:r>
              <w:rPr>
                <w:color w:val="1F3864" w:themeColor="accent5" w:themeShade="80"/>
                <w:lang w:val="en-GB"/>
              </w:rPr>
              <w:t xml:space="preserve"> but also </w:t>
            </w:r>
            <w:r w:rsidRPr="007F6072">
              <w:rPr>
                <w:color w:val="1F3864" w:themeColor="accent5" w:themeShade="80"/>
                <w:lang w:val="en-GB"/>
              </w:rPr>
              <w:t xml:space="preserve">people who move little or have limited motivation for sports (e.g. people with overweight or disabilities). </w:t>
            </w:r>
          </w:p>
          <w:p w14:paraId="4DC952DC" w14:textId="6275B218" w:rsidR="007F6072" w:rsidRDefault="007F6072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Help understand the </w:t>
            </w:r>
            <w:r w:rsidRPr="007F6072">
              <w:rPr>
                <w:b/>
                <w:bCs/>
                <w:color w:val="1F3864" w:themeColor="accent5" w:themeShade="80"/>
                <w:lang w:val="en-GB"/>
              </w:rPr>
              <w:t xml:space="preserve">needs and motivations of </w:t>
            </w:r>
            <w:r w:rsidRPr="007F6072">
              <w:rPr>
                <w:b/>
                <w:bCs/>
                <w:color w:val="1F3864" w:themeColor="accent5" w:themeShade="80"/>
                <w:lang w:val="en-GB"/>
              </w:rPr>
              <w:t>people living with disabilities</w:t>
            </w:r>
            <w:r w:rsidRPr="007F6072">
              <w:rPr>
                <w:b/>
                <w:bCs/>
                <w:color w:val="1F3864" w:themeColor="accent5" w:themeShade="80"/>
                <w:lang w:val="en-GB"/>
              </w:rPr>
              <w:t>,</w:t>
            </w:r>
            <w:r w:rsidRPr="007F6072">
              <w:rPr>
                <w:b/>
                <w:bCs/>
                <w:color w:val="1F3864" w:themeColor="accent5" w:themeShade="80"/>
                <w:lang w:val="en-GB"/>
              </w:rPr>
              <w:t xml:space="preserve"> and those living in poverty</w:t>
            </w:r>
            <w:r>
              <w:rPr>
                <w:color w:val="1F3864" w:themeColor="accent5" w:themeShade="80"/>
                <w:lang w:val="en-GB"/>
              </w:rPr>
              <w:t xml:space="preserve">, through </w:t>
            </w:r>
            <w:r w:rsidRPr="007F6072">
              <w:rPr>
                <w:color w:val="1F3864" w:themeColor="accent5" w:themeShade="80"/>
                <w:lang w:val="en-GB"/>
              </w:rPr>
              <w:t xml:space="preserve">active help and support (e.g. providing bikes for </w:t>
            </w:r>
            <w:r>
              <w:rPr>
                <w:color w:val="1F3864" w:themeColor="accent5" w:themeShade="80"/>
                <w:lang w:val="en-GB"/>
              </w:rPr>
              <w:t>the cross border</w:t>
            </w:r>
            <w:r w:rsidRPr="007F6072">
              <w:rPr>
                <w:color w:val="1F3864" w:themeColor="accent5" w:themeShade="80"/>
                <w:lang w:val="en-GB"/>
              </w:rPr>
              <w:t xml:space="preserve"> tour), education and targeted dissemination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639DD954" w14:textId="1587B675" w:rsidR="007F6072" w:rsidRDefault="007F6072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124580">
              <w:rPr>
                <w:b/>
                <w:bCs/>
                <w:color w:val="1F3864" w:themeColor="accent5" w:themeShade="80"/>
                <w:lang w:val="en-GB"/>
              </w:rPr>
              <w:t>D</w:t>
            </w:r>
            <w:r w:rsidRPr="00124580">
              <w:rPr>
                <w:b/>
                <w:bCs/>
                <w:color w:val="1F3864" w:themeColor="accent5" w:themeShade="80"/>
                <w:lang w:val="en-GB"/>
              </w:rPr>
              <w:t xml:space="preserve">ecisive persons and active organisations of bicycle sport in both </w:t>
            </w:r>
            <w:r w:rsidR="00124580" w:rsidRPr="00124580">
              <w:rPr>
                <w:b/>
                <w:bCs/>
                <w:color w:val="1F3864" w:themeColor="accent5" w:themeShade="80"/>
                <w:lang w:val="en-GB"/>
              </w:rPr>
              <w:t>sides</w:t>
            </w:r>
            <w:r w:rsidRPr="00124580">
              <w:rPr>
                <w:b/>
                <w:bCs/>
                <w:color w:val="1F3864" w:themeColor="accent5" w:themeShade="80"/>
                <w:lang w:val="en-GB"/>
              </w:rPr>
              <w:t xml:space="preserve"> of CB region</w:t>
            </w:r>
            <w:r w:rsidR="00DF73AC" w:rsidRPr="00124580">
              <w:rPr>
                <w:b/>
                <w:bCs/>
                <w:color w:val="1F3864" w:themeColor="accent5" w:themeShade="80"/>
                <w:lang w:val="en-GB"/>
              </w:rPr>
              <w:t xml:space="preserve"> involved</w:t>
            </w:r>
            <w:r w:rsidR="00DF73AC">
              <w:rPr>
                <w:color w:val="1F3864" w:themeColor="accent5" w:themeShade="80"/>
                <w:lang w:val="en-GB"/>
              </w:rPr>
              <w:t xml:space="preserve"> </w:t>
            </w:r>
            <w:r w:rsidR="00124580">
              <w:rPr>
                <w:color w:val="1F3864" w:themeColor="accent5" w:themeShade="80"/>
                <w:lang w:val="en-GB"/>
              </w:rPr>
              <w:t>to</w:t>
            </w:r>
            <w:r w:rsidRPr="007F6072">
              <w:rPr>
                <w:color w:val="1F3864" w:themeColor="accent5" w:themeShade="80"/>
                <w:lang w:val="en-GB"/>
              </w:rPr>
              <w:t xml:space="preserve"> reach </w:t>
            </w:r>
            <w:r w:rsidR="00124580">
              <w:rPr>
                <w:color w:val="1F3864" w:themeColor="accent5" w:themeShade="80"/>
                <w:lang w:val="en-GB"/>
              </w:rPr>
              <w:t>the</w:t>
            </w:r>
            <w:r w:rsidRPr="007F6072">
              <w:rPr>
                <w:color w:val="1F3864" w:themeColor="accent5" w:themeShade="80"/>
                <w:lang w:val="en-GB"/>
              </w:rPr>
              <w:t xml:space="preserve"> project aims (citizens get to know each other, strengthen trust, </w:t>
            </w:r>
            <w:r w:rsidR="00124580">
              <w:rPr>
                <w:color w:val="1F3864" w:themeColor="accent5" w:themeShade="80"/>
                <w:lang w:val="en-GB"/>
              </w:rPr>
              <w:t>build</w:t>
            </w:r>
            <w:r w:rsidRPr="007F6072">
              <w:rPr>
                <w:color w:val="1F3864" w:themeColor="accent5" w:themeShade="80"/>
                <w:lang w:val="en-GB"/>
              </w:rPr>
              <w:t xml:space="preserve"> new friendships, cooperation of organisations) more easily.</w:t>
            </w:r>
          </w:p>
          <w:p w14:paraId="78101E85" w14:textId="77777777" w:rsidR="00124580" w:rsidRDefault="00124580" w:rsidP="00124580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CB0DB7">
              <w:rPr>
                <w:b/>
                <w:bCs/>
                <w:color w:val="1F3864" w:themeColor="accent5" w:themeShade="80"/>
                <w:lang w:val="en-GB"/>
              </w:rPr>
              <w:t>Helping the former cross-border INTERREG beneficiaries</w:t>
            </w:r>
            <w:r w:rsidRPr="00CB0DB7">
              <w:rPr>
                <w:color w:val="1F3864" w:themeColor="accent5" w:themeShade="80"/>
                <w:lang w:val="en-GB"/>
              </w:rPr>
              <w:t xml:space="preserve"> promote their project by visiting their attractions and sustain their projects’ results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173E30B6" w14:textId="4AAEBBAB" w:rsidR="00722416" w:rsidRPr="00124580" w:rsidRDefault="00124580" w:rsidP="00124580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124580">
              <w:rPr>
                <w:color w:val="1F3864" w:themeColor="accent5" w:themeShade="80"/>
                <w:lang w:val="en-GB"/>
              </w:rPr>
              <w:t xml:space="preserve">The project will </w:t>
            </w:r>
            <w:r w:rsidRPr="00124580">
              <w:rPr>
                <w:b/>
                <w:bCs/>
                <w:color w:val="1F3864" w:themeColor="accent5" w:themeShade="80"/>
                <w:lang w:val="en-GB"/>
              </w:rPr>
              <w:t>use the results of former successful Ro-Hu INTERREG projects</w:t>
            </w:r>
            <w:r w:rsidRPr="00124580">
              <w:rPr>
                <w:color w:val="1F3864" w:themeColor="accent5" w:themeShade="80"/>
                <w:lang w:val="en-GB"/>
              </w:rPr>
              <w:t xml:space="preserve"> (e.g. tourism, sport, active </w:t>
            </w:r>
            <w:r>
              <w:rPr>
                <w:color w:val="1F3864" w:themeColor="accent5" w:themeShade="80"/>
                <w:lang w:val="en-GB"/>
              </w:rPr>
              <w:t>life/health</w:t>
            </w:r>
            <w:r w:rsidRPr="00124580">
              <w:rPr>
                <w:color w:val="1F3864" w:themeColor="accent5" w:themeShade="80"/>
                <w:lang w:val="en-GB"/>
              </w:rPr>
              <w:t xml:space="preserve">), </w:t>
            </w:r>
            <w:r>
              <w:rPr>
                <w:color w:val="1F3864" w:themeColor="accent5" w:themeShade="80"/>
                <w:lang w:val="en-GB"/>
              </w:rPr>
              <w:t>to</w:t>
            </w:r>
            <w:r w:rsidRPr="00124580">
              <w:rPr>
                <w:color w:val="1F3864" w:themeColor="accent5" w:themeShade="80"/>
                <w:lang w:val="en-GB"/>
              </w:rPr>
              <w:t xml:space="preserve"> promote them, make them more popular, and increase their utilization.</w:t>
            </w:r>
          </w:p>
        </w:tc>
      </w:tr>
    </w:tbl>
    <w:p w14:paraId="2E5160C3" w14:textId="5D0B5ABE" w:rsidR="0054292D" w:rsidRPr="00945828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945828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A2DB" w14:textId="77777777" w:rsidR="00DC30A7" w:rsidRDefault="00DC30A7" w:rsidP="00C23211">
      <w:pPr>
        <w:spacing w:after="0" w:line="240" w:lineRule="auto"/>
      </w:pPr>
      <w:r>
        <w:separator/>
      </w:r>
    </w:p>
  </w:endnote>
  <w:endnote w:type="continuationSeparator" w:id="0">
    <w:p w14:paraId="5C03F9C0" w14:textId="77777777" w:rsidR="00DC30A7" w:rsidRDefault="00DC30A7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9B44" w14:textId="77777777" w:rsidR="00DC30A7" w:rsidRDefault="00DC30A7" w:rsidP="00C23211">
      <w:pPr>
        <w:spacing w:after="0" w:line="240" w:lineRule="auto"/>
      </w:pPr>
      <w:r>
        <w:separator/>
      </w:r>
    </w:p>
  </w:footnote>
  <w:footnote w:type="continuationSeparator" w:id="0">
    <w:p w14:paraId="7CFE5B8D" w14:textId="77777777" w:rsidR="00DC30A7" w:rsidRDefault="00DC30A7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1A5207DE" w:rsidR="00E91B08" w:rsidRDefault="00745866">
    <w:pPr>
      <w:pStyle w:val="Header"/>
    </w:pPr>
    <w:r>
      <w:rPr>
        <w:noProof/>
      </w:rPr>
      <w:drawing>
        <wp:inline distT="0" distB="0" distL="0" distR="0" wp14:anchorId="5804872B" wp14:editId="40C26D50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5"/>
  </w:num>
  <w:num w:numId="4" w16cid:durableId="881287704">
    <w:abstractNumId w:val="3"/>
  </w:num>
  <w:num w:numId="5" w16cid:durableId="874852420">
    <w:abstractNumId w:val="4"/>
  </w:num>
  <w:num w:numId="6" w16cid:durableId="1785149724">
    <w:abstractNumId w:val="1"/>
  </w:num>
  <w:num w:numId="7" w16cid:durableId="1504667513">
    <w:abstractNumId w:val="6"/>
  </w:num>
  <w:num w:numId="8" w16cid:durableId="917439275">
    <w:abstractNumId w:val="2"/>
  </w:num>
  <w:num w:numId="9" w16cid:durableId="74194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445CF"/>
    <w:rsid w:val="000F0D69"/>
    <w:rsid w:val="00105385"/>
    <w:rsid w:val="001163BF"/>
    <w:rsid w:val="00124580"/>
    <w:rsid w:val="00190E0A"/>
    <w:rsid w:val="002216AE"/>
    <w:rsid w:val="00242594"/>
    <w:rsid w:val="002601E5"/>
    <w:rsid w:val="002642B0"/>
    <w:rsid w:val="00290CD3"/>
    <w:rsid w:val="002A5B39"/>
    <w:rsid w:val="002C2ADA"/>
    <w:rsid w:val="003035E1"/>
    <w:rsid w:val="00352959"/>
    <w:rsid w:val="003620F5"/>
    <w:rsid w:val="00376591"/>
    <w:rsid w:val="004515C7"/>
    <w:rsid w:val="004A3DA2"/>
    <w:rsid w:val="00507A63"/>
    <w:rsid w:val="0054292D"/>
    <w:rsid w:val="005A58E8"/>
    <w:rsid w:val="005B7B70"/>
    <w:rsid w:val="005C3698"/>
    <w:rsid w:val="005F088C"/>
    <w:rsid w:val="00614C99"/>
    <w:rsid w:val="00672AAA"/>
    <w:rsid w:val="00690F68"/>
    <w:rsid w:val="006B30F3"/>
    <w:rsid w:val="007120ED"/>
    <w:rsid w:val="00722416"/>
    <w:rsid w:val="00732D28"/>
    <w:rsid w:val="00745866"/>
    <w:rsid w:val="00761E91"/>
    <w:rsid w:val="007B6147"/>
    <w:rsid w:val="007C1787"/>
    <w:rsid w:val="007F6072"/>
    <w:rsid w:val="008B4EDA"/>
    <w:rsid w:val="008C34C7"/>
    <w:rsid w:val="008E24AC"/>
    <w:rsid w:val="00927C94"/>
    <w:rsid w:val="00945828"/>
    <w:rsid w:val="0097126B"/>
    <w:rsid w:val="009D0623"/>
    <w:rsid w:val="00A170BA"/>
    <w:rsid w:val="00A2500A"/>
    <w:rsid w:val="00A35463"/>
    <w:rsid w:val="00A53CBE"/>
    <w:rsid w:val="00A64984"/>
    <w:rsid w:val="00AC7698"/>
    <w:rsid w:val="00AE14EF"/>
    <w:rsid w:val="00B24F49"/>
    <w:rsid w:val="00B34538"/>
    <w:rsid w:val="00B51267"/>
    <w:rsid w:val="00B57F8C"/>
    <w:rsid w:val="00B77B00"/>
    <w:rsid w:val="00B80A04"/>
    <w:rsid w:val="00B92ED0"/>
    <w:rsid w:val="00BB5E38"/>
    <w:rsid w:val="00BC0CCA"/>
    <w:rsid w:val="00C02611"/>
    <w:rsid w:val="00C23211"/>
    <w:rsid w:val="00C23EAD"/>
    <w:rsid w:val="00CA0AA2"/>
    <w:rsid w:val="00CB0DB7"/>
    <w:rsid w:val="00D1768D"/>
    <w:rsid w:val="00D47A26"/>
    <w:rsid w:val="00D736AC"/>
    <w:rsid w:val="00DA48E1"/>
    <w:rsid w:val="00DC30A7"/>
    <w:rsid w:val="00DE4738"/>
    <w:rsid w:val="00DF4008"/>
    <w:rsid w:val="00DF73AC"/>
    <w:rsid w:val="00E06159"/>
    <w:rsid w:val="00E11929"/>
    <w:rsid w:val="00E4070E"/>
    <w:rsid w:val="00E91B08"/>
    <w:rsid w:val="00EB0D64"/>
    <w:rsid w:val="00F0230A"/>
    <w:rsid w:val="00F119CB"/>
    <w:rsid w:val="00F5533E"/>
    <w:rsid w:val="00F7622A"/>
    <w:rsid w:val="00FB5250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91</TotalTime>
  <Pages>2</Pages>
  <Words>578</Words>
  <Characters>3521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Oprea Livia</cp:lastModifiedBy>
  <cp:revision>5</cp:revision>
  <dcterms:created xsi:type="dcterms:W3CDTF">2025-03-14T09:29:00Z</dcterms:created>
  <dcterms:modified xsi:type="dcterms:W3CDTF">2025-03-14T11:02:00Z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