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894820" w:rsidRDefault="00894820">
      <w:pPr>
        <w:jc w:val="both"/>
        <w:rPr>
          <w:rFonts w:cs="Open Sans"/>
          <w:color w:val="003399"/>
        </w:rPr>
      </w:pPr>
    </w:p>
    <w:tbl>
      <w:tblPr>
        <w:tblW w:w="10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010"/>
      </w:tblGrid>
      <w:tr w:rsidR="00894820" w14:paraId="2FCB8905" w14:textId="77777777">
        <w:trPr>
          <w:trHeight w:val="333"/>
        </w:trPr>
        <w:tc>
          <w:tcPr>
            <w:tcW w:w="10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3120" w14:textId="16B8A732" w:rsidR="00894820" w:rsidRDefault="00000000">
            <w:pPr>
              <w:pStyle w:val="P68B1DB1-Normal1"/>
              <w:spacing w:after="120" w:line="276" w:lineRule="auto"/>
              <w:jc w:val="both"/>
            </w:pPr>
            <w:r>
              <w:t xml:space="preserve">Call type: </w:t>
            </w:r>
            <w:r w:rsidR="000B3AE9">
              <w:t>1</w:t>
            </w:r>
            <w:r w:rsidR="000B3AE9" w:rsidRPr="000B3AE9">
              <w:rPr>
                <w:vertAlign w:val="superscript"/>
              </w:rPr>
              <w:t>st</w:t>
            </w:r>
            <w:r w:rsidR="000B3AE9">
              <w:t xml:space="preserve"> Open Call of Proposals</w:t>
            </w:r>
          </w:p>
        </w:tc>
      </w:tr>
      <w:tr w:rsidR="00894820" w14:paraId="0362BCF6" w14:textId="77777777">
        <w:trPr>
          <w:trHeight w:val="333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78826771" w:rsidR="00894820" w:rsidRDefault="00000000">
            <w:pPr>
              <w:pStyle w:val="P68B1DB1-Normal2"/>
              <w:spacing w:after="120" w:line="251" w:lineRule="auto"/>
              <w:jc w:val="center"/>
            </w:pPr>
            <w:r>
              <w:t>Acronym &amp; Project code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7399F3C9" w:rsidR="00894820" w:rsidRDefault="00000000">
            <w:pPr>
              <w:pStyle w:val="P68B1DB1-Normal2"/>
              <w:spacing w:after="120" w:line="276" w:lineRule="auto"/>
              <w:jc w:val="both"/>
            </w:pPr>
            <w:r>
              <w:t>ROHU</w:t>
            </w:r>
            <w:r w:rsidR="0013541B">
              <w:t>00</w:t>
            </w:r>
            <w:r w:rsidR="004334FA">
              <w:t>103</w:t>
            </w:r>
            <w:r>
              <w:t xml:space="preserve"> </w:t>
            </w:r>
            <w:proofErr w:type="spellStart"/>
            <w:r w:rsidR="004334FA" w:rsidRPr="004334FA">
              <w:t>RESolution</w:t>
            </w:r>
            <w:proofErr w:type="spellEnd"/>
          </w:p>
        </w:tc>
      </w:tr>
      <w:tr w:rsidR="00894820" w14:paraId="1D2DEC3A" w14:textId="77777777">
        <w:trPr>
          <w:trHeight w:val="776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77777777" w:rsidR="00894820" w:rsidRDefault="00000000">
            <w:pPr>
              <w:pStyle w:val="P68B1DB1-Normal2"/>
              <w:spacing w:after="120"/>
              <w:jc w:val="center"/>
            </w:pPr>
            <w:r>
              <w:t>Project title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7411B34B" w:rsidR="00894820" w:rsidRDefault="00000000">
            <w:pPr>
              <w:pStyle w:val="P68B1DB1-Normal3"/>
              <w:spacing w:after="120" w:line="276" w:lineRule="auto"/>
              <w:jc w:val="both"/>
            </w:pPr>
            <w:r>
              <w:rPr>
                <w:rFonts w:cs="Calibri"/>
                <w:b/>
              </w:rPr>
              <w:t>"</w:t>
            </w:r>
            <w:r w:rsidR="004334FA" w:rsidRPr="004334FA">
              <w:rPr>
                <w:rFonts w:cs="Calibri"/>
                <w:b/>
              </w:rPr>
              <w:t>Joint solutions with practical applications for renewable energy use in cross-border area</w:t>
            </w:r>
            <w:r>
              <w:rPr>
                <w:rFonts w:cs="Calibri"/>
                <w:b/>
              </w:rPr>
              <w:t>"</w:t>
            </w:r>
            <w:r>
              <w:t xml:space="preserve"> </w:t>
            </w:r>
          </w:p>
        </w:tc>
      </w:tr>
      <w:tr w:rsidR="00894820" w14:paraId="2ED899A6" w14:textId="77777777">
        <w:trPr>
          <w:trHeight w:val="7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7F3E20E8" w:rsidR="00894820" w:rsidRDefault="00000000">
            <w:pPr>
              <w:pStyle w:val="P68B1DB1-Normal4"/>
              <w:spacing w:after="120"/>
              <w:jc w:val="center"/>
            </w:pPr>
            <w:r>
              <w:t>Priority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6AD1B35D" w:rsidR="00894820" w:rsidRPr="0013541B" w:rsidRDefault="00000000" w:rsidP="0013541B">
            <w:pPr>
              <w:pStyle w:val="P68B1DB1-Normal2"/>
              <w:spacing w:after="120" w:line="276" w:lineRule="auto"/>
              <w:jc w:val="both"/>
              <w:rPr>
                <w:b w:val="0"/>
                <w:bCs/>
              </w:rPr>
            </w:pPr>
            <w:r w:rsidRPr="000B3AE9">
              <w:rPr>
                <w:b w:val="0"/>
                <w:bCs/>
                <w:smallCaps/>
              </w:rPr>
              <w:t xml:space="preserve">PRIORITY </w:t>
            </w:r>
            <w:r w:rsidR="004334FA">
              <w:rPr>
                <w:b w:val="0"/>
                <w:bCs/>
                <w:smallCaps/>
              </w:rPr>
              <w:t>1</w:t>
            </w:r>
            <w:r w:rsidRPr="000B3AE9">
              <w:rPr>
                <w:b w:val="0"/>
                <w:bCs/>
                <w:smallCaps/>
              </w:rPr>
              <w:t>:</w:t>
            </w:r>
            <w:r w:rsidRPr="0013541B">
              <w:rPr>
                <w:b w:val="0"/>
                <w:bCs/>
              </w:rPr>
              <w:t xml:space="preserve"> </w:t>
            </w:r>
            <w:r w:rsidR="004334FA" w:rsidRPr="004334FA">
              <w:rPr>
                <w:b w:val="0"/>
                <w:bCs/>
                <w:smallCaps/>
              </w:rPr>
              <w:t>Cooperation for a green and more resilient cross-border area between Romania and Hungary</w:t>
            </w:r>
          </w:p>
        </w:tc>
      </w:tr>
      <w:tr w:rsidR="00894820" w14:paraId="5A450318" w14:textId="77777777">
        <w:trPr>
          <w:trHeight w:val="585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8E83" w14:textId="77777777" w:rsidR="00070E90" w:rsidRDefault="00070E90">
            <w:pPr>
              <w:pStyle w:val="P68B1DB1-Normal4"/>
              <w:spacing w:after="120"/>
              <w:jc w:val="center"/>
            </w:pPr>
            <w:r>
              <w:t>Specific</w:t>
            </w:r>
          </w:p>
          <w:p w14:paraId="468B4CF9" w14:textId="36E9F4E3" w:rsidR="00894820" w:rsidRDefault="00070E90" w:rsidP="00070E90">
            <w:pPr>
              <w:pStyle w:val="P68B1DB1-Normal4"/>
              <w:spacing w:after="120"/>
              <w:jc w:val="center"/>
            </w:pPr>
            <w:r>
              <w:t xml:space="preserve"> Objective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509F3B1E" w:rsidR="00894820" w:rsidRDefault="00000000">
            <w:pPr>
              <w:pStyle w:val="P68B1DB1-Normal3"/>
              <w:spacing w:after="120" w:line="276" w:lineRule="auto"/>
              <w:jc w:val="both"/>
            </w:pPr>
            <w:r>
              <w:t xml:space="preserve">Specific objective Interreg </w:t>
            </w:r>
            <w:r w:rsidR="004334FA" w:rsidRPr="004334FA">
              <w:t>RS02.2 - Promoting renewable energy in accordance with Renewable Energy Directive (EU) 2018/2001, including the sustainability criteria set out therein</w:t>
            </w:r>
          </w:p>
        </w:tc>
      </w:tr>
      <w:tr w:rsidR="00894820" w14:paraId="7703D1F8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77777777" w:rsidR="00894820" w:rsidRDefault="00000000">
            <w:pPr>
              <w:pStyle w:val="P68B1DB1-Normal4"/>
              <w:spacing w:after="120"/>
              <w:jc w:val="center"/>
            </w:pPr>
            <w:r>
              <w:t>Implementation period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3C88367D" w:rsidR="00894820" w:rsidRDefault="004334FA">
            <w:pPr>
              <w:pStyle w:val="P68B1DB1-Normal3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</w:pPr>
            <w:r>
              <w:t xml:space="preserve">24 </w:t>
            </w:r>
            <w:r w:rsidR="00E906F5">
              <w:t>months (</w:t>
            </w:r>
            <w:r>
              <w:t>9</w:t>
            </w:r>
            <w:r w:rsidR="00E906F5" w:rsidRPr="00E906F5">
              <w:rPr>
                <w:vertAlign w:val="superscript"/>
              </w:rPr>
              <w:t>st</w:t>
            </w:r>
            <w:r w:rsidR="00E906F5">
              <w:t xml:space="preserve"> of </w:t>
            </w:r>
            <w:r>
              <w:t>April</w:t>
            </w:r>
            <w:r w:rsidR="00E906F5">
              <w:t xml:space="preserve"> 2025 –</w:t>
            </w:r>
            <w:r>
              <w:t>8</w:t>
            </w:r>
            <w:r w:rsidR="00E906F5" w:rsidRPr="00E906F5">
              <w:rPr>
                <w:vertAlign w:val="superscript"/>
              </w:rPr>
              <w:t>th</w:t>
            </w:r>
            <w:r w:rsidR="00E906F5">
              <w:t xml:space="preserve"> of </w:t>
            </w:r>
            <w:r>
              <w:t>April</w:t>
            </w:r>
            <w:r w:rsidR="00E906F5">
              <w:t>202</w:t>
            </w:r>
            <w:r>
              <w:t>7</w:t>
            </w:r>
            <w:r w:rsidR="00E906F5">
              <w:t>)</w:t>
            </w:r>
          </w:p>
        </w:tc>
      </w:tr>
      <w:tr w:rsidR="00894820" w14:paraId="010F0453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7777777" w:rsidR="00894820" w:rsidRDefault="00000000">
            <w:pPr>
              <w:pStyle w:val="P68B1DB1-Normal4"/>
              <w:spacing w:after="120"/>
              <w:jc w:val="center"/>
            </w:pPr>
            <w:r>
              <w:t>Objective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7D755B77" w:rsidR="00894820" w:rsidRDefault="00E23534">
            <w:pPr>
              <w:pStyle w:val="P68B1DB1-Normal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</w:pPr>
            <w:r w:rsidRPr="00E23534">
              <w:t>The project a</w:t>
            </w:r>
            <w:r>
              <w:t>i</w:t>
            </w:r>
            <w:r w:rsidRPr="00215B0F">
              <w:t xml:space="preserve">ms </w:t>
            </w:r>
            <w:r w:rsidR="004334FA" w:rsidRPr="004334FA">
              <w:t>to drive sustainable and resilient energy practices</w:t>
            </w:r>
            <w:r w:rsidR="004334FA">
              <w:t>,</w:t>
            </w:r>
            <w:r w:rsidR="004334FA" w:rsidRPr="004334FA">
              <w:t xml:space="preserve"> </w:t>
            </w:r>
            <w:r w:rsidR="004334FA" w:rsidRPr="004334FA">
              <w:t>contributing to the EU's renewable energy targets</w:t>
            </w:r>
            <w:r w:rsidR="004334FA">
              <w:t>,</w:t>
            </w:r>
            <w:r w:rsidR="004334FA" w:rsidRPr="004334FA">
              <w:t xml:space="preserve"> </w:t>
            </w:r>
            <w:r w:rsidR="004334FA">
              <w:t>b</w:t>
            </w:r>
            <w:r w:rsidR="004334FA" w:rsidRPr="004334FA">
              <w:t>y integrating storage technologies, harnessing hydrogen solutions, and pioneering next-gen energy solutions</w:t>
            </w:r>
            <w:r w:rsidR="004334FA">
              <w:t>.</w:t>
            </w:r>
          </w:p>
        </w:tc>
      </w:tr>
      <w:tr w:rsidR="00894820" w14:paraId="1EEF8B90" w14:textId="77777777">
        <w:trPr>
          <w:trHeight w:val="754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77777777" w:rsidR="00894820" w:rsidRDefault="00000000">
            <w:pPr>
              <w:pStyle w:val="P68B1DB1-Normal2"/>
              <w:spacing w:after="120"/>
              <w:jc w:val="center"/>
            </w:pPr>
            <w:r>
              <w:t>Partnership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76D" w14:textId="06C398AC" w:rsidR="00894820" w:rsidRDefault="00000000">
            <w:pPr>
              <w:pStyle w:val="P68B1DB1-Normal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Calibri"/>
              </w:rPr>
            </w:pPr>
            <w:r>
              <w:t xml:space="preserve">Lead Partner: </w:t>
            </w:r>
          </w:p>
          <w:p w14:paraId="6332623C" w14:textId="0F2D7B5C" w:rsidR="00894820" w:rsidRDefault="004334FA">
            <w:pPr>
              <w:pStyle w:val="P68B1DB1-Normal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</w:pPr>
            <w:proofErr w:type="spellStart"/>
            <w:r w:rsidRPr="004334FA">
              <w:t>Békéscsaba</w:t>
            </w:r>
            <w:proofErr w:type="spellEnd"/>
            <w:r w:rsidRPr="004334FA">
              <w:t>, City of County Rank</w:t>
            </w:r>
            <w:r w:rsidRPr="004334FA">
              <w:t xml:space="preserve"> </w:t>
            </w:r>
            <w:r w:rsidR="008760C1">
              <w:t>(</w:t>
            </w:r>
            <w:r>
              <w:t>HU</w:t>
            </w:r>
            <w:r w:rsidR="008760C1">
              <w:t>)</w:t>
            </w:r>
          </w:p>
        </w:tc>
      </w:tr>
      <w:tr w:rsidR="00894820" w14:paraId="527C4A89" w14:textId="77777777">
        <w:trPr>
          <w:trHeight w:val="926"/>
        </w:trPr>
        <w:tc>
          <w:tcPr>
            <w:tcW w:w="21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894820" w:rsidRDefault="00894820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</w:rPr>
            </w:pP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38C0" w14:textId="23DD6FD8" w:rsidR="00894820" w:rsidRDefault="00000000">
            <w:pPr>
              <w:pStyle w:val="P68B1DB1-Normal4"/>
              <w:spacing w:after="120" w:line="276" w:lineRule="auto"/>
              <w:jc w:val="both"/>
            </w:pPr>
            <w:r>
              <w:rPr>
                <w:rFonts w:eastAsia="Times New Roman"/>
              </w:rPr>
              <w:t>Project partner</w:t>
            </w:r>
            <w:r>
              <w:t xml:space="preserve">: </w:t>
            </w:r>
          </w:p>
          <w:p w14:paraId="7BCBBF71" w14:textId="7D471E12" w:rsidR="00894820" w:rsidRDefault="00000000">
            <w:pPr>
              <w:pStyle w:val="P68B1DB1-Normal3"/>
              <w:spacing w:after="120" w:line="276" w:lineRule="auto"/>
              <w:jc w:val="both"/>
            </w:pPr>
            <w:r>
              <w:t xml:space="preserve">PP 2: </w:t>
            </w:r>
            <w:r w:rsidR="004334FA" w:rsidRPr="004334FA">
              <w:t>Oradea Metropolitan Area Intercommunity Development Association</w:t>
            </w:r>
            <w:r w:rsidR="004334FA" w:rsidRPr="004334FA">
              <w:t xml:space="preserve"> </w:t>
            </w:r>
            <w:r>
              <w:t>(</w:t>
            </w:r>
            <w:r w:rsidR="004334FA">
              <w:t>RO</w:t>
            </w:r>
            <w:r>
              <w:t>)</w:t>
            </w:r>
          </w:p>
        </w:tc>
      </w:tr>
      <w:tr w:rsidR="00894820" w14:paraId="4EE4EBD1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77777777" w:rsidR="00894820" w:rsidRDefault="00000000">
            <w:pPr>
              <w:pStyle w:val="P68B1DB1-Normal2"/>
              <w:jc w:val="center"/>
            </w:pPr>
            <w:r>
              <w:t>Total budget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5C2" w14:textId="4EA79884" w:rsidR="00894820" w:rsidRDefault="00000000">
            <w:pPr>
              <w:spacing w:line="276" w:lineRule="auto"/>
              <w:jc w:val="both"/>
              <w:rPr>
                <w:rFonts w:cs="Calibri"/>
                <w:color w:val="1F3864" w:themeColor="accent5" w:themeShade="80"/>
                <w:sz w:val="22"/>
              </w:rPr>
            </w:pPr>
            <w:r>
              <w:rPr>
                <w:color w:val="1F3864" w:themeColor="accent5" w:themeShade="80"/>
                <w:sz w:val="22"/>
              </w:rPr>
              <w:t xml:space="preserve">EUR </w:t>
            </w:r>
            <w:r w:rsidR="00202E01" w:rsidRPr="00202E01">
              <w:rPr>
                <w:color w:val="1F3864" w:themeColor="accent5" w:themeShade="80"/>
                <w:sz w:val="22"/>
              </w:rPr>
              <w:t>2</w:t>
            </w:r>
            <w:r w:rsidR="00202E01" w:rsidRPr="00202E01">
              <w:rPr>
                <w:color w:val="1F3864" w:themeColor="accent5" w:themeShade="80"/>
                <w:sz w:val="22"/>
              </w:rPr>
              <w:t>,</w:t>
            </w:r>
            <w:r w:rsidR="00202E01" w:rsidRPr="00202E01">
              <w:rPr>
                <w:color w:val="1F3864" w:themeColor="accent5" w:themeShade="80"/>
                <w:sz w:val="22"/>
              </w:rPr>
              <w:t>498</w:t>
            </w:r>
            <w:r w:rsidR="00202E01" w:rsidRPr="00202E01">
              <w:rPr>
                <w:color w:val="1F3864" w:themeColor="accent5" w:themeShade="80"/>
                <w:sz w:val="22"/>
              </w:rPr>
              <w:t>,</w:t>
            </w:r>
            <w:r w:rsidR="00202E01" w:rsidRPr="00202E01">
              <w:rPr>
                <w:color w:val="1F3864" w:themeColor="accent5" w:themeShade="80"/>
                <w:sz w:val="22"/>
              </w:rPr>
              <w:t>437</w:t>
            </w:r>
            <w:r w:rsidR="00202E01" w:rsidRPr="00202E01">
              <w:rPr>
                <w:color w:val="1F3864" w:themeColor="accent5" w:themeShade="80"/>
                <w:sz w:val="22"/>
              </w:rPr>
              <w:t>.</w:t>
            </w:r>
            <w:r w:rsidR="00202E01" w:rsidRPr="00202E01">
              <w:rPr>
                <w:color w:val="1F3864" w:themeColor="accent5" w:themeShade="80"/>
                <w:sz w:val="22"/>
              </w:rPr>
              <w:t>55</w:t>
            </w:r>
            <w:r w:rsidR="00202E01" w:rsidRPr="00202E01">
              <w:rPr>
                <w:color w:val="1F3864" w:themeColor="accent5" w:themeShade="80"/>
                <w:sz w:val="22"/>
              </w:rPr>
              <w:t xml:space="preserve"> </w:t>
            </w:r>
            <w:r>
              <w:rPr>
                <w:color w:val="1F3864" w:themeColor="accent5" w:themeShade="80"/>
                <w:sz w:val="22"/>
              </w:rPr>
              <w:t xml:space="preserve">of which ERDF EUR </w:t>
            </w:r>
            <w:r w:rsidR="00202E01" w:rsidRPr="00202E01">
              <w:rPr>
                <w:color w:val="1F3864" w:themeColor="accent5" w:themeShade="80"/>
                <w:sz w:val="22"/>
              </w:rPr>
              <w:t>1</w:t>
            </w:r>
            <w:r w:rsidR="00202E01" w:rsidRPr="00202E01">
              <w:rPr>
                <w:color w:val="1F3864" w:themeColor="accent5" w:themeShade="80"/>
                <w:sz w:val="22"/>
              </w:rPr>
              <w:t>,</w:t>
            </w:r>
            <w:r w:rsidR="00202E01" w:rsidRPr="00202E01">
              <w:rPr>
                <w:color w:val="1F3864" w:themeColor="accent5" w:themeShade="80"/>
                <w:sz w:val="22"/>
              </w:rPr>
              <w:t>998</w:t>
            </w:r>
            <w:r w:rsidR="00202E01" w:rsidRPr="00202E01">
              <w:rPr>
                <w:color w:val="1F3864" w:themeColor="accent5" w:themeShade="80"/>
                <w:sz w:val="22"/>
              </w:rPr>
              <w:t>,</w:t>
            </w:r>
            <w:r w:rsidR="00202E01" w:rsidRPr="00202E01">
              <w:rPr>
                <w:color w:val="1F3864" w:themeColor="accent5" w:themeShade="80"/>
                <w:sz w:val="22"/>
              </w:rPr>
              <w:t>750</w:t>
            </w:r>
            <w:r w:rsidR="00202E01" w:rsidRPr="00202E01">
              <w:rPr>
                <w:color w:val="1F3864" w:themeColor="accent5" w:themeShade="80"/>
                <w:sz w:val="22"/>
              </w:rPr>
              <w:t>.</w:t>
            </w:r>
            <w:r w:rsidR="00202E01" w:rsidRPr="00202E01">
              <w:rPr>
                <w:color w:val="1F3864" w:themeColor="accent5" w:themeShade="80"/>
                <w:sz w:val="22"/>
              </w:rPr>
              <w:t>04</w:t>
            </w:r>
          </w:p>
        </w:tc>
      </w:tr>
      <w:tr w:rsidR="00894820" w14:paraId="51B61C9D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77777777" w:rsidR="00894820" w:rsidRDefault="00000000">
            <w:pPr>
              <w:pStyle w:val="P68B1DB1-Normal2"/>
              <w:jc w:val="center"/>
            </w:pPr>
            <w:r>
              <w:t>Summary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BAD0" w14:textId="77777777" w:rsidR="009B49A5" w:rsidRDefault="00000000" w:rsidP="009B49A5">
            <w:pPr>
              <w:pStyle w:val="P68B1DB1-Normal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</w:pPr>
            <w:r>
              <w:t xml:space="preserve">The project </w:t>
            </w:r>
            <w:r w:rsidRPr="0013541B">
              <w:rPr>
                <w:b/>
                <w:bCs/>
                <w:i/>
                <w:iCs/>
              </w:rPr>
              <w:t>‘</w:t>
            </w:r>
            <w:r w:rsidR="00202E01" w:rsidRPr="004334FA">
              <w:rPr>
                <w:rFonts w:cs="Calibri"/>
                <w:b/>
              </w:rPr>
              <w:t>Joint solutions with practical applications for renewable energy use in cross-border area</w:t>
            </w:r>
            <w:r w:rsidR="00202E0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</w:t>
            </w:r>
            <w:r w:rsidR="00202E01" w:rsidRPr="00202E01">
              <w:rPr>
                <w:b/>
                <w:bCs/>
              </w:rPr>
              <w:t xml:space="preserve">ROHU00103 </w:t>
            </w:r>
            <w:proofErr w:type="spellStart"/>
            <w:r w:rsidR="00202E01" w:rsidRPr="00202E01">
              <w:rPr>
                <w:b/>
                <w:bCs/>
              </w:rPr>
              <w:t>RESolution</w:t>
            </w:r>
            <w:proofErr w:type="spellEnd"/>
            <w:r w:rsidRPr="00202E01">
              <w:rPr>
                <w:b/>
                <w:bCs/>
                <w:i/>
              </w:rPr>
              <w:t>)</w:t>
            </w:r>
            <w:r>
              <w:t xml:space="preserve"> </w:t>
            </w:r>
            <w:r w:rsidR="009B49A5">
              <w:t xml:space="preserve">aims to provide a timely, innovative, and sustainable approach to energy storage, contributing to a greener, more resilient, and economically stable cross-border area. </w:t>
            </w:r>
          </w:p>
          <w:p w14:paraId="41D13543" w14:textId="6B0888F5" w:rsidR="009B49A5" w:rsidRDefault="009B49A5" w:rsidP="009B49A5">
            <w:pPr>
              <w:pStyle w:val="P68B1DB1-Normal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</w:pPr>
            <w:r>
              <w:t>In case of the LP, i</w:t>
            </w:r>
            <w:r>
              <w:t>n order to decrease the carbon footprint of events, energy will be used to charge mobile batteries</w:t>
            </w:r>
            <w:r>
              <w:t>, energy</w:t>
            </w:r>
            <w:r>
              <w:t xml:space="preserve"> which would be otherwise wasted</w:t>
            </w:r>
            <w:r>
              <w:t xml:space="preserve">. </w:t>
            </w:r>
            <w:r>
              <w:t xml:space="preserve">This energy </w:t>
            </w:r>
            <w:r>
              <w:t>will</w:t>
            </w:r>
            <w:r>
              <w:t xml:space="preserve"> be used to power sustainable events as solar power has a much smaller carbon footprint then electricity from the national grid.</w:t>
            </w:r>
          </w:p>
          <w:p w14:paraId="769F20B1" w14:textId="70CB4191" w:rsidR="00215B0F" w:rsidRDefault="009B49A5" w:rsidP="009B49A5">
            <w:pPr>
              <w:pStyle w:val="P68B1DB1-Normal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</w:pPr>
            <w:r>
              <w:t>PP2</w:t>
            </w:r>
            <w:r>
              <w:t xml:space="preserve"> will give a new purpose</w:t>
            </w:r>
            <w:r>
              <w:t xml:space="preserve"> to un unused building, by</w:t>
            </w:r>
            <w:r>
              <w:t xml:space="preserve"> transforming it into </w:t>
            </w:r>
            <w:r>
              <w:t xml:space="preserve">a </w:t>
            </w:r>
            <w:r>
              <w:t>Metropolitan Centre for Renewable Energy</w:t>
            </w:r>
            <w:r>
              <w:t>,</w:t>
            </w:r>
            <w:r>
              <w:t xml:space="preserve"> with offices and laboratory for RES related research. Being a member of </w:t>
            </w:r>
            <w:r>
              <w:t>a</w:t>
            </w:r>
            <w:r>
              <w:t xml:space="preserve"> cluster </w:t>
            </w:r>
            <w:r>
              <w:t xml:space="preserve">for </w:t>
            </w:r>
            <w:r>
              <w:t xml:space="preserve">geothermal development </w:t>
            </w:r>
            <w:r>
              <w:t>that include</w:t>
            </w:r>
            <w:r>
              <w:t xml:space="preserve"> universities, private companies, public authorities, </w:t>
            </w:r>
            <w:r>
              <w:t>PP2</w:t>
            </w:r>
            <w:r>
              <w:t xml:space="preserve"> is offering an environment for cluster members to perform research on the field of geothermal energy</w:t>
            </w:r>
            <w:r>
              <w:t>,</w:t>
            </w:r>
            <w:r>
              <w:t xml:space="preserve"> aiming to establish a Centre </w:t>
            </w:r>
            <w:r>
              <w:t>that promotes producing</w:t>
            </w:r>
            <w:r>
              <w:t xml:space="preserve"> electricity with solar PV panels and heating by geothermal water</w:t>
            </w:r>
          </w:p>
        </w:tc>
      </w:tr>
      <w:tr w:rsidR="00894820" w14:paraId="47DF7069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77777777" w:rsidR="00894820" w:rsidRDefault="00000000">
            <w:pPr>
              <w:pStyle w:val="P68B1DB1-Normal2"/>
              <w:jc w:val="center"/>
            </w:pPr>
            <w:r>
              <w:lastRenderedPageBreak/>
              <w:t>Main results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196F" w14:textId="4EE73EA4" w:rsidR="00C5196B" w:rsidRPr="00C5196B" w:rsidRDefault="00C5196B" w:rsidP="00AF087F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</w:pPr>
            <w:r>
              <w:rPr>
                <w:rFonts w:ascii="Open Sans" w:eastAsia="Calibri" w:hAnsi="Open Sans"/>
                <w:bCs/>
                <w:color w:val="1F3864" w:themeColor="accent5" w:themeShade="80"/>
                <w:sz w:val="20"/>
              </w:rPr>
              <w:t xml:space="preserve">Acquisition of </w:t>
            </w:r>
            <w:r w:rsidRPr="00C5196B">
              <w:rPr>
                <w:rFonts w:ascii="Open Sans" w:eastAsia="Calibri" w:hAnsi="Open Sans"/>
                <w:b/>
                <w:color w:val="1F3864" w:themeColor="accent5" w:themeShade="80"/>
                <w:sz w:val="20"/>
              </w:rPr>
              <w:t>t</w:t>
            </w:r>
            <w:r w:rsidRPr="00C5196B">
              <w:rPr>
                <w:rFonts w:ascii="Open Sans" w:eastAsia="Calibri" w:hAnsi="Open Sans"/>
                <w:b/>
                <w:color w:val="1F3864" w:themeColor="accent5" w:themeShade="80"/>
                <w:sz w:val="20"/>
              </w:rPr>
              <w:t>wo mobile batteries</w:t>
            </w:r>
            <w:r w:rsidRPr="00C5196B">
              <w:rPr>
                <w:rFonts w:ascii="Open Sans" w:eastAsia="Calibri" w:hAnsi="Open Sans"/>
                <w:bCs/>
                <w:color w:val="1F3864" w:themeColor="accent5" w:themeShade="80"/>
                <w:sz w:val="20"/>
              </w:rPr>
              <w:t xml:space="preserve"> with a combined capacity of minimum 600kWh</w:t>
            </w:r>
            <w:r w:rsidRPr="00C5196B">
              <w:rPr>
                <w:rFonts w:ascii="Open Sans" w:eastAsia="Calibri" w:hAnsi="Open Sans"/>
                <w:bCs/>
                <w:color w:val="1F3864" w:themeColor="accent5" w:themeShade="80"/>
                <w:sz w:val="20"/>
              </w:rPr>
              <w:t xml:space="preserve"> </w:t>
            </w:r>
            <w:r>
              <w:rPr>
                <w:rFonts w:ascii="Open Sans" w:eastAsia="Calibri" w:hAnsi="Open Sans"/>
                <w:bCs/>
                <w:color w:val="1F3864" w:themeColor="accent5" w:themeShade="80"/>
                <w:sz w:val="20"/>
              </w:rPr>
              <w:t xml:space="preserve">and </w:t>
            </w:r>
            <w:r w:rsidRPr="00C5196B">
              <w:rPr>
                <w:rFonts w:ascii="Open Sans" w:eastAsia="Calibri" w:hAnsi="Open Sans"/>
                <w:b/>
                <w:color w:val="1F3864" w:themeColor="accent5" w:themeShade="80"/>
                <w:sz w:val="20"/>
              </w:rPr>
              <w:t>t</w:t>
            </w:r>
            <w:r w:rsidRPr="00C5196B">
              <w:rPr>
                <w:rFonts w:ascii="Open Sans" w:eastAsia="Calibri" w:hAnsi="Open Sans"/>
                <w:b/>
                <w:color w:val="1F3864" w:themeColor="accent5" w:themeShade="80"/>
                <w:sz w:val="20"/>
              </w:rPr>
              <w:t>wo container chassis</w:t>
            </w:r>
            <w:r w:rsidRPr="00C5196B">
              <w:rPr>
                <w:rFonts w:ascii="Open Sans" w:eastAsia="Calibri" w:hAnsi="Open Sans"/>
                <w:bCs/>
                <w:color w:val="1F3864" w:themeColor="accent5" w:themeShade="80"/>
                <w:sz w:val="20"/>
              </w:rPr>
              <w:t xml:space="preserve"> for battery mobility</w:t>
            </w:r>
          </w:p>
          <w:p w14:paraId="4BA2831D" w14:textId="6FB601B7" w:rsidR="00894820" w:rsidRPr="0016380B" w:rsidRDefault="00F74772" w:rsidP="00AF087F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</w:pPr>
            <w:r w:rsidRPr="00F74772">
              <w:rPr>
                <w:rFonts w:ascii="Open Sans" w:eastAsia="Calibri" w:hAnsi="Open Sans"/>
                <w:bCs/>
                <w:color w:val="1F3864" w:themeColor="accent5" w:themeShade="80"/>
                <w:sz w:val="20"/>
              </w:rPr>
              <w:t>Organization of</w:t>
            </w:r>
            <w:r>
              <w:rPr>
                <w:rFonts w:ascii="Open Sans" w:eastAsia="Calibri" w:hAnsi="Open Sans"/>
                <w:b/>
                <w:color w:val="1F3864" w:themeColor="accent5" w:themeShade="80"/>
                <w:sz w:val="20"/>
              </w:rPr>
              <w:t xml:space="preserve"> an </w:t>
            </w:r>
            <w:r w:rsidRPr="00F74772">
              <w:rPr>
                <w:rFonts w:ascii="Open Sans" w:eastAsia="Calibri" w:hAnsi="Open Sans"/>
                <w:b/>
                <w:color w:val="1F3864" w:themeColor="accent5" w:themeShade="80"/>
                <w:sz w:val="20"/>
              </w:rPr>
              <w:t xml:space="preserve">Awareness raising campaign </w:t>
            </w:r>
            <w:r w:rsidRPr="00F74772">
              <w:rPr>
                <w:rFonts w:ascii="Open Sans" w:eastAsia="Calibri" w:hAnsi="Open Sans"/>
                <w:bCs/>
                <w:color w:val="1F3864" w:themeColor="accent5" w:themeShade="80"/>
                <w:sz w:val="20"/>
              </w:rPr>
              <w:t>for Sustainable Power by Solar Mobile Batteries</w:t>
            </w:r>
          </w:p>
          <w:p w14:paraId="419E2625" w14:textId="77777777" w:rsidR="00A55404" w:rsidRPr="00414F79" w:rsidRDefault="00F74772" w:rsidP="00A55404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</w:pPr>
            <w:r w:rsidRPr="00F74772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Development of a </w:t>
            </w:r>
            <w:r w:rsidRPr="00F74772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Joint Strategy and Action Plan</w:t>
            </w:r>
            <w:r w:rsidRPr="00F74772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 for Sustainable Mobile Battery Utilization</w:t>
            </w:r>
          </w:p>
          <w:p w14:paraId="77AC3B4A" w14:textId="77777777" w:rsidR="00414F79" w:rsidRPr="00F17B36" w:rsidRDefault="00414F79" w:rsidP="00A55404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</w:pPr>
            <w:r w:rsidRPr="00414F79">
              <w:rPr>
                <w:rFonts w:ascii="Open Sans" w:hAnsi="Open Sans" w:cs="Open Sans"/>
                <w:color w:val="1F3864" w:themeColor="accent5" w:themeShade="80"/>
                <w:sz w:val="20"/>
              </w:rPr>
              <w:t>Develop</w:t>
            </w:r>
            <w:r w:rsidRPr="00414F79">
              <w:rPr>
                <w:rFonts w:ascii="Open Sans" w:hAnsi="Open Sans" w:cs="Open Sans"/>
                <w:color w:val="1F3864" w:themeColor="accent5" w:themeShade="80"/>
                <w:sz w:val="20"/>
              </w:rPr>
              <w:t>ment of a</w:t>
            </w:r>
            <w:r w:rsidRPr="00414F79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 xml:space="preserve"> Hydrogen strategy </w:t>
            </w:r>
            <w:r w:rsidRPr="00414F79">
              <w:rPr>
                <w:rFonts w:ascii="Open Sans" w:hAnsi="Open Sans" w:cs="Open Sans"/>
                <w:color w:val="1F3864" w:themeColor="accent5" w:themeShade="80"/>
                <w:sz w:val="20"/>
              </w:rPr>
              <w:t>and planning a</w:t>
            </w:r>
            <w:r w:rsidRPr="00414F79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 xml:space="preserve"> Green Hydrogen energy system </w:t>
            </w:r>
            <w:r w:rsidRPr="00414F79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connected to </w:t>
            </w:r>
            <w:proofErr w:type="spellStart"/>
            <w:r w:rsidRPr="00414F79">
              <w:rPr>
                <w:rFonts w:ascii="Open Sans" w:hAnsi="Open Sans" w:cs="Open Sans"/>
                <w:color w:val="1F3864" w:themeColor="accent5" w:themeShade="80"/>
                <w:sz w:val="20"/>
              </w:rPr>
              <w:t>Békéscsaba</w:t>
            </w:r>
            <w:proofErr w:type="spellEnd"/>
            <w:r w:rsidRPr="00414F79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 Smart Grid</w:t>
            </w:r>
          </w:p>
          <w:p w14:paraId="3A467767" w14:textId="77777777" w:rsidR="00F17B36" w:rsidRDefault="00F17B36" w:rsidP="00A55404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</w:pPr>
            <w:r w:rsidRPr="00F17B36">
              <w:rPr>
                <w:rFonts w:ascii="Open Sans" w:hAnsi="Open Sans" w:cs="Open Sans"/>
                <w:color w:val="1F3864" w:themeColor="accent5" w:themeShade="80"/>
                <w:sz w:val="20"/>
              </w:rPr>
              <w:t>Renovation of</w:t>
            </w:r>
            <w:r w:rsidRPr="00F17B36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 xml:space="preserve"> Metropolitan </w:t>
            </w:r>
            <w:r w:rsidRPr="00F17B36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center</w:t>
            </w:r>
            <w:r w:rsidRPr="00F17B36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 xml:space="preserve"> for renewable energy</w:t>
            </w:r>
          </w:p>
          <w:p w14:paraId="2CD8B1B1" w14:textId="77777777" w:rsidR="00E4484F" w:rsidRPr="00783AF4" w:rsidRDefault="00E4484F" w:rsidP="00A55404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</w:pPr>
            <w:r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 xml:space="preserve">40 participants in joint actions </w:t>
            </w:r>
            <w:r w:rsidRPr="00E4484F">
              <w:rPr>
                <w:rFonts w:ascii="Open Sans" w:hAnsi="Open Sans" w:cs="Open Sans"/>
                <w:color w:val="1F3864" w:themeColor="accent5" w:themeShade="80"/>
                <w:sz w:val="20"/>
              </w:rPr>
              <w:t>related to e</w:t>
            </w:r>
            <w:r w:rsidRPr="00E4484F">
              <w:rPr>
                <w:rFonts w:ascii="Open Sans" w:hAnsi="Open Sans" w:cs="Open Sans"/>
                <w:color w:val="1F3864" w:themeColor="accent5" w:themeShade="80"/>
                <w:sz w:val="20"/>
              </w:rPr>
              <w:t>xchange of good practices</w:t>
            </w:r>
          </w:p>
          <w:p w14:paraId="173E30B6" w14:textId="1DD623AB" w:rsidR="00783AF4" w:rsidRPr="00A55404" w:rsidRDefault="00783AF4" w:rsidP="00A55404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</w:pPr>
            <w:r w:rsidRPr="00414F79">
              <w:rPr>
                <w:rFonts w:ascii="Open Sans" w:hAnsi="Open Sans" w:cs="Open Sans"/>
                <w:color w:val="1F3864" w:themeColor="accent5" w:themeShade="80"/>
                <w:sz w:val="20"/>
              </w:rPr>
              <w:t>Development of a</w:t>
            </w:r>
            <w:r w:rsidRPr="00414F79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 xml:space="preserve"> </w:t>
            </w:r>
            <w:r w:rsidRPr="00783AF4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joint strategy on renewable energy</w:t>
            </w:r>
          </w:p>
        </w:tc>
      </w:tr>
    </w:tbl>
    <w:p w14:paraId="2E5160C3" w14:textId="5D0B5ABE" w:rsidR="00894820" w:rsidRDefault="00894820">
      <w:pPr>
        <w:spacing w:after="0"/>
        <w:jc w:val="both"/>
        <w:rPr>
          <w:rFonts w:cs="Open Sans"/>
          <w:color w:val="003399"/>
        </w:rPr>
      </w:pPr>
    </w:p>
    <w:sectPr w:rsidR="00894820">
      <w:headerReference w:type="default" r:id="rId7"/>
      <w:footerReference w:type="default" r:id="rId8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BA487" w14:textId="77777777" w:rsidR="009B6A1F" w:rsidRDefault="009B6A1F">
      <w:pPr>
        <w:spacing w:after="0" w:line="240" w:lineRule="auto"/>
      </w:pPr>
      <w:r>
        <w:separator/>
      </w:r>
    </w:p>
  </w:endnote>
  <w:endnote w:type="continuationSeparator" w:id="0">
    <w:p w14:paraId="3512BC1A" w14:textId="77777777" w:rsidR="009B6A1F" w:rsidRDefault="009B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894820" w:rsidRDefault="00000000">
    <w:pPr>
      <w:pStyle w:val="Footer"/>
      <w:jc w:val="center"/>
      <w:rPr>
        <w:rFonts w:cs="Open Sans"/>
        <w:color w:val="003399"/>
      </w:rPr>
    </w:pPr>
    <w:r>
      <w:ptab w:relativeTo="margin" w:alignment="right" w:leader="none"/>
    </w:r>
    <w: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08DE4" w14:textId="77777777" w:rsidR="009B6A1F" w:rsidRDefault="009B6A1F">
      <w:pPr>
        <w:spacing w:after="0" w:line="240" w:lineRule="auto"/>
      </w:pPr>
      <w:r>
        <w:separator/>
      </w:r>
    </w:p>
  </w:footnote>
  <w:footnote w:type="continuationSeparator" w:id="0">
    <w:p w14:paraId="393E13E7" w14:textId="77777777" w:rsidR="009B6A1F" w:rsidRDefault="009B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E6E" w14:textId="77777777" w:rsidR="00894820" w:rsidRDefault="00000000">
    <w:pPr>
      <w:pStyle w:val="Header"/>
    </w:pPr>
    <w:r>
      <w:rPr>
        <w:noProof/>
      </w:rPr>
      <w:drawing>
        <wp:inline distT="0" distB="0" distL="0" distR="0" wp14:anchorId="0D4E0297" wp14:editId="04C60E86">
          <wp:extent cx="6462214" cy="747589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404" cy="75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03A7"/>
    <w:multiLevelType w:val="multilevel"/>
    <w:tmpl w:val="97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46BE6"/>
    <w:multiLevelType w:val="multilevel"/>
    <w:tmpl w:val="4446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864262">
    <w:abstractNumId w:val="0"/>
  </w:num>
  <w:num w:numId="2" w16cid:durableId="1420561953">
    <w:abstractNumId w:val="1"/>
  </w:num>
  <w:num w:numId="3" w16cid:durableId="1270357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E"/>
    <w:rsid w:val="00070E90"/>
    <w:rsid w:val="000821B2"/>
    <w:rsid w:val="000B388F"/>
    <w:rsid w:val="000B3AE9"/>
    <w:rsid w:val="000F0D69"/>
    <w:rsid w:val="0013541B"/>
    <w:rsid w:val="00144932"/>
    <w:rsid w:val="0016380B"/>
    <w:rsid w:val="00190E0A"/>
    <w:rsid w:val="00192991"/>
    <w:rsid w:val="001A4018"/>
    <w:rsid w:val="001B2270"/>
    <w:rsid w:val="00202E01"/>
    <w:rsid w:val="00215B0F"/>
    <w:rsid w:val="002216AE"/>
    <w:rsid w:val="00221748"/>
    <w:rsid w:val="00235D99"/>
    <w:rsid w:val="00242594"/>
    <w:rsid w:val="00243DEE"/>
    <w:rsid w:val="002601E5"/>
    <w:rsid w:val="002642B0"/>
    <w:rsid w:val="00286B53"/>
    <w:rsid w:val="00291991"/>
    <w:rsid w:val="002A5B39"/>
    <w:rsid w:val="00306792"/>
    <w:rsid w:val="003156EA"/>
    <w:rsid w:val="00352959"/>
    <w:rsid w:val="00395E90"/>
    <w:rsid w:val="003B4BA5"/>
    <w:rsid w:val="003B5549"/>
    <w:rsid w:val="00414F79"/>
    <w:rsid w:val="004334FA"/>
    <w:rsid w:val="00466100"/>
    <w:rsid w:val="004A3DA2"/>
    <w:rsid w:val="004F06D5"/>
    <w:rsid w:val="00514C1B"/>
    <w:rsid w:val="0054292D"/>
    <w:rsid w:val="005711D1"/>
    <w:rsid w:val="005A58E8"/>
    <w:rsid w:val="005D110C"/>
    <w:rsid w:val="00614C99"/>
    <w:rsid w:val="00626B3C"/>
    <w:rsid w:val="006738B4"/>
    <w:rsid w:val="006B30F3"/>
    <w:rsid w:val="006F277A"/>
    <w:rsid w:val="00715503"/>
    <w:rsid w:val="00732D28"/>
    <w:rsid w:val="00746173"/>
    <w:rsid w:val="00761E91"/>
    <w:rsid w:val="00783AF4"/>
    <w:rsid w:val="0083050E"/>
    <w:rsid w:val="008559B6"/>
    <w:rsid w:val="008760C1"/>
    <w:rsid w:val="00894820"/>
    <w:rsid w:val="008C33A3"/>
    <w:rsid w:val="008E24AC"/>
    <w:rsid w:val="009173AA"/>
    <w:rsid w:val="009315FC"/>
    <w:rsid w:val="0097126B"/>
    <w:rsid w:val="00987F13"/>
    <w:rsid w:val="0099310D"/>
    <w:rsid w:val="009B49A5"/>
    <w:rsid w:val="009B6A1F"/>
    <w:rsid w:val="009D0623"/>
    <w:rsid w:val="00A170BA"/>
    <w:rsid w:val="00A35463"/>
    <w:rsid w:val="00A55404"/>
    <w:rsid w:val="00A64984"/>
    <w:rsid w:val="00A872D9"/>
    <w:rsid w:val="00AE4986"/>
    <w:rsid w:val="00AF087F"/>
    <w:rsid w:val="00B0144D"/>
    <w:rsid w:val="00B24F49"/>
    <w:rsid w:val="00B77B00"/>
    <w:rsid w:val="00B92ED0"/>
    <w:rsid w:val="00C02611"/>
    <w:rsid w:val="00C23211"/>
    <w:rsid w:val="00C23EAD"/>
    <w:rsid w:val="00C5196B"/>
    <w:rsid w:val="00CA0AA2"/>
    <w:rsid w:val="00CA6A28"/>
    <w:rsid w:val="00CC68F1"/>
    <w:rsid w:val="00D1768D"/>
    <w:rsid w:val="00D46934"/>
    <w:rsid w:val="00D6779D"/>
    <w:rsid w:val="00D736AC"/>
    <w:rsid w:val="00D75B5B"/>
    <w:rsid w:val="00DE0099"/>
    <w:rsid w:val="00DE4738"/>
    <w:rsid w:val="00DE5E8D"/>
    <w:rsid w:val="00DF4008"/>
    <w:rsid w:val="00DF43E7"/>
    <w:rsid w:val="00E02D1E"/>
    <w:rsid w:val="00E23534"/>
    <w:rsid w:val="00E4484F"/>
    <w:rsid w:val="00E66CBF"/>
    <w:rsid w:val="00E7799E"/>
    <w:rsid w:val="00E902C1"/>
    <w:rsid w:val="00E906F5"/>
    <w:rsid w:val="00E91B08"/>
    <w:rsid w:val="00EB0D64"/>
    <w:rsid w:val="00F0230A"/>
    <w:rsid w:val="00F17B36"/>
    <w:rsid w:val="00F5533E"/>
    <w:rsid w:val="00F55C41"/>
    <w:rsid w:val="00F74772"/>
    <w:rsid w:val="00F7622A"/>
    <w:rsid w:val="00F83E5C"/>
    <w:rsid w:val="00F960C5"/>
    <w:rsid w:val="00FB5250"/>
    <w:rsid w:val="00FB7657"/>
    <w:rsid w:val="00FE2FE7"/>
    <w:rsid w:val="01B8237E"/>
    <w:rsid w:val="107CC2E1"/>
    <w:rsid w:val="123F9A3A"/>
    <w:rsid w:val="1A21A60E"/>
    <w:rsid w:val="1F1CE431"/>
    <w:rsid w:val="25699B0A"/>
    <w:rsid w:val="28A515CE"/>
    <w:rsid w:val="291456F0"/>
    <w:rsid w:val="2B1802DD"/>
    <w:rsid w:val="394791B3"/>
    <w:rsid w:val="3AFB5219"/>
    <w:rsid w:val="4113AC48"/>
    <w:rsid w:val="48CFA109"/>
    <w:rsid w:val="49734651"/>
    <w:rsid w:val="4DDCF216"/>
    <w:rsid w:val="5F3FACFD"/>
    <w:rsid w:val="663D5F72"/>
    <w:rsid w:val="698560EE"/>
    <w:rsid w:val="6D744695"/>
    <w:rsid w:val="71A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4BA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3B4BA5"/>
    <w:rPr>
      <w:b/>
    </w:rPr>
  </w:style>
  <w:style w:type="paragraph" w:customStyle="1" w:styleId="P68B1DB1-Normal1">
    <w:name w:val="P68B1DB1-Normal1"/>
    <w:basedOn w:val="Normal"/>
    <w:rPr>
      <w:rFonts w:cs="Calibri"/>
      <w:b/>
      <w:color w:val="FFFFFF" w:themeColor="background1"/>
    </w:rPr>
  </w:style>
  <w:style w:type="paragraph" w:customStyle="1" w:styleId="P68B1DB1-Normal2">
    <w:name w:val="P68B1DB1-Normal2"/>
    <w:basedOn w:val="Normal"/>
    <w:rPr>
      <w:rFonts w:cs="Calibri"/>
      <w:b/>
      <w:color w:val="1F3864" w:themeColor="accent5" w:themeShade="80"/>
      <w:sz w:val="22"/>
    </w:rPr>
  </w:style>
  <w:style w:type="paragraph" w:customStyle="1" w:styleId="P68B1DB1-Normal3">
    <w:name w:val="P68B1DB1-Normal3"/>
    <w:basedOn w:val="Normal"/>
    <w:rPr>
      <w:color w:val="1F3864" w:themeColor="accent5" w:themeShade="80"/>
    </w:rPr>
  </w:style>
  <w:style w:type="paragraph" w:customStyle="1" w:styleId="P68B1DB1-Normal4">
    <w:name w:val="P68B1DB1-Normal4"/>
    <w:basedOn w:val="Normal"/>
    <w:rPr>
      <w:b/>
      <w:color w:val="1F3864" w:themeColor="accent5" w:themeShade="80"/>
      <w:sz w:val="22"/>
    </w:rPr>
  </w:style>
  <w:style w:type="paragraph" w:customStyle="1" w:styleId="P68B1DB1-Normal5">
    <w:name w:val="P68B1DB1-Normal5"/>
    <w:basedOn w:val="Normal"/>
    <w:rPr>
      <w:b/>
      <w:color w:val="1F3864" w:themeColor="accent5" w:themeShade="80"/>
      <w:sz w:val="22"/>
    </w:rPr>
  </w:style>
  <w:style w:type="paragraph" w:customStyle="1" w:styleId="P68B1DB1-Normal6">
    <w:name w:val="P68B1DB1-Normal6"/>
    <w:basedOn w:val="Normal"/>
    <w:rPr>
      <w:rFonts w:cs="Calibri"/>
      <w:color w:val="1F3864" w:themeColor="accent5" w:themeShade="80"/>
    </w:rPr>
  </w:style>
  <w:style w:type="paragraph" w:customStyle="1" w:styleId="P68B1DB1-ListParagraph7">
    <w:name w:val="P68B1DB1-ListParagraph7"/>
    <w:basedOn w:val="ListParagraph"/>
    <w:rPr>
      <w:color w:val="1F3864" w:themeColor="accent5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125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Marius Corduneanu</cp:lastModifiedBy>
  <cp:revision>31</cp:revision>
  <dcterms:created xsi:type="dcterms:W3CDTF">2025-03-03T09:50:00Z</dcterms:created>
  <dcterms:modified xsi:type="dcterms:W3CDTF">2025-04-16T10:55:00Z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