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894820" w:rsidRDefault="00894820">
      <w:pPr>
        <w:jc w:val="both"/>
        <w:rPr>
          <w:rFonts w:cs="Open Sans"/>
          <w:color w:val="003399"/>
        </w:rPr>
      </w:pP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010"/>
      </w:tblGrid>
      <w:tr w:rsidR="00894820" w14:paraId="2FCB8905" w14:textId="77777777">
        <w:trPr>
          <w:trHeight w:val="333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16B8A732" w:rsidR="00894820" w:rsidRDefault="00000000">
            <w:pPr>
              <w:pStyle w:val="P68B1DB1-Normal1"/>
              <w:spacing w:after="120" w:line="276" w:lineRule="auto"/>
              <w:jc w:val="both"/>
            </w:pPr>
            <w:r>
              <w:t xml:space="preserve">Call type: </w:t>
            </w:r>
            <w:r w:rsidR="000B3AE9">
              <w:t>1</w:t>
            </w:r>
            <w:r w:rsidR="000B3AE9" w:rsidRPr="000B3AE9">
              <w:rPr>
                <w:vertAlign w:val="superscript"/>
              </w:rPr>
              <w:t>st</w:t>
            </w:r>
            <w:r w:rsidR="000B3AE9">
              <w:t xml:space="preserve"> Open Call of Proposals</w:t>
            </w:r>
          </w:p>
        </w:tc>
      </w:tr>
      <w:tr w:rsidR="00894820" w14:paraId="0362BCF6" w14:textId="77777777">
        <w:trPr>
          <w:trHeight w:val="333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78826771" w:rsidR="00894820" w:rsidRDefault="00000000">
            <w:pPr>
              <w:pStyle w:val="P68B1DB1-Normal2"/>
              <w:spacing w:after="120" w:line="251" w:lineRule="auto"/>
              <w:jc w:val="center"/>
            </w:pPr>
            <w:r>
              <w:t>Acronym &amp; Project code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3E120531" w:rsidR="00894820" w:rsidRDefault="00000000">
            <w:pPr>
              <w:pStyle w:val="P68B1DB1-Normal2"/>
              <w:spacing w:after="120" w:line="276" w:lineRule="auto"/>
              <w:jc w:val="both"/>
            </w:pPr>
            <w:r>
              <w:t>ROHU</w:t>
            </w:r>
            <w:r w:rsidR="0013541B">
              <w:t>00</w:t>
            </w:r>
            <w:r w:rsidR="00722CC9">
              <w:t xml:space="preserve">458 </w:t>
            </w:r>
            <w:r w:rsidR="00722CC9" w:rsidRPr="00722CC9">
              <w:t>CMPLX-WATER</w:t>
            </w:r>
          </w:p>
        </w:tc>
      </w:tr>
      <w:tr w:rsidR="00894820" w14:paraId="1D2DEC3A" w14:textId="77777777">
        <w:trPr>
          <w:trHeight w:val="776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77777777" w:rsidR="00894820" w:rsidRDefault="00000000">
            <w:pPr>
              <w:pStyle w:val="P68B1DB1-Normal2"/>
              <w:spacing w:after="120"/>
              <w:jc w:val="center"/>
            </w:pPr>
            <w:r>
              <w:t>Project title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1745D622" w:rsidR="00894820" w:rsidRDefault="00000000">
            <w:pPr>
              <w:pStyle w:val="P68B1DB1-Normal3"/>
              <w:spacing w:after="120" w:line="276" w:lineRule="auto"/>
              <w:jc w:val="both"/>
            </w:pPr>
            <w:r>
              <w:rPr>
                <w:rFonts w:cs="Calibri"/>
                <w:b/>
              </w:rPr>
              <w:t>"</w:t>
            </w:r>
            <w:r w:rsidR="00722CC9" w:rsidRPr="00722CC9">
              <w:rPr>
                <w:rFonts w:cs="Calibri"/>
                <w:b/>
              </w:rPr>
              <w:t xml:space="preserve">The Complex Development of Water Management in </w:t>
            </w:r>
            <w:proofErr w:type="spellStart"/>
            <w:r w:rsidR="00722CC9" w:rsidRPr="00722CC9">
              <w:rPr>
                <w:rFonts w:cs="Calibri"/>
                <w:b/>
              </w:rPr>
              <w:t>Barcău</w:t>
            </w:r>
            <w:proofErr w:type="spellEnd"/>
            <w:r w:rsidR="00722CC9" w:rsidRPr="00722CC9">
              <w:rPr>
                <w:rFonts w:cs="Calibri"/>
                <w:b/>
              </w:rPr>
              <w:t xml:space="preserve"> (</w:t>
            </w:r>
            <w:proofErr w:type="spellStart"/>
            <w:r w:rsidR="00722CC9" w:rsidRPr="00722CC9">
              <w:rPr>
                <w:rFonts w:cs="Calibri"/>
                <w:b/>
              </w:rPr>
              <w:t>Berettyó</w:t>
            </w:r>
            <w:proofErr w:type="spellEnd"/>
            <w:r w:rsidR="00722CC9" w:rsidRPr="00722CC9">
              <w:rPr>
                <w:rFonts w:cs="Calibri"/>
                <w:b/>
              </w:rPr>
              <w:t xml:space="preserve">) and </w:t>
            </w:r>
            <w:proofErr w:type="spellStart"/>
            <w:r w:rsidR="00722CC9" w:rsidRPr="00722CC9">
              <w:rPr>
                <w:rFonts w:cs="Calibri"/>
                <w:b/>
              </w:rPr>
              <w:t>Crișul</w:t>
            </w:r>
            <w:proofErr w:type="spellEnd"/>
            <w:r w:rsidR="00722CC9" w:rsidRPr="00722CC9">
              <w:rPr>
                <w:rFonts w:cs="Calibri"/>
                <w:b/>
              </w:rPr>
              <w:t xml:space="preserve"> </w:t>
            </w:r>
            <w:proofErr w:type="spellStart"/>
            <w:r w:rsidR="00722CC9" w:rsidRPr="00722CC9">
              <w:rPr>
                <w:rFonts w:cs="Calibri"/>
                <w:b/>
              </w:rPr>
              <w:t>Repede</w:t>
            </w:r>
            <w:proofErr w:type="spellEnd"/>
            <w:r w:rsidR="00722CC9" w:rsidRPr="00722CC9">
              <w:rPr>
                <w:rFonts w:cs="Calibri"/>
                <w:b/>
              </w:rPr>
              <w:t xml:space="preserve"> (Sebes-</w:t>
            </w:r>
            <w:proofErr w:type="spellStart"/>
            <w:r w:rsidR="00722CC9" w:rsidRPr="00722CC9">
              <w:rPr>
                <w:rFonts w:cs="Calibri"/>
                <w:b/>
              </w:rPr>
              <w:t>Körös</w:t>
            </w:r>
            <w:proofErr w:type="spellEnd"/>
            <w:r w:rsidR="00722CC9" w:rsidRPr="00722CC9">
              <w:rPr>
                <w:rFonts w:cs="Calibri"/>
                <w:b/>
              </w:rPr>
              <w:t>) rivers hydrographic basins in Bihor, Hajdú-Bihar and Békés counties</w:t>
            </w:r>
            <w:r>
              <w:rPr>
                <w:rFonts w:cs="Calibri"/>
                <w:b/>
              </w:rPr>
              <w:t>"</w:t>
            </w:r>
            <w:r>
              <w:t xml:space="preserve"> </w:t>
            </w:r>
          </w:p>
        </w:tc>
      </w:tr>
      <w:tr w:rsidR="00894820" w14:paraId="2ED899A6" w14:textId="77777777">
        <w:trPr>
          <w:trHeight w:val="7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7F3E20E8" w:rsidR="00894820" w:rsidRDefault="00000000">
            <w:pPr>
              <w:pStyle w:val="P68B1DB1-Normal4"/>
              <w:spacing w:after="120"/>
              <w:jc w:val="center"/>
            </w:pPr>
            <w:r>
              <w:t>Priority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679AFB4E" w:rsidR="00894820" w:rsidRPr="0013541B" w:rsidRDefault="00000000" w:rsidP="0013541B">
            <w:pPr>
              <w:pStyle w:val="P68B1DB1-Normal2"/>
              <w:spacing w:after="120" w:line="276" w:lineRule="auto"/>
              <w:jc w:val="both"/>
              <w:rPr>
                <w:b w:val="0"/>
                <w:bCs/>
              </w:rPr>
            </w:pPr>
            <w:r w:rsidRPr="000B3AE9">
              <w:rPr>
                <w:b w:val="0"/>
                <w:bCs/>
                <w:smallCaps/>
              </w:rPr>
              <w:t xml:space="preserve">PRIORITY </w:t>
            </w:r>
            <w:r w:rsidR="00722CC9">
              <w:rPr>
                <w:b w:val="0"/>
                <w:bCs/>
                <w:smallCaps/>
              </w:rPr>
              <w:t>1</w:t>
            </w:r>
            <w:r w:rsidRPr="000B3AE9">
              <w:rPr>
                <w:b w:val="0"/>
                <w:bCs/>
                <w:smallCaps/>
              </w:rPr>
              <w:t>:</w:t>
            </w:r>
            <w:r w:rsidRPr="0013541B">
              <w:rPr>
                <w:b w:val="0"/>
                <w:bCs/>
              </w:rPr>
              <w:t xml:space="preserve"> </w:t>
            </w:r>
            <w:r w:rsidR="00722CC9" w:rsidRPr="00722CC9">
              <w:rPr>
                <w:b w:val="0"/>
                <w:bCs/>
                <w:smallCaps/>
              </w:rPr>
              <w:t>Cooperation for a green and more resilient cross-border area between Romania and Hungary</w:t>
            </w:r>
          </w:p>
        </w:tc>
      </w:tr>
      <w:tr w:rsidR="00894820" w14:paraId="5A450318" w14:textId="77777777">
        <w:trPr>
          <w:trHeight w:val="585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8E83" w14:textId="77777777" w:rsidR="00070E90" w:rsidRDefault="00070E90">
            <w:pPr>
              <w:pStyle w:val="P68B1DB1-Normal4"/>
              <w:spacing w:after="120"/>
              <w:jc w:val="center"/>
            </w:pPr>
            <w:r>
              <w:t>Specific</w:t>
            </w:r>
          </w:p>
          <w:p w14:paraId="468B4CF9" w14:textId="36E9F4E3" w:rsidR="00894820" w:rsidRDefault="00070E90" w:rsidP="00070E90">
            <w:pPr>
              <w:pStyle w:val="P68B1DB1-Normal4"/>
              <w:spacing w:after="120"/>
              <w:jc w:val="center"/>
            </w:pPr>
            <w:r>
              <w:t xml:space="preserve"> 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28A9C335" w:rsidR="00894820" w:rsidRDefault="00000000">
            <w:pPr>
              <w:pStyle w:val="P68B1DB1-Normal3"/>
              <w:spacing w:after="120" w:line="276" w:lineRule="auto"/>
              <w:jc w:val="both"/>
            </w:pPr>
            <w:r>
              <w:t xml:space="preserve">Specific objective Interreg </w:t>
            </w:r>
            <w:r w:rsidR="00722CC9" w:rsidRPr="00722CC9">
              <w:t>RS02.4 - Promoting climate change adaptation and disaster risk prevention, resilience, taking into account eco-</w:t>
            </w:r>
            <w:r w:rsidR="00D007B8" w:rsidRPr="00722CC9">
              <w:t>system-based</w:t>
            </w:r>
            <w:r w:rsidR="00722CC9" w:rsidRPr="00722CC9">
              <w:t xml:space="preserve"> approaches</w:t>
            </w:r>
          </w:p>
        </w:tc>
      </w:tr>
      <w:tr w:rsidR="00894820" w14:paraId="7703D1F8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77777777" w:rsidR="00894820" w:rsidRDefault="00000000">
            <w:pPr>
              <w:pStyle w:val="P68B1DB1-Normal4"/>
              <w:spacing w:after="120"/>
              <w:jc w:val="center"/>
            </w:pPr>
            <w:r>
              <w:t>Implementation period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073BF0F5" w:rsidR="00894820" w:rsidRDefault="00722CC9">
            <w:pPr>
              <w:pStyle w:val="P68B1DB1-Normal3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>
              <w:t>30</w:t>
            </w:r>
            <w:r w:rsidR="00E906F5">
              <w:t xml:space="preserve"> months (</w:t>
            </w:r>
            <w:r>
              <w:t>13</w:t>
            </w:r>
            <w:r w:rsidRPr="00722CC9">
              <w:rPr>
                <w:vertAlign w:val="superscript"/>
              </w:rPr>
              <w:t>th</w:t>
            </w:r>
            <w:r>
              <w:t xml:space="preserve"> </w:t>
            </w:r>
            <w:r w:rsidR="00E906F5">
              <w:t xml:space="preserve">of </w:t>
            </w:r>
            <w:r>
              <w:t>March</w:t>
            </w:r>
            <w:r w:rsidR="00E906F5">
              <w:t xml:space="preserve"> 2025 – </w:t>
            </w:r>
            <w:r>
              <w:t>12</w:t>
            </w:r>
            <w:r w:rsidR="00E906F5" w:rsidRPr="00E906F5">
              <w:rPr>
                <w:vertAlign w:val="superscript"/>
              </w:rPr>
              <w:t>th</w:t>
            </w:r>
            <w:r w:rsidR="00E906F5">
              <w:t xml:space="preserve"> of </w:t>
            </w:r>
            <w:r>
              <w:t xml:space="preserve">September </w:t>
            </w:r>
            <w:r w:rsidR="00E906F5">
              <w:t>202</w:t>
            </w:r>
            <w:r>
              <w:t>7</w:t>
            </w:r>
            <w:r w:rsidR="00E906F5">
              <w:t>)</w:t>
            </w:r>
          </w:p>
        </w:tc>
      </w:tr>
      <w:tr w:rsidR="00894820" w14:paraId="010F0453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7777777" w:rsidR="00894820" w:rsidRDefault="00000000">
            <w:pPr>
              <w:pStyle w:val="P68B1DB1-Normal4"/>
              <w:spacing w:after="120"/>
              <w:jc w:val="center"/>
            </w:pPr>
            <w:r>
              <w:t>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6DF6E166" w:rsidR="00894820" w:rsidRDefault="00E23534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 w:rsidRPr="00E23534">
              <w:t>The project a</w:t>
            </w:r>
            <w:r>
              <w:t>i</w:t>
            </w:r>
            <w:r w:rsidRPr="00215B0F">
              <w:t xml:space="preserve">ms </w:t>
            </w:r>
            <w:r w:rsidR="00907036" w:rsidRPr="00907036">
              <w:t>to promote climate change adaptation and disaster risk prevention, resilience, taking into account eco-</w:t>
            </w:r>
            <w:r w:rsidR="00346A33" w:rsidRPr="00907036">
              <w:t>system-based</w:t>
            </w:r>
            <w:r w:rsidR="00907036" w:rsidRPr="00907036">
              <w:t xml:space="preserve"> approaches in the cross-border area of Romania and Hungary, by focusing on jointly implementing specific methods needed in the cross-border territory of Bihor, Hajdú-Bihar and Békés, in order to increase the capacity for intervention and response against floods as well as increasing water accumulation capacity to counteract the effects of drought</w:t>
            </w:r>
          </w:p>
        </w:tc>
      </w:tr>
      <w:tr w:rsidR="00894820" w14:paraId="1EEF8B90" w14:textId="77777777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77777777" w:rsidR="00894820" w:rsidRDefault="00000000">
            <w:pPr>
              <w:pStyle w:val="P68B1DB1-Normal2"/>
              <w:spacing w:after="120"/>
              <w:jc w:val="center"/>
            </w:pPr>
            <w:r>
              <w:t>Partnership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76D" w14:textId="06C398AC" w:rsidR="00894820" w:rsidRDefault="00000000">
            <w:pPr>
              <w:pStyle w:val="P68B1DB1-Normal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Calibri"/>
              </w:rPr>
            </w:pPr>
            <w:r>
              <w:t xml:space="preserve">Lead Partner: </w:t>
            </w:r>
          </w:p>
          <w:p w14:paraId="6332623C" w14:textId="7A0A64A7" w:rsidR="00907036" w:rsidRDefault="00907036">
            <w:pPr>
              <w:pStyle w:val="P68B1DB1-Normal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 w:rsidRPr="00907036">
              <w:t>"Romanian Waters” National Administration - "</w:t>
            </w:r>
            <w:proofErr w:type="spellStart"/>
            <w:r w:rsidRPr="00907036">
              <w:t>Crișuri</w:t>
            </w:r>
            <w:proofErr w:type="spellEnd"/>
            <w:r w:rsidRPr="00907036">
              <w:t xml:space="preserve">" Water Basin Administration </w:t>
            </w:r>
            <w:r w:rsidR="008760C1">
              <w:t>(RO)</w:t>
            </w:r>
          </w:p>
        </w:tc>
      </w:tr>
      <w:tr w:rsidR="00894820" w14:paraId="527C4A89" w14:textId="77777777">
        <w:trPr>
          <w:trHeight w:val="926"/>
        </w:trPr>
        <w:tc>
          <w:tcPr>
            <w:tcW w:w="21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894820" w:rsidRDefault="00894820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</w:rPr>
            </w:pP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43FF" w14:textId="77777777" w:rsidR="0032324F" w:rsidRDefault="00000000" w:rsidP="0032324F">
            <w:pPr>
              <w:pStyle w:val="P68B1DB1-Normal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 w:rsidRPr="0032324F">
              <w:t>Project partner</w:t>
            </w:r>
            <w:r w:rsidR="00722CC9" w:rsidRPr="0032324F">
              <w:t>s</w:t>
            </w:r>
            <w:r>
              <w:t xml:space="preserve">: </w:t>
            </w:r>
          </w:p>
          <w:p w14:paraId="71051291" w14:textId="2BD3A12F" w:rsidR="0032324F" w:rsidRDefault="0032324F" w:rsidP="0032324F">
            <w:pPr>
              <w:pStyle w:val="P68B1DB1-Normal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>
              <w:t xml:space="preserve">PP2: </w:t>
            </w:r>
            <w:proofErr w:type="spellStart"/>
            <w:r w:rsidRPr="00907036">
              <w:t>Körös</w:t>
            </w:r>
            <w:proofErr w:type="spellEnd"/>
            <w:r w:rsidRPr="00907036">
              <w:t xml:space="preserve"> Valley District Water Directorate</w:t>
            </w:r>
            <w:r>
              <w:t xml:space="preserve"> (HU)</w:t>
            </w:r>
          </w:p>
          <w:p w14:paraId="6AA63A9C" w14:textId="1FB2DCF7" w:rsidR="0032324F" w:rsidRDefault="0032324F" w:rsidP="0032324F">
            <w:pPr>
              <w:pStyle w:val="P68B1DB1-Normal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>
              <w:t xml:space="preserve">PP3: </w:t>
            </w:r>
            <w:r w:rsidRPr="00907036">
              <w:t>Trans Tisza Water Directorate</w:t>
            </w:r>
            <w:r>
              <w:t xml:space="preserve"> (HU)</w:t>
            </w:r>
          </w:p>
          <w:p w14:paraId="7BCBBF71" w14:textId="78EEBE60" w:rsidR="00894820" w:rsidRDefault="0032324F" w:rsidP="0032324F">
            <w:pPr>
              <w:pStyle w:val="P68B1DB1-Normal4"/>
              <w:spacing w:after="120" w:line="276" w:lineRule="auto"/>
              <w:jc w:val="both"/>
            </w:pPr>
            <w:r>
              <w:rPr>
                <w:rFonts w:cs="Calibri"/>
                <w:b w:val="0"/>
                <w:sz w:val="20"/>
              </w:rPr>
              <w:t xml:space="preserve">PP4: </w:t>
            </w:r>
            <w:r w:rsidRPr="0032324F">
              <w:rPr>
                <w:rFonts w:cs="Calibri"/>
                <w:b w:val="0"/>
                <w:sz w:val="20"/>
              </w:rPr>
              <w:t>Salard Commune (RO)</w:t>
            </w:r>
          </w:p>
        </w:tc>
      </w:tr>
      <w:tr w:rsidR="00894820" w14:paraId="4EE4EBD1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77777777" w:rsidR="00894820" w:rsidRDefault="00000000">
            <w:pPr>
              <w:pStyle w:val="P68B1DB1-Normal2"/>
              <w:jc w:val="center"/>
            </w:pPr>
            <w:r>
              <w:t>Total budget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3987095A" w:rsidR="00894820" w:rsidRDefault="00000000">
            <w:pPr>
              <w:spacing w:line="276" w:lineRule="auto"/>
              <w:jc w:val="both"/>
              <w:rPr>
                <w:rFonts w:cs="Calibri"/>
                <w:color w:val="1F3864" w:themeColor="accent5" w:themeShade="80"/>
                <w:sz w:val="22"/>
              </w:rPr>
            </w:pPr>
            <w:r>
              <w:rPr>
                <w:color w:val="1F3864" w:themeColor="accent5" w:themeShade="80"/>
                <w:sz w:val="22"/>
              </w:rPr>
              <w:t xml:space="preserve">EUR </w:t>
            </w:r>
            <w:r w:rsidR="00346A33">
              <w:rPr>
                <w:color w:val="1F3864" w:themeColor="accent5" w:themeShade="80"/>
                <w:sz w:val="22"/>
              </w:rPr>
              <w:t>1,900,000.00 out</w:t>
            </w:r>
            <w:r w:rsidR="00291991">
              <w:rPr>
                <w:b/>
                <w:bCs/>
                <w:color w:val="1F3864" w:themeColor="accent5" w:themeShade="80"/>
                <w:sz w:val="22"/>
              </w:rPr>
              <w:t xml:space="preserve"> </w:t>
            </w:r>
            <w:r>
              <w:rPr>
                <w:color w:val="1F3864" w:themeColor="accent5" w:themeShade="80"/>
                <w:sz w:val="22"/>
              </w:rPr>
              <w:t xml:space="preserve">of which ERDF EUR </w:t>
            </w:r>
            <w:r w:rsidR="00346A33">
              <w:rPr>
                <w:color w:val="1F3864" w:themeColor="accent5" w:themeShade="80"/>
                <w:sz w:val="22"/>
              </w:rPr>
              <w:t>1,520,000.00</w:t>
            </w:r>
            <w:r>
              <w:tab/>
            </w:r>
          </w:p>
        </w:tc>
      </w:tr>
      <w:tr w:rsidR="00894820" w14:paraId="51B61C9D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77777777" w:rsidR="00894820" w:rsidRDefault="00000000">
            <w:pPr>
              <w:pStyle w:val="P68B1DB1-Normal2"/>
              <w:jc w:val="center"/>
            </w:pPr>
            <w:r>
              <w:t>Summary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20B1" w14:textId="33DFC776" w:rsidR="00215B0F" w:rsidRDefault="00000000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>
              <w:t xml:space="preserve">The project </w:t>
            </w:r>
            <w:r w:rsidRPr="0013541B">
              <w:rPr>
                <w:b/>
                <w:bCs/>
                <w:i/>
                <w:iCs/>
              </w:rPr>
              <w:t>‘</w:t>
            </w:r>
            <w:r w:rsidR="00754C6A" w:rsidRPr="00722CC9">
              <w:rPr>
                <w:rFonts w:cs="Calibri"/>
                <w:b/>
              </w:rPr>
              <w:t xml:space="preserve">The Complex Development of Water Management in </w:t>
            </w:r>
            <w:proofErr w:type="spellStart"/>
            <w:r w:rsidR="00754C6A" w:rsidRPr="00722CC9">
              <w:rPr>
                <w:rFonts w:cs="Calibri"/>
                <w:b/>
              </w:rPr>
              <w:t>Barcău</w:t>
            </w:r>
            <w:proofErr w:type="spellEnd"/>
            <w:r w:rsidR="00754C6A" w:rsidRPr="00722CC9">
              <w:rPr>
                <w:rFonts w:cs="Calibri"/>
                <w:b/>
              </w:rPr>
              <w:t xml:space="preserve"> (</w:t>
            </w:r>
            <w:proofErr w:type="spellStart"/>
            <w:r w:rsidR="00754C6A" w:rsidRPr="00722CC9">
              <w:rPr>
                <w:rFonts w:cs="Calibri"/>
                <w:b/>
              </w:rPr>
              <w:t>Berettyó</w:t>
            </w:r>
            <w:proofErr w:type="spellEnd"/>
            <w:r w:rsidR="00754C6A" w:rsidRPr="00722CC9">
              <w:rPr>
                <w:rFonts w:cs="Calibri"/>
                <w:b/>
              </w:rPr>
              <w:t xml:space="preserve">) and </w:t>
            </w:r>
            <w:proofErr w:type="spellStart"/>
            <w:r w:rsidR="00754C6A" w:rsidRPr="00722CC9">
              <w:rPr>
                <w:rFonts w:cs="Calibri"/>
                <w:b/>
              </w:rPr>
              <w:t>Crișul</w:t>
            </w:r>
            <w:proofErr w:type="spellEnd"/>
            <w:r w:rsidR="00754C6A" w:rsidRPr="00722CC9">
              <w:rPr>
                <w:rFonts w:cs="Calibri"/>
                <w:b/>
              </w:rPr>
              <w:t xml:space="preserve"> </w:t>
            </w:r>
            <w:proofErr w:type="spellStart"/>
            <w:r w:rsidR="00754C6A" w:rsidRPr="00722CC9">
              <w:rPr>
                <w:rFonts w:cs="Calibri"/>
                <w:b/>
              </w:rPr>
              <w:t>Repede</w:t>
            </w:r>
            <w:proofErr w:type="spellEnd"/>
            <w:r w:rsidR="00754C6A" w:rsidRPr="00722CC9">
              <w:rPr>
                <w:rFonts w:cs="Calibri"/>
                <w:b/>
              </w:rPr>
              <w:t xml:space="preserve"> (Sebes-</w:t>
            </w:r>
            <w:proofErr w:type="spellStart"/>
            <w:r w:rsidR="00754C6A" w:rsidRPr="00722CC9">
              <w:rPr>
                <w:rFonts w:cs="Calibri"/>
                <w:b/>
              </w:rPr>
              <w:t>Körös</w:t>
            </w:r>
            <w:proofErr w:type="spellEnd"/>
            <w:r w:rsidR="00754C6A" w:rsidRPr="00722CC9">
              <w:rPr>
                <w:rFonts w:cs="Calibri"/>
                <w:b/>
              </w:rPr>
              <w:t>) rivers hydrographic basins in Bihor, Hajdú-Bihar and Békés counties</w:t>
            </w:r>
            <w:r w:rsidR="00754C6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(ROHU00</w:t>
            </w:r>
            <w:r w:rsidR="00754C6A">
              <w:rPr>
                <w:b/>
                <w:i/>
              </w:rPr>
              <w:t>458</w:t>
            </w:r>
            <w:r>
              <w:rPr>
                <w:b/>
                <w:i/>
              </w:rPr>
              <w:t xml:space="preserve"> - </w:t>
            </w:r>
            <w:r w:rsidR="00754C6A" w:rsidRPr="00754C6A">
              <w:rPr>
                <w:b/>
                <w:bCs/>
              </w:rPr>
              <w:t>CMPLX-WATER</w:t>
            </w:r>
            <w:r>
              <w:rPr>
                <w:b/>
                <w:i/>
              </w:rPr>
              <w:t>)</w:t>
            </w:r>
            <w:r w:rsidR="00754C6A">
              <w:rPr>
                <w:b/>
                <w:i/>
              </w:rPr>
              <w:t>’</w:t>
            </w:r>
            <w:r>
              <w:t xml:space="preserve"> </w:t>
            </w:r>
            <w:r w:rsidR="00215B0F">
              <w:t>ai</w:t>
            </w:r>
            <w:r w:rsidR="00215B0F" w:rsidRPr="00215B0F">
              <w:t xml:space="preserve">ms </w:t>
            </w:r>
            <w:r w:rsidR="003B331A">
              <w:t xml:space="preserve">to respond </w:t>
            </w:r>
            <w:r w:rsidR="003B331A" w:rsidRPr="003B331A">
              <w:t>to the challenges</w:t>
            </w:r>
            <w:r w:rsidR="003B331A">
              <w:t xml:space="preserve"> raised by the climate change</w:t>
            </w:r>
            <w:r w:rsidR="00B97911">
              <w:t>s</w:t>
            </w:r>
            <w:r w:rsidR="003B331A" w:rsidRPr="003B331A">
              <w:t xml:space="preserve">, </w:t>
            </w:r>
            <w:r w:rsidR="003B331A">
              <w:t>by creating</w:t>
            </w:r>
            <w:r w:rsidR="003B331A" w:rsidRPr="003B331A">
              <w:t xml:space="preserve"> a more modern distribution of water in the program area, a novel prevention of water damages (flash floods, inland water and drought damage) by water storage, water retention, and the creation and design of other systems with greater operational safety. </w:t>
            </w:r>
            <w:r w:rsidR="003B331A">
              <w:t xml:space="preserve">Ultimately, the </w:t>
            </w:r>
            <w:r w:rsidR="003B331A">
              <w:lastRenderedPageBreak/>
              <w:t>goal</w:t>
            </w:r>
            <w:r w:rsidR="003B331A" w:rsidRPr="003B331A">
              <w:t xml:space="preserve"> </w:t>
            </w:r>
            <w:r w:rsidR="003B331A">
              <w:t xml:space="preserve">of the activities developed under the project </w:t>
            </w:r>
            <w:r w:rsidR="003B331A" w:rsidRPr="003B331A">
              <w:t xml:space="preserve">is to direct the previously held back water to the place </w:t>
            </w:r>
            <w:r w:rsidR="003B331A">
              <w:t xml:space="preserve">where it’s needed </w:t>
            </w:r>
            <w:r w:rsidR="003B331A" w:rsidRPr="003B331A">
              <w:t>during the water shortage period</w:t>
            </w:r>
            <w:r w:rsidR="003B331A">
              <w:t>s, which are more frequent.</w:t>
            </w:r>
            <w:r w:rsidR="003B331A" w:rsidRPr="003B331A">
              <w:t xml:space="preserve"> </w:t>
            </w:r>
          </w:p>
        </w:tc>
      </w:tr>
      <w:tr w:rsidR="00894820" w14:paraId="47DF7069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77777777" w:rsidR="00894820" w:rsidRDefault="00000000">
            <w:pPr>
              <w:pStyle w:val="P68B1DB1-Normal2"/>
              <w:jc w:val="center"/>
            </w:pPr>
            <w:r>
              <w:lastRenderedPageBreak/>
              <w:t>Main results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831D" w14:textId="4DFF2735" w:rsidR="00754C6A" w:rsidRPr="00FD7D6D" w:rsidRDefault="00FD7D6D" w:rsidP="00754C6A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color w:val="1F3864" w:themeColor="accent5" w:themeShade="80"/>
                <w:sz w:val="20"/>
              </w:rPr>
            </w:pPr>
            <w:r w:rsidRPr="00FD7D6D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Construction of a </w:t>
            </w:r>
            <w:r w:rsidRPr="00FD7D6D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penstock</w:t>
            </w:r>
            <w:r w:rsidRPr="00FD7D6D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and</w:t>
            </w:r>
            <w:r w:rsidRPr="00FD7D6D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a </w:t>
            </w:r>
            <w:r w:rsidRPr="00FD7D6D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water pumping station</w:t>
            </w:r>
            <w:r w:rsidRPr="00FD7D6D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, </w:t>
            </w:r>
            <w:r w:rsidRPr="00FD7D6D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repair of </w:t>
            </w:r>
            <w:r w:rsidRPr="00FD7D6D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two under</w:t>
            </w:r>
            <w:r w:rsidRPr="00FD7D6D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-</w:t>
            </w:r>
            <w:r w:rsidRPr="00FD7D6D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crossings</w:t>
            </w:r>
            <w:r w:rsidRPr="00FD7D6D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, </w:t>
            </w:r>
            <w:r w:rsidRPr="00FD7D6D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building </w:t>
            </w:r>
            <w:r w:rsidRPr="00FD7D6D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of an </w:t>
            </w:r>
            <w:r w:rsidRPr="00FD7D6D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annex</w:t>
            </w:r>
            <w:r w:rsidRPr="00FD7D6D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to serve the operating personnel</w:t>
            </w:r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in the </w:t>
            </w:r>
            <w:proofErr w:type="spellStart"/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>Barcau</w:t>
            </w:r>
            <w:proofErr w:type="spellEnd"/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Valley area (LP)</w:t>
            </w:r>
          </w:p>
          <w:p w14:paraId="2EA5AA77" w14:textId="77777777" w:rsidR="00A55404" w:rsidRDefault="00EE2F17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color w:val="1F3864" w:themeColor="accent5" w:themeShade="80"/>
                <w:sz w:val="20"/>
              </w:rPr>
            </w:pPr>
            <w:r w:rsidRPr="00EE2F17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Reconstruction of the </w:t>
            </w:r>
            <w:r w:rsidRPr="00EE2F17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wavefield feeder canal</w:t>
            </w:r>
            <w:r w:rsidRPr="00EE2F17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of the main water outtake in </w:t>
            </w:r>
            <w:proofErr w:type="spellStart"/>
            <w:r w:rsidRPr="00EE2F17">
              <w:rPr>
                <w:rFonts w:ascii="Open Sans" w:hAnsi="Open Sans" w:cs="Open Sans"/>
                <w:color w:val="1F3864" w:themeColor="accent5" w:themeShade="80"/>
                <w:sz w:val="20"/>
              </w:rPr>
              <w:t>Biha</w:t>
            </w:r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>r</w:t>
            </w:r>
            <w:r w:rsidRPr="00EE2F17">
              <w:rPr>
                <w:rFonts w:ascii="Open Sans" w:hAnsi="Open Sans" w:cs="Open Sans"/>
                <w:color w:val="1F3864" w:themeColor="accent5" w:themeShade="80"/>
                <w:sz w:val="20"/>
              </w:rPr>
              <w:t>ugra</w:t>
            </w:r>
            <w:proofErr w:type="spellEnd"/>
            <w:r w:rsidR="0079606B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(PP2)</w:t>
            </w:r>
          </w:p>
          <w:p w14:paraId="467687FB" w14:textId="77777777" w:rsidR="0079606B" w:rsidRDefault="0079606B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color w:val="1F3864" w:themeColor="accent5" w:themeShade="80"/>
                <w:sz w:val="20"/>
              </w:rPr>
            </w:pPr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Preparation of the </w:t>
            </w:r>
            <w:r w:rsidRPr="0079606B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technical documentation</w:t>
            </w:r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</w:t>
            </w:r>
            <w:r w:rsidRPr="0079606B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for the </w:t>
            </w:r>
            <w:r w:rsidRPr="0079606B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Sebes-</w:t>
            </w:r>
            <w:proofErr w:type="spellStart"/>
            <w:r w:rsidRPr="0079606B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Kettős</w:t>
            </w:r>
            <w:proofErr w:type="spellEnd"/>
            <w:r w:rsidRPr="0079606B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-Fekete-</w:t>
            </w:r>
            <w:proofErr w:type="spellStart"/>
            <w:r w:rsidRPr="0079606B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Körös</w:t>
            </w:r>
            <w:proofErr w:type="spellEnd"/>
            <w:r w:rsidRPr="0079606B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 connecting canal</w:t>
            </w:r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, including </w:t>
            </w:r>
            <w:r w:rsidRPr="0079606B">
              <w:rPr>
                <w:rFonts w:ascii="Open Sans" w:hAnsi="Open Sans" w:cs="Open Sans"/>
                <w:color w:val="1F3864" w:themeColor="accent5" w:themeShade="80"/>
                <w:sz w:val="20"/>
              </w:rPr>
              <w:t>environmental impact assessment</w:t>
            </w:r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and </w:t>
            </w:r>
            <w:r w:rsidRPr="0079606B">
              <w:rPr>
                <w:rFonts w:ascii="Open Sans" w:hAnsi="Open Sans" w:cs="Open Sans"/>
                <w:color w:val="1F3864" w:themeColor="accent5" w:themeShade="80"/>
                <w:sz w:val="20"/>
              </w:rPr>
              <w:t>water rights permit plan</w:t>
            </w:r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(PP2)</w:t>
            </w:r>
          </w:p>
          <w:p w14:paraId="584F4B4E" w14:textId="77777777" w:rsidR="00137A91" w:rsidRDefault="00FE4CD7" w:rsidP="00FE4CD7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cs="Open Sans"/>
                <w:color w:val="1F3864" w:themeColor="accent5" w:themeShade="80"/>
                <w:lang w:val="en-GB"/>
              </w:rPr>
            </w:pPr>
            <w:r>
              <w:rPr>
                <w:rFonts w:cs="Open Sans"/>
                <w:color w:val="1F3864" w:themeColor="accent5" w:themeShade="80"/>
                <w:lang w:val="en-GB"/>
              </w:rPr>
              <w:t xml:space="preserve">Works for </w:t>
            </w:r>
            <w:r w:rsidRPr="00FE4CD7">
              <w:rPr>
                <w:rFonts w:cs="Open Sans"/>
                <w:b/>
                <w:bCs/>
                <w:color w:val="1F3864" w:themeColor="accent5" w:themeShade="80"/>
                <w:lang w:val="en-GB"/>
              </w:rPr>
              <w:t>r</w:t>
            </w:r>
            <w:r w:rsidRPr="00FE4CD7">
              <w:rPr>
                <w:rFonts w:cs="Open Sans"/>
                <w:b/>
                <w:bCs/>
                <w:color w:val="1F3864" w:themeColor="accent5" w:themeShade="80"/>
                <w:lang w:val="en-GB"/>
              </w:rPr>
              <w:t>iver regulation</w:t>
            </w:r>
            <w:r w:rsidRPr="00FE4CD7">
              <w:rPr>
                <w:rFonts w:cs="Open Sans"/>
                <w:color w:val="1F3864" w:themeColor="accent5" w:themeShade="80"/>
                <w:lang w:val="en-GB"/>
              </w:rPr>
              <w:t xml:space="preserve"> and </w:t>
            </w:r>
            <w:r w:rsidRPr="00FE4CD7">
              <w:rPr>
                <w:rFonts w:cs="Open Sans"/>
                <w:b/>
                <w:bCs/>
                <w:color w:val="1F3864" w:themeColor="accent5" w:themeShade="80"/>
                <w:lang w:val="en-GB"/>
              </w:rPr>
              <w:t>water replacement interventions</w:t>
            </w:r>
            <w:r>
              <w:rPr>
                <w:rFonts w:cs="Open Sans"/>
                <w:color w:val="1F3864" w:themeColor="accent5" w:themeShade="80"/>
                <w:lang w:val="en-GB"/>
              </w:rPr>
              <w:t xml:space="preserve"> i</w:t>
            </w:r>
            <w:r w:rsidRPr="00FE4CD7">
              <w:rPr>
                <w:rFonts w:cs="Open Sans"/>
                <w:color w:val="1F3864" w:themeColor="accent5" w:themeShade="80"/>
                <w:lang w:val="en-GB"/>
              </w:rPr>
              <w:t xml:space="preserve">n the section </w:t>
            </w:r>
            <w:proofErr w:type="spellStart"/>
            <w:r w:rsidRPr="00FE4CD7">
              <w:rPr>
                <w:rFonts w:cs="Open Sans"/>
                <w:color w:val="1F3864" w:themeColor="accent5" w:themeShade="80"/>
                <w:lang w:val="en-GB"/>
              </w:rPr>
              <w:t>Ér</w:t>
            </w:r>
            <w:proofErr w:type="spellEnd"/>
            <w:r w:rsidRPr="00FE4CD7">
              <w:rPr>
                <w:rFonts w:cs="Open Sans"/>
                <w:color w:val="1F3864" w:themeColor="accent5" w:themeShade="80"/>
                <w:lang w:val="en-GB"/>
              </w:rPr>
              <w:t xml:space="preserve"> - main channel</w:t>
            </w:r>
            <w:r>
              <w:rPr>
                <w:rFonts w:cs="Open Sans"/>
                <w:color w:val="1F3864" w:themeColor="accent5" w:themeShade="80"/>
                <w:lang w:val="en-GB"/>
              </w:rPr>
              <w:t xml:space="preserve"> </w:t>
            </w:r>
            <w:r w:rsidR="00A40610">
              <w:rPr>
                <w:rFonts w:cs="Open Sans"/>
                <w:color w:val="1F3864" w:themeColor="accent5" w:themeShade="80"/>
                <w:lang w:val="en-GB"/>
              </w:rPr>
              <w:t xml:space="preserve">and acquisition on necessary </w:t>
            </w:r>
            <w:r w:rsidR="00A40610" w:rsidRPr="00A40610">
              <w:rPr>
                <w:rFonts w:cs="Open Sans"/>
                <w:b/>
                <w:bCs/>
                <w:color w:val="1F3864" w:themeColor="accent5" w:themeShade="80"/>
                <w:lang w:val="en-GB"/>
              </w:rPr>
              <w:t>equipmen</w:t>
            </w:r>
            <w:r w:rsidR="00A40610">
              <w:rPr>
                <w:rFonts w:cs="Open Sans"/>
                <w:color w:val="1F3864" w:themeColor="accent5" w:themeShade="80"/>
                <w:lang w:val="en-GB"/>
              </w:rPr>
              <w:t xml:space="preserve">t for maintenance – </w:t>
            </w:r>
            <w:r w:rsidR="00A40610" w:rsidRPr="00A40610">
              <w:rPr>
                <w:rFonts w:cs="Open Sans"/>
                <w:b/>
                <w:bCs/>
                <w:color w:val="1F3864" w:themeColor="accent5" w:themeShade="80"/>
                <w:lang w:val="en-GB"/>
              </w:rPr>
              <w:t>tractor</w:t>
            </w:r>
            <w:r w:rsidR="00A40610">
              <w:rPr>
                <w:rFonts w:cs="Open Sans"/>
                <w:color w:val="1F3864" w:themeColor="accent5" w:themeShade="80"/>
                <w:lang w:val="en-GB"/>
              </w:rPr>
              <w:t xml:space="preserve"> and </w:t>
            </w:r>
            <w:r w:rsidR="00A40610" w:rsidRPr="00A40610">
              <w:rPr>
                <w:rFonts w:cs="Open Sans"/>
                <w:b/>
                <w:bCs/>
                <w:color w:val="1F3864" w:themeColor="accent5" w:themeShade="80"/>
                <w:lang w:val="en-GB"/>
              </w:rPr>
              <w:t>front loader</w:t>
            </w:r>
            <w:r w:rsidR="00A40610" w:rsidRPr="00A40610">
              <w:rPr>
                <w:rFonts w:cs="Open Sans"/>
                <w:color w:val="1F3864" w:themeColor="accent5" w:themeShade="80"/>
                <w:lang w:val="en-GB"/>
              </w:rPr>
              <w:t xml:space="preserve"> </w:t>
            </w:r>
            <w:r w:rsidR="00A40610">
              <w:rPr>
                <w:rFonts w:cs="Open Sans"/>
                <w:color w:val="1F3864" w:themeColor="accent5" w:themeShade="80"/>
                <w:lang w:val="en-GB"/>
              </w:rPr>
              <w:t xml:space="preserve">with </w:t>
            </w:r>
            <w:r w:rsidR="00A40610" w:rsidRPr="00A40610">
              <w:rPr>
                <w:rFonts w:cs="Open Sans"/>
                <w:color w:val="1F3864" w:themeColor="accent5" w:themeShade="80"/>
                <w:lang w:val="en-GB"/>
              </w:rPr>
              <w:t>adapters</w:t>
            </w:r>
            <w:r w:rsidR="00A40610">
              <w:rPr>
                <w:rFonts w:cs="Open Sans"/>
                <w:color w:val="1F3864" w:themeColor="accent5" w:themeShade="80"/>
                <w:lang w:val="en-GB"/>
              </w:rPr>
              <w:t xml:space="preserve"> </w:t>
            </w:r>
            <w:r>
              <w:rPr>
                <w:rFonts w:cs="Open Sans"/>
                <w:color w:val="1F3864" w:themeColor="accent5" w:themeShade="80"/>
                <w:lang w:val="en-GB"/>
              </w:rPr>
              <w:t>(PP3)</w:t>
            </w:r>
          </w:p>
          <w:p w14:paraId="5C2D6722" w14:textId="77777777" w:rsidR="00B97911" w:rsidRPr="00B97911" w:rsidRDefault="00137A91" w:rsidP="00FE4CD7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cs="Open Sans"/>
                <w:color w:val="1F3864" w:themeColor="accent5" w:themeShade="80"/>
                <w:lang w:val="en-GB"/>
              </w:rPr>
            </w:pPr>
            <w:r w:rsidRPr="00137A91">
              <w:rPr>
                <w:rFonts w:cs="Open Sans"/>
                <w:color w:val="1F3864" w:themeColor="accent5" w:themeShade="80"/>
              </w:rPr>
              <w:t xml:space="preserve">Preparation of </w:t>
            </w:r>
            <w:r>
              <w:rPr>
                <w:rFonts w:cs="Open Sans"/>
                <w:color w:val="1F3864" w:themeColor="accent5" w:themeShade="80"/>
              </w:rPr>
              <w:t xml:space="preserve">a </w:t>
            </w:r>
            <w:r w:rsidRPr="00137A91">
              <w:rPr>
                <w:rFonts w:cs="Open Sans"/>
                <w:b/>
                <w:bCs/>
                <w:color w:val="1F3864" w:themeColor="accent5" w:themeShade="80"/>
              </w:rPr>
              <w:t>water rights permit plan</w:t>
            </w:r>
            <w:r>
              <w:rPr>
                <w:rFonts w:cs="Open Sans"/>
                <w:color w:val="1F3864" w:themeColor="accent5" w:themeShade="80"/>
              </w:rPr>
              <w:t xml:space="preserve"> related to works </w:t>
            </w:r>
            <w:r w:rsidRPr="00137A91">
              <w:rPr>
                <w:rFonts w:cs="Open Sans"/>
                <w:color w:val="1F3864" w:themeColor="accent5" w:themeShade="80"/>
              </w:rPr>
              <w:t>for the reconstruction of the control structure estuary of the Kutas-</w:t>
            </w:r>
            <w:proofErr w:type="spellStart"/>
            <w:r w:rsidRPr="00137A91">
              <w:rPr>
                <w:rFonts w:cs="Open Sans"/>
                <w:color w:val="1F3864" w:themeColor="accent5" w:themeShade="80"/>
              </w:rPr>
              <w:t>alsó</w:t>
            </w:r>
            <w:proofErr w:type="spellEnd"/>
            <w:r w:rsidRPr="00137A91">
              <w:rPr>
                <w:rFonts w:cs="Open Sans"/>
                <w:color w:val="1F3864" w:themeColor="accent5" w:themeShade="80"/>
              </w:rPr>
              <w:t>-main channel</w:t>
            </w:r>
            <w:r w:rsidR="007D4E8C">
              <w:rPr>
                <w:rFonts w:cs="Open Sans"/>
                <w:color w:val="1F3864" w:themeColor="accent5" w:themeShade="80"/>
              </w:rPr>
              <w:t xml:space="preserve"> (PP3)</w:t>
            </w:r>
          </w:p>
          <w:p w14:paraId="7A63B94D" w14:textId="77777777" w:rsidR="00B97911" w:rsidRPr="00B97911" w:rsidRDefault="00B97911" w:rsidP="00FE4CD7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cs="Open Sans"/>
                <w:color w:val="1F3864" w:themeColor="accent5" w:themeShade="80"/>
                <w:lang w:val="en-GB"/>
              </w:rPr>
            </w:pPr>
            <w:r w:rsidRPr="00B97911">
              <w:rPr>
                <w:rFonts w:cs="Open Sans"/>
                <w:color w:val="1F3864" w:themeColor="accent5" w:themeShade="80"/>
              </w:rPr>
              <w:t>Works for</w:t>
            </w:r>
            <w:r w:rsidRPr="00B97911">
              <w:rPr>
                <w:rFonts w:cs="Open Sans"/>
                <w:b/>
                <w:bCs/>
                <w:color w:val="1F3864" w:themeColor="accent5" w:themeShade="80"/>
              </w:rPr>
              <w:t xml:space="preserve"> f</w:t>
            </w:r>
            <w:r w:rsidRPr="00B97911">
              <w:rPr>
                <w:rFonts w:cs="Open Sans"/>
                <w:b/>
                <w:bCs/>
                <w:color w:val="1F3864" w:themeColor="accent5" w:themeShade="80"/>
              </w:rPr>
              <w:t>lood prevention</w:t>
            </w:r>
            <w:r w:rsidRPr="00B97911">
              <w:rPr>
                <w:rFonts w:cs="Open Sans"/>
                <w:color w:val="1F3864" w:themeColor="accent5" w:themeShade="80"/>
              </w:rPr>
              <w:t xml:space="preserve"> </w:t>
            </w:r>
            <w:r>
              <w:rPr>
                <w:rFonts w:cs="Open Sans"/>
                <w:color w:val="1F3864" w:themeColor="accent5" w:themeShade="80"/>
              </w:rPr>
              <w:t xml:space="preserve">in the area of </w:t>
            </w:r>
            <w:r w:rsidRPr="00B97911">
              <w:rPr>
                <w:rFonts w:cs="Open Sans"/>
                <w:color w:val="1F3864" w:themeColor="accent5" w:themeShade="80"/>
              </w:rPr>
              <w:t xml:space="preserve">Valea </w:t>
            </w:r>
            <w:proofErr w:type="spellStart"/>
            <w:r w:rsidRPr="00B97911">
              <w:rPr>
                <w:rFonts w:cs="Open Sans"/>
                <w:color w:val="1F3864" w:themeColor="accent5" w:themeShade="80"/>
              </w:rPr>
              <w:t>Vițeilor</w:t>
            </w:r>
            <w:proofErr w:type="spellEnd"/>
            <w:r>
              <w:rPr>
                <w:rFonts w:cs="Open Sans"/>
                <w:color w:val="1F3864" w:themeColor="accent5" w:themeShade="80"/>
              </w:rPr>
              <w:t>–</w:t>
            </w:r>
            <w:proofErr w:type="spellStart"/>
            <w:r w:rsidRPr="00B97911">
              <w:rPr>
                <w:rFonts w:cs="Open Sans"/>
                <w:color w:val="1F3864" w:themeColor="accent5" w:themeShade="80"/>
              </w:rPr>
              <w:t>Barcău</w:t>
            </w:r>
            <w:proofErr w:type="spellEnd"/>
            <w:r>
              <w:rPr>
                <w:rFonts w:cs="Open Sans"/>
                <w:color w:val="1F3864" w:themeColor="accent5" w:themeShade="80"/>
              </w:rPr>
              <w:t xml:space="preserve"> rivers (PP4)</w:t>
            </w:r>
          </w:p>
          <w:p w14:paraId="173E30B6" w14:textId="0118EA43" w:rsidR="00FE4CD7" w:rsidRPr="00B97911" w:rsidRDefault="00B97911" w:rsidP="00B97911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cs="Open Sans"/>
                <w:color w:val="1F3864" w:themeColor="accent5" w:themeShade="80"/>
                <w:lang w:val="en-GB"/>
              </w:rPr>
            </w:pPr>
            <w:r>
              <w:rPr>
                <w:rFonts w:cs="Open Sans"/>
                <w:color w:val="1F3864" w:themeColor="accent5" w:themeShade="80"/>
                <w:lang w:val="en-GB"/>
              </w:rPr>
              <w:t xml:space="preserve">Acquisition of </w:t>
            </w:r>
            <w:r w:rsidRPr="00B97911">
              <w:rPr>
                <w:rFonts w:cs="Open Sans"/>
                <w:b/>
                <w:bCs/>
                <w:color w:val="1F3864" w:themeColor="accent5" w:themeShade="80"/>
                <w:lang w:val="en-GB"/>
              </w:rPr>
              <w:t>equipment</w:t>
            </w:r>
            <w:r w:rsidRPr="00B97911">
              <w:rPr>
                <w:rFonts w:cs="Open Sans"/>
                <w:b/>
                <w:bCs/>
                <w:color w:val="1F3864" w:themeColor="accent5" w:themeShade="80"/>
                <w:lang w:val="en-GB"/>
              </w:rPr>
              <w:t xml:space="preserve"> </w:t>
            </w:r>
            <w:r w:rsidRPr="00B97911">
              <w:rPr>
                <w:rFonts w:cs="Open Sans"/>
                <w:color w:val="1F3864" w:themeColor="accent5" w:themeShade="80"/>
                <w:lang w:val="en-GB"/>
              </w:rPr>
              <w:t>used for diversion channel maintenance</w:t>
            </w:r>
            <w:r>
              <w:rPr>
                <w:rFonts w:cs="Open Sans"/>
                <w:color w:val="1F3864" w:themeColor="accent5" w:themeShade="80"/>
                <w:lang w:val="en-GB"/>
              </w:rPr>
              <w:t xml:space="preserve"> (PP4)</w:t>
            </w:r>
          </w:p>
        </w:tc>
      </w:tr>
    </w:tbl>
    <w:p w14:paraId="2E5160C3" w14:textId="5D0B5ABE" w:rsidR="00894820" w:rsidRDefault="00894820">
      <w:pPr>
        <w:spacing w:after="0"/>
        <w:jc w:val="both"/>
        <w:rPr>
          <w:rFonts w:cs="Open Sans"/>
          <w:color w:val="003399"/>
        </w:rPr>
      </w:pPr>
    </w:p>
    <w:sectPr w:rsidR="00894820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BC5B7" w14:textId="77777777" w:rsidR="006D035E" w:rsidRDefault="006D035E">
      <w:pPr>
        <w:spacing w:after="0" w:line="240" w:lineRule="auto"/>
      </w:pPr>
      <w:r>
        <w:separator/>
      </w:r>
    </w:p>
  </w:endnote>
  <w:endnote w:type="continuationSeparator" w:id="0">
    <w:p w14:paraId="44EC6D77" w14:textId="77777777" w:rsidR="006D035E" w:rsidRDefault="006D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894820" w:rsidRDefault="00000000">
    <w:pPr>
      <w:pStyle w:val="Footer"/>
      <w:jc w:val="center"/>
      <w:rPr>
        <w:rFonts w:cs="Open Sans"/>
        <w:color w:val="003399"/>
      </w:rPr>
    </w:pPr>
    <w:r>
      <w:ptab w:relativeTo="margin" w:alignment="right" w:leader="none"/>
    </w:r>
    <w: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4C5E" w14:textId="77777777" w:rsidR="006D035E" w:rsidRDefault="006D035E">
      <w:pPr>
        <w:spacing w:after="0" w:line="240" w:lineRule="auto"/>
      </w:pPr>
      <w:r>
        <w:separator/>
      </w:r>
    </w:p>
  </w:footnote>
  <w:footnote w:type="continuationSeparator" w:id="0">
    <w:p w14:paraId="2F72E39F" w14:textId="77777777" w:rsidR="006D035E" w:rsidRDefault="006D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77777777" w:rsidR="00894820" w:rsidRDefault="00000000">
    <w:pPr>
      <w:pStyle w:val="Header"/>
    </w:pPr>
    <w:r>
      <w:rPr>
        <w:noProof/>
      </w:rPr>
      <w:drawing>
        <wp:inline distT="0" distB="0" distL="0" distR="0" wp14:anchorId="0D4E0297" wp14:editId="04C60E86">
          <wp:extent cx="6462214" cy="747589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404" cy="75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03A7"/>
    <w:multiLevelType w:val="multilevel"/>
    <w:tmpl w:val="97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46BE6"/>
    <w:multiLevelType w:val="multilevel"/>
    <w:tmpl w:val="444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864262">
    <w:abstractNumId w:val="0"/>
  </w:num>
  <w:num w:numId="2" w16cid:durableId="1420561953">
    <w:abstractNumId w:val="1"/>
  </w:num>
  <w:num w:numId="3" w16cid:durableId="1270357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70E90"/>
    <w:rsid w:val="000821B2"/>
    <w:rsid w:val="000B388F"/>
    <w:rsid w:val="000B3AE9"/>
    <w:rsid w:val="000F0D69"/>
    <w:rsid w:val="0013541B"/>
    <w:rsid w:val="00137A91"/>
    <w:rsid w:val="00144932"/>
    <w:rsid w:val="0016380B"/>
    <w:rsid w:val="00190E0A"/>
    <w:rsid w:val="00192991"/>
    <w:rsid w:val="001A4018"/>
    <w:rsid w:val="001B2270"/>
    <w:rsid w:val="00215B0F"/>
    <w:rsid w:val="002216AE"/>
    <w:rsid w:val="00221748"/>
    <w:rsid w:val="00235D99"/>
    <w:rsid w:val="00242594"/>
    <w:rsid w:val="00243DEE"/>
    <w:rsid w:val="002601E5"/>
    <w:rsid w:val="002642B0"/>
    <w:rsid w:val="00286B53"/>
    <w:rsid w:val="00291991"/>
    <w:rsid w:val="002A5B39"/>
    <w:rsid w:val="00306792"/>
    <w:rsid w:val="003156EA"/>
    <w:rsid w:val="0032324F"/>
    <w:rsid w:val="00346A33"/>
    <w:rsid w:val="00352959"/>
    <w:rsid w:val="003B331A"/>
    <w:rsid w:val="003B4BA5"/>
    <w:rsid w:val="003B5549"/>
    <w:rsid w:val="00466100"/>
    <w:rsid w:val="004A3DA2"/>
    <w:rsid w:val="004F06D5"/>
    <w:rsid w:val="00514C1B"/>
    <w:rsid w:val="0054292D"/>
    <w:rsid w:val="005711D1"/>
    <w:rsid w:val="005A58E8"/>
    <w:rsid w:val="005D110C"/>
    <w:rsid w:val="00614C99"/>
    <w:rsid w:val="00626B3C"/>
    <w:rsid w:val="006738B4"/>
    <w:rsid w:val="006B30F3"/>
    <w:rsid w:val="006D035E"/>
    <w:rsid w:val="006F277A"/>
    <w:rsid w:val="00715503"/>
    <w:rsid w:val="00722CC9"/>
    <w:rsid w:val="00732D28"/>
    <w:rsid w:val="00746173"/>
    <w:rsid w:val="00754C6A"/>
    <w:rsid w:val="00761E91"/>
    <w:rsid w:val="0079606B"/>
    <w:rsid w:val="007D4E8C"/>
    <w:rsid w:val="0083050E"/>
    <w:rsid w:val="008559B6"/>
    <w:rsid w:val="008760C1"/>
    <w:rsid w:val="00894820"/>
    <w:rsid w:val="008E24AC"/>
    <w:rsid w:val="00907036"/>
    <w:rsid w:val="009173AA"/>
    <w:rsid w:val="009315FC"/>
    <w:rsid w:val="0097126B"/>
    <w:rsid w:val="0097594E"/>
    <w:rsid w:val="00987F13"/>
    <w:rsid w:val="0099310D"/>
    <w:rsid w:val="009D0623"/>
    <w:rsid w:val="00A170BA"/>
    <w:rsid w:val="00A35463"/>
    <w:rsid w:val="00A40610"/>
    <w:rsid w:val="00A55404"/>
    <w:rsid w:val="00A64984"/>
    <w:rsid w:val="00A872D9"/>
    <w:rsid w:val="00AE4986"/>
    <w:rsid w:val="00AF087F"/>
    <w:rsid w:val="00B0144D"/>
    <w:rsid w:val="00B24F49"/>
    <w:rsid w:val="00B77B00"/>
    <w:rsid w:val="00B92ED0"/>
    <w:rsid w:val="00B97911"/>
    <w:rsid w:val="00C02611"/>
    <w:rsid w:val="00C23211"/>
    <w:rsid w:val="00C23EAD"/>
    <w:rsid w:val="00CA0AA2"/>
    <w:rsid w:val="00CA6A28"/>
    <w:rsid w:val="00CC68F1"/>
    <w:rsid w:val="00D007B8"/>
    <w:rsid w:val="00D1768D"/>
    <w:rsid w:val="00D42E73"/>
    <w:rsid w:val="00D46934"/>
    <w:rsid w:val="00D6779D"/>
    <w:rsid w:val="00D736AC"/>
    <w:rsid w:val="00D75B5B"/>
    <w:rsid w:val="00DE0099"/>
    <w:rsid w:val="00DE4738"/>
    <w:rsid w:val="00DE5E8D"/>
    <w:rsid w:val="00DF4008"/>
    <w:rsid w:val="00DF43E7"/>
    <w:rsid w:val="00E02D1E"/>
    <w:rsid w:val="00E23534"/>
    <w:rsid w:val="00E66CBF"/>
    <w:rsid w:val="00E7799E"/>
    <w:rsid w:val="00E902C1"/>
    <w:rsid w:val="00E906F5"/>
    <w:rsid w:val="00E91B08"/>
    <w:rsid w:val="00EB0D64"/>
    <w:rsid w:val="00EE2F17"/>
    <w:rsid w:val="00F0230A"/>
    <w:rsid w:val="00F5533E"/>
    <w:rsid w:val="00F7622A"/>
    <w:rsid w:val="00F960C5"/>
    <w:rsid w:val="00FB053A"/>
    <w:rsid w:val="00FB5250"/>
    <w:rsid w:val="00FB7657"/>
    <w:rsid w:val="00FD7D6D"/>
    <w:rsid w:val="00FE2FE7"/>
    <w:rsid w:val="00FE4CD7"/>
    <w:rsid w:val="01B8237E"/>
    <w:rsid w:val="107CC2E1"/>
    <w:rsid w:val="123F9A3A"/>
    <w:rsid w:val="1A21A60E"/>
    <w:rsid w:val="1F1CE431"/>
    <w:rsid w:val="25699B0A"/>
    <w:rsid w:val="28A515CE"/>
    <w:rsid w:val="291456F0"/>
    <w:rsid w:val="2B1802DD"/>
    <w:rsid w:val="394791B3"/>
    <w:rsid w:val="3AFB5219"/>
    <w:rsid w:val="4113AC48"/>
    <w:rsid w:val="48CFA109"/>
    <w:rsid w:val="49734651"/>
    <w:rsid w:val="4DDCF216"/>
    <w:rsid w:val="5F3FACFD"/>
    <w:rsid w:val="663D5F72"/>
    <w:rsid w:val="698560EE"/>
    <w:rsid w:val="6D744695"/>
    <w:rsid w:val="71A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4BA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3B4BA5"/>
    <w:rPr>
      <w:b/>
    </w:rPr>
  </w:style>
  <w:style w:type="paragraph" w:customStyle="1" w:styleId="P68B1DB1-Normal1">
    <w:name w:val="P68B1DB1-Normal1"/>
    <w:basedOn w:val="Normal"/>
    <w:rPr>
      <w:rFonts w:cs="Calibri"/>
      <w:b/>
      <w:color w:val="FFFFFF" w:themeColor="background1"/>
    </w:rPr>
  </w:style>
  <w:style w:type="paragraph" w:customStyle="1" w:styleId="P68B1DB1-Normal2">
    <w:name w:val="P68B1DB1-Normal2"/>
    <w:basedOn w:val="Normal"/>
    <w:rPr>
      <w:rFonts w:cs="Calibri"/>
      <w:b/>
      <w:color w:val="1F3864" w:themeColor="accent5" w:themeShade="80"/>
      <w:sz w:val="22"/>
    </w:rPr>
  </w:style>
  <w:style w:type="paragraph" w:customStyle="1" w:styleId="P68B1DB1-Normal3">
    <w:name w:val="P68B1DB1-Normal3"/>
    <w:basedOn w:val="Normal"/>
    <w:rPr>
      <w:color w:val="1F3864" w:themeColor="accent5" w:themeShade="80"/>
    </w:rPr>
  </w:style>
  <w:style w:type="paragraph" w:customStyle="1" w:styleId="P68B1DB1-Normal4">
    <w:name w:val="P68B1DB1-Normal4"/>
    <w:basedOn w:val="Normal"/>
    <w:rPr>
      <w:b/>
      <w:color w:val="1F3864" w:themeColor="accent5" w:themeShade="80"/>
      <w:sz w:val="22"/>
    </w:rPr>
  </w:style>
  <w:style w:type="paragraph" w:customStyle="1" w:styleId="P68B1DB1-Normal5">
    <w:name w:val="P68B1DB1-Normal5"/>
    <w:basedOn w:val="Normal"/>
    <w:rPr>
      <w:b/>
      <w:color w:val="1F3864" w:themeColor="accent5" w:themeShade="80"/>
      <w:sz w:val="22"/>
    </w:rPr>
  </w:style>
  <w:style w:type="paragraph" w:customStyle="1" w:styleId="P68B1DB1-Normal6">
    <w:name w:val="P68B1DB1-Normal6"/>
    <w:basedOn w:val="Normal"/>
    <w:rPr>
      <w:rFonts w:cs="Calibri"/>
      <w:color w:val="1F3864" w:themeColor="accent5" w:themeShade="80"/>
    </w:rPr>
  </w:style>
  <w:style w:type="paragraph" w:customStyle="1" w:styleId="P68B1DB1-ListParagraph7">
    <w:name w:val="P68B1DB1-ListParagraph7"/>
    <w:basedOn w:val="ListParagraph"/>
    <w:rPr>
      <w:color w:val="1F3864" w:themeColor="accent5" w:themeShade="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CD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102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Marius Corduneanu</cp:lastModifiedBy>
  <cp:revision>30</cp:revision>
  <dcterms:created xsi:type="dcterms:W3CDTF">2025-03-03T09:50:00Z</dcterms:created>
  <dcterms:modified xsi:type="dcterms:W3CDTF">2025-03-27T08:30:00Z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