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370"/>
      </w:tblGrid>
      <w:tr w:rsidR="00DF4008" w:rsidRPr="0044551E" w14:paraId="2FCB8905" w14:textId="77777777" w:rsidTr="003620F5">
        <w:trPr>
          <w:trHeight w:val="333"/>
        </w:trPr>
        <w:tc>
          <w:tcPr>
            <w:tcW w:w="10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1773EB14" w:rsidR="00DF4008" w:rsidRPr="0044551E" w:rsidRDefault="00553C3E" w:rsidP="00553C3E">
            <w:pPr>
              <w:spacing w:after="120" w:line="276" w:lineRule="auto"/>
              <w:jc w:val="both"/>
              <w:rPr>
                <w:rFonts w:cs="Open Sans"/>
                <w:szCs w:val="20"/>
                <w:lang w:val="ro-RO"/>
              </w:rPr>
            </w:pPr>
            <w:r>
              <w:rPr>
                <w:rFonts w:cs="Open Sans"/>
                <w:b/>
                <w:color w:val="FFFFFF"/>
                <w:szCs w:val="20"/>
                <w:lang w:val="ro-RO" w:eastAsia="en-GB"/>
              </w:rPr>
              <w:t>Call</w:t>
            </w:r>
            <w:r w:rsidR="00376591" w:rsidRPr="0044551E">
              <w:rPr>
                <w:rFonts w:cs="Open Sans"/>
                <w:b/>
                <w:color w:val="FFFFFF"/>
                <w:szCs w:val="20"/>
                <w:lang w:val="ro-RO" w:eastAsia="en-GB"/>
              </w:rPr>
              <w:t xml:space="preserve">: </w:t>
            </w:r>
            <w:r w:rsidR="00025629" w:rsidRPr="00025629">
              <w:rPr>
                <w:rFonts w:cs="Open Sans"/>
                <w:b/>
                <w:bCs/>
                <w:color w:val="FFFFFF"/>
                <w:szCs w:val="20"/>
                <w:lang w:eastAsia="en-GB"/>
              </w:rPr>
              <w:t>1st Open Call for Proposals</w:t>
            </w:r>
          </w:p>
        </w:tc>
      </w:tr>
      <w:tr w:rsidR="00DF4008" w:rsidRPr="0044551E" w14:paraId="0362BCF6" w14:textId="77777777" w:rsidTr="003620F5">
        <w:trPr>
          <w:trHeight w:val="33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19DB9AD2" w:rsidR="00DF4008" w:rsidRPr="0044551E" w:rsidRDefault="00DF4008" w:rsidP="00220828">
            <w:pPr>
              <w:spacing w:after="120" w:line="251" w:lineRule="auto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Acron</w:t>
            </w:r>
            <w:r w:rsidR="00553C3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y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m &amp; </w:t>
            </w:r>
            <w:r w:rsidR="00386644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project</w:t>
            </w:r>
            <w:r w:rsidR="00553C3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ID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4D167F9E" w:rsidR="00DF4008" w:rsidRPr="0044551E" w:rsidRDefault="00E95075" w:rsidP="003620F5">
            <w:pPr>
              <w:spacing w:after="12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E95075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IHSforROHU</w:t>
            </w: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3620F5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– 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ROHU</w:t>
            </w:r>
            <w:r w:rsidR="003620F5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00</w:t>
            </w:r>
            <w:r w:rsidR="00025629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3</w:t>
            </w: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5</w:t>
            </w:r>
            <w:r w:rsidR="00025629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3</w:t>
            </w:r>
          </w:p>
        </w:tc>
      </w:tr>
      <w:tr w:rsidR="00DF4008" w:rsidRPr="0044551E" w14:paraId="1D2DEC3A" w14:textId="77777777" w:rsidTr="003620F5">
        <w:trPr>
          <w:trHeight w:val="77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349CD12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Project title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463A0343" w:rsidR="00DF4008" w:rsidRPr="0044551E" w:rsidRDefault="007B7096" w:rsidP="002208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„</w:t>
            </w:r>
            <w:r w:rsidR="00E95075" w:rsidRPr="00E95075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Interhealth and Sport for ROHU - Szentes and Arad are set on a lifelong path of movement and learning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”</w:t>
            </w:r>
          </w:p>
        </w:tc>
      </w:tr>
      <w:tr w:rsidR="00DF4008" w:rsidRPr="0044551E" w14:paraId="2ED899A6" w14:textId="77777777" w:rsidTr="003620F5">
        <w:trPr>
          <w:trHeight w:val="70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38EBB06C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Priority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732AA271" w:rsidR="00DF4008" w:rsidRPr="0044551E" w:rsidRDefault="00553C3E" w:rsidP="00042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it-CH"/>
              </w:rPr>
              <w:t xml:space="preserve">PRIORITY </w:t>
            </w:r>
            <w:r w:rsidR="00025629">
              <w:rPr>
                <w:rFonts w:cs="Open Sans"/>
                <w:color w:val="1F3864" w:themeColor="accent5" w:themeShade="80"/>
                <w:szCs w:val="20"/>
                <w:lang w:val="it-CH"/>
              </w:rPr>
              <w:t>3</w:t>
            </w:r>
            <w:r>
              <w:rPr>
                <w:rFonts w:cs="Open Sans"/>
                <w:color w:val="1F3864" w:themeColor="accent5" w:themeShade="80"/>
                <w:szCs w:val="20"/>
                <w:lang w:val="it-CH"/>
              </w:rPr>
              <w:t xml:space="preserve"> 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- </w:t>
            </w:r>
            <w:r w:rsid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>A</w:t>
            </w:r>
            <w:r w:rsidR="00025629" w:rsidRP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more sustainable, community-based and effective cross-border cooperation</w:t>
            </w:r>
          </w:p>
        </w:tc>
      </w:tr>
      <w:tr w:rsidR="00DF4008" w:rsidRPr="0044551E" w14:paraId="5A450318" w14:textId="77777777" w:rsidTr="003620F5">
        <w:trPr>
          <w:trHeight w:val="58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4CF9" w14:textId="077E9843" w:rsidR="00DF4008" w:rsidRPr="0044551E" w:rsidRDefault="00553C3E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Specific objective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113F444C" w:rsidR="00DF4008" w:rsidRPr="0044551E" w:rsidRDefault="00553C3E" w:rsidP="00553C3E">
            <w:pPr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53C3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Specific objective (SO) </w:t>
            </w:r>
            <w:r w:rsidR="00025629" w:rsidRP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ISO6.3 - Building up mutual trust, in particular by encouraging people-to-people actions </w:t>
            </w:r>
          </w:p>
        </w:tc>
      </w:tr>
      <w:tr w:rsidR="00DF4008" w:rsidRPr="0044551E" w14:paraId="7703D1F8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7D871459" w:rsidR="00DF4008" w:rsidRPr="0044551E" w:rsidRDefault="00386644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Implementation period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1FE6AFC3" w:rsidR="00DF4008" w:rsidRPr="0044551E" w:rsidRDefault="00E95075" w:rsidP="002208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6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386644">
              <w:rPr>
                <w:rFonts w:cs="Open Sans"/>
                <w:color w:val="1F3864" w:themeColor="accent5" w:themeShade="80"/>
                <w:szCs w:val="20"/>
                <w:lang w:val="ro-RO"/>
              </w:rPr>
              <w:t>months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(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01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May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202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5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– </w:t>
            </w:r>
            <w:r w:rsid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>3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1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October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202</w:t>
            </w:r>
            <w:r w:rsidR="00025629">
              <w:rPr>
                <w:rFonts w:cs="Open Sans"/>
                <w:color w:val="1F3864" w:themeColor="accent5" w:themeShade="80"/>
                <w:szCs w:val="20"/>
                <w:lang w:val="ro-RO"/>
              </w:rPr>
              <w:t>5</w:t>
            </w:r>
            <w:r w:rsidR="003620F5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>)</w:t>
            </w:r>
          </w:p>
        </w:tc>
      </w:tr>
      <w:tr w:rsidR="00DF4008" w:rsidRPr="0044551E" w14:paraId="010F0453" w14:textId="77777777" w:rsidTr="007B7096">
        <w:trPr>
          <w:trHeight w:val="7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77777777" w:rsidR="00DF4008" w:rsidRPr="0044551E" w:rsidRDefault="00DF4008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>Obiectiv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040FC320" w:rsidR="00F119CB" w:rsidRPr="0044551E" w:rsidRDefault="001B3522" w:rsidP="007B7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R</w:t>
            </w:r>
            <w:r w:rsidRPr="001B352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aising awareness of the population on the importance and benefits of practicing a sport,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and on </w:t>
            </w:r>
            <w:r w:rsidRPr="001B3522">
              <w:rPr>
                <w:rFonts w:cs="Open Sans"/>
                <w:color w:val="1F3864" w:themeColor="accent5" w:themeShade="80"/>
                <w:szCs w:val="20"/>
                <w:lang w:val="ro-RO"/>
              </w:rPr>
              <w:t>a healthy lifestyle, through the events organized within the project</w:t>
            </w:r>
          </w:p>
        </w:tc>
      </w:tr>
      <w:tr w:rsidR="00DF4008" w:rsidRPr="0044551E" w14:paraId="1EEF8B90" w14:textId="77777777" w:rsidTr="003620F5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127BA3A7" w:rsidR="00DF4008" w:rsidRPr="0044551E" w:rsidRDefault="00386644" w:rsidP="00220828">
            <w:pPr>
              <w:spacing w:after="120"/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Partnership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CB37" w14:textId="391340F4" w:rsidR="007B7096" w:rsidRPr="0044551E" w:rsidRDefault="00386644" w:rsidP="00362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Lead</w:t>
            </w: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 xml:space="preserve"> Partner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: </w:t>
            </w:r>
          </w:p>
          <w:p w14:paraId="6332623C" w14:textId="04CB31B4" w:rsidR="00DF4008" w:rsidRPr="0044551E" w:rsidRDefault="001B3522" w:rsidP="003620F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1B3522"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>Szentes Water Polo Club</w:t>
            </w:r>
            <w:r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025629">
              <w:rPr>
                <w:rFonts w:cs="Open Sans"/>
                <w:bCs/>
                <w:color w:val="1F3864" w:themeColor="accent5" w:themeShade="80"/>
                <w:szCs w:val="20"/>
                <w:lang w:val="ro-RO" w:eastAsia="en-GB"/>
              </w:rPr>
              <w:t>(HU)</w:t>
            </w:r>
          </w:p>
        </w:tc>
      </w:tr>
      <w:tr w:rsidR="00DF4008" w:rsidRPr="0044551E" w14:paraId="527C4A89" w14:textId="77777777" w:rsidTr="001B3522">
        <w:trPr>
          <w:trHeight w:val="518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DF4008" w:rsidRPr="0044551E" w:rsidRDefault="00DF4008" w:rsidP="00220828">
            <w:pPr>
              <w:spacing w:after="0" w:line="251" w:lineRule="auto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D94" w14:textId="4DA7562D" w:rsidR="00DF4008" w:rsidRPr="0044551E" w:rsidRDefault="00386644" w:rsidP="003620F5">
            <w:pPr>
              <w:spacing w:after="0" w:line="276" w:lineRule="auto"/>
              <w:jc w:val="both"/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</w:pPr>
            <w:r>
              <w:rPr>
                <w:rFonts w:eastAsia="Times New Roman" w:cs="Open Sans"/>
                <w:b/>
                <w:color w:val="1F3864" w:themeColor="accent5" w:themeShade="80"/>
                <w:szCs w:val="20"/>
                <w:lang w:val="ro-RO" w:bidi="en-US"/>
              </w:rPr>
              <w:t>Project Partner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/>
              </w:rPr>
              <w:t xml:space="preserve">: </w:t>
            </w:r>
          </w:p>
          <w:p w14:paraId="7BCBBF71" w14:textId="210C6D4A" w:rsidR="003620F5" w:rsidRPr="001B3522" w:rsidRDefault="003620F5" w:rsidP="00025629">
            <w:pPr>
              <w:spacing w:after="0" w:line="276" w:lineRule="auto"/>
              <w:jc w:val="both"/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</w:pPr>
            <w:r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PP</w:t>
            </w:r>
            <w:r w:rsidR="00A41FC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2</w:t>
            </w:r>
            <w:r w:rsidR="007B7096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:</w:t>
            </w:r>
            <w:r w:rsidR="000423F1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1B3522" w:rsidRPr="001B3522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Atletico Arad Sport Club</w:t>
            </w:r>
            <w:r w:rsidR="001B3522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7B7096" w:rsidRPr="0044551E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(RO</w:t>
            </w:r>
            <w:r w:rsidR="001B3522">
              <w:rPr>
                <w:rFonts w:cs="Open Sans"/>
                <w:bCs/>
                <w:color w:val="1F3864" w:themeColor="accent5" w:themeShade="80"/>
                <w:szCs w:val="20"/>
                <w:lang w:val="ro-RO"/>
              </w:rPr>
              <w:t>)</w:t>
            </w:r>
          </w:p>
        </w:tc>
      </w:tr>
      <w:tr w:rsidR="00DF4008" w:rsidRPr="0044551E" w14:paraId="4EE4EBD1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63D279E8" w:rsidR="00DF4008" w:rsidRPr="0044551E" w:rsidRDefault="00386644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T</w:t>
            </w:r>
            <w:r w:rsidR="00DF4008"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otal</w:t>
            </w:r>
            <w:r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="00196EB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budget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1CD22F9F" w:rsidR="00DF4008" w:rsidRPr="0044551E" w:rsidRDefault="00087055" w:rsidP="007B7096">
            <w:pPr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EUR </w:t>
            </w:r>
            <w:r w:rsidR="001B3522" w:rsidRPr="001B3522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199</w:t>
            </w:r>
            <w:r w:rsidR="008B22D3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,</w:t>
            </w:r>
            <w:r w:rsidR="001B3522" w:rsidRPr="001B3522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735</w:t>
            </w:r>
            <w:r w:rsidR="008B22D3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.</w:t>
            </w:r>
            <w:r w:rsidR="001B3522" w:rsidRPr="001B3522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20 </w:t>
            </w:r>
            <w:r w:rsidR="00386644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>out of which</w:t>
            </w:r>
            <w:r w:rsidR="007B7096" w:rsidRPr="0044551E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 xml:space="preserve"> </w:t>
            </w:r>
            <w:r w:rsidRPr="0044551E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EUR </w:t>
            </w:r>
            <w:r w:rsidR="001B3522" w:rsidRPr="001B3522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159</w:t>
            </w:r>
            <w:r w:rsidR="008B22D3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,</w:t>
            </w:r>
            <w:r w:rsidR="001B3522" w:rsidRPr="001B3522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788</w:t>
            </w:r>
            <w:r w:rsidR="008B22D3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.</w:t>
            </w:r>
            <w:r w:rsidR="001B3522" w:rsidRPr="001B3522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>16</w:t>
            </w:r>
            <w:r w:rsidR="008D0FE5">
              <w:rPr>
                <w:rFonts w:cs="Open Sans"/>
                <w:color w:val="1F3864" w:themeColor="accent5" w:themeShade="80"/>
                <w:szCs w:val="20"/>
                <w:lang w:val="ro-RO" w:eastAsia="en-GB"/>
              </w:rPr>
              <w:t xml:space="preserve"> </w:t>
            </w:r>
            <w:r w:rsidRPr="0044551E">
              <w:rPr>
                <w:rFonts w:eastAsia="Times New Roman" w:cs="Open Sans"/>
                <w:color w:val="1F3864" w:themeColor="accent5" w:themeShade="80"/>
                <w:szCs w:val="20"/>
                <w:lang w:val="ro-RO" w:bidi="en-US"/>
              </w:rPr>
              <w:t xml:space="preserve">FEDR </w:t>
            </w:r>
          </w:p>
        </w:tc>
      </w:tr>
      <w:tr w:rsidR="00DF4008" w:rsidRPr="0044551E" w14:paraId="51B61C9D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367A6D02" w:rsidR="00DF4008" w:rsidRPr="0044551E" w:rsidRDefault="00DF4008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Sum</w:t>
            </w:r>
            <w:r w:rsidR="00677E91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m</w:t>
            </w:r>
            <w:r w:rsidRPr="0044551E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ar</w:t>
            </w:r>
            <w:r w:rsidR="00677E91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y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7D9A" w14:textId="685251B5" w:rsidR="00D96E2B" w:rsidRPr="00D96E2B" w:rsidRDefault="006D3D1A" w:rsidP="00D96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The project</w:t>
            </w:r>
            <w:r w:rsidR="00C832EB" w:rsidRPr="0044551E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„</w:t>
            </w:r>
            <w:r w:rsidR="00FD36C8" w:rsidRPr="00FD36C8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Interhealth and Sport for ROHU - Szentes and Arad are set on a lifelong path of movement and learning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” (ROHU00</w:t>
            </w:r>
            <w:r w:rsidR="00D96E2B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3</w:t>
            </w:r>
            <w:r w:rsidR="00FD36C8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5</w:t>
            </w:r>
            <w:r w:rsidR="00D96E2B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3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 – </w:t>
            </w:r>
            <w:r w:rsidR="00FD36C8" w:rsidRPr="00FD36C8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>IHSforROHU</w:t>
            </w:r>
            <w:r w:rsidR="00C832EB" w:rsidRPr="0044551E">
              <w:rPr>
                <w:rFonts w:cs="Open Sans"/>
                <w:b/>
                <w:bCs/>
                <w:i/>
                <w:iCs/>
                <w:color w:val="1F3864" w:themeColor="accent5" w:themeShade="80"/>
                <w:szCs w:val="20"/>
                <w:lang w:val="ro-RO"/>
              </w:rPr>
              <w:t xml:space="preserve">) </w:t>
            </w:r>
            <w:r w:rsidR="00D96E2B" w:rsidRPr="00D96E2B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aims to </w:t>
            </w:r>
            <w:r w:rsidR="00196EBE">
              <w:rPr>
                <w:rFonts w:cs="Open Sans"/>
                <w:color w:val="1F3864" w:themeColor="accent5" w:themeShade="80"/>
                <w:szCs w:val="20"/>
                <w:lang w:val="ro-RO"/>
              </w:rPr>
              <w:t>increase</w:t>
            </w:r>
            <w:r w:rsidR="00FD36C8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the </w:t>
            </w:r>
            <w:r w:rsidR="00FD36C8" w:rsidRPr="001B3522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awareness of the population on the importance and benefits of practicing a sport, </w:t>
            </w:r>
            <w:r w:rsidR="00FD36C8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and on </w:t>
            </w:r>
            <w:r w:rsidR="00FD36C8" w:rsidRPr="001B3522">
              <w:rPr>
                <w:rFonts w:cs="Open Sans"/>
                <w:color w:val="1F3864" w:themeColor="accent5" w:themeShade="80"/>
                <w:szCs w:val="20"/>
                <w:lang w:val="ro-RO"/>
              </w:rPr>
              <w:t>a healthy lifestyle, through the events organized within the project</w:t>
            </w:r>
            <w:r w:rsidR="00FD36C8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in </w:t>
            </w:r>
            <w:r w:rsidR="00FD36C8" w:rsidRPr="00FD36C8">
              <w:rPr>
                <w:rFonts w:cs="Open Sans"/>
                <w:color w:val="1F3864" w:themeColor="accent5" w:themeShade="80"/>
                <w:szCs w:val="20"/>
                <w:lang w:val="ro-RO"/>
              </w:rPr>
              <w:t>Arad to Szentes</w:t>
            </w:r>
            <w:r w:rsidR="00D96E2B">
              <w:rPr>
                <w:rFonts w:cs="Open Sans"/>
                <w:color w:val="1F3864" w:themeColor="accent5" w:themeShade="80"/>
                <w:szCs w:val="20"/>
                <w:lang w:val="ro-RO"/>
              </w:rPr>
              <w:t>.</w:t>
            </w:r>
          </w:p>
          <w:p w14:paraId="0841C3F2" w14:textId="1A758FE6" w:rsidR="00E53794" w:rsidRDefault="00E53794" w:rsidP="00E5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>During the events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 wide range of physical exercises will be presented, </w:t>
            </w:r>
            <w:r w:rsid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>c</w:t>
            </w: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>ontribut</w:t>
            </w:r>
            <w:r w:rsid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>ing</w:t>
            </w: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to a more complete and safer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sports</w:t>
            </w: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experience.</w:t>
            </w:r>
          </w:p>
          <w:p w14:paraId="7920D432" w14:textId="7121939D" w:rsidR="006E3FD7" w:rsidRPr="00E53794" w:rsidRDefault="006E3FD7" w:rsidP="00E5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>Through the project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2 training camps will be organized for 30 Hungarian and 30 Romanian athletes who will do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sports</w:t>
            </w: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and work together. On the last day of the camps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 sports day will be organized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for a</w:t>
            </w: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 least 1000 participants from Hungary and 1000 from Romania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to </w:t>
            </w: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benefit from a wide range of sports programs and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to</w:t>
            </w:r>
            <w:r w:rsidRP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do sports together.</w:t>
            </w:r>
          </w:p>
          <w:p w14:paraId="33C8E790" w14:textId="5FBBDC6D" w:rsidR="00E53794" w:rsidRDefault="00E53794" w:rsidP="00E537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>Children participating in the organized events can learn about various sports and games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and their parents can find out information about which sport their child should practice and in which area they can be successful.</w:t>
            </w:r>
          </w:p>
          <w:p w14:paraId="769F20B1" w14:textId="284FE660" w:rsidR="007120ED" w:rsidRPr="0044551E" w:rsidRDefault="008F39CA" w:rsidP="00CE32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8F39CA">
              <w:rPr>
                <w:rFonts w:cs="Open Sans"/>
                <w:color w:val="1F3864" w:themeColor="accent5" w:themeShade="80"/>
                <w:szCs w:val="20"/>
                <w:lang w:val="ro-RO"/>
              </w:rPr>
              <w:t>The project will ensure and strengthen cross-border cooperation between professionals, experts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,</w:t>
            </w:r>
            <w:r w:rsidRPr="008F39C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and participants. The long-term aim of the project is to </w:t>
            </w:r>
            <w:r w:rsid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increase the cooperation between the two sports clubs involved in the project, as well as </w:t>
            </w:r>
            <w:r w:rsid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to improve </w:t>
            </w:r>
            <w:r w:rsid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>cooperation between the persons attending/ participating in the project activities</w:t>
            </w:r>
            <w:r w:rsidRPr="008F39C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E53794">
              <w:rPr>
                <w:rFonts w:cs="Open Sans"/>
                <w:color w:val="1F3864" w:themeColor="accent5" w:themeShade="80"/>
                <w:szCs w:val="20"/>
                <w:lang w:val="ro-RO"/>
              </w:rPr>
              <w:t>organized</w:t>
            </w:r>
            <w:r w:rsidRPr="008F39CA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in Romania and Hungary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.</w:t>
            </w:r>
          </w:p>
        </w:tc>
      </w:tr>
      <w:tr w:rsidR="00DF4008" w:rsidRPr="0044551E" w14:paraId="47DF7069" w14:textId="77777777" w:rsidTr="003620F5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66DACCB7" w:rsidR="00DF4008" w:rsidRPr="0044551E" w:rsidRDefault="00DD4259" w:rsidP="00220828">
            <w:pPr>
              <w:jc w:val="center"/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</w:pPr>
            <w:r w:rsidRPr="00DD4259">
              <w:rPr>
                <w:rFonts w:cs="Open Sans"/>
                <w:b/>
                <w:color w:val="1F3864" w:themeColor="accent5" w:themeShade="80"/>
                <w:szCs w:val="20"/>
                <w:lang w:val="ro-RO" w:eastAsia="en-GB"/>
              </w:rPr>
              <w:t>Main results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85AF" w14:textId="77777777" w:rsidR="00D93997" w:rsidRDefault="00D93997" w:rsidP="00D93997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D93997">
              <w:rPr>
                <w:rFonts w:cs="Open Sans"/>
                <w:color w:val="1F3864" w:themeColor="accent5" w:themeShade="80"/>
                <w:szCs w:val="20"/>
                <w:lang w:val="ro-RO"/>
              </w:rPr>
              <w:t>The main results of the project are:</w:t>
            </w:r>
          </w:p>
          <w:p w14:paraId="793A494D" w14:textId="1C45A866" w:rsidR="00594DA5" w:rsidRPr="00594DA5" w:rsidRDefault="00E53794" w:rsidP="00594DA5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2,000</w:t>
            </w:r>
            <w:r w:rsidR="00594DA5" w:rsidRPr="00594DA5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 p</w:t>
            </w:r>
            <w:r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ersons </w:t>
            </w:r>
            <w:r w:rsidR="005C53EB">
              <w:rPr>
                <w:rFonts w:cs="Open Sans"/>
                <w:color w:val="1F3864" w:themeColor="accent5" w:themeShade="80"/>
                <w:szCs w:val="20"/>
                <w:lang w:val="ro-RO"/>
              </w:rPr>
              <w:t>attending the</w:t>
            </w:r>
            <w:r w:rsidR="00594DA5" w:rsidRPr="00594DA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</w:t>
            </w:r>
            <w:r>
              <w:rPr>
                <w:rFonts w:cs="Open Sans"/>
                <w:color w:val="1F3864" w:themeColor="accent5" w:themeShade="80"/>
                <w:szCs w:val="20"/>
                <w:lang w:val="ro-RO"/>
              </w:rPr>
              <w:t>sports day</w:t>
            </w:r>
            <w:r w:rsidR="00594DA5" w:rsidRPr="00594DA5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 organized in the cross-border region; </w:t>
            </w:r>
          </w:p>
          <w:p w14:paraId="0B313828" w14:textId="77777777" w:rsidR="00E53794" w:rsidRPr="00A63413" w:rsidRDefault="00594DA5" w:rsidP="00594DA5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 w:rsidRPr="00594DA5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lastRenderedPageBreak/>
              <w:t xml:space="preserve">Organizing </w:t>
            </w:r>
            <w:r w:rsidR="00E53794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2 training camps </w:t>
            </w:r>
            <w:r w:rsidR="00E53794" w:rsidRPr="00A63413">
              <w:rPr>
                <w:rFonts w:cs="Open Sans"/>
                <w:color w:val="1F3864" w:themeColor="accent5" w:themeShade="80"/>
                <w:szCs w:val="20"/>
                <w:lang w:val="ro-RO"/>
              </w:rPr>
              <w:t>in Szentes and Arad for 60 athletes from Romania and 60 from Hungary;</w:t>
            </w:r>
          </w:p>
          <w:p w14:paraId="6CE62C20" w14:textId="2565A11D" w:rsidR="00A63413" w:rsidRDefault="00E53794" w:rsidP="00A634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</w:pPr>
            <w:r w:rsidRPr="00E53794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Organizing 2 </w:t>
            </w:r>
            <w:r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sports </w:t>
            </w:r>
            <w:r w:rsidR="00A63413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days</w:t>
            </w:r>
            <w:r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 </w:t>
            </w:r>
            <w:r w:rsidR="00A63413" w:rsidRPr="00A63413">
              <w:rPr>
                <w:rFonts w:cs="Open Sans"/>
                <w:color w:val="1F3864" w:themeColor="accent5" w:themeShade="80"/>
                <w:szCs w:val="20"/>
                <w:lang w:val="ro-RO"/>
              </w:rPr>
              <w:t>in Szentes and Arad for at least 2,000 participants</w:t>
            </w:r>
            <w:r w:rsidR="00A63413"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>;</w:t>
            </w:r>
          </w:p>
          <w:p w14:paraId="173E30B6" w14:textId="5F8DFE7D" w:rsidR="0044551E" w:rsidRPr="0044551E" w:rsidRDefault="00A63413" w:rsidP="00A63413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Open Sans"/>
                <w:color w:val="1F3864" w:themeColor="accent5" w:themeShade="80"/>
                <w:szCs w:val="20"/>
                <w:lang w:val="ro-RO"/>
              </w:rPr>
            </w:pPr>
            <w:r>
              <w:rPr>
                <w:rFonts w:cs="Open Sans"/>
                <w:b/>
                <w:bCs/>
                <w:color w:val="1F3864" w:themeColor="accent5" w:themeShade="80"/>
                <w:szCs w:val="20"/>
                <w:lang w:val="ro-RO"/>
              </w:rPr>
              <w:t xml:space="preserve">Purchasing sports equipment </w:t>
            </w:r>
            <w:r w:rsidRPr="00A6341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such as balls, rackets, soccer goals, mobile backboards, </w:t>
            </w:r>
            <w:r w:rsid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equipment for </w:t>
            </w:r>
            <w:r w:rsidRPr="00A63413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table tennis, water polo balls, elastic bands, fitness equipment, </w:t>
            </w:r>
            <w:r w:rsidR="006E3FD7">
              <w:rPr>
                <w:rFonts w:cs="Open Sans"/>
                <w:color w:val="1F3864" w:themeColor="accent5" w:themeShade="80"/>
                <w:szCs w:val="20"/>
                <w:lang w:val="ro-RO"/>
              </w:rPr>
              <w:t xml:space="preserve">equipment for </w:t>
            </w:r>
            <w:r w:rsidRPr="00A63413">
              <w:rPr>
                <w:rFonts w:cs="Open Sans"/>
                <w:color w:val="1F3864" w:themeColor="accent5" w:themeShade="80"/>
                <w:szCs w:val="20"/>
                <w:lang w:val="ro-RO"/>
              </w:rPr>
              <w:t>polo, etc.</w:t>
            </w:r>
          </w:p>
        </w:tc>
      </w:tr>
    </w:tbl>
    <w:p w14:paraId="2E5160C3" w14:textId="5D0B5ABE" w:rsidR="0054292D" w:rsidRPr="0044551E" w:rsidRDefault="0054292D" w:rsidP="00DF4008">
      <w:pPr>
        <w:spacing w:after="0"/>
        <w:jc w:val="both"/>
        <w:rPr>
          <w:rFonts w:cs="Open Sans"/>
          <w:color w:val="003399"/>
          <w:szCs w:val="20"/>
          <w:lang w:val="ro-RO"/>
        </w:rPr>
      </w:pPr>
    </w:p>
    <w:sectPr w:rsidR="0054292D" w:rsidRPr="0044551E" w:rsidSect="00A1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233A" w14:textId="77777777" w:rsidR="008D0D45" w:rsidRDefault="008D0D45" w:rsidP="00C23211">
      <w:pPr>
        <w:spacing w:after="0" w:line="240" w:lineRule="auto"/>
      </w:pPr>
      <w:r>
        <w:separator/>
      </w:r>
    </w:p>
  </w:endnote>
  <w:endnote w:type="continuationSeparator" w:id="0">
    <w:p w14:paraId="72F0785A" w14:textId="77777777" w:rsidR="008D0D45" w:rsidRDefault="008D0D45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AB73" w14:textId="77777777" w:rsidR="000B2C0A" w:rsidRDefault="000B2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Footer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DBDEE" w14:textId="77777777" w:rsidR="000B2C0A" w:rsidRDefault="000B2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0FC28" w14:textId="77777777" w:rsidR="008D0D45" w:rsidRDefault="008D0D45" w:rsidP="00C23211">
      <w:pPr>
        <w:spacing w:after="0" w:line="240" w:lineRule="auto"/>
      </w:pPr>
      <w:r>
        <w:separator/>
      </w:r>
    </w:p>
  </w:footnote>
  <w:footnote w:type="continuationSeparator" w:id="0">
    <w:p w14:paraId="43AC1048" w14:textId="77777777" w:rsidR="008D0D45" w:rsidRDefault="008D0D45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A303" w14:textId="77777777" w:rsidR="000B2C0A" w:rsidRDefault="000B2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5E6E" w14:textId="27EB9317" w:rsidR="00E91B08" w:rsidRDefault="000B2C0A">
    <w:pPr>
      <w:pStyle w:val="Header"/>
    </w:pPr>
    <w:r>
      <w:rPr>
        <w:noProof/>
      </w:rPr>
      <w:drawing>
        <wp:inline distT="0" distB="0" distL="0" distR="0" wp14:anchorId="13769E71" wp14:editId="48A91AA9">
          <wp:extent cx="6467475" cy="748030"/>
          <wp:effectExtent l="0" t="0" r="952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7475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AD922" w14:textId="77777777" w:rsidR="000B2C0A" w:rsidRDefault="000B2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7206"/>
    <w:multiLevelType w:val="hybridMultilevel"/>
    <w:tmpl w:val="61462C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05C78"/>
    <w:multiLevelType w:val="hybridMultilevel"/>
    <w:tmpl w:val="76F6505C"/>
    <w:lvl w:ilvl="0" w:tplc="8320C53E">
      <w:start w:val="10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3BD"/>
    <w:multiLevelType w:val="hybridMultilevel"/>
    <w:tmpl w:val="459CFD22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D0BBE"/>
    <w:multiLevelType w:val="hybridMultilevel"/>
    <w:tmpl w:val="EC343374"/>
    <w:lvl w:ilvl="0" w:tplc="2230FC5C">
      <w:start w:val="36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079B"/>
    <w:multiLevelType w:val="hybridMultilevel"/>
    <w:tmpl w:val="EACC4F9A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E05800"/>
    <w:multiLevelType w:val="hybridMultilevel"/>
    <w:tmpl w:val="85408D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03AF4"/>
    <w:multiLevelType w:val="hybridMultilevel"/>
    <w:tmpl w:val="F3A47FA0"/>
    <w:lvl w:ilvl="0" w:tplc="DA98B68A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0A0709"/>
    <w:multiLevelType w:val="hybridMultilevel"/>
    <w:tmpl w:val="118444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1864262">
    <w:abstractNumId w:val="0"/>
  </w:num>
  <w:num w:numId="2" w16cid:durableId="1335305497">
    <w:abstractNumId w:val="8"/>
  </w:num>
  <w:num w:numId="3" w16cid:durableId="1487355793">
    <w:abstractNumId w:val="6"/>
  </w:num>
  <w:num w:numId="4" w16cid:durableId="881287704">
    <w:abstractNumId w:val="4"/>
  </w:num>
  <w:num w:numId="5" w16cid:durableId="874852420">
    <w:abstractNumId w:val="5"/>
  </w:num>
  <w:num w:numId="6" w16cid:durableId="1785149724">
    <w:abstractNumId w:val="1"/>
  </w:num>
  <w:num w:numId="7" w16cid:durableId="1504667513">
    <w:abstractNumId w:val="7"/>
  </w:num>
  <w:num w:numId="8" w16cid:durableId="917439275">
    <w:abstractNumId w:val="3"/>
  </w:num>
  <w:num w:numId="9" w16cid:durableId="122626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yMDU0NjQ2sjQztTRT0lEKTi0uzszPAykwqwUAw/EQUiwAAAA="/>
  </w:docVars>
  <w:rsids>
    <w:rsidRoot w:val="00F5533E"/>
    <w:rsid w:val="000025AE"/>
    <w:rsid w:val="00025629"/>
    <w:rsid w:val="000423F1"/>
    <w:rsid w:val="000445CF"/>
    <w:rsid w:val="00070604"/>
    <w:rsid w:val="00087055"/>
    <w:rsid w:val="000B2C0A"/>
    <w:rsid w:val="000B6D6D"/>
    <w:rsid w:val="000F0D69"/>
    <w:rsid w:val="000F7ED2"/>
    <w:rsid w:val="00105385"/>
    <w:rsid w:val="001163BF"/>
    <w:rsid w:val="00141138"/>
    <w:rsid w:val="00175FF0"/>
    <w:rsid w:val="00190E0A"/>
    <w:rsid w:val="00196EBE"/>
    <w:rsid w:val="001A1347"/>
    <w:rsid w:val="001B3522"/>
    <w:rsid w:val="002216AE"/>
    <w:rsid w:val="00242594"/>
    <w:rsid w:val="002601E5"/>
    <w:rsid w:val="002642B0"/>
    <w:rsid w:val="00290CD3"/>
    <w:rsid w:val="002A5B39"/>
    <w:rsid w:val="002C6108"/>
    <w:rsid w:val="003035E1"/>
    <w:rsid w:val="003110C4"/>
    <w:rsid w:val="00352959"/>
    <w:rsid w:val="00356533"/>
    <w:rsid w:val="003620F5"/>
    <w:rsid w:val="0036315C"/>
    <w:rsid w:val="00376591"/>
    <w:rsid w:val="00376CCE"/>
    <w:rsid w:val="00386644"/>
    <w:rsid w:val="00411D58"/>
    <w:rsid w:val="0044551E"/>
    <w:rsid w:val="004A3DA2"/>
    <w:rsid w:val="004B327A"/>
    <w:rsid w:val="0054292D"/>
    <w:rsid w:val="00553C3E"/>
    <w:rsid w:val="00594DA5"/>
    <w:rsid w:val="005A58E8"/>
    <w:rsid w:val="005B7B70"/>
    <w:rsid w:val="005C3698"/>
    <w:rsid w:val="005C53EB"/>
    <w:rsid w:val="00614C99"/>
    <w:rsid w:val="00677E91"/>
    <w:rsid w:val="006B30F3"/>
    <w:rsid w:val="006D3D1A"/>
    <w:rsid w:val="006E3FD7"/>
    <w:rsid w:val="00707858"/>
    <w:rsid w:val="007120ED"/>
    <w:rsid w:val="00717947"/>
    <w:rsid w:val="00722416"/>
    <w:rsid w:val="00732D28"/>
    <w:rsid w:val="00761E91"/>
    <w:rsid w:val="007B6147"/>
    <w:rsid w:val="007B7096"/>
    <w:rsid w:val="007E671E"/>
    <w:rsid w:val="00837970"/>
    <w:rsid w:val="008B22D3"/>
    <w:rsid w:val="008C34C7"/>
    <w:rsid w:val="008D0D45"/>
    <w:rsid w:val="008D0FE5"/>
    <w:rsid w:val="008E24AC"/>
    <w:rsid w:val="008F39CA"/>
    <w:rsid w:val="0097126B"/>
    <w:rsid w:val="00994369"/>
    <w:rsid w:val="009A2238"/>
    <w:rsid w:val="009A3CCC"/>
    <w:rsid w:val="009B0611"/>
    <w:rsid w:val="009D0623"/>
    <w:rsid w:val="009D5799"/>
    <w:rsid w:val="009F7CB7"/>
    <w:rsid w:val="00A030F1"/>
    <w:rsid w:val="00A170BA"/>
    <w:rsid w:val="00A35463"/>
    <w:rsid w:val="00A41FCE"/>
    <w:rsid w:val="00A53CBE"/>
    <w:rsid w:val="00A63413"/>
    <w:rsid w:val="00A6351B"/>
    <w:rsid w:val="00A64984"/>
    <w:rsid w:val="00B24F49"/>
    <w:rsid w:val="00B57F8C"/>
    <w:rsid w:val="00B77B00"/>
    <w:rsid w:val="00B92ED0"/>
    <w:rsid w:val="00C02611"/>
    <w:rsid w:val="00C23211"/>
    <w:rsid w:val="00C23EAD"/>
    <w:rsid w:val="00C832EB"/>
    <w:rsid w:val="00CA0AA2"/>
    <w:rsid w:val="00CE32DF"/>
    <w:rsid w:val="00D1768D"/>
    <w:rsid w:val="00D736AC"/>
    <w:rsid w:val="00D93997"/>
    <w:rsid w:val="00D96E2B"/>
    <w:rsid w:val="00DD4259"/>
    <w:rsid w:val="00DE4738"/>
    <w:rsid w:val="00DE674A"/>
    <w:rsid w:val="00DF4008"/>
    <w:rsid w:val="00E06159"/>
    <w:rsid w:val="00E53794"/>
    <w:rsid w:val="00E91B08"/>
    <w:rsid w:val="00E91F35"/>
    <w:rsid w:val="00E95075"/>
    <w:rsid w:val="00EB0D64"/>
    <w:rsid w:val="00F0230A"/>
    <w:rsid w:val="00F03C0F"/>
    <w:rsid w:val="00F119CB"/>
    <w:rsid w:val="00F5533E"/>
    <w:rsid w:val="00F7622A"/>
    <w:rsid w:val="00FB5250"/>
    <w:rsid w:val="00FD36C8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11"/>
  </w:style>
  <w:style w:type="paragraph" w:styleId="Footer">
    <w:name w:val="footer"/>
    <w:basedOn w:val="Normal"/>
    <w:link w:val="FooterCha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11"/>
  </w:style>
  <w:style w:type="character" w:customStyle="1" w:styleId="Heading1Char">
    <w:name w:val="Heading 1 Char"/>
    <w:basedOn w:val="DefaultParagraphFont"/>
    <w:link w:val="Heading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IntenseEmphasis">
    <w:name w:val="Intense Emphasis"/>
    <w:basedOn w:val="DefaultParagraphFon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91B08"/>
    <w:rPr>
      <w:rFonts w:ascii="Arial" w:hAnsi="Arial"/>
      <w:i/>
      <w:iCs/>
    </w:rPr>
  </w:style>
  <w:style w:type="table" w:styleId="TableGrid">
    <w:name w:val="Table Grid"/>
    <w:basedOn w:val="Table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61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202</TotalTime>
  <Pages>2</Pages>
  <Words>436</Words>
  <Characters>2322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Cosmina Mirea</cp:lastModifiedBy>
  <cp:revision>20</cp:revision>
  <dcterms:created xsi:type="dcterms:W3CDTF">2025-03-03T08:41:00Z</dcterms:created>
  <dcterms:modified xsi:type="dcterms:W3CDTF">2025-05-07T05:37:00Z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