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Default="000F0D69" w:rsidP="00D47A26">
      <w:pPr>
        <w:spacing w:after="240" w:line="250" w:lineRule="auto"/>
        <w:jc w:val="both"/>
        <w:rPr>
          <w:rFonts w:cs="Open Sans"/>
          <w:bCs/>
          <w:color w:val="003399"/>
          <w:lang w:val="en-GB"/>
        </w:rPr>
      </w:pPr>
    </w:p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370"/>
      </w:tblGrid>
      <w:tr w:rsidR="00DF4008" w:rsidRPr="00945828" w14:paraId="2FCB8905" w14:textId="77777777" w:rsidTr="00D47A26">
        <w:trPr>
          <w:trHeight w:val="333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3120" w14:textId="228DD842" w:rsidR="00DF4008" w:rsidRPr="00945828" w:rsidRDefault="00945828" w:rsidP="00D47A26">
            <w:pPr>
              <w:spacing w:before="60" w:after="120" w:line="276" w:lineRule="auto"/>
              <w:jc w:val="both"/>
              <w:rPr>
                <w:lang w:val="en-GB"/>
              </w:rPr>
            </w:pPr>
            <w:r w:rsidRPr="00945828">
              <w:rPr>
                <w:rFonts w:cs="Calibri"/>
                <w:b/>
                <w:color w:val="FFFFFF"/>
                <w:lang w:val="en-GB" w:eastAsia="en-GB"/>
              </w:rPr>
              <w:t>1st Open Call – People to People Projects</w:t>
            </w:r>
          </w:p>
        </w:tc>
      </w:tr>
      <w:tr w:rsidR="00DF4008" w:rsidRPr="00945828" w14:paraId="0362BCF6" w14:textId="77777777" w:rsidTr="003620F5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439EBFC8" w:rsidR="00DF4008" w:rsidRPr="00945828" w:rsidRDefault="00945828" w:rsidP="00D47A26">
            <w:pPr>
              <w:spacing w:after="120" w:line="252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Project code &amp; </w:t>
            </w:r>
            <w:r w:rsidR="00D47A26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acronym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87A8" w14:textId="77777777" w:rsidR="0074713A" w:rsidRPr="0074713A" w:rsidRDefault="00EC3BC1" w:rsidP="0074713A">
            <w:pPr>
              <w:spacing w:after="120" w:line="276" w:lineRule="auto"/>
              <w:jc w:val="both"/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</w:pPr>
            <w:r w:rsidRPr="00EC3BC1">
              <w:rPr>
                <w:rFonts w:cs="Calibri"/>
                <w:bCs/>
                <w:color w:val="1F3864" w:themeColor="accent5" w:themeShade="80"/>
                <w:szCs w:val="20"/>
                <w:lang w:eastAsia="en-GB"/>
              </w:rPr>
              <w:t>ROHU0021</w:t>
            </w:r>
            <w:r w:rsidR="0074713A">
              <w:rPr>
                <w:rFonts w:cs="Calibri"/>
                <w:bCs/>
                <w:color w:val="1F3864" w:themeColor="accent5" w:themeShade="80"/>
                <w:szCs w:val="20"/>
                <w:lang w:eastAsia="en-GB"/>
              </w:rPr>
              <w:t>2</w:t>
            </w:r>
            <w:r w:rsidRPr="00EC3BC1">
              <w:rPr>
                <w:rFonts w:cs="Calibri"/>
                <w:bCs/>
                <w:color w:val="1F3864" w:themeColor="accent5" w:themeShade="80"/>
                <w:szCs w:val="20"/>
                <w:lang w:eastAsia="en-GB"/>
              </w:rPr>
              <w:t xml:space="preserve"> – </w:t>
            </w:r>
            <w:r w:rsidR="0074713A" w:rsidRPr="0074713A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GreenCity</w:t>
            </w:r>
          </w:p>
          <w:p w14:paraId="72A6C865" w14:textId="5F2D1CF5" w:rsidR="00DF4008" w:rsidRPr="00D47A26" w:rsidRDefault="00DF4008" w:rsidP="00D47A26">
            <w:pPr>
              <w:spacing w:after="120" w:line="276" w:lineRule="auto"/>
              <w:jc w:val="both"/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</w:pPr>
          </w:p>
        </w:tc>
      </w:tr>
      <w:tr w:rsidR="00DF4008" w:rsidRPr="00945828" w14:paraId="1D2DEC3A" w14:textId="77777777" w:rsidTr="003620F5">
        <w:trPr>
          <w:trHeight w:val="7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6D6D50A1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ro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j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ect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 title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45F0B254" w:rsidR="00DF4008" w:rsidRPr="00D47A26" w:rsidRDefault="0074713A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74713A">
              <w:rPr>
                <w:color w:val="1F3864" w:themeColor="accent5" w:themeShade="80"/>
                <w:szCs w:val="20"/>
                <w:lang w:val="en-GB"/>
              </w:rPr>
              <w:t>Sustainability put into practice - Adding green spaces to urban areas</w:t>
            </w:r>
          </w:p>
        </w:tc>
      </w:tr>
      <w:tr w:rsidR="00DF4008" w:rsidRPr="00945828" w14:paraId="2ED899A6" w14:textId="77777777" w:rsidTr="00B34538">
        <w:trPr>
          <w:trHeight w:val="53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68594934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Priori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>ty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6F655868" w:rsidR="00DF4008" w:rsidRPr="00D47A26" w:rsidRDefault="00945828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color w:val="1F3864" w:themeColor="accent5" w:themeShade="80"/>
                <w:szCs w:val="20"/>
                <w:lang w:val="en-GB"/>
              </w:rPr>
              <w:t>P3 - A more sustainable, community-based and effective cross-border cooperation</w:t>
            </w:r>
          </w:p>
        </w:tc>
      </w:tr>
      <w:tr w:rsidR="00DF4008" w:rsidRPr="00945828" w14:paraId="5A450318" w14:textId="77777777" w:rsidTr="003620F5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548F1F1E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Specific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 xml:space="preserve"> Objective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18A1E29C" w:rsidR="00DF4008" w:rsidRPr="00D47A26" w:rsidRDefault="00945828" w:rsidP="00D47A26">
            <w:pPr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color w:val="1F3864" w:themeColor="accent5" w:themeShade="80"/>
                <w:szCs w:val="20"/>
                <w:lang w:val="en-GB"/>
              </w:rPr>
              <w:t>ISO6.3 - Building up mutual trust, in particular by encouraging people-to-people actions</w:t>
            </w:r>
          </w:p>
        </w:tc>
      </w:tr>
      <w:tr w:rsidR="00DF4008" w:rsidRPr="00945828" w14:paraId="7703D1F8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20EFEDAF" w:rsidR="00DF4008" w:rsidRPr="00945828" w:rsidRDefault="0094582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Implementation period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4A8BF299" w:rsidR="00DF4008" w:rsidRPr="00C12238" w:rsidRDefault="00945828" w:rsidP="00D47A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b/>
                <w:bCs/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color w:val="1F3864" w:themeColor="accent5" w:themeShade="80"/>
                <w:szCs w:val="20"/>
                <w:lang w:val="en-GB"/>
              </w:rPr>
              <w:t>12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D47A26">
              <w:rPr>
                <w:color w:val="1F3864" w:themeColor="accent5" w:themeShade="80"/>
                <w:szCs w:val="20"/>
                <w:lang w:val="en-GB"/>
              </w:rPr>
              <w:t>months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C12238">
              <w:rPr>
                <w:color w:val="1F3864" w:themeColor="accent5" w:themeShade="80"/>
                <w:szCs w:val="20"/>
                <w:lang w:val="en-GB"/>
              </w:rPr>
              <w:t xml:space="preserve">- </w:t>
            </w:r>
            <w:r w:rsidR="00C12238" w:rsidRPr="00C12238">
              <w:rPr>
                <w:color w:val="1F3864" w:themeColor="accent5" w:themeShade="80"/>
                <w:szCs w:val="20"/>
                <w:lang w:val="en-GB"/>
              </w:rPr>
              <w:t>3/4/2025</w:t>
            </w:r>
            <w:r w:rsidR="00C12238">
              <w:rPr>
                <w:color w:val="1F3864" w:themeColor="accent5" w:themeShade="80"/>
                <w:szCs w:val="20"/>
                <w:lang w:val="en-GB"/>
              </w:rPr>
              <w:t>-</w:t>
            </w:r>
            <w:r w:rsidR="00C12238" w:rsidRPr="00C12238">
              <w:rPr>
                <w:color w:val="1F3864" w:themeColor="accent5" w:themeShade="80"/>
                <w:szCs w:val="20"/>
                <w:lang w:val="en-GB"/>
              </w:rPr>
              <w:t>3/3/2026</w:t>
            </w:r>
          </w:p>
        </w:tc>
      </w:tr>
      <w:tr w:rsidR="00DF4008" w:rsidRPr="00945828" w14:paraId="010F0453" w14:textId="77777777" w:rsidTr="00BB5E38">
        <w:trPr>
          <w:trHeight w:val="9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E01275F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Ob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>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3F216F97" w:rsidR="00F119CB" w:rsidRPr="00D47A26" w:rsidRDefault="00486A6A" w:rsidP="0048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486A6A">
              <w:rPr>
                <w:color w:val="1F3864" w:themeColor="accent5" w:themeShade="80"/>
                <w:szCs w:val="20"/>
                <w:lang w:val="en-GB"/>
              </w:rPr>
              <w:t>Within our project we are creating demonstration garden in Botanical Garden of Szeged and a vertical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486A6A">
              <w:rPr>
                <w:color w:val="1F3864" w:themeColor="accent5" w:themeShade="80"/>
                <w:szCs w:val="20"/>
                <w:lang w:val="en-GB"/>
              </w:rPr>
              <w:t>garden in Timisoara, inner yard of the Lead partner from Timisoara. Beside these achievements, we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486A6A">
              <w:rPr>
                <w:color w:val="1F3864" w:themeColor="accent5" w:themeShade="80"/>
                <w:szCs w:val="20"/>
                <w:lang w:val="en-GB"/>
              </w:rPr>
              <w:t>will offer 10 demonstration garden units for 10 schools in the cross-border area. We will initiate a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486A6A">
              <w:rPr>
                <w:color w:val="1F3864" w:themeColor="accent5" w:themeShade="80"/>
                <w:szCs w:val="20"/>
                <w:lang w:val="en-GB"/>
              </w:rPr>
              <w:t>gardening club in schools on both sides of the border. We will organize trainings for local inhabitants,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486A6A">
              <w:rPr>
                <w:color w:val="1F3864" w:themeColor="accent5" w:themeShade="80"/>
                <w:szCs w:val="20"/>
                <w:lang w:val="en-GB"/>
              </w:rPr>
              <w:t>we will organize workshops by offering demonstration garden units for residential communities on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486A6A">
              <w:rPr>
                <w:color w:val="1F3864" w:themeColor="accent5" w:themeShade="80"/>
                <w:szCs w:val="20"/>
                <w:lang w:val="en-GB"/>
              </w:rPr>
              <w:t>both sides of the border. We will organize joint workshops for different target groups in Szeged and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486A6A">
              <w:rPr>
                <w:color w:val="1F3864" w:themeColor="accent5" w:themeShade="80"/>
                <w:szCs w:val="20"/>
                <w:lang w:val="en-GB"/>
              </w:rPr>
              <w:t>in Timisoara on the newly created demonstration garden.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486A6A">
              <w:rPr>
                <w:color w:val="1F3864" w:themeColor="accent5" w:themeShade="80"/>
                <w:szCs w:val="20"/>
                <w:lang w:val="en-GB"/>
              </w:rPr>
              <w:t>All these activities will based on the elaborated training materials, on teaching videos. These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486A6A">
              <w:rPr>
                <w:color w:val="1F3864" w:themeColor="accent5" w:themeShade="80"/>
                <w:szCs w:val="20"/>
                <w:lang w:val="en-GB"/>
              </w:rPr>
              <w:t>materials will be available on the project website, containing all important tips and techniques.</w:t>
            </w:r>
          </w:p>
        </w:tc>
      </w:tr>
      <w:tr w:rsidR="00DF4008" w:rsidRPr="00945828" w14:paraId="1EEF8B90" w14:textId="77777777" w:rsidTr="00B80A04">
        <w:trPr>
          <w:trHeight w:val="412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359A81D6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Partnership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623C" w14:textId="624E60D0" w:rsidR="00DF4008" w:rsidRPr="00D47A26" w:rsidRDefault="00DF4008" w:rsidP="00B345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Lead</w:t>
            </w:r>
            <w:r w:rsidR="00945828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rFonts w:cs="Calibri"/>
                <w:b/>
                <w:color w:val="1F3864" w:themeColor="accent5" w:themeShade="80"/>
                <w:szCs w:val="20"/>
                <w:lang w:val="en-GB" w:eastAsia="en-GB"/>
              </w:rPr>
              <w:t xml:space="preserve">: </w:t>
            </w:r>
            <w:r w:rsidR="00EC3BC1" w:rsidRPr="00EC3BC1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Diaspora Foundation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 (</w:t>
            </w:r>
            <w:r w:rsidR="00B80A04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Romania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)</w:t>
            </w:r>
          </w:p>
        </w:tc>
      </w:tr>
      <w:tr w:rsidR="00DF4008" w:rsidRPr="00945828" w14:paraId="527C4A89" w14:textId="77777777" w:rsidTr="00BB5E38">
        <w:trPr>
          <w:trHeight w:val="788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945828" w:rsidRDefault="00DF4008" w:rsidP="0022082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D94" w14:textId="17A6FE83" w:rsidR="00DF4008" w:rsidRPr="00D47A26" w:rsidRDefault="00DF4008" w:rsidP="003620F5">
            <w:pPr>
              <w:spacing w:after="0" w:line="276" w:lineRule="auto"/>
              <w:jc w:val="both"/>
              <w:rPr>
                <w:b/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Pro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j</w:t>
            </w: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ect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: </w:t>
            </w:r>
          </w:p>
          <w:p w14:paraId="7BCBBF71" w14:textId="4C99282C" w:rsidR="003620F5" w:rsidRPr="00D47A26" w:rsidRDefault="003620F5" w:rsidP="00B34538">
            <w:pPr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bCs/>
                <w:color w:val="1F3864" w:themeColor="accent5" w:themeShade="80"/>
                <w:szCs w:val="20"/>
                <w:lang w:val="en-GB"/>
              </w:rPr>
              <w:t>PP2 HU: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486A6A" w:rsidRPr="00486A6A">
              <w:rPr>
                <w:bCs/>
                <w:color w:val="1F3864" w:themeColor="accent5" w:themeShade="80"/>
                <w:szCs w:val="20"/>
                <w:lang w:val="en-GB"/>
              </w:rPr>
              <w:t>CSEMETE Nature and Environmental Protection Association</w:t>
            </w:r>
          </w:p>
        </w:tc>
      </w:tr>
      <w:tr w:rsidR="00DF4008" w:rsidRPr="00945828" w14:paraId="4EE4EBD1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59CE43D2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Total budget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864E" w14:textId="3845968B" w:rsidR="003620F5" w:rsidRPr="00D47A26" w:rsidRDefault="00DF4008" w:rsidP="003620F5">
            <w:pPr>
              <w:spacing w:after="0" w:line="276" w:lineRule="auto"/>
              <w:jc w:val="both"/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</w:pP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="001C4914" w:rsidRPr="001C4914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168.596,60</w:t>
            </w:r>
            <w:r w:rsidR="00B80A04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, out of which </w:t>
            </w:r>
          </w:p>
          <w:p w14:paraId="52D4F5C2" w14:textId="6A507594" w:rsidR="00DF4008" w:rsidRPr="00D47A26" w:rsidRDefault="00B80A04" w:rsidP="00B34538">
            <w:pPr>
              <w:spacing w:after="120" w:line="276" w:lineRule="auto"/>
              <w:jc w:val="both"/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</w:pPr>
            <w:r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>ERDF</w:t>
            </w:r>
            <w:r w:rsidR="00DF4008"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 xml:space="preserve"> </w:t>
            </w:r>
            <w:r w:rsidR="00DF4008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="001C4914" w:rsidRPr="001C4914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134.877,28</w:t>
            </w:r>
          </w:p>
        </w:tc>
      </w:tr>
      <w:tr w:rsidR="00DF4008" w:rsidRPr="00945828" w14:paraId="51B61C9D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56E09BBA" w:rsidR="00DF4008" w:rsidRPr="00945828" w:rsidRDefault="00DF400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Sum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m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ar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20B1" w14:textId="6879E1AF" w:rsidR="007120ED" w:rsidRPr="001C4914" w:rsidRDefault="001C4914" w:rsidP="001C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1C4914">
              <w:rPr>
                <w:color w:val="1F3864" w:themeColor="accent5" w:themeShade="80"/>
                <w:szCs w:val="20"/>
                <w:lang w:val="en-GB"/>
              </w:rPr>
              <w:t>Green spaces are socially responsible because they provide a range of benefits that contribute to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improved physical and mental health, a healthier and more sustainable built environment, social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interaction and community building, and economic development. By prioritizing the creation and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maintenance of green spaces, we can create more livable and equitable communities for all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.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There is visible scientific evidence that green spaces are beneficial for the good of the environment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and the community. However, one major challenge remains: many cities have already grown so is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nearly impossible to create new parks and large green areas in major urban locations. However, our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partnership find a way to make cities greener by creating gardening units in institutes and creating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 xml:space="preserve">vertical gardens in outdoor areas, near fences, or along parking lots. Many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lastRenderedPageBreak/>
              <w:t>cities have underutilized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spaces, such as parking lots, abandoned buildings, and vacant lots. These can be converted into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community gardens, green roofs, and other types of urban green infrastructure.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From the point of view of sustainability, the activities proposed in our project affects several EU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directives and efforts, but the most important are promoting self-sufficiency and self-care,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strengthening the economy based on local resources, solving recreation in a sustainable way,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strengthening inter-sectoral and social cooperation, reducing environmental burdens, and response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to climate adaptation.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Urban gardening has been the talk of the bigger towns for some time now. It offers the opportunity to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create your own small garden even in the middle of the big city. The vertical garden is particularly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popular because it creates a green oasis even in the smallest of spaces and makes intelligent use of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every centimeter. Both on balconies and terraces or in gardens, vertical planting can be found in the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form of green walls, raised beds and pallet racks. another trend is balcony gardening, more and more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urban area inhabitants created as hobby planting several plants on their balcony and are proudly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harvesting their own vegetables, aromatic plants.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Within our project we are creating demonstration garden in Botanical Garden of Szeged and a vertical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garden in Timisoara, inner yard of the Lead partner from Timisoara. Beside these achievements, we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will offer 10 demonstration garden units for 10 schools in th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E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cross-border area. We will initiate a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gardening club in schools on both sides of the border. We will organize trainings for local inhabitants,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we will organize workshops by offering demonstration garden units for residential communities on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both sides of the border. We will organize joint workshops for different target groups in Szeged and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in Timisoara on the newly created demonstration garden.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All these activities will based on the elaborated training materials, on teaching videos. These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szCs w:val="20"/>
                <w:lang w:val="en-GB"/>
              </w:rPr>
              <w:t>materials will be available on the project website, containing all important tips and techniques.</w:t>
            </w:r>
          </w:p>
        </w:tc>
      </w:tr>
      <w:tr w:rsidR="00DF4008" w:rsidRPr="00945828" w14:paraId="47DF7069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0295A7CE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lastRenderedPageBreak/>
              <w:t>Main results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967B" w14:textId="7DCCA406" w:rsidR="00BB5E38" w:rsidRPr="00BB5E38" w:rsidRDefault="0020035C" w:rsidP="00BB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 xml:space="preserve">Objectives: </w:t>
            </w:r>
          </w:p>
          <w:p w14:paraId="173E30B6" w14:textId="6ED61117" w:rsidR="00EE076C" w:rsidRPr="001C4914" w:rsidRDefault="001C4914" w:rsidP="001C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1C4914">
              <w:rPr>
                <w:color w:val="1F3864" w:themeColor="accent5" w:themeShade="80"/>
                <w:lang w:val="en-GB"/>
              </w:rPr>
              <w:t>Our overall objective is to create more livable, equitable communities in a more sustainable</w:t>
            </w:r>
            <w:r>
              <w:rPr>
                <w:color w:val="1F3864" w:themeColor="accent5" w:themeShade="8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lang w:val="en-GB"/>
              </w:rPr>
              <w:t>environment.</w:t>
            </w:r>
            <w:r>
              <w:rPr>
                <w:color w:val="1F3864" w:themeColor="accent5" w:themeShade="8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lang w:val="en-GB"/>
              </w:rPr>
              <w:t>By means of our project we will create green oasis in the middle of the cities, we will elaborate</w:t>
            </w:r>
            <w:r>
              <w:rPr>
                <w:color w:val="1F3864" w:themeColor="accent5" w:themeShade="8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lang w:val="en-GB"/>
              </w:rPr>
              <w:t>training materials and will organize trainings and workshops for different age categories. By several</w:t>
            </w:r>
            <w:r>
              <w:rPr>
                <w:color w:val="1F3864" w:themeColor="accent5" w:themeShade="8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lang w:val="en-GB"/>
              </w:rPr>
              <w:t>activities involving different levels of communities: pupils, local inhabitants, representatives of</w:t>
            </w:r>
            <w:r>
              <w:rPr>
                <w:color w:val="1F3864" w:themeColor="accent5" w:themeShade="80"/>
                <w:lang w:val="en-GB"/>
              </w:rPr>
              <w:t xml:space="preserve"> </w:t>
            </w:r>
            <w:r w:rsidRPr="001C4914">
              <w:rPr>
                <w:color w:val="1F3864" w:themeColor="accent5" w:themeShade="80"/>
                <w:lang w:val="en-GB"/>
              </w:rPr>
              <w:t>institutes we are raising awareness, are changing mentality, are encouraging joint actions.</w:t>
            </w:r>
          </w:p>
        </w:tc>
      </w:tr>
    </w:tbl>
    <w:p w14:paraId="703079E3" w14:textId="1BAFCCE0" w:rsidR="00423711" w:rsidRPr="00945828" w:rsidRDefault="00423711" w:rsidP="00DF4008">
      <w:pPr>
        <w:spacing w:after="0"/>
        <w:jc w:val="both"/>
        <w:rPr>
          <w:rFonts w:cs="Open Sans"/>
          <w:color w:val="003399"/>
          <w:lang w:val="en-GB"/>
        </w:rPr>
      </w:pPr>
    </w:p>
    <w:sectPr w:rsidR="00423711" w:rsidRPr="00945828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D5F8" w14:textId="77777777" w:rsidR="005C409E" w:rsidRDefault="005C409E" w:rsidP="00C23211">
      <w:pPr>
        <w:spacing w:after="0" w:line="240" w:lineRule="auto"/>
      </w:pPr>
      <w:r>
        <w:separator/>
      </w:r>
    </w:p>
  </w:endnote>
  <w:endnote w:type="continuationSeparator" w:id="0">
    <w:p w14:paraId="39CFE4E9" w14:textId="77777777" w:rsidR="005C409E" w:rsidRDefault="005C409E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20035C" w:rsidRDefault="00A170BA" w:rsidP="00CA0AA2">
    <w:pPr>
      <w:pStyle w:val="Footer"/>
      <w:jc w:val="center"/>
      <w:rPr>
        <w:rFonts w:cs="Open Sans"/>
        <w:color w:val="003399"/>
        <w:lang w:val="ro-RO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CFD9" w14:textId="77777777" w:rsidR="005C409E" w:rsidRDefault="005C409E" w:rsidP="00C23211">
      <w:pPr>
        <w:spacing w:after="0" w:line="240" w:lineRule="auto"/>
      </w:pPr>
      <w:r>
        <w:separator/>
      </w:r>
    </w:p>
  </w:footnote>
  <w:footnote w:type="continuationSeparator" w:id="0">
    <w:p w14:paraId="018DEE15" w14:textId="77777777" w:rsidR="005C409E" w:rsidRDefault="005C409E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0F686C1D" w:rsidR="00E91B08" w:rsidRPr="00EC3BC1" w:rsidRDefault="00EC3BC1" w:rsidP="00EC3BC1">
    <w:pPr>
      <w:pStyle w:val="Header"/>
    </w:pPr>
    <w:r>
      <w:rPr>
        <w:noProof/>
      </w:rPr>
      <w:drawing>
        <wp:inline distT="0" distB="0" distL="0" distR="0" wp14:anchorId="34084829" wp14:editId="3CC52C81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861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EC062CC"/>
    <w:multiLevelType w:val="hybridMultilevel"/>
    <w:tmpl w:val="7DC6A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47206"/>
    <w:multiLevelType w:val="hybridMultilevel"/>
    <w:tmpl w:val="6146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33BD"/>
    <w:multiLevelType w:val="hybridMultilevel"/>
    <w:tmpl w:val="459CFD22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5D0BBE"/>
    <w:multiLevelType w:val="hybridMultilevel"/>
    <w:tmpl w:val="EC34337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F079B"/>
    <w:multiLevelType w:val="hybridMultilevel"/>
    <w:tmpl w:val="EACC4F9A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5D30BC"/>
    <w:multiLevelType w:val="hybridMultilevel"/>
    <w:tmpl w:val="2320F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05800"/>
    <w:multiLevelType w:val="hybridMultilevel"/>
    <w:tmpl w:val="85408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F2342"/>
    <w:multiLevelType w:val="hybridMultilevel"/>
    <w:tmpl w:val="25521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03AF4"/>
    <w:multiLevelType w:val="hybridMultilevel"/>
    <w:tmpl w:val="F3A47FA0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B91AD5"/>
    <w:multiLevelType w:val="hybridMultilevel"/>
    <w:tmpl w:val="F0C2D8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0709"/>
    <w:multiLevelType w:val="hybridMultilevel"/>
    <w:tmpl w:val="11844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864262">
    <w:abstractNumId w:val="0"/>
  </w:num>
  <w:num w:numId="2" w16cid:durableId="1335305497">
    <w:abstractNumId w:val="11"/>
  </w:num>
  <w:num w:numId="3" w16cid:durableId="1487355793">
    <w:abstractNumId w:val="7"/>
  </w:num>
  <w:num w:numId="4" w16cid:durableId="881287704">
    <w:abstractNumId w:val="4"/>
  </w:num>
  <w:num w:numId="5" w16cid:durableId="874852420">
    <w:abstractNumId w:val="5"/>
  </w:num>
  <w:num w:numId="6" w16cid:durableId="1785149724">
    <w:abstractNumId w:val="2"/>
  </w:num>
  <w:num w:numId="7" w16cid:durableId="1504667513">
    <w:abstractNumId w:val="9"/>
  </w:num>
  <w:num w:numId="8" w16cid:durableId="917439275">
    <w:abstractNumId w:val="3"/>
  </w:num>
  <w:num w:numId="9" w16cid:durableId="741946137">
    <w:abstractNumId w:val="10"/>
  </w:num>
  <w:num w:numId="10" w16cid:durableId="935941996">
    <w:abstractNumId w:val="8"/>
  </w:num>
  <w:num w:numId="11" w16cid:durableId="711923649">
    <w:abstractNumId w:val="1"/>
  </w:num>
  <w:num w:numId="12" w16cid:durableId="124999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350F3"/>
    <w:rsid w:val="000445CF"/>
    <w:rsid w:val="000F0D69"/>
    <w:rsid w:val="00105385"/>
    <w:rsid w:val="001163BF"/>
    <w:rsid w:val="00190E0A"/>
    <w:rsid w:val="001C4914"/>
    <w:rsid w:val="0020035C"/>
    <w:rsid w:val="002216AE"/>
    <w:rsid w:val="00242594"/>
    <w:rsid w:val="002601E5"/>
    <w:rsid w:val="002642B0"/>
    <w:rsid w:val="00290CD3"/>
    <w:rsid w:val="002A5B39"/>
    <w:rsid w:val="003035E1"/>
    <w:rsid w:val="003316F2"/>
    <w:rsid w:val="00352959"/>
    <w:rsid w:val="003620F5"/>
    <w:rsid w:val="00376591"/>
    <w:rsid w:val="003F05EA"/>
    <w:rsid w:val="00423711"/>
    <w:rsid w:val="00486A6A"/>
    <w:rsid w:val="004A3DA2"/>
    <w:rsid w:val="005023A1"/>
    <w:rsid w:val="00507A63"/>
    <w:rsid w:val="0054292D"/>
    <w:rsid w:val="0055075A"/>
    <w:rsid w:val="005A58E8"/>
    <w:rsid w:val="005B5E59"/>
    <w:rsid w:val="005B7B70"/>
    <w:rsid w:val="005C3698"/>
    <w:rsid w:val="005C409E"/>
    <w:rsid w:val="00614C99"/>
    <w:rsid w:val="00686420"/>
    <w:rsid w:val="006B30F3"/>
    <w:rsid w:val="007120ED"/>
    <w:rsid w:val="00722416"/>
    <w:rsid w:val="00732D28"/>
    <w:rsid w:val="0074713A"/>
    <w:rsid w:val="00761E91"/>
    <w:rsid w:val="007B6147"/>
    <w:rsid w:val="008527BE"/>
    <w:rsid w:val="008A0D0C"/>
    <w:rsid w:val="008B4EDA"/>
    <w:rsid w:val="008C34C7"/>
    <w:rsid w:val="008E24AC"/>
    <w:rsid w:val="00910C0E"/>
    <w:rsid w:val="00945828"/>
    <w:rsid w:val="0097126B"/>
    <w:rsid w:val="009D0623"/>
    <w:rsid w:val="00A170BA"/>
    <w:rsid w:val="00A2500A"/>
    <w:rsid w:val="00A35463"/>
    <w:rsid w:val="00A53CBE"/>
    <w:rsid w:val="00A64984"/>
    <w:rsid w:val="00AC7698"/>
    <w:rsid w:val="00B24F49"/>
    <w:rsid w:val="00B34538"/>
    <w:rsid w:val="00B51267"/>
    <w:rsid w:val="00B57F8C"/>
    <w:rsid w:val="00B77B00"/>
    <w:rsid w:val="00B80A04"/>
    <w:rsid w:val="00B92ED0"/>
    <w:rsid w:val="00BB5E38"/>
    <w:rsid w:val="00C02611"/>
    <w:rsid w:val="00C12238"/>
    <w:rsid w:val="00C23211"/>
    <w:rsid w:val="00C23EAD"/>
    <w:rsid w:val="00CA0AA2"/>
    <w:rsid w:val="00CB46CA"/>
    <w:rsid w:val="00D1768D"/>
    <w:rsid w:val="00D47A26"/>
    <w:rsid w:val="00D736AC"/>
    <w:rsid w:val="00DE0140"/>
    <w:rsid w:val="00DE4738"/>
    <w:rsid w:val="00DF4008"/>
    <w:rsid w:val="00E06159"/>
    <w:rsid w:val="00E27479"/>
    <w:rsid w:val="00E91B08"/>
    <w:rsid w:val="00EB0D64"/>
    <w:rsid w:val="00EC3BC1"/>
    <w:rsid w:val="00ED0379"/>
    <w:rsid w:val="00EE076C"/>
    <w:rsid w:val="00F0230A"/>
    <w:rsid w:val="00F100E9"/>
    <w:rsid w:val="00F119CB"/>
    <w:rsid w:val="00F5533E"/>
    <w:rsid w:val="00F7622A"/>
    <w:rsid w:val="00FB5250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0</TotalTime>
  <Pages>2</Pages>
  <Words>747</Words>
  <Characters>4252</Characters>
  <Application>Microsoft Office Word</Application>
  <DocSecurity>0</DocSecurity>
  <Lines>78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ROHU</cp:lastModifiedBy>
  <cp:revision>2</cp:revision>
  <dcterms:created xsi:type="dcterms:W3CDTF">2025-10-10T10:09:00Z</dcterms:created>
  <dcterms:modified xsi:type="dcterms:W3CDTF">2025-10-10T10:09:00Z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