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279B" w14:textId="77777777" w:rsidR="000F0D69" w:rsidRDefault="000F0D69" w:rsidP="002C2ADA">
      <w:pPr>
        <w:spacing w:after="0" w:line="250" w:lineRule="auto"/>
        <w:jc w:val="both"/>
        <w:rPr>
          <w:rFonts w:cs="Open Sans"/>
          <w:bCs/>
          <w:color w:val="003399"/>
          <w:lang w:val="en-GB"/>
        </w:rPr>
      </w:pPr>
    </w:p>
    <w:tbl>
      <w:tblPr>
        <w:tblW w:w="10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8370"/>
      </w:tblGrid>
      <w:tr w:rsidR="00DF4008" w:rsidRPr="00945828" w14:paraId="2FCB8905" w14:textId="77777777" w:rsidTr="00D47A26">
        <w:trPr>
          <w:trHeight w:val="333"/>
        </w:trPr>
        <w:tc>
          <w:tcPr>
            <w:tcW w:w="10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3120" w14:textId="27016D11" w:rsidR="00DF4008" w:rsidRPr="00945828" w:rsidRDefault="00945828" w:rsidP="00D47A26">
            <w:pPr>
              <w:spacing w:before="60" w:after="120" w:line="276" w:lineRule="auto"/>
              <w:jc w:val="both"/>
              <w:rPr>
                <w:lang w:val="en-GB"/>
              </w:rPr>
            </w:pPr>
            <w:r w:rsidRPr="00945828">
              <w:rPr>
                <w:rFonts w:cs="Calibri"/>
                <w:b/>
                <w:color w:val="FFFFFF"/>
                <w:lang w:val="en-GB" w:eastAsia="en-GB"/>
              </w:rPr>
              <w:t xml:space="preserve">1st Open Call </w:t>
            </w:r>
            <w:r w:rsidR="001B6C3B">
              <w:rPr>
                <w:rFonts w:cs="Calibri"/>
                <w:b/>
                <w:color w:val="FFFFFF"/>
                <w:lang w:val="en-GB" w:eastAsia="en-GB"/>
              </w:rPr>
              <w:t>for HARD projects</w:t>
            </w:r>
          </w:p>
        </w:tc>
      </w:tr>
      <w:tr w:rsidR="00DF4008" w:rsidRPr="00945828" w14:paraId="0362BCF6" w14:textId="77777777" w:rsidTr="003620F5">
        <w:trPr>
          <w:trHeight w:val="3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49FA" w14:textId="439EBFC8" w:rsidR="00DF4008" w:rsidRPr="00945828" w:rsidRDefault="00945828" w:rsidP="00D47A26">
            <w:pPr>
              <w:spacing w:after="120" w:line="252" w:lineRule="auto"/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 xml:space="preserve">Project code &amp; </w:t>
            </w:r>
            <w:r w:rsidR="00D47A26"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acronym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C865" w14:textId="417839B0" w:rsidR="00DF4008" w:rsidRPr="00D47A26" w:rsidRDefault="004515C7" w:rsidP="00D47A26">
            <w:pPr>
              <w:spacing w:after="120" w:line="276" w:lineRule="auto"/>
              <w:jc w:val="both"/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</w:pPr>
            <w:r w:rsidRPr="004515C7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ROHU00</w:t>
            </w:r>
            <w:r w:rsidR="001B6C3B" w:rsidRPr="001B6C3B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493 – GreenLink</w:t>
            </w:r>
          </w:p>
        </w:tc>
      </w:tr>
      <w:tr w:rsidR="00DF4008" w:rsidRPr="00945828" w14:paraId="1D2DEC3A" w14:textId="77777777" w:rsidTr="001B6C3B">
        <w:trPr>
          <w:trHeight w:val="56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DCFD" w14:textId="6D6D50A1" w:rsidR="00DF4008" w:rsidRPr="00945828" w:rsidRDefault="00945828" w:rsidP="00220828">
            <w:pPr>
              <w:spacing w:after="120"/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P</w:t>
            </w:r>
            <w:r w:rsidR="00DF4008"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ro</w:t>
            </w: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j</w:t>
            </w:r>
            <w:r w:rsidR="00DF4008"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ect</w:t>
            </w: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 xml:space="preserve"> title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3E40" w14:textId="3EA4B9EA" w:rsidR="00DF4008" w:rsidRPr="00D47A26" w:rsidRDefault="001B6C3B" w:rsidP="00D47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1B6C3B">
              <w:rPr>
                <w:color w:val="1F3864" w:themeColor="accent5" w:themeShade="80"/>
                <w:szCs w:val="20"/>
                <w:lang w:val="en-GB"/>
              </w:rPr>
              <w:t>Building cross-border capacities and empowering communities for a clean energy shift</w:t>
            </w:r>
          </w:p>
        </w:tc>
      </w:tr>
      <w:tr w:rsidR="00DF4008" w:rsidRPr="00945828" w14:paraId="2ED899A6" w14:textId="77777777" w:rsidTr="00B34538">
        <w:trPr>
          <w:trHeight w:val="539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31C9" w14:textId="68594934" w:rsidR="00DF4008" w:rsidRPr="00945828" w:rsidRDefault="00DF400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945828">
              <w:rPr>
                <w:b/>
                <w:color w:val="1F3864" w:themeColor="accent5" w:themeShade="80"/>
                <w:sz w:val="22"/>
                <w:lang w:val="en-GB"/>
              </w:rPr>
              <w:t>Priori</w:t>
            </w:r>
            <w:r w:rsidR="00945828" w:rsidRPr="00945828">
              <w:rPr>
                <w:b/>
                <w:color w:val="1F3864" w:themeColor="accent5" w:themeShade="80"/>
                <w:sz w:val="22"/>
                <w:lang w:val="en-GB"/>
              </w:rPr>
              <w:t>ty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8ECA" w14:textId="0B91A424" w:rsidR="00DF4008" w:rsidRPr="00D47A26" w:rsidRDefault="001B6C3B" w:rsidP="00D47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1B6C3B">
              <w:rPr>
                <w:color w:val="1F3864" w:themeColor="accent5" w:themeShade="80"/>
                <w:szCs w:val="20"/>
                <w:lang w:val="en-GB"/>
              </w:rPr>
              <w:t>P1 - Cooperation for a green and more resilient cross-border area between Romania and Hungary</w:t>
            </w:r>
          </w:p>
        </w:tc>
      </w:tr>
      <w:tr w:rsidR="00DF4008" w:rsidRPr="00945828" w14:paraId="5A450318" w14:textId="77777777" w:rsidTr="003620F5">
        <w:trPr>
          <w:trHeight w:val="58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4CF9" w14:textId="548F1F1E" w:rsidR="00DF4008" w:rsidRPr="00945828" w:rsidRDefault="00DF400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945828">
              <w:rPr>
                <w:b/>
                <w:color w:val="1F3864" w:themeColor="accent5" w:themeShade="80"/>
                <w:sz w:val="22"/>
                <w:lang w:val="en-GB"/>
              </w:rPr>
              <w:t>Specific</w:t>
            </w:r>
            <w:r w:rsidR="00945828" w:rsidRPr="00945828">
              <w:rPr>
                <w:b/>
                <w:color w:val="1F3864" w:themeColor="accent5" w:themeShade="80"/>
                <w:sz w:val="22"/>
                <w:lang w:val="en-GB"/>
              </w:rPr>
              <w:t xml:space="preserve"> Objective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B3DD" w14:textId="14399A16" w:rsidR="00DF4008" w:rsidRPr="00D47A26" w:rsidRDefault="001B6C3B" w:rsidP="00D47A26">
            <w:pPr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1B6C3B">
              <w:rPr>
                <w:color w:val="1F3864" w:themeColor="accent5" w:themeShade="80"/>
                <w:szCs w:val="20"/>
                <w:lang w:val="en-GB"/>
              </w:rPr>
              <w:t>RS02.2 - Promoting renewable energy in accordance with Renewable Energy Directive (EU) 2018/2001, including the sustainability criteria set out therein</w:t>
            </w:r>
          </w:p>
        </w:tc>
      </w:tr>
      <w:tr w:rsidR="00DF4008" w:rsidRPr="00945828" w14:paraId="7703D1F8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9972" w14:textId="20EFEDAF" w:rsidR="00DF4008" w:rsidRPr="00945828" w:rsidRDefault="0094582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945828">
              <w:rPr>
                <w:b/>
                <w:color w:val="1F3864" w:themeColor="accent5" w:themeShade="80"/>
                <w:sz w:val="22"/>
                <w:lang w:val="en-GB"/>
              </w:rPr>
              <w:t>Implementation period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6933" w14:textId="61C1679D" w:rsidR="00DF4008" w:rsidRPr="00D47A26" w:rsidRDefault="001B6C3B" w:rsidP="00D47A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>
              <w:rPr>
                <w:color w:val="1F3864" w:themeColor="accent5" w:themeShade="80"/>
                <w:szCs w:val="20"/>
                <w:lang w:val="en-GB"/>
              </w:rPr>
              <w:t>30</w:t>
            </w:r>
            <w:r w:rsidR="003620F5" w:rsidRPr="00D47A26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945828" w:rsidRPr="00D47A26">
              <w:rPr>
                <w:color w:val="1F3864" w:themeColor="accent5" w:themeShade="80"/>
                <w:szCs w:val="20"/>
                <w:lang w:val="en-GB"/>
              </w:rPr>
              <w:t>months</w:t>
            </w:r>
            <w:r w:rsidR="003620F5" w:rsidRPr="00D47A26">
              <w:rPr>
                <w:color w:val="1F3864" w:themeColor="accent5" w:themeShade="80"/>
                <w:szCs w:val="20"/>
                <w:lang w:val="en-GB"/>
              </w:rPr>
              <w:t xml:space="preserve"> (</w:t>
            </w:r>
            <w:r w:rsidR="000C0BBE">
              <w:rPr>
                <w:color w:val="1F3864" w:themeColor="accent5" w:themeShade="80"/>
                <w:szCs w:val="20"/>
                <w:lang w:val="en-GB"/>
              </w:rPr>
              <w:t>2</w:t>
            </w:r>
            <w:r>
              <w:rPr>
                <w:color w:val="1F3864" w:themeColor="accent5" w:themeShade="80"/>
                <w:szCs w:val="20"/>
                <w:lang w:val="en-GB"/>
              </w:rPr>
              <w:t>2</w:t>
            </w:r>
            <w:r w:rsidR="003620F5" w:rsidRPr="00D47A26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>
              <w:rPr>
                <w:color w:val="1F3864" w:themeColor="accent5" w:themeShade="80"/>
                <w:szCs w:val="20"/>
                <w:lang w:val="en-GB"/>
              </w:rPr>
              <w:t>April</w:t>
            </w:r>
            <w:r w:rsidR="00945828" w:rsidRPr="00D47A26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3620F5" w:rsidRPr="00D47A26">
              <w:rPr>
                <w:color w:val="1F3864" w:themeColor="accent5" w:themeShade="80"/>
                <w:szCs w:val="20"/>
                <w:lang w:val="en-GB"/>
              </w:rPr>
              <w:t>202</w:t>
            </w:r>
            <w:r w:rsidR="00945828" w:rsidRPr="00D47A26">
              <w:rPr>
                <w:color w:val="1F3864" w:themeColor="accent5" w:themeShade="80"/>
                <w:szCs w:val="20"/>
                <w:lang w:val="en-GB"/>
              </w:rPr>
              <w:t>5</w:t>
            </w:r>
            <w:r w:rsidR="003620F5" w:rsidRPr="00D47A26">
              <w:rPr>
                <w:color w:val="1F3864" w:themeColor="accent5" w:themeShade="80"/>
                <w:szCs w:val="20"/>
                <w:lang w:val="en-GB"/>
              </w:rPr>
              <w:t xml:space="preserve"> – </w:t>
            </w:r>
            <w:r w:rsidR="000C0BBE">
              <w:rPr>
                <w:color w:val="1F3864" w:themeColor="accent5" w:themeShade="80"/>
                <w:szCs w:val="20"/>
                <w:lang w:val="en-GB"/>
              </w:rPr>
              <w:t>2</w:t>
            </w:r>
            <w:r>
              <w:rPr>
                <w:color w:val="1F3864" w:themeColor="accent5" w:themeShade="80"/>
                <w:szCs w:val="20"/>
                <w:lang w:val="en-GB"/>
              </w:rPr>
              <w:t>1</w:t>
            </w:r>
            <w:r w:rsidR="003620F5" w:rsidRPr="00D47A26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October </w:t>
            </w:r>
            <w:r w:rsidR="00945828" w:rsidRPr="00D47A26">
              <w:rPr>
                <w:color w:val="1F3864" w:themeColor="accent5" w:themeShade="80"/>
                <w:szCs w:val="20"/>
                <w:lang w:val="en-GB"/>
              </w:rPr>
              <w:t>202</w:t>
            </w:r>
            <w:r>
              <w:rPr>
                <w:color w:val="1F3864" w:themeColor="accent5" w:themeShade="80"/>
                <w:szCs w:val="20"/>
                <w:lang w:val="en-GB"/>
              </w:rPr>
              <w:t>7</w:t>
            </w:r>
            <w:r w:rsidR="003620F5" w:rsidRPr="00D47A26">
              <w:rPr>
                <w:color w:val="1F3864" w:themeColor="accent5" w:themeShade="80"/>
                <w:szCs w:val="20"/>
                <w:lang w:val="en-GB"/>
              </w:rPr>
              <w:t>)</w:t>
            </w:r>
          </w:p>
        </w:tc>
      </w:tr>
      <w:tr w:rsidR="00DF4008" w:rsidRPr="00945828" w14:paraId="010F0453" w14:textId="77777777" w:rsidTr="00BB5E38">
        <w:trPr>
          <w:trHeight w:val="98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0E74" w14:textId="7E01275F" w:rsidR="00DF4008" w:rsidRPr="00945828" w:rsidRDefault="00DF400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945828">
              <w:rPr>
                <w:b/>
                <w:color w:val="1F3864" w:themeColor="accent5" w:themeShade="80"/>
                <w:sz w:val="22"/>
                <w:lang w:val="en-GB"/>
              </w:rPr>
              <w:t>Ob</w:t>
            </w:r>
            <w:r w:rsidR="00945828" w:rsidRPr="00945828">
              <w:rPr>
                <w:b/>
                <w:color w:val="1F3864" w:themeColor="accent5" w:themeShade="80"/>
                <w:sz w:val="22"/>
                <w:lang w:val="en-GB"/>
              </w:rPr>
              <w:t>jective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5F9E" w14:textId="3CB263EC" w:rsidR="00F119CB" w:rsidRPr="00D47A26" w:rsidRDefault="001B6C3B" w:rsidP="00D47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>
              <w:rPr>
                <w:color w:val="1F3864" w:themeColor="accent5" w:themeShade="80"/>
                <w:szCs w:val="20"/>
                <w:lang w:val="en-GB"/>
              </w:rPr>
              <w:t>The</w:t>
            </w:r>
            <w:r w:rsidRPr="001B6C3B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>
              <w:rPr>
                <w:color w:val="1F3864" w:themeColor="accent5" w:themeShade="80"/>
                <w:szCs w:val="20"/>
                <w:lang w:val="en-GB"/>
              </w:rPr>
              <w:t>main objective</w:t>
            </w:r>
            <w:r w:rsidRPr="001B6C3B">
              <w:rPr>
                <w:color w:val="1F3864" w:themeColor="accent5" w:themeShade="80"/>
                <w:szCs w:val="20"/>
                <w:lang w:val="en-GB"/>
              </w:rPr>
              <w:t xml:space="preserve"> of GreenLink is improving key conditions for a clean &amp; fair energy transition in the cross-border area by increasing (1) the participation level of stakeholders in urban planning; and (2) the capacities of thematic experts, public officials, &amp; citizens, with a particular focus on disadvantaged groups.</w:t>
            </w:r>
          </w:p>
        </w:tc>
      </w:tr>
      <w:tr w:rsidR="00DF4008" w:rsidRPr="00945828" w14:paraId="1EEF8B90" w14:textId="77777777" w:rsidTr="00B80A04">
        <w:trPr>
          <w:trHeight w:val="412"/>
        </w:trPr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5820D" w14:textId="359A81D6" w:rsidR="00DF4008" w:rsidRPr="00945828" w:rsidRDefault="00945828" w:rsidP="00220828">
            <w:pPr>
              <w:spacing w:after="120"/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Partnership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2623C" w14:textId="1C771C7B" w:rsidR="00DF4008" w:rsidRPr="00D47A26" w:rsidRDefault="00DF4008" w:rsidP="00B345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>Lead</w:t>
            </w:r>
            <w:r w:rsidR="00945828"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 xml:space="preserve"> Partner</w:t>
            </w:r>
            <w:r w:rsidRPr="00D47A26">
              <w:rPr>
                <w:rFonts w:cs="Calibri"/>
                <w:b/>
                <w:color w:val="1F3864" w:themeColor="accent5" w:themeShade="80"/>
                <w:szCs w:val="20"/>
                <w:lang w:val="en-GB" w:eastAsia="en-GB"/>
              </w:rPr>
              <w:t xml:space="preserve">: </w:t>
            </w:r>
            <w:r w:rsidR="001B6C3B" w:rsidRPr="001B6C3B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Nyírbátor Város Önkormányzata</w:t>
            </w:r>
            <w:r w:rsidR="001B6C3B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 xml:space="preserve"> </w:t>
            </w:r>
            <w:r w:rsidR="003620F5" w:rsidRPr="00D47A26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(</w:t>
            </w:r>
            <w:r w:rsidR="001B6C3B" w:rsidRPr="001B6C3B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Hungary</w:t>
            </w:r>
            <w:r w:rsidR="003620F5" w:rsidRPr="00D47A26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)</w:t>
            </w:r>
          </w:p>
        </w:tc>
      </w:tr>
      <w:tr w:rsidR="00DF4008" w:rsidRPr="00945828" w14:paraId="527C4A89" w14:textId="77777777" w:rsidTr="00BB5E38">
        <w:trPr>
          <w:trHeight w:val="788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DF23" w14:textId="77777777" w:rsidR="00DF4008" w:rsidRPr="00945828" w:rsidRDefault="00DF4008" w:rsidP="00220828">
            <w:pPr>
              <w:spacing w:after="0" w:line="251" w:lineRule="auto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2FD94" w14:textId="02D02604" w:rsidR="00DF4008" w:rsidRPr="00D47A26" w:rsidRDefault="00DF4008" w:rsidP="003620F5">
            <w:pPr>
              <w:spacing w:after="0" w:line="276" w:lineRule="auto"/>
              <w:jc w:val="both"/>
              <w:rPr>
                <w:b/>
                <w:color w:val="1F3864" w:themeColor="accent5" w:themeShade="80"/>
                <w:szCs w:val="20"/>
                <w:lang w:val="en-GB"/>
              </w:rPr>
            </w:pPr>
            <w:r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>Pro</w:t>
            </w:r>
            <w:r w:rsidR="00B80A04"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>j</w:t>
            </w:r>
            <w:r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>ect</w:t>
            </w:r>
            <w:r w:rsidR="00B80A04"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 xml:space="preserve"> Partner</w:t>
            </w:r>
            <w:r w:rsidRPr="00D47A26">
              <w:rPr>
                <w:b/>
                <w:color w:val="1F3864" w:themeColor="accent5" w:themeShade="80"/>
                <w:szCs w:val="20"/>
                <w:lang w:val="en-GB"/>
              </w:rPr>
              <w:t xml:space="preserve">: </w:t>
            </w:r>
          </w:p>
          <w:p w14:paraId="7BCBBF71" w14:textId="06AEACDB" w:rsidR="000C0BBE" w:rsidRPr="001B6C3B" w:rsidRDefault="003620F5" w:rsidP="001B6C3B">
            <w:pPr>
              <w:spacing w:after="0" w:line="276" w:lineRule="auto"/>
              <w:jc w:val="both"/>
              <w:rPr>
                <w:bCs/>
                <w:color w:val="1F3864" w:themeColor="accent5" w:themeShade="80"/>
                <w:szCs w:val="20"/>
                <w:lang w:val="en-GB"/>
              </w:rPr>
            </w:pPr>
            <w:r w:rsidRPr="00CE6ED7">
              <w:rPr>
                <w:b/>
                <w:color w:val="1F3864" w:themeColor="accent5" w:themeShade="80"/>
                <w:szCs w:val="20"/>
                <w:lang w:val="en-GB"/>
              </w:rPr>
              <w:t xml:space="preserve">PP2 </w:t>
            </w:r>
            <w:r w:rsidR="001B6C3B">
              <w:rPr>
                <w:b/>
                <w:color w:val="1F3864" w:themeColor="accent5" w:themeShade="80"/>
                <w:szCs w:val="20"/>
                <w:lang w:val="en-GB"/>
              </w:rPr>
              <w:t>RO</w:t>
            </w:r>
            <w:r w:rsidRPr="00D47A26">
              <w:rPr>
                <w:bCs/>
                <w:color w:val="1F3864" w:themeColor="accent5" w:themeShade="80"/>
                <w:szCs w:val="20"/>
                <w:lang w:val="en-GB"/>
              </w:rPr>
              <w:t>:</w:t>
            </w:r>
            <w:r w:rsidRPr="00D47A26">
              <w:rPr>
                <w:b/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1B6C3B" w:rsidRPr="001B6C3B">
              <w:rPr>
                <w:bCs/>
                <w:color w:val="1F3864" w:themeColor="accent5" w:themeShade="80"/>
                <w:szCs w:val="20"/>
                <w:lang w:val="en-GB"/>
              </w:rPr>
              <w:t>Unitatea Administrativ-Teritoriala Municipiul Carei</w:t>
            </w:r>
            <w:r w:rsidR="001B6C3B">
              <w:rPr>
                <w:bCs/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B80A04" w:rsidRPr="00D47A26">
              <w:rPr>
                <w:bCs/>
                <w:color w:val="1F3864" w:themeColor="accent5" w:themeShade="80"/>
                <w:szCs w:val="20"/>
                <w:lang w:val="en-GB"/>
              </w:rPr>
              <w:t>(</w:t>
            </w:r>
            <w:r w:rsidR="001B6C3B" w:rsidRPr="001B6C3B">
              <w:rPr>
                <w:bCs/>
                <w:color w:val="1F3864" w:themeColor="accent5" w:themeShade="80"/>
                <w:szCs w:val="20"/>
                <w:lang w:val="en-GB"/>
              </w:rPr>
              <w:t>Romania</w:t>
            </w:r>
            <w:r w:rsidR="00B80A04" w:rsidRPr="00D47A26">
              <w:rPr>
                <w:bCs/>
                <w:color w:val="1F3864" w:themeColor="accent5" w:themeShade="80"/>
                <w:szCs w:val="20"/>
                <w:lang w:val="en-GB"/>
              </w:rPr>
              <w:t>)</w:t>
            </w:r>
          </w:p>
        </w:tc>
      </w:tr>
      <w:tr w:rsidR="00DF4008" w:rsidRPr="00945828" w14:paraId="4EE4EBD1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469C" w14:textId="59CE43D2" w:rsidR="00DF4008" w:rsidRPr="00945828" w:rsidRDefault="00945828" w:rsidP="0022082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Total budget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8864E" w14:textId="36B8FA66" w:rsidR="003620F5" w:rsidRPr="00D47A26" w:rsidRDefault="00DF4008" w:rsidP="003620F5">
            <w:pPr>
              <w:spacing w:after="0" w:line="276" w:lineRule="auto"/>
              <w:jc w:val="both"/>
              <w:rPr>
                <w:rFonts w:eastAsia="Times New Roman"/>
                <w:color w:val="1F3864" w:themeColor="accent5" w:themeShade="80"/>
                <w:szCs w:val="20"/>
                <w:lang w:val="en-GB" w:bidi="en-US"/>
              </w:rPr>
            </w:pPr>
            <w:r w:rsidRPr="00D47A26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 xml:space="preserve">EUR </w:t>
            </w:r>
            <w:r w:rsidR="001B6C3B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1,814</w:t>
            </w:r>
            <w:r w:rsidR="004515C7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,</w:t>
            </w:r>
            <w:r w:rsidR="001B6C3B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505</w:t>
            </w:r>
            <w:r w:rsidR="004515C7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.</w:t>
            </w:r>
            <w:r w:rsidR="001B6C3B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84</w:t>
            </w:r>
            <w:r w:rsidR="00B80A04" w:rsidRPr="00D47A26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 xml:space="preserve">, out of which </w:t>
            </w:r>
          </w:p>
          <w:p w14:paraId="52D4F5C2" w14:textId="3173489B" w:rsidR="00DF4008" w:rsidRPr="00D47A26" w:rsidRDefault="00B80A04" w:rsidP="00B34538">
            <w:pPr>
              <w:spacing w:after="120" w:line="276" w:lineRule="auto"/>
              <w:jc w:val="both"/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</w:pPr>
            <w:r w:rsidRPr="00D47A26">
              <w:rPr>
                <w:rFonts w:eastAsia="Times New Roman"/>
                <w:color w:val="1F3864" w:themeColor="accent5" w:themeShade="80"/>
                <w:szCs w:val="20"/>
                <w:lang w:val="en-GB" w:bidi="en-US"/>
              </w:rPr>
              <w:t>ERDF</w:t>
            </w:r>
            <w:r w:rsidR="00DF4008" w:rsidRPr="00D47A26">
              <w:rPr>
                <w:rFonts w:eastAsia="Times New Roman"/>
                <w:color w:val="1F3864" w:themeColor="accent5" w:themeShade="80"/>
                <w:szCs w:val="20"/>
                <w:lang w:val="en-GB" w:bidi="en-US"/>
              </w:rPr>
              <w:t xml:space="preserve"> </w:t>
            </w:r>
            <w:r w:rsidR="00DF4008" w:rsidRPr="00D47A26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 xml:space="preserve">EUR </w:t>
            </w:r>
            <w:r w:rsidRPr="00D47A26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1</w:t>
            </w:r>
            <w:r w:rsidR="001B6C3B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,451</w:t>
            </w:r>
            <w:r w:rsidRPr="00D47A26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,</w:t>
            </w:r>
            <w:r w:rsidR="001B6C3B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604</w:t>
            </w:r>
            <w:r w:rsidRPr="00D47A26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.</w:t>
            </w:r>
            <w:r w:rsidR="001B6C3B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66</w:t>
            </w:r>
            <w:r w:rsidR="00DF4008" w:rsidRPr="00D47A26">
              <w:rPr>
                <w:rFonts w:eastAsia="Times New Roman" w:cs="Courier New"/>
                <w:b/>
                <w:color w:val="1F3864" w:themeColor="accent5" w:themeShade="80"/>
                <w:szCs w:val="20"/>
                <w:lang w:val="en-GB" w:eastAsia="en-GB"/>
              </w:rPr>
              <w:tab/>
            </w:r>
          </w:p>
        </w:tc>
      </w:tr>
      <w:tr w:rsidR="00DF4008" w:rsidRPr="00945828" w14:paraId="51B61C9D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90AF" w14:textId="56E09BBA" w:rsidR="00DF4008" w:rsidRPr="00945828" w:rsidRDefault="00DF4008" w:rsidP="0022082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Sum</w:t>
            </w:r>
            <w:r w:rsidR="00945828"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m</w:t>
            </w: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ar</w:t>
            </w:r>
            <w:r w:rsidR="00945828"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852BD" w14:textId="3DF87E40" w:rsidR="00B80A04" w:rsidRPr="00FB7478" w:rsidRDefault="00DE45A3" w:rsidP="00B80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DE45A3">
              <w:rPr>
                <w:color w:val="1F3864" w:themeColor="accent5" w:themeShade="80"/>
                <w:szCs w:val="20"/>
                <w:lang w:val="en-GB"/>
              </w:rPr>
              <w:t xml:space="preserve">GreenLink – a partnership of Nyírbátor &amp; Carei – addresses </w:t>
            </w:r>
            <w:r>
              <w:rPr>
                <w:color w:val="1F3864" w:themeColor="accent5" w:themeShade="80"/>
                <w:szCs w:val="20"/>
                <w:lang w:val="en-GB"/>
              </w:rPr>
              <w:t>common challenges</w:t>
            </w:r>
            <w:r w:rsidR="009D767B">
              <w:rPr>
                <w:color w:val="1F3864" w:themeColor="accent5" w:themeShade="80"/>
                <w:szCs w:val="20"/>
                <w:lang w:val="en-GB"/>
              </w:rPr>
              <w:t>,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and its objectives</w:t>
            </w:r>
            <w:r w:rsidR="005F088C" w:rsidRPr="005F088C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DE45A3">
              <w:rPr>
                <w:color w:val="1F3864" w:themeColor="accent5" w:themeShade="80"/>
                <w:szCs w:val="20"/>
                <w:lang w:val="en-GB"/>
              </w:rPr>
              <w:t>will be reached by implementing the following activitie</w:t>
            </w:r>
            <w:r>
              <w:rPr>
                <w:color w:val="1F3864" w:themeColor="accent5" w:themeShade="80"/>
                <w:szCs w:val="20"/>
                <w:lang w:val="en-GB"/>
              </w:rPr>
              <w:t>s</w:t>
            </w:r>
            <w:r w:rsidR="00B80A04" w:rsidRPr="00FB7478">
              <w:rPr>
                <w:color w:val="1F3864" w:themeColor="accent5" w:themeShade="80"/>
                <w:szCs w:val="20"/>
                <w:lang w:val="en-GB"/>
              </w:rPr>
              <w:t>:</w:t>
            </w:r>
          </w:p>
          <w:p w14:paraId="5E01E889" w14:textId="583997F8" w:rsidR="00DE45A3" w:rsidRDefault="00DE45A3" w:rsidP="00D47A26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DE45A3">
              <w:rPr>
                <w:color w:val="1F3864" w:themeColor="accent5" w:themeShade="80"/>
                <w:szCs w:val="20"/>
                <w:lang w:val="en-GB"/>
              </w:rPr>
              <w:t>Mapping the current state of affairs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by </w:t>
            </w:r>
            <w:r w:rsidRPr="00DE45A3">
              <w:rPr>
                <w:b/>
                <w:bCs/>
                <w:color w:val="1F3864" w:themeColor="accent5" w:themeShade="80"/>
                <w:szCs w:val="20"/>
                <w:lang w:val="en-GB"/>
              </w:rPr>
              <w:t>elaborating a joint analysis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DE45A3">
              <w:rPr>
                <w:color w:val="1F3864" w:themeColor="accent5" w:themeShade="80"/>
                <w:szCs w:val="20"/>
                <w:lang w:val="en-GB"/>
              </w:rPr>
              <w:t>cover</w:t>
            </w:r>
            <w:r>
              <w:rPr>
                <w:color w:val="1F3864" w:themeColor="accent5" w:themeShade="80"/>
                <w:szCs w:val="20"/>
                <w:lang w:val="en-GB"/>
              </w:rPr>
              <w:t>ing</w:t>
            </w:r>
            <w:r w:rsidRPr="00DE45A3">
              <w:rPr>
                <w:color w:val="1F3864" w:themeColor="accent5" w:themeShade="80"/>
                <w:szCs w:val="20"/>
                <w:lang w:val="en-GB"/>
              </w:rPr>
              <w:t xml:space="preserve"> Satu Mare &amp; Szabolcs-Szatmár-Bereg, but with a narrowed focus on the two municipalities</w:t>
            </w:r>
            <w:r>
              <w:rPr>
                <w:color w:val="1F3864" w:themeColor="accent5" w:themeShade="80"/>
                <w:szCs w:val="20"/>
                <w:lang w:val="en-GB"/>
              </w:rPr>
              <w:t>.</w:t>
            </w:r>
          </w:p>
          <w:p w14:paraId="5882041B" w14:textId="0DD60C89" w:rsidR="00DE45A3" w:rsidRDefault="00DE45A3" w:rsidP="00D47A26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DE45A3">
              <w:rPr>
                <w:color w:val="1F3864" w:themeColor="accent5" w:themeShade="80"/>
                <w:szCs w:val="20"/>
                <w:lang w:val="en-GB"/>
              </w:rPr>
              <w:t xml:space="preserve">Facilitating a </w:t>
            </w:r>
            <w:r w:rsidRPr="009D767B">
              <w:rPr>
                <w:b/>
                <w:bCs/>
                <w:color w:val="1F3864" w:themeColor="accent5" w:themeShade="80"/>
                <w:szCs w:val="20"/>
                <w:lang w:val="en-GB"/>
              </w:rPr>
              <w:t>participative action planning process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and </w:t>
            </w:r>
            <w:r w:rsidRPr="00DE45A3">
              <w:rPr>
                <w:b/>
                <w:bCs/>
                <w:color w:val="1F3864" w:themeColor="accent5" w:themeShade="80"/>
                <w:szCs w:val="20"/>
                <w:lang w:val="en-GB"/>
              </w:rPr>
              <w:t>developing a Joint action plan</w:t>
            </w:r>
            <w:r w:rsidRPr="00DE45A3">
              <w:rPr>
                <w:color w:val="1F3864" w:themeColor="accent5" w:themeShade="80"/>
                <w:szCs w:val="20"/>
                <w:lang w:val="en-GB"/>
              </w:rPr>
              <w:t xml:space="preserve"> by using co-design methods to handle the most pressing barriers of cleaner energy use in the cross-border area</w:t>
            </w:r>
            <w:r w:rsidR="009D767B">
              <w:rPr>
                <w:color w:val="1F3864" w:themeColor="accent5" w:themeShade="80"/>
                <w:szCs w:val="20"/>
                <w:lang w:val="en-GB"/>
              </w:rPr>
              <w:t>: kick-off workshop, 2 co-creation workshops, 2 open workshops, joint workshop, questionnaire.</w:t>
            </w:r>
          </w:p>
          <w:p w14:paraId="4BEBD85F" w14:textId="61AE7995" w:rsidR="009D767B" w:rsidRDefault="009D767B" w:rsidP="00D47A26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9D767B">
              <w:rPr>
                <w:b/>
                <w:bCs/>
                <w:color w:val="1F3864" w:themeColor="accent5" w:themeShade="80"/>
                <w:szCs w:val="20"/>
                <w:lang w:val="en-GB"/>
              </w:rPr>
              <w:t xml:space="preserve">CLIMATHON </w:t>
            </w:r>
            <w:r w:rsidRPr="009D767B">
              <w:rPr>
                <w:b/>
                <w:bCs/>
                <w:color w:val="1F3864" w:themeColor="accent5" w:themeShade="80"/>
                <w:szCs w:val="20"/>
                <w:lang w:val="en-GB"/>
              </w:rPr>
              <w:t>events</w:t>
            </w:r>
            <w:r w:rsidRPr="009D767B">
              <w:rPr>
                <w:b/>
                <w:bCs/>
                <w:color w:val="1F3864" w:themeColor="accent5" w:themeShade="80"/>
                <w:szCs w:val="20"/>
                <w:lang w:val="en-GB"/>
              </w:rPr>
              <w:t xml:space="preserve"> two</w:t>
            </w:r>
            <w:r w:rsidRPr="009D767B">
              <w:rPr>
                <w:color w:val="1F3864" w:themeColor="accent5" w:themeShade="80"/>
                <w:szCs w:val="20"/>
                <w:lang w:val="en-GB"/>
              </w:rPr>
              <w:t xml:space="preserve"> consecutive times (in 2025 &amp; 2026) – 12-hour hackathon-like events in which participants collaborate in groups to tackle a local climate challenge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, </w:t>
            </w:r>
            <w:r w:rsidRPr="009D767B">
              <w:rPr>
                <w:color w:val="1F3864" w:themeColor="accent5" w:themeShade="80"/>
                <w:szCs w:val="20"/>
                <w:lang w:val="en-GB"/>
              </w:rPr>
              <w:t>developing a “prototype” solution</w:t>
            </w:r>
          </w:p>
          <w:p w14:paraId="12C53C15" w14:textId="732C0E10" w:rsidR="00672AAA" w:rsidRDefault="00DE45A3" w:rsidP="00D47A26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DE45A3">
              <w:rPr>
                <w:color w:val="1F3864" w:themeColor="accent5" w:themeShade="80"/>
                <w:szCs w:val="20"/>
                <w:lang w:val="en-GB"/>
              </w:rPr>
              <w:t xml:space="preserve">Identifying the main actors in the energy sector &amp; connecting them through </w:t>
            </w:r>
            <w:r w:rsidRPr="00DE45A3">
              <w:rPr>
                <w:b/>
                <w:bCs/>
                <w:color w:val="1F3864" w:themeColor="accent5" w:themeShade="80"/>
                <w:szCs w:val="20"/>
                <w:lang w:val="en-GB"/>
              </w:rPr>
              <w:t>networking</w:t>
            </w:r>
            <w:r w:rsidR="00512BD6">
              <w:rPr>
                <w:b/>
                <w:bCs/>
                <w:color w:val="1F3864" w:themeColor="accent5" w:themeShade="80"/>
                <w:szCs w:val="20"/>
                <w:lang w:val="en-GB"/>
              </w:rPr>
              <w:t>/learning</w:t>
            </w:r>
            <w:r w:rsidRPr="00DE45A3">
              <w:rPr>
                <w:b/>
                <w:bCs/>
                <w:color w:val="1F3864" w:themeColor="accent5" w:themeShade="80"/>
                <w:szCs w:val="20"/>
                <w:lang w:val="en-GB"/>
              </w:rPr>
              <w:t xml:space="preserve"> seminars</w:t>
            </w:r>
            <w:r w:rsidRPr="00DE45A3">
              <w:rPr>
                <w:color w:val="1F3864" w:themeColor="accent5" w:themeShade="80"/>
                <w:szCs w:val="20"/>
                <w:lang w:val="en-GB"/>
              </w:rPr>
              <w:t xml:space="preserve"> to foster cross-border collaboration</w:t>
            </w:r>
            <w:r w:rsidR="002870E4" w:rsidRPr="00FB7478">
              <w:rPr>
                <w:color w:val="1F3864" w:themeColor="accent5" w:themeShade="80"/>
                <w:szCs w:val="20"/>
                <w:lang w:val="en-GB"/>
              </w:rPr>
              <w:t>.</w:t>
            </w:r>
          </w:p>
          <w:p w14:paraId="5828E049" w14:textId="7C2476EB" w:rsidR="00CD0881" w:rsidRPr="00DE45A3" w:rsidRDefault="00DE45A3" w:rsidP="00D47A26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DE45A3">
              <w:rPr>
                <w:color w:val="1F3864" w:themeColor="accent5" w:themeShade="80"/>
                <w:szCs w:val="20"/>
                <w:lang w:val="en-GB"/>
              </w:rPr>
              <w:t xml:space="preserve">Creating a </w:t>
            </w:r>
            <w:r w:rsidRPr="00DE45A3">
              <w:rPr>
                <w:b/>
                <w:bCs/>
                <w:color w:val="1F3864" w:themeColor="accent5" w:themeShade="80"/>
                <w:szCs w:val="20"/>
                <w:lang w:val="en-GB"/>
              </w:rPr>
              <w:t>Guidebook with relevant good practices</w:t>
            </w:r>
            <w:r w:rsidRPr="00DE45A3">
              <w:rPr>
                <w:color w:val="1F3864" w:themeColor="accent5" w:themeShade="80"/>
                <w:szCs w:val="20"/>
                <w:lang w:val="en-GB"/>
              </w:rPr>
              <w:t xml:space="preserve"> that cover the available state-of-the-art technologies, innovative ways of policy-making, funding, etc.</w:t>
            </w:r>
            <w:r w:rsidR="00512BD6">
              <w:rPr>
                <w:color w:val="1F3864" w:themeColor="accent5" w:themeShade="80"/>
                <w:szCs w:val="20"/>
                <w:lang w:val="en-GB"/>
              </w:rPr>
              <w:t>,</w:t>
            </w:r>
            <w:r w:rsidRPr="00DE45A3">
              <w:rPr>
                <w:color w:val="1F3864" w:themeColor="accent5" w:themeShade="80"/>
                <w:szCs w:val="20"/>
                <w:lang w:val="en-GB"/>
              </w:rPr>
              <w:t xml:space="preserve"> in the field of green energy transition</w:t>
            </w:r>
            <w:r w:rsidR="004506BD" w:rsidRPr="00DE45A3">
              <w:rPr>
                <w:color w:val="1F3864" w:themeColor="accent5" w:themeShade="80"/>
                <w:szCs w:val="20"/>
                <w:lang w:val="en-GB"/>
              </w:rPr>
              <w:t>.</w:t>
            </w:r>
          </w:p>
          <w:p w14:paraId="57E7A2BB" w14:textId="4A35A22A" w:rsidR="006933A1" w:rsidRDefault="00DE45A3" w:rsidP="00D47A26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DE45A3">
              <w:rPr>
                <w:b/>
                <w:bCs/>
                <w:color w:val="1F3864" w:themeColor="accent5" w:themeShade="80"/>
                <w:szCs w:val="20"/>
                <w:lang w:val="en-GB"/>
              </w:rPr>
              <w:lastRenderedPageBreak/>
              <w:t>Designing training materials</w:t>
            </w:r>
            <w:r w:rsidRPr="00DE45A3">
              <w:rPr>
                <w:color w:val="1F3864" w:themeColor="accent5" w:themeShade="80"/>
                <w:szCs w:val="20"/>
                <w:lang w:val="en-GB"/>
              </w:rPr>
              <w:t xml:space="preserve"> aimed at public officials (decision-makers &amp; employees) for a deeper understanding of the issue and the necessary technical &amp; governance details, followed by a </w:t>
            </w:r>
            <w:r w:rsidRPr="00DE45A3">
              <w:rPr>
                <w:b/>
                <w:bCs/>
                <w:color w:val="1F3864" w:themeColor="accent5" w:themeShade="80"/>
                <w:szCs w:val="20"/>
                <w:lang w:val="en-GB"/>
              </w:rPr>
              <w:t>joint online training</w:t>
            </w:r>
            <w:r w:rsidR="004506BD" w:rsidRPr="004506BD">
              <w:rPr>
                <w:color w:val="1F3864" w:themeColor="accent5" w:themeShade="80"/>
                <w:szCs w:val="20"/>
                <w:lang w:val="en-GB"/>
              </w:rPr>
              <w:t>.</w:t>
            </w:r>
          </w:p>
          <w:p w14:paraId="4BDCB0A5" w14:textId="3D7BD208" w:rsidR="00CD0881" w:rsidRDefault="00DE45A3" w:rsidP="00D47A26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DE45A3">
              <w:rPr>
                <w:color w:val="1F3864" w:themeColor="accent5" w:themeShade="80"/>
                <w:szCs w:val="20"/>
                <w:lang w:val="en-GB"/>
              </w:rPr>
              <w:t xml:space="preserve">Organizing &amp; implementing a </w:t>
            </w:r>
            <w:r w:rsidRPr="00DE45A3">
              <w:rPr>
                <w:b/>
                <w:bCs/>
                <w:color w:val="1F3864" w:themeColor="accent5" w:themeShade="80"/>
                <w:szCs w:val="20"/>
                <w:lang w:val="en-GB"/>
              </w:rPr>
              <w:t>communication campaign</w:t>
            </w:r>
            <w:r w:rsidRPr="00DE45A3">
              <w:rPr>
                <w:color w:val="1F3864" w:themeColor="accent5" w:themeShade="80"/>
                <w:szCs w:val="20"/>
                <w:lang w:val="en-GB"/>
              </w:rPr>
              <w:t xml:space="preserve"> on both sides of the border to promote energy transition &amp; energy efficiency/savings by informing the citizens about these issues and offering practical advice tailored to specific groups (e.g., low-income families)</w:t>
            </w:r>
            <w:r w:rsidR="00426C17">
              <w:rPr>
                <w:color w:val="1F3864" w:themeColor="accent5" w:themeShade="80"/>
                <w:szCs w:val="20"/>
                <w:lang w:val="en-GB"/>
              </w:rPr>
              <w:t>.</w:t>
            </w:r>
          </w:p>
          <w:p w14:paraId="6CDEF37A" w14:textId="49A0925A" w:rsidR="00372473" w:rsidRDefault="00DE45A3" w:rsidP="00D47A26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DE45A3">
              <w:rPr>
                <w:color w:val="1F3864" w:themeColor="accent5" w:themeShade="80"/>
                <w:szCs w:val="20"/>
                <w:lang w:val="en-GB"/>
              </w:rPr>
              <w:t xml:space="preserve">Holding </w:t>
            </w:r>
            <w:r w:rsidRPr="00DE45A3">
              <w:rPr>
                <w:b/>
                <w:bCs/>
                <w:color w:val="1F3864" w:themeColor="accent5" w:themeShade="80"/>
                <w:szCs w:val="20"/>
                <w:lang w:val="en-GB"/>
              </w:rPr>
              <w:t>informative classes in schools</w:t>
            </w:r>
            <w:r w:rsidRPr="00DE45A3">
              <w:rPr>
                <w:color w:val="1F3864" w:themeColor="accent5" w:themeShade="80"/>
                <w:szCs w:val="20"/>
                <w:lang w:val="en-GB"/>
              </w:rPr>
              <w:t xml:space="preserve"> to educate students about energy efficiency and clean &amp; fair energy transition</w:t>
            </w:r>
            <w:r w:rsidR="008A6B90">
              <w:rPr>
                <w:color w:val="1F3864" w:themeColor="accent5" w:themeShade="80"/>
                <w:szCs w:val="20"/>
                <w:lang w:val="en-GB"/>
              </w:rPr>
              <w:t>.</w:t>
            </w:r>
          </w:p>
          <w:p w14:paraId="5959E011" w14:textId="0E28C35B" w:rsidR="007120ED" w:rsidRPr="00DE45A3" w:rsidRDefault="00DE45A3" w:rsidP="008449F3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512BD6">
              <w:rPr>
                <w:b/>
                <w:bCs/>
                <w:color w:val="1F3864" w:themeColor="accent5" w:themeShade="80"/>
                <w:szCs w:val="20"/>
                <w:lang w:val="en-GB"/>
              </w:rPr>
              <w:t xml:space="preserve">Procuring </w:t>
            </w:r>
            <w:r w:rsidR="00512BD6" w:rsidRPr="00512BD6">
              <w:rPr>
                <w:b/>
                <w:bCs/>
                <w:color w:val="1F3864" w:themeColor="accent5" w:themeShade="80"/>
                <w:szCs w:val="20"/>
                <w:lang w:val="en-GB"/>
              </w:rPr>
              <w:t>energy-recovery equipment</w:t>
            </w:r>
            <w:r w:rsidR="00512BD6">
              <w:rPr>
                <w:color w:val="1F3864" w:themeColor="accent5" w:themeShade="80"/>
                <w:szCs w:val="20"/>
                <w:lang w:val="en-GB"/>
              </w:rPr>
              <w:t xml:space="preserve"> for PP2: </w:t>
            </w:r>
            <w:r w:rsidRPr="00DE45A3">
              <w:rPr>
                <w:color w:val="1F3864" w:themeColor="accent5" w:themeShade="80"/>
                <w:szCs w:val="20"/>
                <w:lang w:val="en-GB"/>
              </w:rPr>
              <w:t>energy recovery tiles &amp; stationary bicycles which harness &amp; convert kinetic energy generated by walking or biking into electrical energy (</w:t>
            </w:r>
            <w:r w:rsidRPr="00DE45A3">
              <w:rPr>
                <w:b/>
                <w:bCs/>
                <w:color w:val="1F3864" w:themeColor="accent5" w:themeShade="80"/>
                <w:szCs w:val="20"/>
                <w:lang w:val="en-GB"/>
              </w:rPr>
              <w:t>innovative tools of awareness-raising</w:t>
            </w:r>
            <w:r w:rsidRPr="00DE45A3">
              <w:rPr>
                <w:color w:val="1F3864" w:themeColor="accent5" w:themeShade="80"/>
                <w:szCs w:val="20"/>
                <w:lang w:val="en-GB"/>
              </w:rPr>
              <w:t>)</w:t>
            </w:r>
            <w:r w:rsidR="008A6B90" w:rsidRPr="00DE45A3">
              <w:rPr>
                <w:color w:val="1F3864" w:themeColor="accent5" w:themeShade="80"/>
                <w:szCs w:val="20"/>
                <w:lang w:val="en-GB"/>
              </w:rPr>
              <w:t>.</w:t>
            </w:r>
          </w:p>
          <w:p w14:paraId="769F20B1" w14:textId="25E67814" w:rsidR="00DE45A3" w:rsidRPr="008449F3" w:rsidRDefault="00DE45A3" w:rsidP="008449F3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DE45A3">
              <w:rPr>
                <w:b/>
                <w:bCs/>
                <w:color w:val="1F3864" w:themeColor="accent5" w:themeShade="80"/>
                <w:szCs w:val="20"/>
                <w:lang w:val="en-GB"/>
              </w:rPr>
              <w:t>Renovating a cultural building in both Nyírbátor &amp; Carei</w:t>
            </w:r>
            <w:r>
              <w:rPr>
                <w:color w:val="1F3864" w:themeColor="accent5" w:themeShade="80"/>
                <w:szCs w:val="20"/>
                <w:lang w:val="en-GB"/>
              </w:rPr>
              <w:t>, and m</w:t>
            </w:r>
            <w:r w:rsidRPr="00DE45A3">
              <w:rPr>
                <w:color w:val="1F3864" w:themeColor="accent5" w:themeShade="80"/>
                <w:szCs w:val="20"/>
                <w:lang w:val="en-GB"/>
              </w:rPr>
              <w:t xml:space="preserve">aking them more energy efficient by </w:t>
            </w:r>
            <w:r>
              <w:rPr>
                <w:color w:val="1F3864" w:themeColor="accent5" w:themeShade="80"/>
                <w:szCs w:val="20"/>
                <w:lang w:val="en-GB"/>
              </w:rPr>
              <w:t>utilising</w:t>
            </w:r>
            <w:r w:rsidRPr="00DE45A3">
              <w:rPr>
                <w:color w:val="1F3864" w:themeColor="accent5" w:themeShade="80"/>
                <w:szCs w:val="20"/>
                <w:lang w:val="en-GB"/>
              </w:rPr>
              <w:t xml:space="preserve"> RES (mainly photovoltaic modules and heat pumps)</w:t>
            </w:r>
            <w:r>
              <w:rPr>
                <w:color w:val="1F3864" w:themeColor="accent5" w:themeShade="80"/>
                <w:szCs w:val="20"/>
                <w:lang w:val="en-GB"/>
              </w:rPr>
              <w:t>.</w:t>
            </w:r>
          </w:p>
        </w:tc>
      </w:tr>
      <w:tr w:rsidR="00DF4008" w:rsidRPr="00945828" w14:paraId="47DF7069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85AE" w14:textId="0295A7CE" w:rsidR="00DF4008" w:rsidRPr="00945828" w:rsidRDefault="00945828" w:rsidP="0022082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lastRenderedPageBreak/>
              <w:t>Main results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D7219" w14:textId="14228A9C" w:rsidR="004515C7" w:rsidRPr="008449F3" w:rsidRDefault="00A65858" w:rsidP="00844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A65858">
              <w:rPr>
                <w:color w:val="1F3864" w:themeColor="accent5" w:themeShade="80"/>
                <w:szCs w:val="20"/>
                <w:lang w:val="en-GB"/>
              </w:rPr>
              <w:t>The main objective of GreenLink is improving key conditions for a clean &amp; fair energy transition in the cross-border area – a goal that can only be effectively evaluated in the long term</w:t>
            </w:r>
            <w:r w:rsidR="008449F3" w:rsidRPr="008449F3">
              <w:rPr>
                <w:color w:val="1F3864" w:themeColor="accent5" w:themeShade="80"/>
                <w:szCs w:val="20"/>
                <w:lang w:val="en-GB"/>
              </w:rPr>
              <w:t>.</w:t>
            </w:r>
          </w:p>
          <w:p w14:paraId="7967967B" w14:textId="02ECDD96" w:rsidR="00BB5E38" w:rsidRPr="008449F3" w:rsidRDefault="00BB5E38" w:rsidP="00BB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  <w:r w:rsidRPr="008449F3">
              <w:rPr>
                <w:color w:val="1F3864" w:themeColor="accent5" w:themeShade="80"/>
                <w:lang w:val="en-GB"/>
              </w:rPr>
              <w:t>The project aims to achieve several key results:</w:t>
            </w:r>
          </w:p>
          <w:p w14:paraId="3D300547" w14:textId="0C8AB81A" w:rsidR="00A65858" w:rsidRDefault="00A65858" w:rsidP="003534FB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  <w:r>
              <w:rPr>
                <w:color w:val="1F3864" w:themeColor="accent5" w:themeShade="80"/>
                <w:lang w:val="en-GB"/>
              </w:rPr>
              <w:t>P</w:t>
            </w:r>
            <w:r w:rsidRPr="00A65858">
              <w:rPr>
                <w:color w:val="1F3864" w:themeColor="accent5" w:themeShade="80"/>
                <w:lang w:val="en-GB"/>
              </w:rPr>
              <w:t>rovides the</w:t>
            </w:r>
            <w:r>
              <w:rPr>
                <w:color w:val="1F3864" w:themeColor="accent5" w:themeShade="80"/>
                <w:lang w:val="en-GB"/>
              </w:rPr>
              <w:t xml:space="preserve"> two municipalities with </w:t>
            </w:r>
            <w:r w:rsidRPr="00A65858">
              <w:rPr>
                <w:color w:val="1F3864" w:themeColor="accent5" w:themeShade="80"/>
                <w:lang w:val="en-GB"/>
              </w:rPr>
              <w:t xml:space="preserve">an </w:t>
            </w:r>
            <w:r w:rsidRPr="00BD2ABB">
              <w:rPr>
                <w:b/>
                <w:bCs/>
                <w:color w:val="1F3864" w:themeColor="accent5" w:themeShade="80"/>
                <w:lang w:val="en-GB"/>
              </w:rPr>
              <w:t xml:space="preserve">opportunity </w:t>
            </w:r>
            <w:r w:rsidRPr="00A65858">
              <w:rPr>
                <w:b/>
                <w:bCs/>
                <w:color w:val="1F3864" w:themeColor="accent5" w:themeShade="80"/>
                <w:lang w:val="en-GB"/>
              </w:rPr>
              <w:t>to expand their cooperation</w:t>
            </w:r>
            <w:r w:rsidRPr="00A65858">
              <w:rPr>
                <w:color w:val="1F3864" w:themeColor="accent5" w:themeShade="80"/>
                <w:lang w:val="en-GB"/>
              </w:rPr>
              <w:t xml:space="preserve"> into the field of energy transition and clean energy</w:t>
            </w:r>
            <w:r>
              <w:rPr>
                <w:color w:val="1F3864" w:themeColor="accent5" w:themeShade="80"/>
                <w:lang w:val="en-GB"/>
              </w:rPr>
              <w:t>.</w:t>
            </w:r>
          </w:p>
          <w:p w14:paraId="07F90A39" w14:textId="148D4091" w:rsidR="00065005" w:rsidRDefault="00065005" w:rsidP="003534FB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  <w:r w:rsidRPr="00065005">
              <w:rPr>
                <w:b/>
                <w:bCs/>
                <w:color w:val="1F3864" w:themeColor="accent5" w:themeShade="80"/>
                <w:lang w:val="en-GB"/>
              </w:rPr>
              <w:t>Increasing the participation level of stakeholders</w:t>
            </w:r>
            <w:r w:rsidRPr="00065005">
              <w:rPr>
                <w:color w:val="1F3864" w:themeColor="accent5" w:themeShade="80"/>
                <w:lang w:val="en-GB"/>
              </w:rPr>
              <w:t xml:space="preserve"> in urban planning for a clean &amp; fair energy transition through co-creation</w:t>
            </w:r>
            <w:r>
              <w:rPr>
                <w:color w:val="1F3864" w:themeColor="accent5" w:themeShade="80"/>
                <w:lang w:val="en-GB"/>
              </w:rPr>
              <w:t>.</w:t>
            </w:r>
          </w:p>
          <w:p w14:paraId="7FDC24D8" w14:textId="7FD6383B" w:rsidR="00065005" w:rsidRDefault="00065005" w:rsidP="003534FB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  <w:r w:rsidRPr="00065005">
              <w:rPr>
                <w:b/>
                <w:bCs/>
                <w:color w:val="1F3864" w:themeColor="accent5" w:themeShade="80"/>
                <w:lang w:val="en-GB"/>
              </w:rPr>
              <w:t>Increasing the capacities of thematic experts, public officials, and citizens</w:t>
            </w:r>
            <w:r w:rsidRPr="00065005">
              <w:rPr>
                <w:color w:val="1F3864" w:themeColor="accent5" w:themeShade="80"/>
                <w:lang w:val="en-GB"/>
              </w:rPr>
              <w:t xml:space="preserve"> for a clean &amp; fair energy transition</w:t>
            </w:r>
            <w:r>
              <w:rPr>
                <w:color w:val="1F3864" w:themeColor="accent5" w:themeShade="80"/>
                <w:lang w:val="en-GB"/>
              </w:rPr>
              <w:t>.</w:t>
            </w:r>
          </w:p>
          <w:p w14:paraId="6D972FAF" w14:textId="70A74F5A" w:rsidR="00065005" w:rsidRDefault="00A65858" w:rsidP="003534FB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  <w:r>
              <w:rPr>
                <w:color w:val="1F3864" w:themeColor="accent5" w:themeShade="80"/>
                <w:lang w:val="en-GB"/>
              </w:rPr>
              <w:t xml:space="preserve">Creation of a </w:t>
            </w:r>
            <w:r w:rsidRPr="00BD2ABB">
              <w:rPr>
                <w:b/>
                <w:bCs/>
                <w:color w:val="1F3864" w:themeColor="accent5" w:themeShade="80"/>
                <w:lang w:val="en-GB"/>
              </w:rPr>
              <w:t>roadmap</w:t>
            </w:r>
            <w:r w:rsidRPr="00A65858">
              <w:rPr>
                <w:color w:val="1F3864" w:themeColor="accent5" w:themeShade="80"/>
                <w:lang w:val="en-GB"/>
              </w:rPr>
              <w:t xml:space="preserve"> (as an annex of the </w:t>
            </w:r>
            <w:r w:rsidR="00065005">
              <w:rPr>
                <w:color w:val="1F3864" w:themeColor="accent5" w:themeShade="80"/>
                <w:lang w:val="en-GB"/>
              </w:rPr>
              <w:t>J</w:t>
            </w:r>
            <w:r w:rsidR="00065005" w:rsidRPr="00065005">
              <w:rPr>
                <w:color w:val="1F3864" w:themeColor="accent5" w:themeShade="80"/>
                <w:lang w:val="en-GB"/>
              </w:rPr>
              <w:t>oint action plan</w:t>
            </w:r>
            <w:r w:rsidR="00065005">
              <w:rPr>
                <w:color w:val="1F3864" w:themeColor="accent5" w:themeShade="80"/>
                <w:lang w:val="en-GB"/>
              </w:rPr>
              <w:t>)</w:t>
            </w:r>
            <w:r w:rsidRPr="00A65858">
              <w:rPr>
                <w:color w:val="1F3864" w:themeColor="accent5" w:themeShade="80"/>
                <w:lang w:val="en-GB"/>
              </w:rPr>
              <w:t xml:space="preserve">, outlining the steps the partners need to take after the project ends to </w:t>
            </w:r>
            <w:r w:rsidR="00BD2ABB">
              <w:rPr>
                <w:color w:val="1F3864" w:themeColor="accent5" w:themeShade="80"/>
                <w:lang w:val="en-GB"/>
              </w:rPr>
              <w:t>realise</w:t>
            </w:r>
            <w:r w:rsidRPr="00A65858">
              <w:rPr>
                <w:color w:val="1F3864" w:themeColor="accent5" w:themeShade="80"/>
                <w:lang w:val="en-GB"/>
              </w:rPr>
              <w:t xml:space="preserve"> the suggested activities</w:t>
            </w:r>
            <w:r w:rsidR="00065005">
              <w:rPr>
                <w:color w:val="1F3864" w:themeColor="accent5" w:themeShade="80"/>
                <w:lang w:val="en-GB"/>
              </w:rPr>
              <w:t>.</w:t>
            </w:r>
          </w:p>
          <w:p w14:paraId="5B2285A6" w14:textId="05A59930" w:rsidR="00A65858" w:rsidRPr="00A65858" w:rsidRDefault="00065005" w:rsidP="003534FB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  <w:r w:rsidRPr="00065005">
              <w:rPr>
                <w:b/>
                <w:bCs/>
                <w:color w:val="1F3864" w:themeColor="accent5" w:themeShade="80"/>
                <w:lang w:val="en-GB"/>
              </w:rPr>
              <w:t>S</w:t>
            </w:r>
            <w:r w:rsidR="00A65858" w:rsidRPr="00065005">
              <w:rPr>
                <w:b/>
                <w:bCs/>
                <w:color w:val="1F3864" w:themeColor="accent5" w:themeShade="80"/>
                <w:lang w:val="en-GB"/>
              </w:rPr>
              <w:t>cal</w:t>
            </w:r>
            <w:r w:rsidRPr="00065005">
              <w:rPr>
                <w:b/>
                <w:bCs/>
                <w:color w:val="1F3864" w:themeColor="accent5" w:themeShade="80"/>
                <w:lang w:val="en-GB"/>
              </w:rPr>
              <w:t>ing</w:t>
            </w:r>
            <w:r w:rsidR="00A65858" w:rsidRPr="00065005">
              <w:rPr>
                <w:b/>
                <w:bCs/>
                <w:color w:val="1F3864" w:themeColor="accent5" w:themeShade="80"/>
                <w:lang w:val="en-GB"/>
              </w:rPr>
              <w:t xml:space="preserve"> up the activities</w:t>
            </w:r>
            <w:r w:rsidR="00A65858" w:rsidRPr="00A65858">
              <w:rPr>
                <w:color w:val="1F3864" w:themeColor="accent5" w:themeShade="80"/>
                <w:lang w:val="en-GB"/>
              </w:rPr>
              <w:t xml:space="preserve"> of the GreenLink project (e.g., </w:t>
            </w:r>
            <w:r w:rsidR="009D767B">
              <w:rPr>
                <w:color w:val="1F3864" w:themeColor="accent5" w:themeShade="80"/>
                <w:lang w:val="en-GB"/>
              </w:rPr>
              <w:t>organising</w:t>
            </w:r>
            <w:r w:rsidR="00A65858" w:rsidRPr="00A65858">
              <w:rPr>
                <w:color w:val="1F3864" w:themeColor="accent5" w:themeShade="80"/>
                <w:lang w:val="en-GB"/>
              </w:rPr>
              <w:t xml:space="preserve"> a “cross-border” Climathon every year).</w:t>
            </w:r>
          </w:p>
          <w:p w14:paraId="07D5751A" w14:textId="7BF7591C" w:rsidR="006B0FBA" w:rsidRDefault="00A65858" w:rsidP="003534FB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  <w:r w:rsidRPr="00A65858">
              <w:rPr>
                <w:b/>
                <w:bCs/>
                <w:color w:val="1F3864" w:themeColor="accent5" w:themeShade="80"/>
                <w:lang w:val="en-GB"/>
              </w:rPr>
              <w:t>New initiatives and/or developments generated</w:t>
            </w:r>
            <w:r w:rsidRPr="00A65858">
              <w:rPr>
                <w:color w:val="1F3864" w:themeColor="accent5" w:themeShade="80"/>
                <w:lang w:val="en-GB"/>
              </w:rPr>
              <w:t xml:space="preserve"> by (or have a connection to) the project activities</w:t>
            </w:r>
            <w:r>
              <w:rPr>
                <w:color w:val="1F3864" w:themeColor="accent5" w:themeShade="80"/>
                <w:lang w:val="en-GB"/>
              </w:rPr>
              <w:t xml:space="preserve">, assessed through an </w:t>
            </w:r>
            <w:r w:rsidRPr="00A65858">
              <w:rPr>
                <w:color w:val="1F3864" w:themeColor="accent5" w:themeShade="80"/>
                <w:lang w:val="en-GB"/>
              </w:rPr>
              <w:t xml:space="preserve">evaluation/follow-up survey sent out to </w:t>
            </w:r>
            <w:r>
              <w:rPr>
                <w:color w:val="1F3864" w:themeColor="accent5" w:themeShade="80"/>
                <w:lang w:val="en-GB"/>
              </w:rPr>
              <w:t xml:space="preserve">the project’s </w:t>
            </w:r>
            <w:r w:rsidRPr="00A65858">
              <w:rPr>
                <w:color w:val="1F3864" w:themeColor="accent5" w:themeShade="80"/>
                <w:lang w:val="en-GB"/>
              </w:rPr>
              <w:t>participant</w:t>
            </w:r>
            <w:r>
              <w:rPr>
                <w:color w:val="1F3864" w:themeColor="accent5" w:themeShade="80"/>
                <w:lang w:val="en-GB"/>
              </w:rPr>
              <w:t>s</w:t>
            </w:r>
            <w:r w:rsidR="004443B6" w:rsidRPr="008449F3">
              <w:rPr>
                <w:color w:val="1F3864" w:themeColor="accent5" w:themeShade="80"/>
                <w:lang w:val="en-GB"/>
              </w:rPr>
              <w:t>.</w:t>
            </w:r>
            <w:r w:rsidR="006B0FBA" w:rsidRPr="008449F3">
              <w:rPr>
                <w:color w:val="1F3864" w:themeColor="accent5" w:themeShade="80"/>
                <w:lang w:val="en-GB"/>
              </w:rPr>
              <w:t xml:space="preserve"> </w:t>
            </w:r>
          </w:p>
          <w:p w14:paraId="173E30B6" w14:textId="339FE1FC" w:rsidR="003C59B4" w:rsidRPr="00065005" w:rsidRDefault="009A5531" w:rsidP="00065005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  <w:r w:rsidRPr="00065005">
              <w:rPr>
                <w:b/>
                <w:bCs/>
                <w:color w:val="1F3864" w:themeColor="accent5" w:themeShade="80"/>
                <w:lang w:val="en-GB"/>
              </w:rPr>
              <w:t>Project transferability</w:t>
            </w:r>
            <w:r w:rsidR="00065005">
              <w:rPr>
                <w:b/>
                <w:bCs/>
                <w:color w:val="1F3864" w:themeColor="accent5" w:themeShade="80"/>
                <w:lang w:val="en-GB"/>
              </w:rPr>
              <w:t>:</w:t>
            </w:r>
            <w:r w:rsidRPr="00065005">
              <w:rPr>
                <w:color w:val="1F3864" w:themeColor="accent5" w:themeShade="80"/>
                <w:lang w:val="en-GB"/>
              </w:rPr>
              <w:t xml:space="preserve"> </w:t>
            </w:r>
            <w:r w:rsidR="00065005" w:rsidRPr="00065005">
              <w:rPr>
                <w:color w:val="1F3864" w:themeColor="accent5" w:themeShade="80"/>
                <w:lang w:val="en-GB"/>
              </w:rPr>
              <w:t xml:space="preserve">The GreenLink project </w:t>
            </w:r>
            <w:r w:rsidR="00BD2ABB">
              <w:rPr>
                <w:color w:val="1F3864" w:themeColor="accent5" w:themeShade="80"/>
                <w:lang w:val="en-GB"/>
              </w:rPr>
              <w:t>is</w:t>
            </w:r>
            <w:r w:rsidR="00065005" w:rsidRPr="00065005">
              <w:rPr>
                <w:color w:val="1F3864" w:themeColor="accent5" w:themeShade="80"/>
                <w:lang w:val="en-GB"/>
              </w:rPr>
              <w:t xml:space="preserve"> based on the idea that the outputs/deliverables should be tailored to suit the requirements of the cross-border region, while their fundamental nature and the principles guiding their development should guarantee a broad applicability</w:t>
            </w:r>
            <w:r w:rsidR="00B70B48" w:rsidRPr="00065005">
              <w:rPr>
                <w:color w:val="1F3864" w:themeColor="accent5" w:themeShade="80"/>
                <w:lang w:val="en-GB"/>
              </w:rPr>
              <w:t>.</w:t>
            </w:r>
          </w:p>
        </w:tc>
      </w:tr>
    </w:tbl>
    <w:p w14:paraId="2E5160C3" w14:textId="5D0B5ABE" w:rsidR="0054292D" w:rsidRPr="00945828" w:rsidRDefault="0054292D" w:rsidP="00DF4008">
      <w:pPr>
        <w:spacing w:after="0"/>
        <w:jc w:val="both"/>
        <w:rPr>
          <w:rFonts w:cs="Open Sans"/>
          <w:color w:val="003399"/>
          <w:lang w:val="en-GB"/>
        </w:rPr>
      </w:pPr>
    </w:p>
    <w:sectPr w:rsidR="0054292D" w:rsidRPr="00945828" w:rsidSect="00A170BA">
      <w:headerReference w:type="default" r:id="rId7"/>
      <w:footerReference w:type="default" r:id="rId8"/>
      <w:type w:val="continuous"/>
      <w:pgSz w:w="11906" w:h="16838" w:code="9"/>
      <w:pgMar w:top="2127" w:right="707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31080" w14:textId="77777777" w:rsidR="008B6D68" w:rsidRDefault="008B6D68" w:rsidP="00C23211">
      <w:pPr>
        <w:spacing w:after="0" w:line="240" w:lineRule="auto"/>
      </w:pPr>
      <w:r>
        <w:separator/>
      </w:r>
    </w:p>
  </w:endnote>
  <w:endnote w:type="continuationSeparator" w:id="0">
    <w:p w14:paraId="3556DC21" w14:textId="77777777" w:rsidR="008B6D68" w:rsidRDefault="008B6D68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0886" w14:textId="77777777" w:rsidR="00E91B08" w:rsidRPr="005A58E8" w:rsidRDefault="00A170BA" w:rsidP="00CA0AA2">
    <w:pPr>
      <w:pStyle w:val="Footer"/>
      <w:jc w:val="center"/>
      <w:rPr>
        <w:rFonts w:cs="Open Sans"/>
        <w:color w:val="003399"/>
      </w:rPr>
    </w:pPr>
    <w:r>
      <w:rPr>
        <w:noProof/>
      </w:rPr>
      <w:ptab w:relativeTo="margin" w:alignment="right" w:leader="none"/>
    </w:r>
    <w:r>
      <w:rPr>
        <w:noProof/>
      </w:rPr>
      <w:t>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A6006" w14:textId="77777777" w:rsidR="008B6D68" w:rsidRDefault="008B6D68" w:rsidP="00C23211">
      <w:pPr>
        <w:spacing w:after="0" w:line="240" w:lineRule="auto"/>
      </w:pPr>
      <w:r>
        <w:separator/>
      </w:r>
    </w:p>
  </w:footnote>
  <w:footnote w:type="continuationSeparator" w:id="0">
    <w:p w14:paraId="31A646E3" w14:textId="77777777" w:rsidR="008B6D68" w:rsidRDefault="008B6D68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5E6E" w14:textId="1A5207DE" w:rsidR="00E91B08" w:rsidRDefault="00745866">
    <w:pPr>
      <w:pStyle w:val="Header"/>
    </w:pPr>
    <w:r>
      <w:rPr>
        <w:noProof/>
      </w:rPr>
      <w:drawing>
        <wp:inline distT="0" distB="0" distL="0" distR="0" wp14:anchorId="5804872B" wp14:editId="40C26D50">
          <wp:extent cx="6467475" cy="748198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6498" cy="759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617D"/>
    <w:multiLevelType w:val="hybridMultilevel"/>
    <w:tmpl w:val="6B24D83E"/>
    <w:lvl w:ilvl="0" w:tplc="DA98B68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47206"/>
    <w:multiLevelType w:val="hybridMultilevel"/>
    <w:tmpl w:val="61462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433BD"/>
    <w:multiLevelType w:val="hybridMultilevel"/>
    <w:tmpl w:val="459CFD22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5D0BBE"/>
    <w:multiLevelType w:val="hybridMultilevel"/>
    <w:tmpl w:val="EC343374"/>
    <w:lvl w:ilvl="0" w:tplc="2230FC5C">
      <w:start w:val="3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F079B"/>
    <w:multiLevelType w:val="hybridMultilevel"/>
    <w:tmpl w:val="EACC4F9A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E05800"/>
    <w:multiLevelType w:val="hybridMultilevel"/>
    <w:tmpl w:val="85408D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03AF4"/>
    <w:multiLevelType w:val="hybridMultilevel"/>
    <w:tmpl w:val="F3A47FA0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B91AD5"/>
    <w:multiLevelType w:val="hybridMultilevel"/>
    <w:tmpl w:val="F0C2D8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A0709"/>
    <w:multiLevelType w:val="hybridMultilevel"/>
    <w:tmpl w:val="118444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1864262">
    <w:abstractNumId w:val="0"/>
  </w:num>
  <w:num w:numId="2" w16cid:durableId="1335305497">
    <w:abstractNumId w:val="8"/>
  </w:num>
  <w:num w:numId="3" w16cid:durableId="1487355793">
    <w:abstractNumId w:val="5"/>
  </w:num>
  <w:num w:numId="4" w16cid:durableId="881287704">
    <w:abstractNumId w:val="3"/>
  </w:num>
  <w:num w:numId="5" w16cid:durableId="874852420">
    <w:abstractNumId w:val="4"/>
  </w:num>
  <w:num w:numId="6" w16cid:durableId="1785149724">
    <w:abstractNumId w:val="1"/>
  </w:num>
  <w:num w:numId="7" w16cid:durableId="1504667513">
    <w:abstractNumId w:val="6"/>
  </w:num>
  <w:num w:numId="8" w16cid:durableId="917439275">
    <w:abstractNumId w:val="2"/>
  </w:num>
  <w:num w:numId="9" w16cid:durableId="741946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3E"/>
    <w:rsid w:val="000445CF"/>
    <w:rsid w:val="00065005"/>
    <w:rsid w:val="000C0BBE"/>
    <w:rsid w:val="000D52E7"/>
    <w:rsid w:val="000E4848"/>
    <w:rsid w:val="000E5807"/>
    <w:rsid w:val="000F0D69"/>
    <w:rsid w:val="00105385"/>
    <w:rsid w:val="001163BF"/>
    <w:rsid w:val="00124580"/>
    <w:rsid w:val="00155F00"/>
    <w:rsid w:val="00156CFC"/>
    <w:rsid w:val="00190E0A"/>
    <w:rsid w:val="00196DEF"/>
    <w:rsid w:val="001B6C3B"/>
    <w:rsid w:val="00210C08"/>
    <w:rsid w:val="002216AE"/>
    <w:rsid w:val="00242594"/>
    <w:rsid w:val="002601E5"/>
    <w:rsid w:val="002642B0"/>
    <w:rsid w:val="002870E4"/>
    <w:rsid w:val="00290CD3"/>
    <w:rsid w:val="002A5B39"/>
    <w:rsid w:val="002C1071"/>
    <w:rsid w:val="002C2ADA"/>
    <w:rsid w:val="002D13D0"/>
    <w:rsid w:val="003035E1"/>
    <w:rsid w:val="00352959"/>
    <w:rsid w:val="003620F5"/>
    <w:rsid w:val="00372473"/>
    <w:rsid w:val="00376591"/>
    <w:rsid w:val="003C59B4"/>
    <w:rsid w:val="00426C17"/>
    <w:rsid w:val="004443B6"/>
    <w:rsid w:val="004506BD"/>
    <w:rsid w:val="004515C7"/>
    <w:rsid w:val="0046539C"/>
    <w:rsid w:val="004A3DA2"/>
    <w:rsid w:val="00507A63"/>
    <w:rsid w:val="00512BD6"/>
    <w:rsid w:val="0054292D"/>
    <w:rsid w:val="005A58E8"/>
    <w:rsid w:val="005B7B70"/>
    <w:rsid w:val="005C3698"/>
    <w:rsid w:val="005F088C"/>
    <w:rsid w:val="00614C99"/>
    <w:rsid w:val="00654A81"/>
    <w:rsid w:val="00672AAA"/>
    <w:rsid w:val="00690F68"/>
    <w:rsid w:val="006933A1"/>
    <w:rsid w:val="006B0FBA"/>
    <w:rsid w:val="006B30F3"/>
    <w:rsid w:val="007120ED"/>
    <w:rsid w:val="00722416"/>
    <w:rsid w:val="00732D28"/>
    <w:rsid w:val="00736B3B"/>
    <w:rsid w:val="00745866"/>
    <w:rsid w:val="00761E91"/>
    <w:rsid w:val="007B6147"/>
    <w:rsid w:val="007C1787"/>
    <w:rsid w:val="007F6072"/>
    <w:rsid w:val="008449F3"/>
    <w:rsid w:val="008546EE"/>
    <w:rsid w:val="00867BE9"/>
    <w:rsid w:val="008A6B90"/>
    <w:rsid w:val="008B4EDA"/>
    <w:rsid w:val="008B6D68"/>
    <w:rsid w:val="008C34C7"/>
    <w:rsid w:val="008E24AC"/>
    <w:rsid w:val="00904579"/>
    <w:rsid w:val="00927C94"/>
    <w:rsid w:val="00945828"/>
    <w:rsid w:val="0097126B"/>
    <w:rsid w:val="009A5531"/>
    <w:rsid w:val="009D0623"/>
    <w:rsid w:val="009D767B"/>
    <w:rsid w:val="00A170BA"/>
    <w:rsid w:val="00A2500A"/>
    <w:rsid w:val="00A3384D"/>
    <w:rsid w:val="00A35463"/>
    <w:rsid w:val="00A53CBE"/>
    <w:rsid w:val="00A64984"/>
    <w:rsid w:val="00A65858"/>
    <w:rsid w:val="00AC7698"/>
    <w:rsid w:val="00AE008B"/>
    <w:rsid w:val="00AE14EF"/>
    <w:rsid w:val="00B24F49"/>
    <w:rsid w:val="00B34538"/>
    <w:rsid w:val="00B51267"/>
    <w:rsid w:val="00B57F8C"/>
    <w:rsid w:val="00B64C76"/>
    <w:rsid w:val="00B70B48"/>
    <w:rsid w:val="00B77B00"/>
    <w:rsid w:val="00B8085B"/>
    <w:rsid w:val="00B80A04"/>
    <w:rsid w:val="00B92ED0"/>
    <w:rsid w:val="00BB5E38"/>
    <w:rsid w:val="00BC0CCA"/>
    <w:rsid w:val="00BD2ABB"/>
    <w:rsid w:val="00C02611"/>
    <w:rsid w:val="00C23211"/>
    <w:rsid w:val="00C23EAD"/>
    <w:rsid w:val="00CA0AA2"/>
    <w:rsid w:val="00CB0DB7"/>
    <w:rsid w:val="00CD0881"/>
    <w:rsid w:val="00CE6E50"/>
    <w:rsid w:val="00CE6ED7"/>
    <w:rsid w:val="00D11C82"/>
    <w:rsid w:val="00D1768D"/>
    <w:rsid w:val="00D36D26"/>
    <w:rsid w:val="00D47A26"/>
    <w:rsid w:val="00D736AC"/>
    <w:rsid w:val="00DA48E1"/>
    <w:rsid w:val="00DC30A7"/>
    <w:rsid w:val="00DE45A3"/>
    <w:rsid w:val="00DE4738"/>
    <w:rsid w:val="00DF4008"/>
    <w:rsid w:val="00DF73AC"/>
    <w:rsid w:val="00E06159"/>
    <w:rsid w:val="00E11929"/>
    <w:rsid w:val="00E4070E"/>
    <w:rsid w:val="00E46462"/>
    <w:rsid w:val="00E91B08"/>
    <w:rsid w:val="00EB0D64"/>
    <w:rsid w:val="00F0230A"/>
    <w:rsid w:val="00F119CB"/>
    <w:rsid w:val="00F5533E"/>
    <w:rsid w:val="00F7622A"/>
    <w:rsid w:val="00FB5250"/>
    <w:rsid w:val="00FB7478"/>
    <w:rsid w:val="00F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59757"/>
  <w15:chartTrackingRefBased/>
  <w15:docId w15:val="{AFCDA521-B67C-4DE2-822F-598315B3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008"/>
    <w:pPr>
      <w:suppressAutoHyphens/>
      <w:autoSpaceDN w:val="0"/>
      <w:spacing w:line="249" w:lineRule="auto"/>
      <w:textAlignment w:val="baseline"/>
    </w:pPr>
    <w:rPr>
      <w:rFonts w:ascii="Open Sans" w:eastAsia="Calibri" w:hAnsi="Open Sans" w:cs="Times New Roman"/>
      <w:color w:val="2F549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  <w:iCs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0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615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erzanOrsolya\Interreg%20ROHU\_VIM%202021-2027\7.%20Antet%20A4\RO\Antet%20A4%20Interreg%20RO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RO Portrait</Template>
  <TotalTime>74</TotalTime>
  <Pages>2</Pages>
  <Words>665</Words>
  <Characters>3943</Characters>
  <Application>Microsoft Office Word</Application>
  <DocSecurity>0</DocSecurity>
  <Lines>83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Camerzan Orsolya</dc:creator>
  <cp:keywords/>
  <dc:description/>
  <cp:lastModifiedBy>Oprea Livia</cp:lastModifiedBy>
  <cp:revision>4</cp:revision>
  <dcterms:created xsi:type="dcterms:W3CDTF">2025-06-03T11:36:00Z</dcterms:created>
  <dcterms:modified xsi:type="dcterms:W3CDTF">2025-06-06T06:27:00Z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ee1d862b9f0a5f44e41e5ff8af84f86f9ccb5e30310b3c22c4357e3f4228f5fa</vt:lpwstr>
  </property>
</Properties>
</file>