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EB1D08" w14:paraId="2FCB8905" w14:textId="77777777">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56AB9232" w:rsidR="00EB1D08" w:rsidRDefault="00FD48C9">
            <w:pPr>
              <w:pStyle w:val="P68B1DB1-Normal1"/>
              <w:spacing w:after="120" w:line="276" w:lineRule="auto"/>
              <w:jc w:val="both"/>
            </w:pPr>
            <w:r>
              <w:t>Tip Apel</w:t>
            </w:r>
            <w:r w:rsidR="00000000">
              <w:t xml:space="preserve">: </w:t>
            </w:r>
            <w:r w:rsidRPr="00FD48C9">
              <w:t>Primul Apel deschis de Proiecte Normale</w:t>
            </w:r>
          </w:p>
        </w:tc>
      </w:tr>
      <w:tr w:rsidR="00EB1D08" w14:paraId="0362BCF6" w14:textId="77777777" w:rsidTr="005E3C17">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449FA" w14:textId="15DAA82E" w:rsidR="00EB1D08" w:rsidRDefault="00FD48C9" w:rsidP="005E3C17">
            <w:pPr>
              <w:pStyle w:val="P68B1DB1-Normal2"/>
              <w:jc w:val="center"/>
            </w:pPr>
            <w:r w:rsidRPr="00FD48C9">
              <w:t>Acronim &amp; Cod proiect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707BA11F" w:rsidR="00EB1D08" w:rsidRDefault="00000000">
            <w:pPr>
              <w:pStyle w:val="P68B1DB1-Normal2"/>
              <w:spacing w:after="120" w:line="276" w:lineRule="auto"/>
              <w:jc w:val="both"/>
            </w:pPr>
            <w:r>
              <w:t xml:space="preserve"> 4TTT– ROHU00073</w:t>
            </w:r>
          </w:p>
        </w:tc>
      </w:tr>
      <w:tr w:rsidR="005E3C17" w14:paraId="1D2DEC3A" w14:textId="77777777" w:rsidTr="005E3C17">
        <w:trPr>
          <w:trHeight w:val="374"/>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7DCFD" w14:textId="7C584C2C" w:rsidR="005E3C17" w:rsidRDefault="005E3C17" w:rsidP="005E3C17">
            <w:pPr>
              <w:pStyle w:val="P68B1DB1-Normal2"/>
              <w:jc w:val="center"/>
            </w:pPr>
            <w:r w:rsidRPr="000F2473">
              <w:t>Titlu proiect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36594E60" w:rsidR="005E3C17" w:rsidRDefault="005E3C17" w:rsidP="005E3C17">
            <w:pPr>
              <w:pStyle w:val="P68B1DB1-Norm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„Povești, gusturi și tradiții: o incursiune în 4 patrimonii locale”</w:t>
            </w:r>
          </w:p>
        </w:tc>
      </w:tr>
      <w:tr w:rsidR="005E3C17" w14:paraId="2ED899A6" w14:textId="77777777" w:rsidTr="005E3C17">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C31C9" w14:textId="5E6E6FFA" w:rsidR="005E3C17" w:rsidRDefault="005E3C17" w:rsidP="005E3C17">
            <w:pPr>
              <w:pStyle w:val="P68B1DB1-Normal2"/>
              <w:jc w:val="center"/>
            </w:pPr>
            <w:r w:rsidRPr="000F2473">
              <w:t>Prioritate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10BCA8C4" w:rsidR="005E3C17" w:rsidRDefault="005E3C17" w:rsidP="005E3C17">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FD48C9">
              <w:t>PRIORITATEA 3 -  O cooperare transfrontalieră mai durabilă și mai eficientă, bazată pe comunitate</w:t>
            </w:r>
          </w:p>
        </w:tc>
      </w:tr>
      <w:tr w:rsidR="005E3C17" w14:paraId="5A450318" w14:textId="77777777" w:rsidTr="005E3C17">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B4CF9" w14:textId="74AFDCA3" w:rsidR="005E3C17" w:rsidRDefault="005E3C17" w:rsidP="005E3C17">
            <w:pPr>
              <w:pStyle w:val="P68B1DB1-Normal2"/>
              <w:jc w:val="center"/>
            </w:pPr>
            <w:r w:rsidRPr="000F2473">
              <w:t xml:space="preserve">Obiectiv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113F444C" w:rsidR="005E3C17" w:rsidRDefault="005E3C17" w:rsidP="005E3C17">
            <w:pPr>
              <w:pStyle w:val="P68B1DB1-Normal3"/>
              <w:spacing w:after="120" w:line="276" w:lineRule="auto"/>
              <w:jc w:val="both"/>
            </w:pPr>
            <w:r>
              <w:t xml:space="preserve">Obiectiv specific (OS) ISO6.3 - Consolidarea încrederii reciproce, în special prin încurajarea acțiunilor interpersonale </w:t>
            </w:r>
          </w:p>
        </w:tc>
      </w:tr>
      <w:tr w:rsidR="005E3C17" w14:paraId="7703D1F8" w14:textId="77777777" w:rsidTr="005E3C1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1CB9972D" w:rsidR="005E3C17" w:rsidRDefault="005E3C17" w:rsidP="005E3C17">
            <w:pPr>
              <w:pStyle w:val="P68B1DB1-Normal2"/>
              <w:jc w:val="center"/>
            </w:pPr>
            <w:r w:rsidRPr="000F2473">
              <w:t>Specific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29E2C1E9" w:rsidR="005E3C17" w:rsidRDefault="005E3C17" w:rsidP="005E3C17">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12 luni (04 Martie 2025 - 3 Martie 2026)</w:t>
            </w:r>
          </w:p>
        </w:tc>
      </w:tr>
      <w:tr w:rsidR="005E3C17" w14:paraId="010F0453" w14:textId="77777777" w:rsidTr="005E3C17">
        <w:trPr>
          <w:trHeight w:val="71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111516BB" w:rsidR="005E3C17" w:rsidRDefault="005E3C17" w:rsidP="005E3C17">
            <w:pPr>
              <w:pStyle w:val="P68B1DB1-Normal2"/>
              <w:jc w:val="center"/>
            </w:pPr>
            <w:r w:rsidRPr="000F2473">
              <w:t>Perioadă de implementare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3809607D" w:rsidR="005E3C17" w:rsidRDefault="005E3C17" w:rsidP="005E3C17">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F615BF">
              <w:t>Proiectul își propune să consolideze încrederea reciprocă și cooperarea între cele patru comunități partenere prin promovarea înțelegerii interculturale. Acesta se axează pe celebrarea, conservarea și valorificarea patrimoniului cultural local unic și a tradițiilor celor patru localități implicate.</w:t>
            </w:r>
          </w:p>
        </w:tc>
      </w:tr>
      <w:tr w:rsidR="005E3C17" w14:paraId="1EEF8B90" w14:textId="77777777" w:rsidTr="005E3C17">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6971E595" w:rsidR="005E3C17" w:rsidRDefault="005E3C17" w:rsidP="005E3C17">
            <w:pPr>
              <w:pStyle w:val="P68B1DB1-Normal2"/>
              <w:jc w:val="center"/>
            </w:pPr>
            <w:r w:rsidRPr="000F2473">
              <w:t>Obiectiv</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3CB37" w14:textId="391340F4" w:rsidR="005E3C17" w:rsidRDefault="005E3C17" w:rsidP="005E3C17">
            <w:pPr>
              <w:pStyle w:val="P68B1DB1-Normal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 xml:space="preserve">Partener principal: </w:t>
            </w:r>
          </w:p>
          <w:p w14:paraId="6332623C" w14:textId="6BC1B2B5" w:rsidR="005E3C17" w:rsidRDefault="005E3C17" w:rsidP="005E3C17">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F615BF">
              <w:t>Unitatea Administrativ Teritoriala Comuna Bors</w:t>
            </w:r>
            <w:r w:rsidRPr="00F615BF">
              <w:t xml:space="preserve"> </w:t>
            </w:r>
            <w:r>
              <w:t>(RO)</w:t>
            </w:r>
          </w:p>
        </w:tc>
      </w:tr>
      <w:tr w:rsidR="00EB1D08" w14:paraId="527C4A89" w14:textId="77777777" w:rsidTr="005E3C17">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EB1D08" w:rsidRPr="005E3C17" w:rsidRDefault="00EB1D08" w:rsidP="005E3C17">
            <w:pPr>
              <w:pStyle w:val="P68B1DB1-Normal2"/>
              <w:jc w:val="cente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6ECC9EA6" w:rsidR="00EB1D08" w:rsidRDefault="00000000">
            <w:pPr>
              <w:pStyle w:val="P68B1DB1-Normal2"/>
              <w:spacing w:after="0" w:line="276" w:lineRule="auto"/>
              <w:jc w:val="both"/>
            </w:pPr>
            <w:r>
              <w:t xml:space="preserve">Parteneri de proiect: </w:t>
            </w:r>
          </w:p>
          <w:p w14:paraId="2E818CF7" w14:textId="665394EA" w:rsidR="00EB1D08" w:rsidRPr="00F615BF" w:rsidRDefault="00000000">
            <w:pPr>
              <w:pStyle w:val="P68B1DB1-Normal3"/>
              <w:spacing w:after="0" w:line="276" w:lineRule="auto"/>
              <w:jc w:val="both"/>
            </w:pPr>
            <w:r>
              <w:t xml:space="preserve">PP2: </w:t>
            </w:r>
            <w:r w:rsidR="00F615BF" w:rsidRPr="00F615BF">
              <w:t xml:space="preserve">Unitatea Administrativ Teritoriala </w:t>
            </w:r>
            <w:r w:rsidR="00F615BF" w:rsidRPr="00F615BF">
              <w:t xml:space="preserve">Comuna Santandrei </w:t>
            </w:r>
            <w:r>
              <w:t>(RO)</w:t>
            </w:r>
          </w:p>
          <w:p w14:paraId="1967C1D5" w14:textId="5CA393A4" w:rsidR="00EB1D08" w:rsidRDefault="00000000">
            <w:pPr>
              <w:pStyle w:val="P68B1DB1-Normal3"/>
              <w:spacing w:after="0" w:line="276" w:lineRule="auto"/>
              <w:jc w:val="both"/>
              <w:rPr>
                <w:bCs/>
              </w:rPr>
            </w:pPr>
            <w:r>
              <w:t>PP3: Municipalitatea orașului Füzesgyarmat (HU)</w:t>
            </w:r>
          </w:p>
          <w:p w14:paraId="7BCBBF71" w14:textId="483320C6" w:rsidR="00EB1D08" w:rsidRDefault="00000000">
            <w:pPr>
              <w:pStyle w:val="P68B1DB1-Normal3"/>
              <w:spacing w:after="0" w:line="276" w:lineRule="auto"/>
              <w:jc w:val="both"/>
            </w:pPr>
            <w:r>
              <w:t xml:space="preserve">PP4: </w:t>
            </w:r>
            <w:r w:rsidR="00F615BF" w:rsidRPr="00F615BF">
              <w:t xml:space="preserve">Municipalitatea orașului </w:t>
            </w:r>
            <w:r>
              <w:t>Mehkerek (HU)</w:t>
            </w:r>
          </w:p>
        </w:tc>
      </w:tr>
      <w:tr w:rsidR="00EB1D08" w14:paraId="4EE4EBD1" w14:textId="77777777" w:rsidTr="005E3C1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4469C" w14:textId="6CE58D97" w:rsidR="00EB1D08" w:rsidRDefault="00000000">
            <w:pPr>
              <w:pStyle w:val="P68B1DB1-Normal2"/>
              <w:jc w:val="center"/>
            </w:pPr>
            <w:r>
              <w:t xml:space="preserve">Buget total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3867C61C" w:rsidR="00EB1D08" w:rsidRDefault="00000000">
            <w:pPr>
              <w:pStyle w:val="P68B1DB1-Normal3"/>
              <w:spacing w:after="0" w:line="276" w:lineRule="auto"/>
              <w:jc w:val="both"/>
            </w:pPr>
            <w:r>
              <w:t xml:space="preserve">246 995 EUR, din care 197,596 EUR FEDR </w:t>
            </w:r>
          </w:p>
        </w:tc>
      </w:tr>
      <w:tr w:rsidR="00EB1D08" w14:paraId="51B61C9D" w14:textId="77777777" w:rsidTr="005E3C1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6E09B71F" w:rsidR="00EB1D08" w:rsidRDefault="005E3C17">
            <w:pPr>
              <w:pStyle w:val="P68B1DB1-Normal2"/>
              <w:jc w:val="center"/>
            </w:pPr>
            <w:r>
              <w:t>Sumar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500A" w14:textId="781D0E2A" w:rsidR="005E3C17" w:rsidRPr="005E3C17" w:rsidRDefault="00000000">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Cs/>
                <w:iCs/>
              </w:rPr>
            </w:pPr>
            <w:r>
              <w:t xml:space="preserve">Proiectul </w:t>
            </w:r>
            <w:r>
              <w:rPr>
                <w:b/>
                <w:i/>
              </w:rPr>
              <w:t>„</w:t>
            </w:r>
            <w:r w:rsidR="005E3C17" w:rsidRPr="005E3C17">
              <w:rPr>
                <w:b/>
                <w:i/>
              </w:rPr>
              <w:t>Povești, gusturi și tradiții: o incursiune în 4 patrimonii locale</w:t>
            </w:r>
            <w:r w:rsidR="005E3C17" w:rsidRPr="005E3C17">
              <w:rPr>
                <w:b/>
                <w:i/>
              </w:rPr>
              <w:t xml:space="preserve"> </w:t>
            </w:r>
            <w:r>
              <w:rPr>
                <w:b/>
                <w:i/>
              </w:rPr>
              <w:t>(ROHU00073 – 4TTT)</w:t>
            </w:r>
            <w:r w:rsidR="005E3C17">
              <w:rPr>
                <w:b/>
                <w:i/>
              </w:rPr>
              <w:t xml:space="preserve"> </w:t>
            </w:r>
            <w:r w:rsidR="005E3C17" w:rsidRPr="005E3C17">
              <w:rPr>
                <w:bCs/>
                <w:iCs/>
              </w:rPr>
              <w:t>reunește patru autorități publice partenere pentru a promova diversitatea culturală, a consolida încrederea reciprocă și a încuraja cooperarea comunitară durabilă. Centrat pe un turneu cultural, proiectul celebrează folclorul, patrimoniul culinar și obiceiurile tradiționale prin evenimente comune, ateliere tematice și un tur cultural itinerant.</w:t>
            </w:r>
          </w:p>
          <w:p w14:paraId="22154F24" w14:textId="77777777" w:rsidR="005E3C17" w:rsidRDefault="005E3C17" w:rsidP="005E3C17">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t>Componentele cheie includ:</w:t>
            </w:r>
          </w:p>
          <w:p w14:paraId="0F2A9A12" w14:textId="77777777" w:rsidR="005E3C17" w:rsidRDefault="005E3C17" w:rsidP="005E3C17">
            <w:pPr>
              <w:pStyle w:val="P68B1DB1-Normal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5E3C17">
              <w:rPr>
                <w:b/>
                <w:bCs/>
              </w:rPr>
              <w:t>Sesiuni de povestire („Tales”)</w:t>
            </w:r>
            <w:r>
              <w:t xml:space="preserve"> – promovarea tradițiilor orale și a legendelor locale;</w:t>
            </w:r>
          </w:p>
          <w:p w14:paraId="33ADD89D" w14:textId="4A860431" w:rsidR="005E3C17" w:rsidRDefault="005E3C17" w:rsidP="0044452E">
            <w:pPr>
              <w:pStyle w:val="P68B1DB1-Normal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5E3C17">
              <w:rPr>
                <w:b/>
                <w:bCs/>
              </w:rPr>
              <w:t>Concursuri culinare („Tastes”)</w:t>
            </w:r>
            <w:r>
              <w:t xml:space="preserve"> – punerea în valoare a rețetelor și gusturilor tradiționale;</w:t>
            </w:r>
          </w:p>
          <w:p w14:paraId="2F5BC698" w14:textId="77777777" w:rsidR="005E3C17" w:rsidRDefault="005E3C17" w:rsidP="005E3C17">
            <w:pPr>
              <w:pStyle w:val="P68B1DB1-Normal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rsidRPr="005E3C17">
              <w:rPr>
                <w:b/>
                <w:bCs/>
              </w:rPr>
              <w:t>Spectacole artistice și tradiționale („Traditions”)</w:t>
            </w:r>
            <w:r>
              <w:t xml:space="preserve"> – muzică, dansuri, meșteșuguri și ritualuri specifice fiecărei comunități.</w:t>
            </w:r>
          </w:p>
          <w:p w14:paraId="7F18C3B0" w14:textId="6812476D" w:rsidR="005E3C17" w:rsidRDefault="005E3C17" w:rsidP="005E3C17">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Aceste activități implică peste 160 de participanți direcți și ating un public estimat de aproximativ 21.000 de membri ai comunităților. De asemenea, se va crea o bibliotecă digitală ce va documenta povești, rețete și obiceiuri, în vederea conservării și promovării patrimoniului local.</w:t>
            </w:r>
          </w:p>
          <w:p w14:paraId="727B47BB" w14:textId="77777777" w:rsidR="005E3C17" w:rsidRDefault="005E3C17" w:rsidP="005E3C17">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
              <w:lastRenderedPageBreak/>
              <w:t>Proiectul introduce, de asemenea, ateliere despre conceptul New European Bauhaus și susține formarea de parteneriate pe termen lung prin acțiuni comune și colaborare post-proiect.</w:t>
            </w:r>
          </w:p>
          <w:p w14:paraId="769F20B1" w14:textId="6FAE367A" w:rsidR="00EB1D08" w:rsidRDefault="005E3C17" w:rsidP="005E3C17">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Inițiativa oferă o platformă dinamică pentru dialog intercultural, implicarea tinerilor și transmiterea intergenerațională a tradițiilor, punând bazele unor viitoare intervenții conduse de comunități.</w:t>
            </w:r>
          </w:p>
        </w:tc>
      </w:tr>
      <w:tr w:rsidR="00EB1D08" w14:paraId="47DF7069"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7DC5C68F" w:rsidR="00EB1D08" w:rsidRDefault="005E3C17">
            <w:pPr>
              <w:pStyle w:val="P68B1DB1-Normal2"/>
              <w:jc w:val="center"/>
            </w:pPr>
            <w:r w:rsidRPr="005E3C17">
              <w:lastRenderedPageBreak/>
              <w:t>Rezultate principale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85AF" w14:textId="77777777" w:rsidR="00EB1D08" w:rsidRDefault="00000000">
            <w:pPr>
              <w:pStyle w:val="P68B1DB1-Norm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Principalele rezultate ale proiectului sunt:</w:t>
            </w:r>
          </w:p>
          <w:p w14:paraId="2B2D9958" w14:textId="77777777" w:rsidR="005E3C17"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Organizarea cu succes a 4 evenimente culturale transfrontaliere (Turnee), implicând cele patru comunități, cu focus pe schimburi culturale prin povești, gastronomie, tradiții și ateliere creative.</w:t>
            </w:r>
          </w:p>
          <w:p w14:paraId="079F898C" w14:textId="77777777" w:rsidR="005E3C17"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Atelier tematic dedicat conceptului New European Bauhaus, intitulat „Valorizarea Tradiției și a Patrimoniului Local”, care promovează integrarea elementelor tradiționale cu designul modern și dezvoltarea durabilă.</w:t>
            </w:r>
          </w:p>
          <w:p w14:paraId="748859C5" w14:textId="77777777" w:rsidR="005E3C17"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Achiziționarea unei scene mobile de către LP Comuna Borș, ca investiție pe termen lung pentru susținerea evenimentelor culturale actuale și viitoare.</w:t>
            </w:r>
          </w:p>
          <w:p w14:paraId="56FB61E2" w14:textId="77777777" w:rsidR="005E3C17"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Achiziționarea de echipamente esențiale de către PP2 Sântandrei (scenă mobilă, sistem audio, costume tradiționale), contribuind la desfășurarea durabilă a activităților culturale.</w:t>
            </w:r>
          </w:p>
          <w:p w14:paraId="2EA54CD0" w14:textId="77777777" w:rsidR="005E3C17"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Reabilitarea unei clădiri de servicii neutilizate de către PP3 Füzesgyarmat, transformând-o într-un spațiu funcțional cu vestiare și zone sociale pentru artiști și participanți.</w:t>
            </w:r>
          </w:p>
          <w:p w14:paraId="60385887" w14:textId="77777777" w:rsidR="005E3C17"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Achiziționarea unei scene și a unui podium mobil de către PP4 Mehkerek, ca investiție durabilă și eficientă pentru desfășurarea evenimentelor.</w:t>
            </w:r>
          </w:p>
          <w:p w14:paraId="2E7F5355" w14:textId="77777777" w:rsidR="005E3C17"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Elaborarea în comun a unui document strategic privind dezvoltarea parteneriatului dintre cele patru entități.</w:t>
            </w:r>
          </w:p>
          <w:p w14:paraId="173E30B6" w14:textId="2D2B2236" w:rsidR="00EB1D08" w:rsidRDefault="005E3C17" w:rsidP="005E3C17">
            <w:pPr>
              <w:pStyle w:val="P68B1DB1-ListParagraph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Crearea unei biblioteci digitale, care va documenta povești, rețete și obiceiuri, contribuind la conservarea și promovarea patrimoniului cultural local.</w:t>
            </w:r>
          </w:p>
        </w:tc>
      </w:tr>
    </w:tbl>
    <w:p w14:paraId="2E5160C3" w14:textId="5D0B5ABE" w:rsidR="00EB1D08" w:rsidRDefault="00EB1D08">
      <w:pPr>
        <w:spacing w:after="0"/>
        <w:jc w:val="both"/>
        <w:rPr>
          <w:rFonts w:cs="Open Sans"/>
          <w:color w:val="003399"/>
          <w:szCs w:val="20"/>
        </w:rPr>
      </w:pPr>
    </w:p>
    <w:sectPr w:rsidR="00EB1D08">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78AB" w14:textId="77777777" w:rsidR="00C90C3F" w:rsidRDefault="00C90C3F">
      <w:pPr>
        <w:spacing w:after="0" w:line="240" w:lineRule="auto"/>
      </w:pPr>
      <w:r>
        <w:separator/>
      </w:r>
    </w:p>
  </w:endnote>
  <w:endnote w:type="continuationSeparator" w:id="0">
    <w:p w14:paraId="18267DB9" w14:textId="77777777" w:rsidR="00C90C3F" w:rsidRDefault="00C9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Nova Con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B1D08" w:rsidRDefault="00000000">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9DBF" w14:textId="77777777" w:rsidR="00C90C3F" w:rsidRDefault="00C90C3F">
      <w:pPr>
        <w:spacing w:after="0" w:line="240" w:lineRule="auto"/>
      </w:pPr>
      <w:r>
        <w:separator/>
      </w:r>
    </w:p>
  </w:footnote>
  <w:footnote w:type="continuationSeparator" w:id="0">
    <w:p w14:paraId="69EC0E88" w14:textId="77777777" w:rsidR="00C90C3F" w:rsidRDefault="00C90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574953C" w:rsidR="00EB1D08" w:rsidRDefault="005E3C17">
    <w:pPr>
      <w:pStyle w:val="Header"/>
    </w:pPr>
    <w:r>
      <w:rPr>
        <w:noProof/>
      </w:rPr>
      <w:drawing>
        <wp:inline distT="0" distB="0" distL="0" distR="0" wp14:anchorId="148E1AF5" wp14:editId="14D35041">
          <wp:extent cx="6419850" cy="742688"/>
          <wp:effectExtent l="0" t="0" r="0" b="63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484384" cy="750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37B"/>
    <w:multiLevelType w:val="hybridMultilevel"/>
    <w:tmpl w:val="9718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5070B6"/>
    <w:multiLevelType w:val="hybridMultilevel"/>
    <w:tmpl w:val="802E03F0"/>
    <w:lvl w:ilvl="0" w:tplc="995CEB3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864262">
    <w:abstractNumId w:val="1"/>
  </w:num>
  <w:num w:numId="2" w16cid:durableId="1335305497">
    <w:abstractNumId w:val="9"/>
  </w:num>
  <w:num w:numId="3" w16cid:durableId="1487355793">
    <w:abstractNumId w:val="7"/>
  </w:num>
  <w:num w:numId="4" w16cid:durableId="881287704">
    <w:abstractNumId w:val="5"/>
  </w:num>
  <w:num w:numId="5" w16cid:durableId="874852420">
    <w:abstractNumId w:val="6"/>
  </w:num>
  <w:num w:numId="6" w16cid:durableId="1785149724">
    <w:abstractNumId w:val="2"/>
  </w:num>
  <w:num w:numId="7" w16cid:durableId="1504667513">
    <w:abstractNumId w:val="8"/>
  </w:num>
  <w:num w:numId="8" w16cid:durableId="917439275">
    <w:abstractNumId w:val="4"/>
  </w:num>
  <w:num w:numId="9" w16cid:durableId="1226263468">
    <w:abstractNumId w:val="3"/>
  </w:num>
  <w:num w:numId="10" w16cid:durableId="1410075975">
    <w:abstractNumId w:val="10"/>
  </w:num>
  <w:num w:numId="11" w16cid:durableId="69993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qQUAQZMmYCwAAAA="/>
  </w:docVars>
  <w:rsids>
    <w:rsidRoot w:val="00F5533E"/>
    <w:rsid w:val="000025AE"/>
    <w:rsid w:val="00025629"/>
    <w:rsid w:val="000423F1"/>
    <w:rsid w:val="000445CF"/>
    <w:rsid w:val="00070604"/>
    <w:rsid w:val="00087055"/>
    <w:rsid w:val="000B2C0A"/>
    <w:rsid w:val="000B6D6D"/>
    <w:rsid w:val="000F0D69"/>
    <w:rsid w:val="00105385"/>
    <w:rsid w:val="001163BF"/>
    <w:rsid w:val="00141138"/>
    <w:rsid w:val="00190E0A"/>
    <w:rsid w:val="001A1347"/>
    <w:rsid w:val="002216AE"/>
    <w:rsid w:val="00242594"/>
    <w:rsid w:val="002601E5"/>
    <w:rsid w:val="002642B0"/>
    <w:rsid w:val="00280F9E"/>
    <w:rsid w:val="00290CD3"/>
    <w:rsid w:val="002A5B39"/>
    <w:rsid w:val="002C6108"/>
    <w:rsid w:val="003035E1"/>
    <w:rsid w:val="00352959"/>
    <w:rsid w:val="00356533"/>
    <w:rsid w:val="003620F5"/>
    <w:rsid w:val="00376591"/>
    <w:rsid w:val="00386644"/>
    <w:rsid w:val="00411D58"/>
    <w:rsid w:val="0044551E"/>
    <w:rsid w:val="004934A7"/>
    <w:rsid w:val="004A3DA2"/>
    <w:rsid w:val="004B327A"/>
    <w:rsid w:val="0054292D"/>
    <w:rsid w:val="00553C3E"/>
    <w:rsid w:val="00594DA5"/>
    <w:rsid w:val="005A58E8"/>
    <w:rsid w:val="005B7B70"/>
    <w:rsid w:val="005C17CD"/>
    <w:rsid w:val="005C3698"/>
    <w:rsid w:val="005C53EB"/>
    <w:rsid w:val="005E3C17"/>
    <w:rsid w:val="00614C99"/>
    <w:rsid w:val="0064618B"/>
    <w:rsid w:val="00677E91"/>
    <w:rsid w:val="006B30F3"/>
    <w:rsid w:val="006D3D1A"/>
    <w:rsid w:val="00707858"/>
    <w:rsid w:val="007120ED"/>
    <w:rsid w:val="00717947"/>
    <w:rsid w:val="00722416"/>
    <w:rsid w:val="00732D28"/>
    <w:rsid w:val="00733B57"/>
    <w:rsid w:val="00761E91"/>
    <w:rsid w:val="007B6147"/>
    <w:rsid w:val="007B7096"/>
    <w:rsid w:val="007E671E"/>
    <w:rsid w:val="008C34C7"/>
    <w:rsid w:val="008D0FE5"/>
    <w:rsid w:val="008E24AC"/>
    <w:rsid w:val="008F39CA"/>
    <w:rsid w:val="008F5213"/>
    <w:rsid w:val="0097126B"/>
    <w:rsid w:val="009A2238"/>
    <w:rsid w:val="009A3CCC"/>
    <w:rsid w:val="009B0611"/>
    <w:rsid w:val="009D0623"/>
    <w:rsid w:val="009D5799"/>
    <w:rsid w:val="009F7CB7"/>
    <w:rsid w:val="00A030F1"/>
    <w:rsid w:val="00A170BA"/>
    <w:rsid w:val="00A35463"/>
    <w:rsid w:val="00A41FCE"/>
    <w:rsid w:val="00A53CBE"/>
    <w:rsid w:val="00A6351B"/>
    <w:rsid w:val="00A64984"/>
    <w:rsid w:val="00B24F49"/>
    <w:rsid w:val="00B326A5"/>
    <w:rsid w:val="00B57F8C"/>
    <w:rsid w:val="00B77B00"/>
    <w:rsid w:val="00B92ED0"/>
    <w:rsid w:val="00BB32FF"/>
    <w:rsid w:val="00C02611"/>
    <w:rsid w:val="00C23211"/>
    <w:rsid w:val="00C23EAD"/>
    <w:rsid w:val="00C55ED4"/>
    <w:rsid w:val="00C832EB"/>
    <w:rsid w:val="00C90C3F"/>
    <w:rsid w:val="00CA0AA2"/>
    <w:rsid w:val="00CE32DF"/>
    <w:rsid w:val="00D1768D"/>
    <w:rsid w:val="00D736AC"/>
    <w:rsid w:val="00D93997"/>
    <w:rsid w:val="00D96E2B"/>
    <w:rsid w:val="00DD4259"/>
    <w:rsid w:val="00DE4738"/>
    <w:rsid w:val="00DE674A"/>
    <w:rsid w:val="00DF4008"/>
    <w:rsid w:val="00E06159"/>
    <w:rsid w:val="00E91B08"/>
    <w:rsid w:val="00E91F35"/>
    <w:rsid w:val="00EB0D64"/>
    <w:rsid w:val="00EB1D08"/>
    <w:rsid w:val="00F0230A"/>
    <w:rsid w:val="00F03C0F"/>
    <w:rsid w:val="00F119CB"/>
    <w:rsid w:val="00F504BC"/>
    <w:rsid w:val="00F5533E"/>
    <w:rsid w:val="00F615BF"/>
    <w:rsid w:val="00F7622A"/>
    <w:rsid w:val="00FB5250"/>
    <w:rsid w:val="00FD48C9"/>
    <w:rsid w:val="00FF0748"/>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paragraph" w:customStyle="1" w:styleId="P68B1DB1-Normal1">
    <w:name w:val="P68B1DB1-Normal1"/>
    <w:basedOn w:val="Normal"/>
    <w:rPr>
      <w:rFonts w:cs="Open Sans"/>
      <w:b/>
      <w:color w:val="FFFFFF"/>
      <w:szCs w:val="20"/>
    </w:rPr>
  </w:style>
  <w:style w:type="paragraph" w:customStyle="1" w:styleId="P68B1DB1-Normal2">
    <w:name w:val="P68B1DB1-Normal2"/>
    <w:basedOn w:val="Normal"/>
    <w:rPr>
      <w:rFonts w:cs="Open Sans"/>
      <w:b/>
      <w:color w:val="1F3864" w:themeColor="accent5" w:themeShade="80"/>
      <w:szCs w:val="20"/>
    </w:rPr>
  </w:style>
  <w:style w:type="paragraph" w:customStyle="1" w:styleId="P68B1DB1-Normal3">
    <w:name w:val="P68B1DB1-Normal3"/>
    <w:basedOn w:val="Normal"/>
    <w:rPr>
      <w:rFonts w:cs="Open Sans"/>
      <w:color w:val="1F3864" w:themeColor="accent5" w:themeShade="80"/>
      <w:szCs w:val="20"/>
    </w:rPr>
  </w:style>
  <w:style w:type="paragraph" w:customStyle="1" w:styleId="P68B1DB1-Normal4">
    <w:name w:val="P68B1DB1-Normal4"/>
    <w:basedOn w:val="Normal"/>
    <w:rPr>
      <w:rFonts w:cs="Open Sans"/>
      <w:color w:val="002060"/>
      <w:szCs w:val="20"/>
    </w:rPr>
  </w:style>
  <w:style w:type="paragraph" w:customStyle="1" w:styleId="P68B1DB1-ListParagraph5">
    <w:name w:val="P68B1DB1-ListParagraph5"/>
    <w:basedOn w:val="ListParagraph"/>
    <w:rPr>
      <w:rFonts w:cs="Open Sans"/>
      <w:color w:val="0020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165</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Adriana Ghita</cp:lastModifiedBy>
  <cp:revision>21</cp:revision>
  <dcterms:created xsi:type="dcterms:W3CDTF">2025-03-03T08:41:00Z</dcterms:created>
  <dcterms:modified xsi:type="dcterms:W3CDTF">2025-07-03T12:19:00Z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