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19113F" w:rsidRDefault="007116AA" w:rsidP="00B51E51">
      <w:pPr>
        <w:spacing w:after="0"/>
        <w:rPr>
          <w:rFonts w:ascii="Open Sans" w:hAnsi="Open Sans" w:cs="Arial"/>
          <w:color w:val="003399"/>
        </w:rPr>
      </w:pPr>
      <w:r w:rsidRPr="0019113F">
        <w:rPr>
          <w:rFonts w:ascii="Open Sans" w:hAnsi="Open Sans" w:cs="Arial"/>
          <w:color w:val="003399"/>
        </w:rPr>
        <w:t xml:space="preserve">  </w:t>
      </w:r>
    </w:p>
    <w:tbl>
      <w:tblPr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7478"/>
      </w:tblGrid>
      <w:tr w:rsidR="0019113F" w:rsidRPr="0019113F" w14:paraId="4B15D6E6" w14:textId="77777777" w:rsidTr="00F17513">
        <w:trPr>
          <w:trHeight w:val="333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</w:tcPr>
          <w:p w14:paraId="2DB9C70C" w14:textId="4506A00E" w:rsidR="00F17513" w:rsidRPr="0019113F" w:rsidRDefault="00F17513" w:rsidP="0073755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2</w:t>
            </w:r>
            <w:r w:rsidRPr="0019113F">
              <w:rPr>
                <w:rFonts w:ascii="Open Sans" w:hAnsi="Open Sans" w:cs="Calibri"/>
                <w:b/>
                <w:color w:val="FFFFFF" w:themeColor="background1"/>
                <w:vertAlign w:val="superscript"/>
                <w:lang w:val="en-GB" w:eastAsia="en-GB"/>
              </w:rPr>
              <w:t>nd</w:t>
            </w:r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 xml:space="preserve"> Open Call- Normal Projects</w:t>
            </w:r>
          </w:p>
        </w:tc>
      </w:tr>
      <w:tr w:rsidR="0019113F" w:rsidRPr="0019113F" w14:paraId="262D867A" w14:textId="77777777" w:rsidTr="00BA7959">
        <w:trPr>
          <w:trHeight w:val="33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19113F" w:rsidRDefault="00A84025" w:rsidP="00737558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4281D249" w:rsidR="00A84025" w:rsidRPr="0019113F" w:rsidRDefault="00B64CA2" w:rsidP="0073755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8728E1"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156</w:t>
            </w:r>
          </w:p>
        </w:tc>
      </w:tr>
      <w:tr w:rsidR="0019113F" w:rsidRPr="0019113F" w14:paraId="64A2B68C" w14:textId="77777777" w:rsidTr="00BA7959">
        <w:trPr>
          <w:trHeight w:val="77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19113F" w:rsidRDefault="00A84025" w:rsidP="00737558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CA0A" w14:textId="77777777" w:rsidR="008728E1" w:rsidRPr="0019113F" w:rsidRDefault="008728E1" w:rsidP="00737558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OLDNEW</w:t>
            </w:r>
          </w:p>
          <w:p w14:paraId="1EB6C4A5" w14:textId="2AC76A8D" w:rsidR="00A84025" w:rsidRPr="0019113F" w:rsidRDefault="008728E1" w:rsidP="00737558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Traditions over the time and across the border</w:t>
            </w:r>
          </w:p>
        </w:tc>
      </w:tr>
      <w:tr w:rsidR="0019113F" w:rsidRPr="0019113F" w14:paraId="0CB753E0" w14:textId="77777777" w:rsidTr="0005311C">
        <w:trPr>
          <w:trHeight w:val="7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19113F" w:rsidRDefault="00A84025" w:rsidP="0073755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19113F">
              <w:rPr>
                <w:rFonts w:ascii="Open Sans" w:hAnsi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09D9423D" w:rsidR="00A84025" w:rsidRPr="0019113F" w:rsidRDefault="009E3AC2" w:rsidP="00737558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19113F">
              <w:rPr>
                <w:rFonts w:ascii="Open Sans" w:hAnsi="Open Sans" w:cs="Open Sans"/>
                <w:color w:val="003399"/>
                <w:lang w:val="en-GB"/>
              </w:rPr>
              <w:t>6</w:t>
            </w:r>
            <w:r w:rsidR="00400B0A" w:rsidRPr="0019113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Pr="0019113F">
              <w:rPr>
                <w:rFonts w:ascii="Open Sans" w:hAnsi="Open Sans"/>
                <w:color w:val="003399"/>
                <w:lang w:val="en-GB"/>
              </w:rPr>
              <w:t>Promoting cross-border cooperation between institutions and citizen (Cooperation of institutions and communities)</w:t>
            </w:r>
          </w:p>
        </w:tc>
      </w:tr>
      <w:tr w:rsidR="0019113F" w:rsidRPr="0019113F" w14:paraId="52DBEC7F" w14:textId="77777777" w:rsidTr="0005311C">
        <w:trPr>
          <w:trHeight w:val="44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19113F" w:rsidRDefault="00A84025" w:rsidP="0073755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19113F">
              <w:rPr>
                <w:rFonts w:ascii="Open Sans" w:hAnsi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71382384" w:rsidR="00A84025" w:rsidRPr="0019113F" w:rsidRDefault="00F17513" w:rsidP="00737558">
            <w:pPr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11/b</w:t>
            </w:r>
            <w:r w:rsidR="00450B77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-</w:t>
            </w: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Promoting legal and administrative cooperation and cooperation between citizens and institutions (Cooperation for citizens)</w:t>
            </w:r>
          </w:p>
        </w:tc>
      </w:tr>
      <w:tr w:rsidR="0019113F" w:rsidRPr="0019113F" w14:paraId="21D8A19E" w14:textId="77777777" w:rsidTr="0005311C">
        <w:trPr>
          <w:trHeight w:val="62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19113F" w:rsidRDefault="001222DE" w:rsidP="0073755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19113F">
              <w:rPr>
                <w:rFonts w:ascii="Open Sans" w:hAnsi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4730E65E" w:rsidR="001222DE" w:rsidRPr="0019113F" w:rsidRDefault="009E3AC2" w:rsidP="007375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>3</w:t>
            </w:r>
            <w:r w:rsidR="006849D0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months (</w:t>
            </w: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December</w:t>
            </w:r>
            <w:r w:rsidR="006849D0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01,</w:t>
            </w:r>
            <w:r w:rsidR="001222DE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2018 – </w:t>
            </w:r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>October</w:t>
            </w:r>
            <w:r w:rsidR="001222DE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6849D0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31, </w:t>
            </w:r>
            <w:r w:rsidR="001222DE" w:rsidRPr="0019113F">
              <w:rPr>
                <w:rFonts w:ascii="Open Sans" w:hAnsi="Open Sans" w:cs="Calibri"/>
                <w:color w:val="003399"/>
                <w:lang w:val="en-GB" w:eastAsia="en-GB"/>
              </w:rPr>
              <w:t>202</w:t>
            </w: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0</w:t>
            </w:r>
            <w:r w:rsidR="001222DE" w:rsidRPr="0019113F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19113F" w:rsidRPr="0019113F" w14:paraId="05A81C76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19113F" w:rsidRDefault="00CD3A86" w:rsidP="00737558">
            <w:pPr>
              <w:spacing w:after="120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r w:rsidRPr="0019113F">
              <w:rPr>
                <w:rFonts w:ascii="Open Sans" w:hAnsi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3B320D7C" w:rsidR="00EC51CD" w:rsidRPr="0019113F" w:rsidRDefault="00A011A4" w:rsidP="007375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19113F">
              <w:rPr>
                <w:rFonts w:ascii="Open Sans" w:hAnsi="Open Sans"/>
                <w:color w:val="003399"/>
                <w:lang w:val="en-GB"/>
              </w:rPr>
              <w:t xml:space="preserve">The project's main objective was to intensify the cross-border cooperation between the communities </w:t>
            </w:r>
            <w:proofErr w:type="spellStart"/>
            <w:r w:rsidRPr="0019113F">
              <w:rPr>
                <w:rFonts w:ascii="Open Sans" w:hAnsi="Open Sans"/>
                <w:color w:val="003399"/>
                <w:lang w:val="en-GB"/>
              </w:rPr>
              <w:t>Pecica</w:t>
            </w:r>
            <w:proofErr w:type="spellEnd"/>
            <w:r w:rsidRPr="0019113F">
              <w:rPr>
                <w:rFonts w:ascii="Open Sans" w:hAnsi="Open Sans"/>
                <w:color w:val="003399"/>
                <w:lang w:val="en-GB"/>
              </w:rPr>
              <w:t xml:space="preserve"> (RO) and </w:t>
            </w:r>
            <w:proofErr w:type="spellStart"/>
            <w:r w:rsidRPr="0019113F">
              <w:rPr>
                <w:rFonts w:ascii="Open Sans" w:hAnsi="Open Sans"/>
                <w:color w:val="003399"/>
                <w:lang w:val="en-GB"/>
              </w:rPr>
              <w:t>Mórahalom</w:t>
            </w:r>
            <w:proofErr w:type="spellEnd"/>
            <w:r w:rsidRPr="0019113F">
              <w:rPr>
                <w:rFonts w:ascii="Open Sans" w:hAnsi="Open Sans"/>
                <w:color w:val="003399"/>
                <w:lang w:val="en-GB"/>
              </w:rPr>
              <w:t xml:space="preserve"> (HU) in the cultural field, aiming to present, preserve</w:t>
            </w:r>
            <w:r w:rsidR="00801A3B" w:rsidRPr="0019113F">
              <w:rPr>
                <w:rFonts w:ascii="Open Sans" w:hAnsi="Open Sans"/>
                <w:color w:val="003399"/>
                <w:lang w:val="en-GB"/>
              </w:rPr>
              <w:t>,</w:t>
            </w:r>
            <w:r w:rsidRPr="0019113F">
              <w:rPr>
                <w:rFonts w:ascii="Open Sans" w:hAnsi="Open Sans"/>
                <w:color w:val="003399"/>
                <w:lang w:val="en-GB"/>
              </w:rPr>
              <w:t xml:space="preserve"> and promote the local traditions on both sides of the border.</w:t>
            </w:r>
          </w:p>
        </w:tc>
      </w:tr>
      <w:tr w:rsidR="0019113F" w:rsidRPr="0019113F" w14:paraId="5CD19851" w14:textId="77777777" w:rsidTr="0005311C">
        <w:trPr>
          <w:trHeight w:val="277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19113F" w:rsidRDefault="00CD3A86" w:rsidP="00737558">
            <w:pPr>
              <w:spacing w:after="120"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14AF1883" w:rsidR="00CD3A86" w:rsidRPr="0019113F" w:rsidRDefault="00CD3A86" w:rsidP="0005311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Lead Beneficiary: </w:t>
            </w:r>
            <w:proofErr w:type="spellStart"/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>Pecica</w:t>
            </w:r>
            <w:proofErr w:type="spellEnd"/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City </w:t>
            </w:r>
            <w:r w:rsidR="00B64CA2" w:rsidRPr="0019113F">
              <w:rPr>
                <w:rFonts w:ascii="Open Sans" w:hAnsi="Open Sans" w:cs="Calibri"/>
                <w:color w:val="003399"/>
                <w:lang w:val="en-GB" w:eastAsia="en-GB"/>
              </w:rPr>
              <w:t>(Romania</w:t>
            </w:r>
            <w:r w:rsidR="00B64CA2" w:rsidRPr="0019113F">
              <w:rPr>
                <w:rFonts w:ascii="Open Sans" w:hAnsi="Open Sans" w:cs="Open Sans"/>
                <w:color w:val="003399"/>
                <w:lang w:val="en-GB"/>
              </w:rPr>
              <w:t>)</w:t>
            </w:r>
          </w:p>
        </w:tc>
      </w:tr>
      <w:tr w:rsidR="0019113F" w:rsidRPr="0019113F" w14:paraId="006B602D" w14:textId="77777777" w:rsidTr="0005311C">
        <w:trPr>
          <w:trHeight w:val="25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19113F" w:rsidRDefault="00CD3A86" w:rsidP="00737558">
            <w:pPr>
              <w:spacing w:after="120" w:line="240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2D653B6B" w:rsidR="00B64CA2" w:rsidRPr="0019113F" w:rsidRDefault="00D836D4" w:rsidP="0005311C">
            <w:pPr>
              <w:spacing w:after="12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Project </w:t>
            </w:r>
            <w:r w:rsidR="00BA7959"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partner:</w:t>
            </w:r>
            <w:r w:rsidR="00CD3A86" w:rsidRPr="0019113F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 </w:t>
            </w:r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Local Government of </w:t>
            </w:r>
            <w:proofErr w:type="spellStart"/>
            <w:r w:rsidR="008F2601" w:rsidRPr="0019113F">
              <w:rPr>
                <w:rFonts w:ascii="Open Sans" w:hAnsi="Open Sans"/>
                <w:color w:val="003399"/>
                <w:lang w:val="en-GB"/>
              </w:rPr>
              <w:t>Mórahalom</w:t>
            </w:r>
            <w:proofErr w:type="spellEnd"/>
            <w:r w:rsidR="008F2601" w:rsidRPr="0019113F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r w:rsidR="00B64CA2" w:rsidRPr="0019113F">
              <w:rPr>
                <w:rFonts w:ascii="Open Sans" w:hAnsi="Open Sans" w:cs="Calibri"/>
                <w:color w:val="003399"/>
                <w:lang w:val="en-GB" w:eastAsia="en-GB"/>
              </w:rPr>
              <w:t>(Hungary)</w:t>
            </w:r>
          </w:p>
        </w:tc>
      </w:tr>
      <w:tr w:rsidR="0019113F" w:rsidRPr="0019113F" w14:paraId="5692E066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19113F" w:rsidRDefault="00CD3A86" w:rsidP="00737558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B0A0" w14:textId="77777777" w:rsidR="00744AC2" w:rsidRPr="0019113F" w:rsidRDefault="00CD3A86" w:rsidP="00737558">
            <w:pPr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€ </w:t>
            </w:r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>79,200</w:t>
            </w:r>
            <w:r w:rsidR="00521BAA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.00 </w:t>
            </w: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out of which ERDF € </w:t>
            </w:r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>67,320</w:t>
            </w:r>
            <w:r w:rsidR="00521BAA" w:rsidRPr="0019113F">
              <w:rPr>
                <w:rFonts w:ascii="Open Sans" w:hAnsi="Open Sans" w:cs="Calibri"/>
                <w:color w:val="003399"/>
                <w:lang w:val="en-GB" w:eastAsia="en-GB"/>
              </w:rPr>
              <w:t>.00</w:t>
            </w:r>
          </w:p>
          <w:p w14:paraId="3B2DC46A" w14:textId="0EBFB8B0" w:rsidR="007B2D1D" w:rsidRPr="0019113F" w:rsidRDefault="007B2D1D" w:rsidP="00737558">
            <w:pPr>
              <w:jc w:val="both"/>
              <w:rPr>
                <w:rFonts w:ascii="Open Sans" w:hAnsi="Open Sans" w:cs="Calibri"/>
                <w:color w:val="003399"/>
                <w:lang w:val="en" w:eastAsia="en-GB"/>
              </w:rPr>
            </w:pPr>
            <w:r w:rsidRPr="0019113F">
              <w:rPr>
                <w:rFonts w:ascii="Open Sans" w:hAnsi="Open Sans" w:cs="Calibri"/>
                <w:color w:val="003399"/>
                <w:lang w:val="en" w:eastAsia="en-GB"/>
              </w:rPr>
              <w:t xml:space="preserve">Total eligible expenditure certified within the project: € </w:t>
            </w:r>
            <w:r w:rsidR="00A011A4" w:rsidRPr="0019113F">
              <w:rPr>
                <w:rFonts w:ascii="Open Sans" w:hAnsi="Open Sans" w:cs="Calibri"/>
                <w:color w:val="003399"/>
                <w:lang w:val="ro-RO" w:eastAsia="en-GB"/>
              </w:rPr>
              <w:t>75,050.34</w:t>
            </w:r>
          </w:p>
          <w:p w14:paraId="0CEC0BF1" w14:textId="166A491D" w:rsidR="007B2D1D" w:rsidRPr="0019113F" w:rsidRDefault="007B2D1D" w:rsidP="00737558">
            <w:pPr>
              <w:jc w:val="both"/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</w:pPr>
            <w:r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Budget execution: 9</w:t>
            </w:r>
            <w:r w:rsidR="00557D41"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4</w:t>
            </w:r>
            <w:r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.</w:t>
            </w:r>
            <w:r w:rsidR="001A0AC7"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76</w:t>
            </w:r>
            <w:r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%</w:t>
            </w:r>
          </w:p>
        </w:tc>
      </w:tr>
      <w:tr w:rsidR="0019113F" w:rsidRPr="0019113F" w14:paraId="4771AA54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19113F" w:rsidRDefault="004540CA" w:rsidP="00737558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2626" w14:textId="64D266E2" w:rsidR="00A060BE" w:rsidRPr="0019113F" w:rsidRDefault="00801A3B" w:rsidP="00737558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The project ROHU-156 aimed to intensify cooperation between cross-border communities and promote cultural cooperation between </w:t>
            </w:r>
            <w:r w:rsidR="009F545B">
              <w:rPr>
                <w:rFonts w:ascii="Open Sans" w:hAnsi="Open Sans" w:cs="Calibri"/>
                <w:color w:val="003399"/>
                <w:lang w:val="en-GB" w:eastAsia="en-GB"/>
              </w:rPr>
              <w:t xml:space="preserve">the </w:t>
            </w:r>
            <w:proofErr w:type="spellStart"/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Pecica</w:t>
            </w:r>
            <w:proofErr w:type="spellEnd"/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(RO) and </w:t>
            </w:r>
            <w:proofErr w:type="spellStart"/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Mórahalom</w:t>
            </w:r>
            <w:proofErr w:type="spellEnd"/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(HU) communities through the events organized. </w:t>
            </w:r>
            <w:r w:rsidR="009D6D67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Thus, traditional dishes were prepared and tasted, </w:t>
            </w:r>
            <w:r w:rsidR="00203B56" w:rsidRPr="0019113F">
              <w:rPr>
                <w:rFonts w:ascii="Open Sans" w:hAnsi="Open Sans" w:cs="Calibri"/>
                <w:color w:val="003399"/>
                <w:lang w:val="en-GB" w:eastAsia="en-GB"/>
              </w:rPr>
              <w:t>traditional</w:t>
            </w:r>
            <w:r w:rsidR="009D6D67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dances were performed, and traditional agricultural activities took place in the two cities.</w:t>
            </w:r>
          </w:p>
          <w:p w14:paraId="5F64E797" w14:textId="77777777" w:rsidR="009D6D67" w:rsidRPr="0019113F" w:rsidRDefault="009D6D67" w:rsidP="00737558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</w:p>
          <w:p w14:paraId="51638364" w14:textId="0B1705C0" w:rsidR="00CC4E44" w:rsidRPr="0019113F" w:rsidRDefault="007B2D1D" w:rsidP="00737558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19113F">
              <w:rPr>
                <w:rFonts w:ascii="Open Sans" w:hAnsi="Open Sans" w:cs="Open Sans"/>
                <w:color w:val="003399"/>
                <w:lang w:val="en-GB"/>
              </w:rPr>
              <w:t>The main activities implemented within the project:</w:t>
            </w:r>
          </w:p>
          <w:p w14:paraId="617DCAC5" w14:textId="70CA96E5" w:rsidR="00B11A11" w:rsidRPr="0019113F" w:rsidRDefault="00B11A11" w:rsidP="00737558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Organizing events in both localities:</w:t>
            </w:r>
          </w:p>
          <w:p w14:paraId="4AFA0FAF" w14:textId="31CC8FB0" w:rsidR="008F2601" w:rsidRPr="0019113F" w:rsidRDefault="00801A3B" w:rsidP="00737558">
            <w:pPr>
              <w:pStyle w:val="ListParagraph"/>
              <w:numPr>
                <w:ilvl w:val="0"/>
                <w:numId w:val="17"/>
              </w:numPr>
              <w:spacing w:after="0"/>
              <w:ind w:left="108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2 events presenting winter traditions </w:t>
            </w:r>
            <w:r w:rsidR="00203B56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were </w:t>
            </w: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organized by both project partners as follows: </w:t>
            </w:r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t xml:space="preserve">in </w:t>
            </w:r>
            <w:proofErr w:type="spellStart"/>
            <w:r w:rsidR="008F2601" w:rsidRPr="0019113F">
              <w:rPr>
                <w:rFonts w:ascii="Open Sans" w:hAnsi="Open Sans"/>
                <w:color w:val="003399"/>
                <w:lang w:val="en-GB"/>
              </w:rPr>
              <w:t>Mórahalom</w:t>
            </w:r>
            <w:proofErr w:type="spellEnd"/>
            <w:r w:rsidR="008F2601" w:rsidRPr="0019113F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t xml:space="preserve">the event was related to Saint Lucy's Day and in </w:t>
            </w:r>
            <w:proofErr w:type="spellStart"/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t>Pecica</w:t>
            </w:r>
            <w:proofErr w:type="spellEnd"/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t xml:space="preserve"> was related to "Ignat - Preparation of traditional dishes at the slaughtering of pigs", </w:t>
            </w:r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lastRenderedPageBreak/>
              <w:t xml:space="preserve">“Exhibition </w:t>
            </w:r>
            <w:proofErr w:type="gramStart"/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t>of  decorations</w:t>
            </w:r>
            <w:proofErr w:type="gramEnd"/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t xml:space="preserve"> for Christmas'', "Live Bethlehem''</w:t>
            </w:r>
            <w:r w:rsidR="00797216" w:rsidRPr="0019113F">
              <w:rPr>
                <w:rFonts w:ascii="Open Sans" w:eastAsia="Times New Roman" w:hAnsi="Open Sans"/>
                <w:color w:val="003399"/>
                <w:lang w:eastAsia="en-GB"/>
              </w:rPr>
              <w:t>,</w:t>
            </w:r>
            <w:r w:rsidRPr="0019113F">
              <w:rPr>
                <w:rFonts w:ascii="Open Sans" w:eastAsia="Times New Roman" w:hAnsi="Open Sans"/>
                <w:color w:val="003399"/>
                <w:lang w:eastAsia="en-GB"/>
              </w:rPr>
              <w:t xml:space="preserve"> and “Presentation of traditional Christmas desserts”</w:t>
            </w:r>
            <w:r w:rsidR="00203B56" w:rsidRPr="0019113F">
              <w:rPr>
                <w:rFonts w:ascii="Open Sans" w:eastAsia="Times New Roman" w:hAnsi="Open Sans"/>
                <w:color w:val="003399"/>
                <w:lang w:eastAsia="en-GB"/>
              </w:rPr>
              <w:t>;</w:t>
            </w:r>
          </w:p>
          <w:p w14:paraId="41BD4C23" w14:textId="638E23B0" w:rsidR="008F2601" w:rsidRPr="0019113F" w:rsidRDefault="008F2601" w:rsidP="00737558">
            <w:pPr>
              <w:pStyle w:val="ListParagraph"/>
              <w:numPr>
                <w:ilvl w:val="0"/>
                <w:numId w:val="17"/>
              </w:numPr>
              <w:spacing w:after="0"/>
              <w:ind w:left="108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1 event consisting </w:t>
            </w:r>
            <w:proofErr w:type="gramStart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of  2</w:t>
            </w:r>
            <w:proofErr w:type="gramEnd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exhibitions during the "Days of </w:t>
            </w:r>
            <w:proofErr w:type="spellStart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City"</w:t>
            </w:r>
            <w:r w:rsidR="00450B77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event</w:t>
            </w: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23E0C8DE" w14:textId="77777777" w:rsidR="008F2601" w:rsidRPr="0019113F" w:rsidRDefault="00B11A11" w:rsidP="00737558">
            <w:pPr>
              <w:pStyle w:val="ListParagraph"/>
              <w:numPr>
                <w:ilvl w:val="0"/>
                <w:numId w:val="17"/>
              </w:numPr>
              <w:spacing w:after="0"/>
              <w:ind w:left="108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1 event presenting summer traditions within a local event "Celebration of the New Bread" in </w:t>
            </w:r>
            <w:proofErr w:type="spellStart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and within the Grain Harvest celebration in </w:t>
            </w:r>
            <w:proofErr w:type="spellStart"/>
            <w:r w:rsidR="008F2601" w:rsidRPr="0019113F">
              <w:rPr>
                <w:rFonts w:ascii="Open Sans" w:hAnsi="Open Sans"/>
                <w:color w:val="003399"/>
                <w:lang w:val="en-GB"/>
              </w:rPr>
              <w:t>Mórahalom</w:t>
            </w:r>
            <w:proofErr w:type="spellEnd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</w:p>
          <w:p w14:paraId="18048EFA" w14:textId="77777777" w:rsidR="008F2601" w:rsidRPr="0019113F" w:rsidRDefault="008F2601" w:rsidP="00737558">
            <w:pPr>
              <w:pStyle w:val="ListParagraph"/>
              <w:numPr>
                <w:ilvl w:val="0"/>
                <w:numId w:val="17"/>
              </w:numPr>
              <w:spacing w:after="0"/>
              <w:ind w:left="108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1 event presenting the autumn traditions during the traditional event Grape Harvest Celebration in </w:t>
            </w:r>
            <w:proofErr w:type="spellStart"/>
            <w:r w:rsidRPr="0019113F">
              <w:rPr>
                <w:rFonts w:ascii="Open Sans" w:hAnsi="Open Sans"/>
                <w:color w:val="003399"/>
                <w:lang w:val="en-GB"/>
              </w:rPr>
              <w:t>Mórahalom</w:t>
            </w:r>
            <w:proofErr w:type="spellEnd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4EBFF266" w14:textId="362477BB" w:rsidR="008F2601" w:rsidRPr="0019113F" w:rsidRDefault="0019113F" w:rsidP="00737558">
            <w:pPr>
              <w:pStyle w:val="ListParagraph"/>
              <w:numPr>
                <w:ilvl w:val="0"/>
                <w:numId w:val="17"/>
              </w:numPr>
              <w:spacing w:after="0"/>
              <w:ind w:left="108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1</w:t>
            </w:r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exhibition of old and new photos related to local traditions;</w:t>
            </w:r>
          </w:p>
          <w:p w14:paraId="28C7F9A2" w14:textId="3E3E7645" w:rsidR="008F2601" w:rsidRPr="0019113F" w:rsidRDefault="0019113F" w:rsidP="00737558">
            <w:pPr>
              <w:pStyle w:val="ListParagraph"/>
              <w:numPr>
                <w:ilvl w:val="0"/>
                <w:numId w:val="17"/>
              </w:numPr>
              <w:spacing w:after="0"/>
              <w:ind w:left="108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1</w:t>
            </w:r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exhibition of the creations of contemporary artists from </w:t>
            </w:r>
            <w:proofErr w:type="spellStart"/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and </w:t>
            </w:r>
            <w:proofErr w:type="spellStart"/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Morahalom</w:t>
            </w:r>
            <w:proofErr w:type="spellEnd"/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-</w:t>
            </w:r>
            <w:r w:rsidR="00797216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Art without </w:t>
            </w:r>
            <w:r w:rsidR="00797216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B</w:t>
            </w:r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orders. </w:t>
            </w:r>
          </w:p>
          <w:p w14:paraId="2F304620" w14:textId="3BA4CDAB" w:rsidR="00B11A11" w:rsidRPr="0019113F" w:rsidRDefault="00B11A11" w:rsidP="00737558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Publishing a book and a bilingual calendar about the local traditions of </w:t>
            </w:r>
            <w:proofErr w:type="spellStart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and </w:t>
            </w:r>
            <w:proofErr w:type="spellStart"/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Mórahalom</w:t>
            </w:r>
            <w:proofErr w:type="spellEnd"/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69FEFEC8" w14:textId="0D619C17" w:rsidR="00B11A11" w:rsidRPr="0019113F" w:rsidRDefault="00B11A11" w:rsidP="00737558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Creating </w:t>
            </w:r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a collage of traditions - photo/video presentation</w:t>
            </w: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76813198" w14:textId="03883EF6" w:rsidR="00B11A11" w:rsidRPr="0019113F" w:rsidRDefault="00B11A11" w:rsidP="00737558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Purchasing traditional dance outfits for men and women for cultural events (12 Romanian and 12 Hungarian </w:t>
            </w:r>
            <w:r w:rsidR="008F260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traditional </w:t>
            </w:r>
            <w:r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dance costumes).</w:t>
            </w:r>
          </w:p>
          <w:p w14:paraId="4A0830EB" w14:textId="77777777" w:rsidR="008F2601" w:rsidRPr="0019113F" w:rsidRDefault="008F2601" w:rsidP="00737558">
            <w:pPr>
              <w:spacing w:after="0"/>
              <w:jc w:val="both"/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</w:pPr>
          </w:p>
          <w:p w14:paraId="4F24AE5D" w14:textId="23C14F34" w:rsidR="007B2D1D" w:rsidRPr="0019113F" w:rsidRDefault="007B2D1D" w:rsidP="00737558">
            <w:pPr>
              <w:spacing w:after="0"/>
              <w:jc w:val="both"/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On October 31, 2020, the project was successfully finalized.</w:t>
            </w:r>
          </w:p>
          <w:p w14:paraId="0343AEBD" w14:textId="7D4C1306" w:rsidR="002D6E9F" w:rsidRPr="0019113F" w:rsidRDefault="007B2D1D" w:rsidP="00737558">
            <w:pPr>
              <w:spacing w:after="0"/>
              <w:jc w:val="both"/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All activities provided in the project were completed (100%)</w:t>
            </w:r>
            <w:r w:rsidR="0019113F" w:rsidRPr="0019113F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.</w:t>
            </w:r>
          </w:p>
          <w:p w14:paraId="78ED5781" w14:textId="77777777" w:rsidR="007B2D1D" w:rsidRPr="0019113F" w:rsidRDefault="007B2D1D" w:rsidP="00737558">
            <w:pPr>
              <w:spacing w:after="0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</w:p>
          <w:p w14:paraId="479C04D1" w14:textId="6A82C4D7" w:rsidR="003223E9" w:rsidRPr="0019113F" w:rsidRDefault="00500DD4" w:rsidP="00737558">
            <w:pPr>
              <w:spacing w:after="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Open Sans"/>
                <w:color w:val="003399"/>
                <w:lang w:val="en-GB" w:eastAsia="en-GB"/>
              </w:rPr>
              <w:t>T</w:t>
            </w:r>
            <w:r w:rsidR="0050327B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he </w:t>
            </w:r>
            <w:r w:rsidR="0050327B" w:rsidRPr="0019113F">
              <w:rPr>
                <w:rFonts w:ascii="Open Sans" w:hAnsi="Open Sans"/>
                <w:color w:val="003399"/>
                <w:lang w:val="en-GB"/>
              </w:rPr>
              <w:t xml:space="preserve">Programme Output Indicator </w:t>
            </w:r>
            <w:r w:rsidR="00450B77" w:rsidRPr="0019113F">
              <w:rPr>
                <w:rFonts w:ascii="Open Sans" w:hAnsi="Open Sans"/>
                <w:color w:val="003399"/>
                <w:lang w:val="en-GB"/>
              </w:rPr>
              <w:t>was</w:t>
            </w:r>
            <w:r w:rsidR="0050327B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 „</w:t>
            </w:r>
            <w:r w:rsidR="001D03BF" w:rsidRPr="0019113F">
              <w:rPr>
                <w:rFonts w:ascii="Open Sans" w:hAnsi="Open Sans"/>
                <w:i/>
                <w:iCs/>
                <w:color w:val="003399"/>
                <w:lang w:val="en-GB"/>
              </w:rPr>
              <w:t xml:space="preserve">11/b2 Number of people </w:t>
            </w:r>
            <w:r w:rsidR="005A6F98" w:rsidRPr="0019113F">
              <w:rPr>
                <w:rFonts w:ascii="Open Sans" w:hAnsi="Open Sans"/>
                <w:i/>
                <w:iCs/>
                <w:color w:val="003399"/>
                <w:lang w:val="en-GB"/>
              </w:rPr>
              <w:t>directly</w:t>
            </w:r>
            <w:r w:rsidR="00F718F8" w:rsidRPr="0019113F">
              <w:rPr>
                <w:rFonts w:ascii="Open Sans" w:hAnsi="Open Sans"/>
                <w:i/>
                <w:iCs/>
                <w:color w:val="003399"/>
                <w:lang w:val="en-GB"/>
              </w:rPr>
              <w:t xml:space="preserve"> involved </w:t>
            </w:r>
            <w:r w:rsidR="001D03BF" w:rsidRPr="0019113F">
              <w:rPr>
                <w:rFonts w:ascii="Open Sans" w:hAnsi="Open Sans"/>
                <w:i/>
                <w:iCs/>
                <w:color w:val="003399"/>
                <w:lang w:val="en-GB"/>
              </w:rPr>
              <w:t>in cross-border cooperation initiatives</w:t>
            </w:r>
            <w:r w:rsidR="0050327B" w:rsidRPr="0019113F">
              <w:rPr>
                <w:rFonts w:ascii="Open Sans" w:hAnsi="Open Sans"/>
                <w:color w:val="003399"/>
                <w:lang w:val="en-GB"/>
              </w:rPr>
              <w:t>”</w:t>
            </w:r>
            <w:r w:rsidR="0050327B" w:rsidRPr="0019113F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EA06CF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622292" w:rsidRPr="0019113F">
              <w:rPr>
                <w:rFonts w:ascii="Open Sans" w:hAnsi="Open Sans" w:cs="Open Sans"/>
                <w:color w:val="003399"/>
                <w:lang w:val="en-GB" w:eastAsia="en-GB"/>
              </w:rPr>
              <w:t>Through pr</w:t>
            </w:r>
            <w:r w:rsidR="00DE6366" w:rsidRPr="0019113F">
              <w:rPr>
                <w:rFonts w:ascii="Open Sans" w:hAnsi="Open Sans" w:cs="Open Sans"/>
                <w:color w:val="003399"/>
                <w:lang w:val="en-GB" w:eastAsia="en-GB"/>
              </w:rPr>
              <w:t>oject ROHU–</w:t>
            </w:r>
            <w:r w:rsidR="008F2601" w:rsidRPr="0019113F">
              <w:rPr>
                <w:rFonts w:ascii="Open Sans" w:hAnsi="Open Sans" w:cs="Open Sans"/>
                <w:color w:val="003399"/>
                <w:lang w:val="en-GB" w:eastAsia="en-GB"/>
              </w:rPr>
              <w:t>1</w:t>
            </w:r>
            <w:r w:rsidR="004B56D2" w:rsidRPr="0019113F">
              <w:rPr>
                <w:rFonts w:ascii="Open Sans" w:hAnsi="Open Sans" w:cs="Open Sans"/>
                <w:color w:val="003399"/>
                <w:lang w:val="en-GB" w:eastAsia="en-GB"/>
              </w:rPr>
              <w:t>56</w:t>
            </w:r>
            <w:r w:rsidR="00DE6366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34135B" w:rsidRPr="0019113F">
              <w:rPr>
                <w:rFonts w:ascii="Open Sans" w:hAnsi="Open Sans" w:cs="Open Sans"/>
                <w:color w:val="003399"/>
                <w:lang w:val="en-GB" w:eastAsia="en-GB"/>
              </w:rPr>
              <w:t>activities</w:t>
            </w:r>
            <w:r w:rsidR="006841B8" w:rsidRPr="0019113F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34135B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4B56D2" w:rsidRPr="0019113F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1</w:t>
            </w:r>
            <w:r w:rsidR="00FD3668" w:rsidRPr="0019113F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,</w:t>
            </w:r>
            <w:r w:rsidR="004B56D2" w:rsidRPr="0019113F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4</w:t>
            </w:r>
            <w:r w:rsidR="00A011A4" w:rsidRPr="0019113F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92</w:t>
            </w:r>
            <w:r w:rsidR="001D03BF" w:rsidRPr="0019113F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people</w:t>
            </w:r>
            <w:r w:rsidR="00F718F8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6841B8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participated in </w:t>
            </w:r>
            <w:r w:rsidR="003934E0" w:rsidRPr="0019113F">
              <w:rPr>
                <w:rFonts w:ascii="Open Sans" w:hAnsi="Open Sans" w:cs="Open Sans"/>
                <w:color w:val="003399"/>
                <w:lang w:val="en-GB" w:eastAsia="en-GB"/>
              </w:rPr>
              <w:t>promot</w:t>
            </w:r>
            <w:r w:rsidR="006841B8" w:rsidRPr="0019113F">
              <w:rPr>
                <w:rFonts w:ascii="Open Sans" w:hAnsi="Open Sans" w:cs="Open Sans"/>
                <w:color w:val="003399"/>
                <w:lang w:val="en-GB" w:eastAsia="en-GB"/>
              </w:rPr>
              <w:t>i</w:t>
            </w:r>
            <w:r w:rsidR="0019113F" w:rsidRPr="0019113F">
              <w:rPr>
                <w:rFonts w:ascii="Open Sans" w:hAnsi="Open Sans" w:cs="Open Sans"/>
                <w:color w:val="003399"/>
                <w:lang w:val="en-GB" w:eastAsia="en-GB"/>
              </w:rPr>
              <w:t>ng</w:t>
            </w:r>
            <w:r w:rsidR="006841B8" w:rsidRPr="0019113F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03292C" w:rsidRPr="0019113F">
              <w:rPr>
                <w:rFonts w:ascii="Open Sans" w:hAnsi="Open Sans" w:cs="Open Sans"/>
                <w:color w:val="003399"/>
                <w:lang w:val="en-GB" w:eastAsia="en-GB"/>
              </w:rPr>
              <w:t>local traditions</w:t>
            </w:r>
            <w:r w:rsidR="001D03BF" w:rsidRPr="0019113F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</w:p>
        </w:tc>
      </w:tr>
      <w:tr w:rsidR="0019113F" w:rsidRPr="0019113F" w14:paraId="29DB1113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19113F" w:rsidRDefault="00406660" w:rsidP="00737558">
            <w:pPr>
              <w:spacing w:line="256" w:lineRule="auto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Main results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EAB5" w14:textId="77777777" w:rsidR="007B2D1D" w:rsidRPr="0019113F" w:rsidRDefault="007B2D1D" w:rsidP="00737558">
            <w:pPr>
              <w:pStyle w:val="HTMLPreformatted"/>
              <w:spacing w:line="276" w:lineRule="auto"/>
              <w:jc w:val="both"/>
              <w:rPr>
                <w:rFonts w:ascii="Open Sans" w:hAnsi="Open Sans" w:cs="Calibri"/>
                <w:color w:val="003399"/>
                <w:sz w:val="22"/>
              </w:rPr>
            </w:pPr>
            <w:r w:rsidRPr="0019113F">
              <w:rPr>
                <w:rFonts w:ascii="Open Sans" w:hAnsi="Open Sans" w:cs="Calibri"/>
                <w:color w:val="003399"/>
                <w:sz w:val="22"/>
              </w:rPr>
              <w:t>The main results of the project are:</w:t>
            </w:r>
          </w:p>
          <w:p w14:paraId="3930FA48" w14:textId="34F21491" w:rsidR="00A41C81" w:rsidRPr="0019113F" w:rsidRDefault="00A41C81" w:rsidP="00737558">
            <w:pPr>
              <w:pStyle w:val="HTMLPreformatted"/>
              <w:shd w:val="clear" w:color="auto" w:fill="FFFFFF"/>
              <w:ind w:left="288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</w:rPr>
            </w:pP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• </w:t>
            </w:r>
            <w:r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>1,492</w:t>
            </w: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 people participated in promoting local traditions</w:t>
            </w:r>
            <w:r w:rsidR="004C0BE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;</w:t>
            </w:r>
          </w:p>
          <w:p w14:paraId="26FE71A7" w14:textId="4F6152EB" w:rsidR="00A41C81" w:rsidRPr="0019113F" w:rsidRDefault="00A41C81" w:rsidP="00737558">
            <w:pPr>
              <w:pStyle w:val="HTMLPreformatted"/>
              <w:shd w:val="clear" w:color="auto" w:fill="FFFFFF"/>
              <w:ind w:left="288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</w:rPr>
            </w:pP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• </w:t>
            </w:r>
            <w:r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>2 bilingual publications</w:t>
            </w: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, a book and a calendar about the local traditions of </w:t>
            </w:r>
            <w:proofErr w:type="spellStart"/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Pecica</w:t>
            </w:r>
            <w:proofErr w:type="spellEnd"/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 and </w:t>
            </w:r>
            <w:proofErr w:type="spellStart"/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Mórahalom</w:t>
            </w:r>
            <w:proofErr w:type="spellEnd"/>
            <w:r w:rsidR="004C0BE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;</w:t>
            </w:r>
          </w:p>
          <w:p w14:paraId="5909776E" w14:textId="12EEE128" w:rsidR="00A41C81" w:rsidRPr="0019113F" w:rsidRDefault="00A41C81" w:rsidP="00737558">
            <w:pPr>
              <w:pStyle w:val="HTMLPreformatted"/>
              <w:shd w:val="clear" w:color="auto" w:fill="FFFFFF"/>
              <w:ind w:left="288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</w:rPr>
            </w:pP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• </w:t>
            </w:r>
            <w:r w:rsidR="0019113F"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>E</w:t>
            </w:r>
            <w:r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>vents</w:t>
            </w: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 </w:t>
            </w:r>
            <w:r w:rsidR="00203B5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organized in </w:t>
            </w:r>
            <w:proofErr w:type="spellStart"/>
            <w:r w:rsidR="00203B5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Pecica</w:t>
            </w:r>
            <w:proofErr w:type="spellEnd"/>
            <w:r w:rsidR="00203B5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 and </w:t>
            </w:r>
            <w:proofErr w:type="spellStart"/>
            <w:r w:rsidR="00203B5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Mórahalom</w:t>
            </w:r>
            <w:proofErr w:type="spellEnd"/>
            <w:r w:rsidR="00203B5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 </w:t>
            </w: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to present and promote local traditions among the population of both cities</w:t>
            </w:r>
            <w:r w:rsidR="00FC0C04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;</w:t>
            </w:r>
          </w:p>
          <w:p w14:paraId="093D1186" w14:textId="52ACD1D8" w:rsidR="00A41C81" w:rsidRPr="0019113F" w:rsidRDefault="00A41C81" w:rsidP="00737558">
            <w:pPr>
              <w:pStyle w:val="HTMLPreformatted"/>
              <w:shd w:val="clear" w:color="auto" w:fill="FFFFFF"/>
              <w:ind w:left="288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</w:rPr>
            </w:pP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• </w:t>
            </w:r>
            <w:r w:rsidR="0019113F"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>A</w:t>
            </w:r>
            <w:r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 xml:space="preserve"> traditions collection</w:t>
            </w: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 consisting of photo/video presentations of traditions from the 2 localities;</w:t>
            </w:r>
          </w:p>
          <w:p w14:paraId="49CCBDC8" w14:textId="1E9127DC" w:rsidR="00D42A29" w:rsidRPr="0019113F" w:rsidRDefault="00A41C81" w:rsidP="00737558">
            <w:pPr>
              <w:pStyle w:val="HTMLPreformatted"/>
              <w:shd w:val="clear" w:color="auto" w:fill="FFFFFF"/>
              <w:spacing w:line="276" w:lineRule="auto"/>
              <w:ind w:left="288"/>
              <w:jc w:val="both"/>
              <w:rPr>
                <w:rFonts w:ascii="Open Sans" w:eastAsia="Calibri" w:hAnsi="Open Sans" w:cs="Calibri"/>
                <w:color w:val="003399"/>
                <w:sz w:val="22"/>
                <w:szCs w:val="22"/>
              </w:rPr>
            </w:pP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• </w:t>
            </w:r>
            <w:r w:rsidR="0019113F"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>A</w:t>
            </w:r>
            <w:r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 xml:space="preserve"> </w:t>
            </w:r>
            <w:r w:rsidR="00203B56"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 xml:space="preserve">bilingual </w:t>
            </w:r>
            <w:r w:rsidRPr="0019113F">
              <w:rPr>
                <w:rFonts w:ascii="Open Sans" w:eastAsia="Calibri" w:hAnsi="Open Sans" w:cs="Calibri"/>
                <w:b/>
                <w:color w:val="003399"/>
                <w:sz w:val="22"/>
                <w:szCs w:val="22"/>
              </w:rPr>
              <w:t>website</w:t>
            </w:r>
            <w:r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 xml:space="preserve"> that presents/promotes the project's activities</w:t>
            </w:r>
            <w:r w:rsidR="00203B56" w:rsidRPr="0019113F">
              <w:rPr>
                <w:rFonts w:ascii="Open Sans" w:eastAsia="Calibri" w:hAnsi="Open Sans" w:cs="Calibri"/>
                <w:color w:val="003399"/>
                <w:sz w:val="22"/>
                <w:szCs w:val="22"/>
              </w:rPr>
              <w:t>.</w:t>
            </w:r>
          </w:p>
          <w:p w14:paraId="594A90BF" w14:textId="77777777" w:rsidR="00195888" w:rsidRPr="0019113F" w:rsidRDefault="00195888" w:rsidP="00737558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</w:p>
          <w:p w14:paraId="28DADDBE" w14:textId="77777777" w:rsidR="00D42A29" w:rsidRPr="0019113F" w:rsidRDefault="00D42A29" w:rsidP="00737558">
            <w:pPr>
              <w:pStyle w:val="HTMLPreformatted"/>
              <w:shd w:val="clear" w:color="auto" w:fill="FFFFFF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r w:rsidRPr="0019113F">
              <w:rPr>
                <w:rFonts w:ascii="Open Sans" w:hAnsi="Open Sans"/>
                <w:color w:val="003399"/>
                <w:sz w:val="22"/>
                <w:lang w:val="ro-RO"/>
              </w:rPr>
              <w:t>Website/webpage:</w:t>
            </w:r>
          </w:p>
          <w:p w14:paraId="6F797E6A" w14:textId="77777777" w:rsidR="00D42A29" w:rsidRPr="0019113F" w:rsidRDefault="00D42A29" w:rsidP="00737558">
            <w:pPr>
              <w:pStyle w:val="HTMLPreformatted"/>
              <w:numPr>
                <w:ilvl w:val="0"/>
                <w:numId w:val="19"/>
              </w:numPr>
              <w:shd w:val="clear" w:color="auto" w:fill="FFFFFF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hyperlink r:id="rId8" w:history="1">
              <w:r w:rsidRPr="0019113F">
                <w:rPr>
                  <w:rStyle w:val="Hyperlink"/>
                  <w:rFonts w:ascii="Open Sans" w:hAnsi="Open Sans"/>
                  <w:color w:val="003399"/>
                  <w:sz w:val="22"/>
                  <w:lang w:val="ro-RO"/>
                </w:rPr>
                <w:t>https://rohu.morahalom.hu/</w:t>
              </w:r>
            </w:hyperlink>
          </w:p>
          <w:p w14:paraId="22F391C9" w14:textId="77777777" w:rsidR="00D42A29" w:rsidRPr="0019113F" w:rsidRDefault="00D42A29" w:rsidP="00737558">
            <w:pPr>
              <w:pStyle w:val="HTMLPreformatted"/>
              <w:numPr>
                <w:ilvl w:val="0"/>
                <w:numId w:val="19"/>
              </w:numPr>
              <w:shd w:val="clear" w:color="auto" w:fill="FFFFFF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hyperlink r:id="rId9" w:history="1">
              <w:r w:rsidRPr="0019113F">
                <w:rPr>
                  <w:rStyle w:val="Hyperlink"/>
                  <w:rFonts w:ascii="Open Sans" w:hAnsi="Open Sans"/>
                  <w:color w:val="003399"/>
                  <w:sz w:val="22"/>
                  <w:lang w:val="ro-RO"/>
                </w:rPr>
                <w:t>https://www.visitmorahalom.hu/hu/hir/szureti-hagyomanyokkal-ismerkedett-pecska-es-morahalom</w:t>
              </w:r>
            </w:hyperlink>
          </w:p>
          <w:p w14:paraId="6916C6F2" w14:textId="60794540" w:rsidR="0019113F" w:rsidRPr="009F545B" w:rsidRDefault="00D42A29" w:rsidP="009F545B">
            <w:pPr>
              <w:pStyle w:val="HTMLPreformatted"/>
              <w:numPr>
                <w:ilvl w:val="0"/>
                <w:numId w:val="19"/>
              </w:numPr>
              <w:shd w:val="clear" w:color="auto" w:fill="FFFFFF"/>
              <w:spacing w:line="276" w:lineRule="auto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hyperlink r:id="rId10" w:history="1">
              <w:r w:rsidRPr="0019113F">
                <w:rPr>
                  <w:rStyle w:val="Hyperlink"/>
                  <w:rFonts w:ascii="Open Sans" w:hAnsi="Open Sans"/>
                  <w:color w:val="003399"/>
                  <w:sz w:val="22"/>
                  <w:lang w:val="ro-RO"/>
                </w:rPr>
                <w:t>https://www.pecica.ro/wp-content/uploads/2020/07/Prezentare-proiect.pdf</w:t>
              </w:r>
            </w:hyperlink>
          </w:p>
        </w:tc>
      </w:tr>
    </w:tbl>
    <w:p w14:paraId="50CAC815" w14:textId="77777777" w:rsidR="00B05DE4" w:rsidRPr="0019113F" w:rsidRDefault="00B05DE4" w:rsidP="00430336">
      <w:pPr>
        <w:rPr>
          <w:rFonts w:ascii="Open Sans" w:hAnsi="Open Sans"/>
          <w:color w:val="003399"/>
          <w:lang w:val="en-GB"/>
        </w:rPr>
      </w:pPr>
    </w:p>
    <w:sectPr w:rsidR="00B05DE4" w:rsidRPr="0019113F" w:rsidSect="002D398F">
      <w:headerReference w:type="default" r:id="rId11"/>
      <w:footerReference w:type="default" r:id="rId12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ABFF" w14:textId="77777777" w:rsidR="00B13A86" w:rsidRDefault="00B13A86" w:rsidP="00DE0A0A">
      <w:pPr>
        <w:spacing w:after="0" w:line="240" w:lineRule="auto"/>
      </w:pPr>
      <w:r>
        <w:separator/>
      </w:r>
    </w:p>
  </w:endnote>
  <w:endnote w:type="continuationSeparator" w:id="0">
    <w:p w14:paraId="2E928F56" w14:textId="77777777" w:rsidR="00B13A86" w:rsidRDefault="00B13A86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B026D" w:rsidRPr="006A5531" w:rsidRDefault="009B026D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9B026D" w:rsidRDefault="009B02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E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3ADC7" w14:textId="77777777" w:rsidR="009B026D" w:rsidRDefault="009B0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C788" w14:textId="77777777" w:rsidR="00B13A86" w:rsidRDefault="00B13A86" w:rsidP="00DE0A0A">
      <w:pPr>
        <w:spacing w:after="0" w:line="240" w:lineRule="auto"/>
      </w:pPr>
      <w:r>
        <w:separator/>
      </w:r>
    </w:p>
  </w:footnote>
  <w:footnote w:type="continuationSeparator" w:id="0">
    <w:p w14:paraId="7EBD764D" w14:textId="77777777" w:rsidR="00B13A86" w:rsidRDefault="00B13A86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648F4A24" w:rsidR="009B026D" w:rsidRDefault="00413D97">
    <w:pPr>
      <w:pStyle w:val="Header"/>
    </w:pPr>
    <w:r>
      <w:rPr>
        <w:noProof/>
      </w:rPr>
      <w:drawing>
        <wp:inline distT="0" distB="0" distL="0" distR="0" wp14:anchorId="681C4661" wp14:editId="1FC4E862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25E"/>
    <w:multiLevelType w:val="hybridMultilevel"/>
    <w:tmpl w:val="9B92C840"/>
    <w:lvl w:ilvl="0" w:tplc="6002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DC7548B"/>
    <w:multiLevelType w:val="hybridMultilevel"/>
    <w:tmpl w:val="3D380164"/>
    <w:lvl w:ilvl="0" w:tplc="6002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A1F85"/>
    <w:multiLevelType w:val="hybridMultilevel"/>
    <w:tmpl w:val="4EF8CEF6"/>
    <w:lvl w:ilvl="0" w:tplc="BE5EB96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51C7E"/>
    <w:multiLevelType w:val="hybridMultilevel"/>
    <w:tmpl w:val="8810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84031"/>
    <w:multiLevelType w:val="hybridMultilevel"/>
    <w:tmpl w:val="C8CAA04E"/>
    <w:lvl w:ilvl="0" w:tplc="6002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72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115486">
    <w:abstractNumId w:val="14"/>
  </w:num>
  <w:num w:numId="3" w16cid:durableId="862672476">
    <w:abstractNumId w:val="18"/>
  </w:num>
  <w:num w:numId="4" w16cid:durableId="165247809">
    <w:abstractNumId w:val="15"/>
  </w:num>
  <w:num w:numId="5" w16cid:durableId="1422213984">
    <w:abstractNumId w:val="1"/>
  </w:num>
  <w:num w:numId="6" w16cid:durableId="1860925626">
    <w:abstractNumId w:val="7"/>
  </w:num>
  <w:num w:numId="7" w16cid:durableId="250820982">
    <w:abstractNumId w:val="2"/>
  </w:num>
  <w:num w:numId="8" w16cid:durableId="2002191479">
    <w:abstractNumId w:val="9"/>
  </w:num>
  <w:num w:numId="9" w16cid:durableId="2107992540">
    <w:abstractNumId w:val="10"/>
  </w:num>
  <w:num w:numId="10" w16cid:durableId="1430271539">
    <w:abstractNumId w:val="4"/>
  </w:num>
  <w:num w:numId="11" w16cid:durableId="408037882">
    <w:abstractNumId w:val="12"/>
  </w:num>
  <w:num w:numId="12" w16cid:durableId="1115831654">
    <w:abstractNumId w:val="0"/>
  </w:num>
  <w:num w:numId="13" w16cid:durableId="1993946903">
    <w:abstractNumId w:val="5"/>
  </w:num>
  <w:num w:numId="14" w16cid:durableId="1244610070">
    <w:abstractNumId w:val="13"/>
  </w:num>
  <w:num w:numId="15" w16cid:durableId="2009671372">
    <w:abstractNumId w:val="3"/>
  </w:num>
  <w:num w:numId="16" w16cid:durableId="2058042438">
    <w:abstractNumId w:val="17"/>
  </w:num>
  <w:num w:numId="17" w16cid:durableId="1201238359">
    <w:abstractNumId w:val="6"/>
  </w:num>
  <w:num w:numId="18" w16cid:durableId="1648893925">
    <w:abstractNumId w:val="19"/>
  </w:num>
  <w:num w:numId="19" w16cid:durableId="1331909424">
    <w:abstractNumId w:val="8"/>
  </w:num>
  <w:num w:numId="20" w16cid:durableId="1013647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0MDIzNDa1MDAwNjVV0lEKTi0uzszPAykwrgUAls5b5CwAAAA="/>
  </w:docVars>
  <w:rsids>
    <w:rsidRoot w:val="00950FDB"/>
    <w:rsid w:val="00000B62"/>
    <w:rsid w:val="0000302D"/>
    <w:rsid w:val="000109BC"/>
    <w:rsid w:val="00013B09"/>
    <w:rsid w:val="0003292C"/>
    <w:rsid w:val="00032D38"/>
    <w:rsid w:val="00036257"/>
    <w:rsid w:val="0004193D"/>
    <w:rsid w:val="00044B1F"/>
    <w:rsid w:val="00050032"/>
    <w:rsid w:val="00051866"/>
    <w:rsid w:val="0005311C"/>
    <w:rsid w:val="00055071"/>
    <w:rsid w:val="00056824"/>
    <w:rsid w:val="0007778E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03E4"/>
    <w:rsid w:val="000F373E"/>
    <w:rsid w:val="000F611B"/>
    <w:rsid w:val="000F687E"/>
    <w:rsid w:val="0010141B"/>
    <w:rsid w:val="00102585"/>
    <w:rsid w:val="00103035"/>
    <w:rsid w:val="001053A2"/>
    <w:rsid w:val="001150DD"/>
    <w:rsid w:val="001156A2"/>
    <w:rsid w:val="0012201F"/>
    <w:rsid w:val="001222DE"/>
    <w:rsid w:val="001306AF"/>
    <w:rsid w:val="0013629B"/>
    <w:rsid w:val="00136DE9"/>
    <w:rsid w:val="00150097"/>
    <w:rsid w:val="00154137"/>
    <w:rsid w:val="001628F5"/>
    <w:rsid w:val="001650DE"/>
    <w:rsid w:val="001775D1"/>
    <w:rsid w:val="0017773A"/>
    <w:rsid w:val="00181B39"/>
    <w:rsid w:val="00184EAD"/>
    <w:rsid w:val="0019113F"/>
    <w:rsid w:val="00192845"/>
    <w:rsid w:val="001955D5"/>
    <w:rsid w:val="00195888"/>
    <w:rsid w:val="001958CD"/>
    <w:rsid w:val="00195AD8"/>
    <w:rsid w:val="001A0AC7"/>
    <w:rsid w:val="001A3475"/>
    <w:rsid w:val="001B37C2"/>
    <w:rsid w:val="001C0B87"/>
    <w:rsid w:val="001C1F92"/>
    <w:rsid w:val="001C4DE1"/>
    <w:rsid w:val="001D03BF"/>
    <w:rsid w:val="001D0FCF"/>
    <w:rsid w:val="001D27C4"/>
    <w:rsid w:val="001D72A4"/>
    <w:rsid w:val="001E03C6"/>
    <w:rsid w:val="001E43D8"/>
    <w:rsid w:val="001E6A43"/>
    <w:rsid w:val="001E7B65"/>
    <w:rsid w:val="001F629F"/>
    <w:rsid w:val="00201BE9"/>
    <w:rsid w:val="0020389E"/>
    <w:rsid w:val="00203B56"/>
    <w:rsid w:val="00203C8B"/>
    <w:rsid w:val="00215BF8"/>
    <w:rsid w:val="002218F7"/>
    <w:rsid w:val="002221DE"/>
    <w:rsid w:val="00222298"/>
    <w:rsid w:val="002258C8"/>
    <w:rsid w:val="00227E06"/>
    <w:rsid w:val="00230259"/>
    <w:rsid w:val="002319F7"/>
    <w:rsid w:val="00243329"/>
    <w:rsid w:val="00243902"/>
    <w:rsid w:val="00245D2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D406D"/>
    <w:rsid w:val="002D6E9F"/>
    <w:rsid w:val="002E3BF1"/>
    <w:rsid w:val="002E5DCC"/>
    <w:rsid w:val="002F2ABA"/>
    <w:rsid w:val="002F3F04"/>
    <w:rsid w:val="002F550A"/>
    <w:rsid w:val="002F7095"/>
    <w:rsid w:val="00312F62"/>
    <w:rsid w:val="00313EF3"/>
    <w:rsid w:val="003223E9"/>
    <w:rsid w:val="0032275E"/>
    <w:rsid w:val="00327251"/>
    <w:rsid w:val="00333479"/>
    <w:rsid w:val="0034135B"/>
    <w:rsid w:val="00345F67"/>
    <w:rsid w:val="00353129"/>
    <w:rsid w:val="00356CF2"/>
    <w:rsid w:val="00361731"/>
    <w:rsid w:val="0036777B"/>
    <w:rsid w:val="00370E05"/>
    <w:rsid w:val="0037217B"/>
    <w:rsid w:val="003748B2"/>
    <w:rsid w:val="00375407"/>
    <w:rsid w:val="00384C38"/>
    <w:rsid w:val="003874FF"/>
    <w:rsid w:val="00387D7B"/>
    <w:rsid w:val="003934E0"/>
    <w:rsid w:val="003A046A"/>
    <w:rsid w:val="003A1ECB"/>
    <w:rsid w:val="003A3695"/>
    <w:rsid w:val="003B2201"/>
    <w:rsid w:val="003B46B6"/>
    <w:rsid w:val="003B6556"/>
    <w:rsid w:val="003B7844"/>
    <w:rsid w:val="003C05EF"/>
    <w:rsid w:val="003C218A"/>
    <w:rsid w:val="003C25D9"/>
    <w:rsid w:val="003C34D0"/>
    <w:rsid w:val="003D16DE"/>
    <w:rsid w:val="003D2B32"/>
    <w:rsid w:val="003E5170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D97"/>
    <w:rsid w:val="00413FC1"/>
    <w:rsid w:val="0041460E"/>
    <w:rsid w:val="0041690F"/>
    <w:rsid w:val="00424B1B"/>
    <w:rsid w:val="00430336"/>
    <w:rsid w:val="00430B04"/>
    <w:rsid w:val="004321A4"/>
    <w:rsid w:val="0044308D"/>
    <w:rsid w:val="00450B77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92503"/>
    <w:rsid w:val="004B166B"/>
    <w:rsid w:val="004B56D2"/>
    <w:rsid w:val="004C0784"/>
    <w:rsid w:val="004C0BE6"/>
    <w:rsid w:val="004C4FAF"/>
    <w:rsid w:val="004E3E06"/>
    <w:rsid w:val="004E42B8"/>
    <w:rsid w:val="004E436A"/>
    <w:rsid w:val="004F7A11"/>
    <w:rsid w:val="0050017B"/>
    <w:rsid w:val="00500DD4"/>
    <w:rsid w:val="0050327B"/>
    <w:rsid w:val="00507B8E"/>
    <w:rsid w:val="005107C9"/>
    <w:rsid w:val="00512333"/>
    <w:rsid w:val="00521BAA"/>
    <w:rsid w:val="00537383"/>
    <w:rsid w:val="005569FB"/>
    <w:rsid w:val="00557D41"/>
    <w:rsid w:val="00562D06"/>
    <w:rsid w:val="00582E30"/>
    <w:rsid w:val="005867CE"/>
    <w:rsid w:val="00591902"/>
    <w:rsid w:val="005926ED"/>
    <w:rsid w:val="00596723"/>
    <w:rsid w:val="005A2833"/>
    <w:rsid w:val="005A6A2D"/>
    <w:rsid w:val="005A6F98"/>
    <w:rsid w:val="005B03B7"/>
    <w:rsid w:val="005B2B88"/>
    <w:rsid w:val="005B5367"/>
    <w:rsid w:val="005B6E37"/>
    <w:rsid w:val="005C2A5D"/>
    <w:rsid w:val="005D029C"/>
    <w:rsid w:val="005D102A"/>
    <w:rsid w:val="005E0D5A"/>
    <w:rsid w:val="005E1C53"/>
    <w:rsid w:val="005F2B58"/>
    <w:rsid w:val="005F71F6"/>
    <w:rsid w:val="00603190"/>
    <w:rsid w:val="0061350B"/>
    <w:rsid w:val="00616E9C"/>
    <w:rsid w:val="00622292"/>
    <w:rsid w:val="00623FCA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76EF4"/>
    <w:rsid w:val="006841B8"/>
    <w:rsid w:val="006849D0"/>
    <w:rsid w:val="00686C18"/>
    <w:rsid w:val="006969D9"/>
    <w:rsid w:val="0069759C"/>
    <w:rsid w:val="006A3931"/>
    <w:rsid w:val="006A7B4A"/>
    <w:rsid w:val="006B4891"/>
    <w:rsid w:val="006B4B98"/>
    <w:rsid w:val="006E2581"/>
    <w:rsid w:val="006E56B5"/>
    <w:rsid w:val="006E6865"/>
    <w:rsid w:val="0070636B"/>
    <w:rsid w:val="007102DB"/>
    <w:rsid w:val="007116AA"/>
    <w:rsid w:val="0072317B"/>
    <w:rsid w:val="00737558"/>
    <w:rsid w:val="00737C61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216"/>
    <w:rsid w:val="007974A7"/>
    <w:rsid w:val="007A0357"/>
    <w:rsid w:val="007A28C9"/>
    <w:rsid w:val="007A71FA"/>
    <w:rsid w:val="007A7A2D"/>
    <w:rsid w:val="007B21C8"/>
    <w:rsid w:val="007B2D1D"/>
    <w:rsid w:val="007B4A61"/>
    <w:rsid w:val="007B5F4C"/>
    <w:rsid w:val="007C020E"/>
    <w:rsid w:val="007C0F09"/>
    <w:rsid w:val="007C2163"/>
    <w:rsid w:val="007D2F2B"/>
    <w:rsid w:val="007D6793"/>
    <w:rsid w:val="007E0C46"/>
    <w:rsid w:val="007F066B"/>
    <w:rsid w:val="007F7E5F"/>
    <w:rsid w:val="00801A3B"/>
    <w:rsid w:val="008025DA"/>
    <w:rsid w:val="008028AF"/>
    <w:rsid w:val="0080382E"/>
    <w:rsid w:val="00807560"/>
    <w:rsid w:val="008101CC"/>
    <w:rsid w:val="008255A9"/>
    <w:rsid w:val="00830433"/>
    <w:rsid w:val="008313C5"/>
    <w:rsid w:val="0083496B"/>
    <w:rsid w:val="00835FC5"/>
    <w:rsid w:val="008414C8"/>
    <w:rsid w:val="008418FE"/>
    <w:rsid w:val="0085089C"/>
    <w:rsid w:val="008574A9"/>
    <w:rsid w:val="00864DD8"/>
    <w:rsid w:val="00865773"/>
    <w:rsid w:val="008728E1"/>
    <w:rsid w:val="00880358"/>
    <w:rsid w:val="00890BF7"/>
    <w:rsid w:val="0089330F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E00B4"/>
    <w:rsid w:val="008E05C0"/>
    <w:rsid w:val="008E38BF"/>
    <w:rsid w:val="008F2601"/>
    <w:rsid w:val="008F4A49"/>
    <w:rsid w:val="0090210C"/>
    <w:rsid w:val="00902511"/>
    <w:rsid w:val="00913336"/>
    <w:rsid w:val="00913AA4"/>
    <w:rsid w:val="00915F13"/>
    <w:rsid w:val="009214DD"/>
    <w:rsid w:val="00922B74"/>
    <w:rsid w:val="00924033"/>
    <w:rsid w:val="00924162"/>
    <w:rsid w:val="00930471"/>
    <w:rsid w:val="00940C68"/>
    <w:rsid w:val="00943299"/>
    <w:rsid w:val="00950EC1"/>
    <w:rsid w:val="00950FDB"/>
    <w:rsid w:val="00953A52"/>
    <w:rsid w:val="00962D2E"/>
    <w:rsid w:val="009666FA"/>
    <w:rsid w:val="00970E01"/>
    <w:rsid w:val="00971045"/>
    <w:rsid w:val="00971120"/>
    <w:rsid w:val="00972517"/>
    <w:rsid w:val="00980930"/>
    <w:rsid w:val="00983199"/>
    <w:rsid w:val="009868E8"/>
    <w:rsid w:val="009916CB"/>
    <w:rsid w:val="00995318"/>
    <w:rsid w:val="009B026D"/>
    <w:rsid w:val="009B49F1"/>
    <w:rsid w:val="009C049E"/>
    <w:rsid w:val="009D6D67"/>
    <w:rsid w:val="009D75C7"/>
    <w:rsid w:val="009E38DE"/>
    <w:rsid w:val="009E3AC2"/>
    <w:rsid w:val="009E4C00"/>
    <w:rsid w:val="009E6BE4"/>
    <w:rsid w:val="009F0FF3"/>
    <w:rsid w:val="009F545B"/>
    <w:rsid w:val="009F5DBC"/>
    <w:rsid w:val="009F6C1B"/>
    <w:rsid w:val="009F6E1B"/>
    <w:rsid w:val="00A011A4"/>
    <w:rsid w:val="00A02B81"/>
    <w:rsid w:val="00A03BC9"/>
    <w:rsid w:val="00A060BE"/>
    <w:rsid w:val="00A06124"/>
    <w:rsid w:val="00A13741"/>
    <w:rsid w:val="00A24715"/>
    <w:rsid w:val="00A24EED"/>
    <w:rsid w:val="00A2596B"/>
    <w:rsid w:val="00A25CFB"/>
    <w:rsid w:val="00A26369"/>
    <w:rsid w:val="00A26BF8"/>
    <w:rsid w:val="00A3050D"/>
    <w:rsid w:val="00A33384"/>
    <w:rsid w:val="00A35EAE"/>
    <w:rsid w:val="00A41C81"/>
    <w:rsid w:val="00A473AC"/>
    <w:rsid w:val="00A478F6"/>
    <w:rsid w:val="00A50FDA"/>
    <w:rsid w:val="00A51AE4"/>
    <w:rsid w:val="00A521FE"/>
    <w:rsid w:val="00A5719D"/>
    <w:rsid w:val="00A62232"/>
    <w:rsid w:val="00A6669B"/>
    <w:rsid w:val="00A753F6"/>
    <w:rsid w:val="00A811B3"/>
    <w:rsid w:val="00A84025"/>
    <w:rsid w:val="00A92006"/>
    <w:rsid w:val="00A93A4C"/>
    <w:rsid w:val="00A94548"/>
    <w:rsid w:val="00A9664A"/>
    <w:rsid w:val="00AA5EEB"/>
    <w:rsid w:val="00AA7C9B"/>
    <w:rsid w:val="00AB0BC4"/>
    <w:rsid w:val="00AC0CAD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11A11"/>
    <w:rsid w:val="00B128E6"/>
    <w:rsid w:val="00B13A86"/>
    <w:rsid w:val="00B16206"/>
    <w:rsid w:val="00B16DD0"/>
    <w:rsid w:val="00B27EAB"/>
    <w:rsid w:val="00B42489"/>
    <w:rsid w:val="00B44B27"/>
    <w:rsid w:val="00B4795B"/>
    <w:rsid w:val="00B51E51"/>
    <w:rsid w:val="00B51EF4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A3729"/>
    <w:rsid w:val="00BA7959"/>
    <w:rsid w:val="00BB6DFB"/>
    <w:rsid w:val="00BB6EAD"/>
    <w:rsid w:val="00BC2CA3"/>
    <w:rsid w:val="00BC5491"/>
    <w:rsid w:val="00BC7592"/>
    <w:rsid w:val="00BC7C12"/>
    <w:rsid w:val="00BD0127"/>
    <w:rsid w:val="00BD105E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6E9F"/>
    <w:rsid w:val="00C2702F"/>
    <w:rsid w:val="00C348B6"/>
    <w:rsid w:val="00C36880"/>
    <w:rsid w:val="00C36CEC"/>
    <w:rsid w:val="00C46205"/>
    <w:rsid w:val="00C52970"/>
    <w:rsid w:val="00C556C9"/>
    <w:rsid w:val="00C57323"/>
    <w:rsid w:val="00C624CF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C0F91"/>
    <w:rsid w:val="00CC4E44"/>
    <w:rsid w:val="00CD3A86"/>
    <w:rsid w:val="00CD7803"/>
    <w:rsid w:val="00CE450A"/>
    <w:rsid w:val="00CE4B2C"/>
    <w:rsid w:val="00D00250"/>
    <w:rsid w:val="00D03128"/>
    <w:rsid w:val="00D060BB"/>
    <w:rsid w:val="00D24FE5"/>
    <w:rsid w:val="00D261DF"/>
    <w:rsid w:val="00D30013"/>
    <w:rsid w:val="00D42A29"/>
    <w:rsid w:val="00D469A1"/>
    <w:rsid w:val="00D55478"/>
    <w:rsid w:val="00D60739"/>
    <w:rsid w:val="00D60761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B4364"/>
    <w:rsid w:val="00DB4A5E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202B2"/>
    <w:rsid w:val="00E24216"/>
    <w:rsid w:val="00E247C0"/>
    <w:rsid w:val="00E31B7C"/>
    <w:rsid w:val="00E32A60"/>
    <w:rsid w:val="00E335AE"/>
    <w:rsid w:val="00E33678"/>
    <w:rsid w:val="00E33B12"/>
    <w:rsid w:val="00E3467D"/>
    <w:rsid w:val="00E36E2F"/>
    <w:rsid w:val="00E52C21"/>
    <w:rsid w:val="00E564B9"/>
    <w:rsid w:val="00E851A7"/>
    <w:rsid w:val="00E86281"/>
    <w:rsid w:val="00E90ED9"/>
    <w:rsid w:val="00E96FFF"/>
    <w:rsid w:val="00E97F05"/>
    <w:rsid w:val="00EA06CF"/>
    <w:rsid w:val="00EA2464"/>
    <w:rsid w:val="00EB25E5"/>
    <w:rsid w:val="00EC1E6A"/>
    <w:rsid w:val="00EC43DE"/>
    <w:rsid w:val="00EC4AC1"/>
    <w:rsid w:val="00EC51CD"/>
    <w:rsid w:val="00EC7882"/>
    <w:rsid w:val="00EC7DFD"/>
    <w:rsid w:val="00ED5D39"/>
    <w:rsid w:val="00EF2280"/>
    <w:rsid w:val="00EF34E2"/>
    <w:rsid w:val="00EF7887"/>
    <w:rsid w:val="00F02E70"/>
    <w:rsid w:val="00F0486B"/>
    <w:rsid w:val="00F113AC"/>
    <w:rsid w:val="00F16526"/>
    <w:rsid w:val="00F1658C"/>
    <w:rsid w:val="00F17513"/>
    <w:rsid w:val="00F17B7E"/>
    <w:rsid w:val="00F221F1"/>
    <w:rsid w:val="00F2473F"/>
    <w:rsid w:val="00F25998"/>
    <w:rsid w:val="00F26BC0"/>
    <w:rsid w:val="00F3119C"/>
    <w:rsid w:val="00F37A38"/>
    <w:rsid w:val="00F4084C"/>
    <w:rsid w:val="00F45A1B"/>
    <w:rsid w:val="00F466E3"/>
    <w:rsid w:val="00F57007"/>
    <w:rsid w:val="00F639DA"/>
    <w:rsid w:val="00F718F8"/>
    <w:rsid w:val="00F77FA7"/>
    <w:rsid w:val="00F839DE"/>
    <w:rsid w:val="00F94E4A"/>
    <w:rsid w:val="00FB308B"/>
    <w:rsid w:val="00FB4FD4"/>
    <w:rsid w:val="00FC0C04"/>
    <w:rsid w:val="00FD3668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hu.morahalom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ecica.ro/wp-content/uploads/2020/07/Prezentare-proiec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itmorahalom.hu/hu/hir/szureti-hagyomanyokkal-ismerkedett-pecska-es-morahal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78F2-EE19-48AD-BBCA-6DC1E6A3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498</Words>
  <Characters>3172</Characters>
  <Application>Microsoft Office Word</Application>
  <DocSecurity>0</DocSecurity>
  <Lines>86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4</cp:revision>
  <cp:lastPrinted>2022-10-20T08:04:00Z</cp:lastPrinted>
  <dcterms:created xsi:type="dcterms:W3CDTF">2025-03-20T14:35:00Z</dcterms:created>
  <dcterms:modified xsi:type="dcterms:W3CDTF">2025-07-04T10:33:00Z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bd57eabfd0543170d6c13ed5f2e6c565615dd67c5952d3b947186e175c628b9b</vt:lpwstr>
  </property>
</Properties>
</file>