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640E" w14:textId="77777777" w:rsidR="00946CA2" w:rsidRDefault="00946CA2">
      <w:pPr>
        <w:pStyle w:val="BodyText"/>
        <w:spacing w:before="61"/>
        <w:rPr>
          <w:rFonts w:ascii="Times New Roman"/>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946CA2" w:rsidRPr="006C04C4" w14:paraId="49A94EA2" w14:textId="77777777">
        <w:trPr>
          <w:trHeight w:val="412"/>
        </w:trPr>
        <w:tc>
          <w:tcPr>
            <w:tcW w:w="9740" w:type="dxa"/>
            <w:gridSpan w:val="2"/>
            <w:shd w:val="clear" w:color="auto" w:fill="2E5395"/>
          </w:tcPr>
          <w:p w14:paraId="6FD140A1" w14:textId="77777777" w:rsidR="00946CA2" w:rsidRPr="00F8150B" w:rsidRDefault="00000000">
            <w:pPr>
              <w:pStyle w:val="TableParagraph"/>
              <w:spacing w:line="275" w:lineRule="exact"/>
              <w:ind w:left="223"/>
              <w:rPr>
                <w:rFonts w:ascii="Open Sans" w:hAnsi="Open Sans" w:cs="Open Sans"/>
                <w:b/>
                <w:bCs/>
                <w:sz w:val="20"/>
              </w:rPr>
            </w:pPr>
            <w:r w:rsidRPr="00F8150B">
              <w:rPr>
                <w:rFonts w:ascii="Open Sans" w:hAnsi="Open Sans" w:cs="Open Sans"/>
                <w:b/>
                <w:bCs/>
                <w:color w:val="FFFFFF"/>
                <w:sz w:val="20"/>
              </w:rPr>
              <w:t>2</w:t>
            </w:r>
            <w:r w:rsidRPr="00F8150B">
              <w:rPr>
                <w:rFonts w:ascii="Open Sans" w:hAnsi="Open Sans" w:cs="Open Sans"/>
                <w:b/>
                <w:bCs/>
                <w:color w:val="FFFFFF"/>
                <w:sz w:val="13"/>
                <w:vertAlign w:val="superscript"/>
              </w:rPr>
              <w:t>nd</w:t>
            </w:r>
            <w:r w:rsidRPr="00F8150B">
              <w:rPr>
                <w:rFonts w:ascii="Open Sans" w:hAnsi="Open Sans" w:cs="Open Sans"/>
                <w:b/>
                <w:bCs/>
                <w:color w:val="FFFFFF"/>
                <w:sz w:val="13"/>
              </w:rPr>
              <w:t xml:space="preserve"> </w:t>
            </w:r>
            <w:r w:rsidRPr="00F8150B">
              <w:rPr>
                <w:rFonts w:ascii="Open Sans" w:hAnsi="Open Sans" w:cs="Open Sans"/>
                <w:b/>
                <w:bCs/>
                <w:color w:val="FFFFFF"/>
                <w:sz w:val="20"/>
              </w:rPr>
              <w:t>Open Call- Normal Projects</w:t>
            </w:r>
          </w:p>
        </w:tc>
      </w:tr>
      <w:tr w:rsidR="00946CA2" w:rsidRPr="006C04C4" w14:paraId="599EBA1F" w14:textId="77777777">
        <w:trPr>
          <w:trHeight w:val="628"/>
        </w:trPr>
        <w:tc>
          <w:tcPr>
            <w:tcW w:w="2263" w:type="dxa"/>
          </w:tcPr>
          <w:p w14:paraId="7F3A7749" w14:textId="77777777" w:rsidR="00946CA2" w:rsidRPr="00AF4823" w:rsidRDefault="00000000">
            <w:pPr>
              <w:pStyle w:val="TableParagraph"/>
              <w:spacing w:line="301" w:lineRule="exact"/>
              <w:ind w:left="13"/>
              <w:jc w:val="center"/>
              <w:rPr>
                <w:rFonts w:ascii="Open Sans" w:hAnsi="Open Sans" w:cs="Open Sans"/>
                <w:b/>
                <w:bCs/>
              </w:rPr>
            </w:pPr>
            <w:r w:rsidRPr="00AF4823">
              <w:rPr>
                <w:rFonts w:ascii="Open Sans" w:hAnsi="Open Sans" w:cs="Open Sans"/>
                <w:b/>
                <w:bCs/>
                <w:color w:val="1F4E79"/>
              </w:rPr>
              <w:t>Project code</w:t>
            </w:r>
          </w:p>
        </w:tc>
        <w:tc>
          <w:tcPr>
            <w:tcW w:w="7477" w:type="dxa"/>
          </w:tcPr>
          <w:p w14:paraId="00FF34F1" w14:textId="77777777" w:rsidR="00946CA2" w:rsidRPr="00AF4823" w:rsidRDefault="00000000">
            <w:pPr>
              <w:pStyle w:val="TableParagraph"/>
              <w:spacing w:before="72"/>
              <w:ind w:left="107"/>
              <w:rPr>
                <w:rFonts w:ascii="Open Sans" w:hAnsi="Open Sans" w:cs="Open Sans"/>
                <w:b/>
                <w:bCs/>
              </w:rPr>
            </w:pPr>
            <w:r w:rsidRPr="00AF4823">
              <w:rPr>
                <w:rFonts w:ascii="Open Sans" w:hAnsi="Open Sans" w:cs="Open Sans"/>
                <w:b/>
                <w:bCs/>
                <w:color w:val="1F4E79"/>
              </w:rPr>
              <w:t>ROHU-208</w:t>
            </w:r>
          </w:p>
        </w:tc>
      </w:tr>
      <w:tr w:rsidR="00946CA2" w:rsidRPr="006C04C4" w14:paraId="67C26525" w14:textId="77777777">
        <w:trPr>
          <w:trHeight w:val="1031"/>
        </w:trPr>
        <w:tc>
          <w:tcPr>
            <w:tcW w:w="2263" w:type="dxa"/>
          </w:tcPr>
          <w:p w14:paraId="3957166C" w14:textId="77777777" w:rsidR="00946CA2" w:rsidRPr="00AF4823" w:rsidRDefault="00000000">
            <w:pPr>
              <w:pStyle w:val="TableParagraph"/>
              <w:spacing w:line="303" w:lineRule="exact"/>
              <w:ind w:left="13" w:right="3"/>
              <w:jc w:val="center"/>
              <w:rPr>
                <w:rFonts w:ascii="Open Sans" w:hAnsi="Open Sans" w:cs="Open Sans"/>
                <w:b/>
                <w:bCs/>
              </w:rPr>
            </w:pPr>
            <w:r w:rsidRPr="00AF4823">
              <w:rPr>
                <w:rFonts w:ascii="Open Sans" w:hAnsi="Open Sans" w:cs="Open Sans"/>
                <w:b/>
                <w:bCs/>
                <w:color w:val="1F4E79"/>
              </w:rPr>
              <w:t>Project title</w:t>
            </w:r>
          </w:p>
        </w:tc>
        <w:tc>
          <w:tcPr>
            <w:tcW w:w="7477" w:type="dxa"/>
          </w:tcPr>
          <w:p w14:paraId="5D040666" w14:textId="77777777" w:rsidR="00946CA2" w:rsidRPr="00AF4823" w:rsidRDefault="00000000">
            <w:pPr>
              <w:pStyle w:val="TableParagraph"/>
              <w:spacing w:line="301" w:lineRule="exact"/>
              <w:ind w:left="107"/>
              <w:rPr>
                <w:rFonts w:ascii="Open Sans" w:hAnsi="Open Sans" w:cs="Open Sans"/>
                <w:b/>
                <w:bCs/>
              </w:rPr>
            </w:pPr>
            <w:r w:rsidRPr="00AF4823">
              <w:rPr>
                <w:rFonts w:ascii="Open Sans" w:hAnsi="Open Sans" w:cs="Open Sans"/>
                <w:b/>
                <w:bCs/>
                <w:color w:val="1F4E79"/>
              </w:rPr>
              <w:t>AQUALITY</w:t>
            </w:r>
          </w:p>
          <w:p w14:paraId="7E7656BC" w14:textId="77777777" w:rsidR="00946CA2" w:rsidRPr="006C04C4" w:rsidRDefault="00000000">
            <w:pPr>
              <w:pStyle w:val="TableParagraph"/>
              <w:spacing w:before="55"/>
              <w:ind w:left="107"/>
            </w:pPr>
            <w:r w:rsidRPr="006C04C4">
              <w:rPr>
                <w:color w:val="1F4E79"/>
              </w:rPr>
              <w:t>Improving Quality Management of Cross-border Rivers: Criș (Körös),</w:t>
            </w:r>
          </w:p>
          <w:p w14:paraId="1CEA68C7" w14:textId="77777777" w:rsidR="00946CA2" w:rsidRPr="006C04C4" w:rsidRDefault="00000000">
            <w:pPr>
              <w:pStyle w:val="TableParagraph"/>
              <w:spacing w:before="80"/>
              <w:ind w:left="107"/>
            </w:pPr>
            <w:r w:rsidRPr="006C04C4">
              <w:rPr>
                <w:color w:val="1F4E79"/>
              </w:rPr>
              <w:t>Mures (Maros) and Tisa (Tisza)</w:t>
            </w:r>
          </w:p>
        </w:tc>
      </w:tr>
      <w:tr w:rsidR="00946CA2" w:rsidRPr="006C04C4" w14:paraId="041B67B7" w14:textId="77777777">
        <w:trPr>
          <w:trHeight w:val="700"/>
        </w:trPr>
        <w:tc>
          <w:tcPr>
            <w:tcW w:w="2263" w:type="dxa"/>
          </w:tcPr>
          <w:p w14:paraId="27AF27E4" w14:textId="77777777" w:rsidR="00946CA2" w:rsidRPr="00AF4823" w:rsidRDefault="00000000">
            <w:pPr>
              <w:pStyle w:val="TableParagraph"/>
              <w:spacing w:line="303" w:lineRule="exact"/>
              <w:ind w:left="13" w:right="2"/>
              <w:jc w:val="center"/>
              <w:rPr>
                <w:rFonts w:ascii="Open Sans" w:hAnsi="Open Sans" w:cs="Open Sans"/>
                <w:b/>
                <w:bCs/>
              </w:rPr>
            </w:pPr>
            <w:r w:rsidRPr="00AF4823">
              <w:rPr>
                <w:rFonts w:ascii="Open Sans" w:hAnsi="Open Sans" w:cs="Open Sans"/>
                <w:b/>
                <w:bCs/>
                <w:color w:val="1F4E79"/>
              </w:rPr>
              <w:t>Priority axis</w:t>
            </w:r>
          </w:p>
        </w:tc>
        <w:tc>
          <w:tcPr>
            <w:tcW w:w="7477" w:type="dxa"/>
          </w:tcPr>
          <w:p w14:paraId="059A1B71" w14:textId="77777777" w:rsidR="00946CA2" w:rsidRPr="006C04C4" w:rsidRDefault="00000000">
            <w:pPr>
              <w:pStyle w:val="TableParagraph"/>
              <w:spacing w:before="132"/>
              <w:ind w:left="107"/>
            </w:pPr>
            <w:r w:rsidRPr="006C04C4">
              <w:rPr>
                <w:color w:val="1F4E79"/>
              </w:rPr>
              <w:t>1: Joint protection and efficient use of common values and resources</w:t>
            </w:r>
          </w:p>
        </w:tc>
      </w:tr>
      <w:tr w:rsidR="00946CA2" w:rsidRPr="006C04C4" w14:paraId="119FE0AD" w14:textId="77777777">
        <w:trPr>
          <w:trHeight w:val="1274"/>
        </w:trPr>
        <w:tc>
          <w:tcPr>
            <w:tcW w:w="2263" w:type="dxa"/>
          </w:tcPr>
          <w:p w14:paraId="2A668AA8" w14:textId="77777777" w:rsidR="00946CA2" w:rsidRPr="00AF4823" w:rsidRDefault="00000000">
            <w:pPr>
              <w:pStyle w:val="TableParagraph"/>
              <w:spacing w:line="268" w:lineRule="auto"/>
              <w:ind w:left="714" w:hanging="216"/>
              <w:rPr>
                <w:rFonts w:ascii="Open Sans" w:hAnsi="Open Sans" w:cs="Open Sans"/>
                <w:b/>
                <w:bCs/>
              </w:rPr>
            </w:pPr>
            <w:r w:rsidRPr="00AF4823">
              <w:rPr>
                <w:rFonts w:ascii="Open Sans" w:hAnsi="Open Sans" w:cs="Open Sans"/>
                <w:b/>
                <w:bCs/>
                <w:color w:val="1F4E79"/>
              </w:rPr>
              <w:t>Investment priority</w:t>
            </w:r>
          </w:p>
        </w:tc>
        <w:tc>
          <w:tcPr>
            <w:tcW w:w="7477" w:type="dxa"/>
          </w:tcPr>
          <w:p w14:paraId="3AE22B32" w14:textId="77777777" w:rsidR="00946CA2" w:rsidRPr="006C04C4" w:rsidRDefault="00000000">
            <w:pPr>
              <w:pStyle w:val="TableParagraph"/>
              <w:spacing w:before="72" w:line="312" w:lineRule="auto"/>
              <w:ind w:left="107" w:right="101"/>
              <w:jc w:val="both"/>
            </w:pPr>
            <w:r w:rsidRPr="006C04C4">
              <w:rPr>
                <w:color w:val="1F4E79"/>
              </w:rPr>
              <w:t>6/b - Investing in the water sector to meet the requirements of the Union’s environmental acquis and to address needs, identified by the Member States, for investment that goes beyond those requirements.</w:t>
            </w:r>
          </w:p>
        </w:tc>
      </w:tr>
      <w:tr w:rsidR="00946CA2" w:rsidRPr="006C04C4" w14:paraId="60CFDE4B" w14:textId="77777777">
        <w:trPr>
          <w:trHeight w:val="2651"/>
        </w:trPr>
        <w:tc>
          <w:tcPr>
            <w:tcW w:w="2263" w:type="dxa"/>
          </w:tcPr>
          <w:p w14:paraId="3D7B1993" w14:textId="77777777" w:rsidR="00946CA2" w:rsidRPr="006C04C4" w:rsidRDefault="00946CA2">
            <w:pPr>
              <w:pStyle w:val="TableParagraph"/>
              <w:rPr>
                <w:rFonts w:ascii="Times New Roman"/>
              </w:rPr>
            </w:pPr>
          </w:p>
          <w:p w14:paraId="3690F63E" w14:textId="77777777" w:rsidR="00946CA2" w:rsidRPr="006C04C4" w:rsidRDefault="00946CA2">
            <w:pPr>
              <w:pStyle w:val="TableParagraph"/>
              <w:rPr>
                <w:rFonts w:ascii="Times New Roman"/>
              </w:rPr>
            </w:pPr>
          </w:p>
          <w:p w14:paraId="72437A31" w14:textId="77777777" w:rsidR="00946CA2" w:rsidRPr="006C04C4" w:rsidRDefault="00946CA2">
            <w:pPr>
              <w:pStyle w:val="TableParagraph"/>
              <w:spacing w:before="153"/>
              <w:rPr>
                <w:rFonts w:ascii="Times New Roman"/>
              </w:rPr>
            </w:pPr>
          </w:p>
          <w:p w14:paraId="21B3A98E" w14:textId="77777777" w:rsidR="00946CA2" w:rsidRPr="00AF4823" w:rsidRDefault="00000000">
            <w:pPr>
              <w:pStyle w:val="TableParagraph"/>
              <w:spacing w:line="266" w:lineRule="auto"/>
              <w:ind w:left="774" w:hanging="538"/>
              <w:rPr>
                <w:rFonts w:ascii="Open Sans" w:hAnsi="Open Sans" w:cs="Open Sans"/>
                <w:b/>
                <w:bCs/>
              </w:rPr>
            </w:pPr>
            <w:r w:rsidRPr="00AF4823">
              <w:rPr>
                <w:rFonts w:ascii="Open Sans" w:hAnsi="Open Sans" w:cs="Open Sans"/>
                <w:b/>
                <w:bCs/>
                <w:color w:val="1F4E79"/>
              </w:rPr>
              <w:t>Implementation period</w:t>
            </w:r>
          </w:p>
        </w:tc>
        <w:tc>
          <w:tcPr>
            <w:tcW w:w="7477" w:type="dxa"/>
          </w:tcPr>
          <w:p w14:paraId="047C7AE4" w14:textId="5EE2E795" w:rsidR="00946CA2" w:rsidRPr="006C04C4" w:rsidRDefault="00000000">
            <w:pPr>
              <w:pStyle w:val="TableParagraph"/>
              <w:spacing w:before="12"/>
              <w:ind w:left="107"/>
              <w:jc w:val="both"/>
            </w:pPr>
            <w:r w:rsidRPr="006C04C4">
              <w:rPr>
                <w:color w:val="1F4E79"/>
              </w:rPr>
              <w:t>73 month</w:t>
            </w:r>
            <w:r w:rsidR="00AF4823">
              <w:rPr>
                <w:color w:val="1F4E79"/>
              </w:rPr>
              <w:t>s</w:t>
            </w:r>
            <w:r w:rsidRPr="006C04C4">
              <w:rPr>
                <w:color w:val="1F4E79"/>
              </w:rPr>
              <w:t xml:space="preserve"> (December 1, 2018 – December 31, 2024)</w:t>
            </w:r>
          </w:p>
          <w:p w14:paraId="36832930" w14:textId="1D05ABAA" w:rsidR="00946CA2" w:rsidRPr="006C04C4" w:rsidRDefault="00000000">
            <w:pPr>
              <w:pStyle w:val="TableParagraph"/>
              <w:spacing w:before="200" w:line="312" w:lineRule="auto"/>
              <w:ind w:left="107" w:right="96"/>
              <w:jc w:val="both"/>
            </w:pPr>
            <w:r w:rsidRPr="006C04C4">
              <w:rPr>
                <w:color w:val="1F4E79"/>
              </w:rPr>
              <w:t xml:space="preserve">The project was classified as non-finalized according to MC decision no. </w:t>
            </w:r>
            <w:r w:rsidR="006C04C4">
              <w:rPr>
                <w:color w:val="1F4E79"/>
              </w:rPr>
              <w:t>271/05.12.2023, as the project was not physically completed until 31 December 2023, due to various reasons. Consequently, the beneficiaries undertook the responsibility of fully achieving the indicators and objectives from their own resources until the extended deadline for</w:t>
            </w:r>
            <w:r w:rsidRPr="006C04C4">
              <w:rPr>
                <w:color w:val="1F4E79"/>
              </w:rPr>
              <w:t xml:space="preserve"> project implementation.</w:t>
            </w:r>
          </w:p>
        </w:tc>
      </w:tr>
      <w:tr w:rsidR="00946CA2" w:rsidRPr="006C04C4" w14:paraId="083BF873" w14:textId="77777777">
        <w:trPr>
          <w:trHeight w:val="2532"/>
        </w:trPr>
        <w:tc>
          <w:tcPr>
            <w:tcW w:w="2263" w:type="dxa"/>
          </w:tcPr>
          <w:p w14:paraId="218FC481" w14:textId="77777777" w:rsidR="00946CA2" w:rsidRPr="006C04C4" w:rsidRDefault="00946CA2">
            <w:pPr>
              <w:pStyle w:val="TableParagraph"/>
              <w:rPr>
                <w:rFonts w:ascii="Times New Roman"/>
              </w:rPr>
            </w:pPr>
          </w:p>
          <w:p w14:paraId="237259DD" w14:textId="77777777" w:rsidR="00946CA2" w:rsidRPr="006C04C4" w:rsidRDefault="00946CA2">
            <w:pPr>
              <w:pStyle w:val="TableParagraph"/>
              <w:rPr>
                <w:rFonts w:ascii="Times New Roman"/>
              </w:rPr>
            </w:pPr>
          </w:p>
          <w:p w14:paraId="74EE3452" w14:textId="77777777" w:rsidR="00946CA2" w:rsidRPr="006C04C4" w:rsidRDefault="00946CA2">
            <w:pPr>
              <w:pStyle w:val="TableParagraph"/>
              <w:rPr>
                <w:rFonts w:ascii="Times New Roman"/>
              </w:rPr>
            </w:pPr>
          </w:p>
          <w:p w14:paraId="715A211A" w14:textId="77777777" w:rsidR="00946CA2" w:rsidRPr="006C04C4" w:rsidRDefault="00946CA2">
            <w:pPr>
              <w:pStyle w:val="TableParagraph"/>
              <w:spacing w:before="13"/>
              <w:rPr>
                <w:rFonts w:ascii="Times New Roman"/>
              </w:rPr>
            </w:pPr>
          </w:p>
          <w:p w14:paraId="29B4D144" w14:textId="77777777" w:rsidR="00946CA2" w:rsidRPr="00AF4823" w:rsidRDefault="00000000">
            <w:pPr>
              <w:pStyle w:val="TableParagraph"/>
              <w:ind w:left="13" w:right="5"/>
              <w:jc w:val="center"/>
              <w:rPr>
                <w:rFonts w:ascii="Open Sans" w:hAnsi="Open Sans" w:cs="Open Sans"/>
                <w:b/>
                <w:bCs/>
              </w:rPr>
            </w:pPr>
            <w:r w:rsidRPr="00AF4823">
              <w:rPr>
                <w:rFonts w:ascii="Open Sans" w:hAnsi="Open Sans" w:cs="Open Sans"/>
                <w:b/>
                <w:bCs/>
                <w:color w:val="1F4E79"/>
              </w:rPr>
              <w:t>Objective</w:t>
            </w:r>
          </w:p>
        </w:tc>
        <w:tc>
          <w:tcPr>
            <w:tcW w:w="7477" w:type="dxa"/>
          </w:tcPr>
          <w:p w14:paraId="18CCEA0F" w14:textId="77777777" w:rsidR="00946CA2" w:rsidRPr="006C04C4" w:rsidRDefault="00000000">
            <w:pPr>
              <w:pStyle w:val="TableParagraph"/>
              <w:spacing w:before="13" w:line="312" w:lineRule="auto"/>
              <w:ind w:left="107" w:right="93"/>
              <w:jc w:val="both"/>
            </w:pPr>
            <w:r w:rsidRPr="006C04C4">
              <w:rPr>
                <w:color w:val="1F4E79"/>
              </w:rPr>
              <w:t>The overall objective of the project, "Improving the quality management of cross-border rivers Cris (Körös), Mures (Maros) and Tisza (Tisza)", was linked to the objective of the program called "Improving the Quality Management of Transboundary River Basins and Underground Water Bodies" by investing in the water sector to meet the Union's environmental requirements and to address the needs identified by the member states for investments that go beyond those requirements.</w:t>
            </w:r>
          </w:p>
        </w:tc>
      </w:tr>
      <w:tr w:rsidR="00946CA2" w:rsidRPr="006C04C4" w14:paraId="1760DAF6" w14:textId="77777777">
        <w:trPr>
          <w:trHeight w:val="928"/>
        </w:trPr>
        <w:tc>
          <w:tcPr>
            <w:tcW w:w="2263" w:type="dxa"/>
            <w:vMerge w:val="restart"/>
          </w:tcPr>
          <w:p w14:paraId="7FB713B0" w14:textId="77777777" w:rsidR="00946CA2" w:rsidRPr="006C04C4" w:rsidRDefault="00946CA2">
            <w:pPr>
              <w:pStyle w:val="TableParagraph"/>
              <w:rPr>
                <w:rFonts w:ascii="Times New Roman"/>
              </w:rPr>
            </w:pPr>
          </w:p>
          <w:p w14:paraId="2D7B44D2" w14:textId="77777777" w:rsidR="00946CA2" w:rsidRPr="006C04C4" w:rsidRDefault="00946CA2">
            <w:pPr>
              <w:pStyle w:val="TableParagraph"/>
              <w:rPr>
                <w:rFonts w:ascii="Times New Roman"/>
              </w:rPr>
            </w:pPr>
          </w:p>
          <w:p w14:paraId="6D0BE5C2" w14:textId="77777777" w:rsidR="00946CA2" w:rsidRPr="006C04C4" w:rsidRDefault="00946CA2">
            <w:pPr>
              <w:pStyle w:val="TableParagraph"/>
              <w:spacing w:before="181"/>
              <w:rPr>
                <w:rFonts w:ascii="Times New Roman"/>
              </w:rPr>
            </w:pPr>
          </w:p>
          <w:p w14:paraId="7C7A2987" w14:textId="77777777" w:rsidR="00946CA2" w:rsidRPr="00AF4823" w:rsidRDefault="00000000">
            <w:pPr>
              <w:pStyle w:val="TableParagraph"/>
              <w:spacing w:before="1"/>
              <w:ind w:left="479"/>
              <w:rPr>
                <w:rFonts w:ascii="Open Sans" w:hAnsi="Open Sans" w:cs="Open Sans"/>
                <w:b/>
                <w:bCs/>
              </w:rPr>
            </w:pPr>
            <w:r w:rsidRPr="00AF4823">
              <w:rPr>
                <w:rFonts w:ascii="Open Sans" w:hAnsi="Open Sans" w:cs="Open Sans"/>
                <w:b/>
                <w:bCs/>
                <w:color w:val="1F4E79"/>
              </w:rPr>
              <w:t>Partnership</w:t>
            </w:r>
          </w:p>
        </w:tc>
        <w:tc>
          <w:tcPr>
            <w:tcW w:w="7477" w:type="dxa"/>
          </w:tcPr>
          <w:p w14:paraId="7598092A" w14:textId="77777777" w:rsidR="00946CA2" w:rsidRPr="00AF4823" w:rsidRDefault="00000000">
            <w:pPr>
              <w:pStyle w:val="TableParagraph"/>
              <w:spacing w:line="301" w:lineRule="exact"/>
              <w:ind w:left="107"/>
              <w:rPr>
                <w:rFonts w:ascii="Open Sans" w:hAnsi="Open Sans" w:cs="Open Sans"/>
                <w:b/>
                <w:bCs/>
              </w:rPr>
            </w:pPr>
            <w:r w:rsidRPr="00AF4823">
              <w:rPr>
                <w:rFonts w:ascii="Open Sans" w:hAnsi="Open Sans" w:cs="Open Sans"/>
                <w:b/>
                <w:bCs/>
                <w:color w:val="1F4E79"/>
              </w:rPr>
              <w:t>Lead Beneficiary:</w:t>
            </w:r>
          </w:p>
          <w:p w14:paraId="64A48A77" w14:textId="77777777" w:rsidR="00946CA2" w:rsidRPr="006C04C4" w:rsidRDefault="00000000">
            <w:pPr>
              <w:pStyle w:val="TableParagraph"/>
              <w:spacing w:before="177"/>
              <w:ind w:left="107"/>
            </w:pPr>
            <w:r w:rsidRPr="006C04C4">
              <w:rPr>
                <w:color w:val="1F4E79"/>
              </w:rPr>
              <w:t>Arad Water Company (Romania)</w:t>
            </w:r>
          </w:p>
        </w:tc>
      </w:tr>
      <w:tr w:rsidR="00946CA2" w:rsidRPr="006C04C4" w14:paraId="0AC3A437" w14:textId="77777777">
        <w:trPr>
          <w:trHeight w:val="1394"/>
        </w:trPr>
        <w:tc>
          <w:tcPr>
            <w:tcW w:w="2263" w:type="dxa"/>
            <w:vMerge/>
            <w:tcBorders>
              <w:top w:val="nil"/>
            </w:tcBorders>
          </w:tcPr>
          <w:p w14:paraId="79BCE023" w14:textId="77777777" w:rsidR="00946CA2" w:rsidRPr="006C04C4" w:rsidRDefault="00946CA2">
            <w:pPr>
              <w:rPr>
                <w:sz w:val="2"/>
                <w:szCs w:val="2"/>
              </w:rPr>
            </w:pPr>
          </w:p>
        </w:tc>
        <w:tc>
          <w:tcPr>
            <w:tcW w:w="7477" w:type="dxa"/>
          </w:tcPr>
          <w:p w14:paraId="5DEF9793" w14:textId="77777777" w:rsidR="00946CA2" w:rsidRPr="00AF4823" w:rsidRDefault="00000000">
            <w:pPr>
              <w:pStyle w:val="TableParagraph"/>
              <w:spacing w:line="303" w:lineRule="exact"/>
              <w:ind w:left="107"/>
              <w:rPr>
                <w:rFonts w:ascii="Open Sans" w:hAnsi="Open Sans" w:cs="Open Sans"/>
                <w:b/>
                <w:bCs/>
              </w:rPr>
            </w:pPr>
            <w:r w:rsidRPr="00AF4823">
              <w:rPr>
                <w:rFonts w:ascii="Open Sans" w:hAnsi="Open Sans" w:cs="Open Sans"/>
                <w:b/>
                <w:bCs/>
                <w:color w:val="1F4E79"/>
              </w:rPr>
              <w:t>Project Partners:</w:t>
            </w:r>
          </w:p>
          <w:p w14:paraId="4B96BBCB" w14:textId="77777777" w:rsidR="00946CA2" w:rsidRPr="006C04C4" w:rsidRDefault="00000000">
            <w:pPr>
              <w:pStyle w:val="TableParagraph"/>
              <w:spacing w:before="175"/>
              <w:ind w:left="107"/>
            </w:pPr>
            <w:r w:rsidRPr="006C04C4">
              <w:rPr>
                <w:color w:val="1F4E79"/>
              </w:rPr>
              <w:t>PP2: Waterworks Szeged (Hungary)</w:t>
            </w:r>
          </w:p>
          <w:p w14:paraId="70AF28F8" w14:textId="77777777" w:rsidR="00946CA2" w:rsidRPr="006C04C4" w:rsidRDefault="00000000">
            <w:pPr>
              <w:pStyle w:val="TableParagraph"/>
              <w:spacing w:before="200"/>
              <w:ind w:left="107"/>
            </w:pPr>
            <w:r w:rsidRPr="006C04C4">
              <w:rPr>
                <w:color w:val="1F4E79"/>
              </w:rPr>
              <w:t>PP3: Local Government of Algyő (Hungary)</w:t>
            </w:r>
          </w:p>
        </w:tc>
      </w:tr>
      <w:tr w:rsidR="00946CA2" w:rsidRPr="006C04C4" w14:paraId="762A9ADA" w14:textId="77777777">
        <w:trPr>
          <w:trHeight w:val="546"/>
        </w:trPr>
        <w:tc>
          <w:tcPr>
            <w:tcW w:w="2263" w:type="dxa"/>
          </w:tcPr>
          <w:p w14:paraId="0E7F77AC" w14:textId="77777777" w:rsidR="00946CA2" w:rsidRPr="00AF4823" w:rsidRDefault="00000000">
            <w:pPr>
              <w:pStyle w:val="TableParagraph"/>
              <w:spacing w:line="303" w:lineRule="exact"/>
              <w:ind w:left="13" w:right="6"/>
              <w:jc w:val="center"/>
              <w:rPr>
                <w:rFonts w:ascii="Open Sans" w:hAnsi="Open Sans" w:cs="Open Sans"/>
                <w:b/>
                <w:bCs/>
              </w:rPr>
            </w:pPr>
            <w:r w:rsidRPr="00AF4823">
              <w:rPr>
                <w:rFonts w:ascii="Open Sans" w:hAnsi="Open Sans" w:cs="Open Sans"/>
                <w:b/>
                <w:bCs/>
                <w:color w:val="1F4E79"/>
              </w:rPr>
              <w:t>TOTAL Budget</w:t>
            </w:r>
          </w:p>
        </w:tc>
        <w:tc>
          <w:tcPr>
            <w:tcW w:w="7477" w:type="dxa"/>
          </w:tcPr>
          <w:p w14:paraId="4B1EC2F9" w14:textId="77777777" w:rsidR="00946CA2" w:rsidRPr="006C04C4" w:rsidRDefault="00000000">
            <w:pPr>
              <w:pStyle w:val="TableParagraph"/>
              <w:spacing w:before="12"/>
              <w:ind w:left="107"/>
            </w:pPr>
            <w:r w:rsidRPr="006C04C4">
              <w:rPr>
                <w:color w:val="1F4E79"/>
              </w:rPr>
              <w:t>€ 4,060,327.24, out of which, ERDF € 2,549,744.47</w:t>
            </w:r>
          </w:p>
        </w:tc>
      </w:tr>
    </w:tbl>
    <w:p w14:paraId="5B839993" w14:textId="77777777" w:rsidR="00946CA2" w:rsidRDefault="00946CA2">
      <w:pPr>
        <w:pStyle w:val="TableParagraph"/>
        <w:sectPr w:rsidR="00946CA2">
          <w:headerReference w:type="default" r:id="rId7"/>
          <w:footerReference w:type="default" r:id="rId8"/>
          <w:type w:val="continuous"/>
          <w:pgSz w:w="11910" w:h="16840"/>
          <w:pgMar w:top="2140" w:right="708" w:bottom="1520" w:left="1417" w:header="990" w:footer="1326" w:gutter="0"/>
          <w:pgNumType w:start="1"/>
          <w:cols w:space="720"/>
        </w:sectPr>
      </w:pPr>
    </w:p>
    <w:p w14:paraId="62A78A52" w14:textId="77777777" w:rsidR="00946CA2" w:rsidRDefault="00946CA2">
      <w:pPr>
        <w:pStyle w:val="BodyText"/>
        <w:spacing w:before="61"/>
        <w:rPr>
          <w:rFonts w:ascii="Times New Roman"/>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946CA2" w14:paraId="08CD1875" w14:textId="77777777" w:rsidTr="004B0312">
        <w:trPr>
          <w:trHeight w:val="7255"/>
        </w:trPr>
        <w:tc>
          <w:tcPr>
            <w:tcW w:w="2263" w:type="dxa"/>
          </w:tcPr>
          <w:p w14:paraId="50725789" w14:textId="77777777" w:rsidR="00946CA2" w:rsidRDefault="00946CA2">
            <w:pPr>
              <w:pStyle w:val="TableParagraph"/>
              <w:rPr>
                <w:rFonts w:ascii="Times New Roman"/>
              </w:rPr>
            </w:pPr>
          </w:p>
          <w:p w14:paraId="4D950440" w14:textId="77777777" w:rsidR="00946CA2" w:rsidRDefault="00946CA2">
            <w:pPr>
              <w:pStyle w:val="TableParagraph"/>
              <w:rPr>
                <w:rFonts w:ascii="Times New Roman"/>
              </w:rPr>
            </w:pPr>
          </w:p>
          <w:p w14:paraId="68D0F126" w14:textId="77777777" w:rsidR="00946CA2" w:rsidRDefault="00946CA2">
            <w:pPr>
              <w:pStyle w:val="TableParagraph"/>
              <w:rPr>
                <w:rFonts w:ascii="Times New Roman"/>
              </w:rPr>
            </w:pPr>
          </w:p>
          <w:p w14:paraId="32C04035" w14:textId="77777777" w:rsidR="00946CA2" w:rsidRDefault="00946CA2">
            <w:pPr>
              <w:pStyle w:val="TableParagraph"/>
              <w:rPr>
                <w:rFonts w:ascii="Times New Roman"/>
              </w:rPr>
            </w:pPr>
          </w:p>
          <w:p w14:paraId="146BFF55" w14:textId="77777777" w:rsidR="00946CA2" w:rsidRDefault="00946CA2">
            <w:pPr>
              <w:pStyle w:val="TableParagraph"/>
              <w:rPr>
                <w:rFonts w:ascii="Times New Roman"/>
              </w:rPr>
            </w:pPr>
          </w:p>
          <w:p w14:paraId="0E2F1DB3" w14:textId="77777777" w:rsidR="00946CA2" w:rsidRDefault="00946CA2">
            <w:pPr>
              <w:pStyle w:val="TableParagraph"/>
              <w:rPr>
                <w:rFonts w:ascii="Times New Roman"/>
              </w:rPr>
            </w:pPr>
          </w:p>
          <w:p w14:paraId="409309E2" w14:textId="77777777" w:rsidR="00946CA2" w:rsidRDefault="00946CA2">
            <w:pPr>
              <w:pStyle w:val="TableParagraph"/>
              <w:rPr>
                <w:rFonts w:ascii="Times New Roman"/>
              </w:rPr>
            </w:pPr>
          </w:p>
          <w:p w14:paraId="63EF033C" w14:textId="77777777" w:rsidR="00946CA2" w:rsidRDefault="00946CA2">
            <w:pPr>
              <w:pStyle w:val="TableParagraph"/>
              <w:rPr>
                <w:rFonts w:ascii="Times New Roman"/>
              </w:rPr>
            </w:pPr>
          </w:p>
          <w:p w14:paraId="635BF05B" w14:textId="77777777" w:rsidR="00946CA2" w:rsidRDefault="00946CA2">
            <w:pPr>
              <w:pStyle w:val="TableParagraph"/>
              <w:rPr>
                <w:rFonts w:ascii="Times New Roman"/>
              </w:rPr>
            </w:pPr>
          </w:p>
          <w:p w14:paraId="5920D1E9" w14:textId="77777777" w:rsidR="00946CA2" w:rsidRDefault="00946CA2">
            <w:pPr>
              <w:pStyle w:val="TableParagraph"/>
              <w:rPr>
                <w:rFonts w:ascii="Times New Roman"/>
              </w:rPr>
            </w:pPr>
          </w:p>
          <w:p w14:paraId="5B21C557" w14:textId="77777777" w:rsidR="00946CA2" w:rsidRDefault="00946CA2">
            <w:pPr>
              <w:pStyle w:val="TableParagraph"/>
              <w:rPr>
                <w:rFonts w:ascii="Times New Roman"/>
              </w:rPr>
            </w:pPr>
          </w:p>
          <w:p w14:paraId="399C7173" w14:textId="77777777" w:rsidR="00946CA2" w:rsidRDefault="00946CA2">
            <w:pPr>
              <w:pStyle w:val="TableParagraph"/>
              <w:rPr>
                <w:rFonts w:ascii="Times New Roman"/>
              </w:rPr>
            </w:pPr>
          </w:p>
          <w:p w14:paraId="41B91042" w14:textId="77777777" w:rsidR="00946CA2" w:rsidRDefault="00946CA2">
            <w:pPr>
              <w:pStyle w:val="TableParagraph"/>
              <w:rPr>
                <w:rFonts w:ascii="Times New Roman"/>
              </w:rPr>
            </w:pPr>
          </w:p>
          <w:p w14:paraId="73B198C1" w14:textId="77777777" w:rsidR="00946CA2" w:rsidRDefault="00946CA2">
            <w:pPr>
              <w:pStyle w:val="TableParagraph"/>
              <w:rPr>
                <w:rFonts w:ascii="Times New Roman"/>
              </w:rPr>
            </w:pPr>
          </w:p>
          <w:p w14:paraId="7F3E09B6" w14:textId="77777777" w:rsidR="00946CA2" w:rsidRDefault="00946CA2">
            <w:pPr>
              <w:pStyle w:val="TableParagraph"/>
              <w:rPr>
                <w:rFonts w:ascii="Times New Roman"/>
              </w:rPr>
            </w:pPr>
          </w:p>
          <w:p w14:paraId="0A079703" w14:textId="77777777" w:rsidR="00946CA2" w:rsidRDefault="00946CA2">
            <w:pPr>
              <w:pStyle w:val="TableParagraph"/>
              <w:spacing w:before="165"/>
              <w:rPr>
                <w:rFonts w:ascii="Times New Roman"/>
              </w:rPr>
            </w:pPr>
          </w:p>
          <w:p w14:paraId="6039065C" w14:textId="77777777" w:rsidR="00946CA2" w:rsidRDefault="00000000">
            <w:pPr>
              <w:pStyle w:val="TableParagraph"/>
              <w:ind w:left="13" w:right="4"/>
              <w:jc w:val="center"/>
              <w:rPr>
                <w:rFonts w:ascii="Arial Black"/>
              </w:rPr>
            </w:pPr>
            <w:r>
              <w:rPr>
                <w:rFonts w:ascii="Arial Black"/>
                <w:color w:val="1F4E79"/>
                <w:spacing w:val="-2"/>
              </w:rPr>
              <w:t>Summary</w:t>
            </w:r>
          </w:p>
        </w:tc>
        <w:tc>
          <w:tcPr>
            <w:tcW w:w="7477" w:type="dxa"/>
          </w:tcPr>
          <w:p w14:paraId="06B5E113" w14:textId="77777777" w:rsidR="00946CA2" w:rsidRDefault="00000000">
            <w:pPr>
              <w:pStyle w:val="TableParagraph"/>
              <w:spacing w:before="12" w:line="312" w:lineRule="auto"/>
              <w:ind w:left="107" w:right="94"/>
              <w:jc w:val="both"/>
            </w:pPr>
            <w:r>
              <w:rPr>
                <w:color w:val="1F4E79"/>
                <w:w w:val="105"/>
              </w:rPr>
              <w:t>The project ROHU-208 aimed to improve the research activities and develop the wastewater facilities.</w:t>
            </w:r>
          </w:p>
          <w:p w14:paraId="0A884DBA" w14:textId="77777777" w:rsidR="00946CA2" w:rsidRDefault="00946CA2">
            <w:pPr>
              <w:pStyle w:val="TableParagraph"/>
              <w:spacing w:before="91"/>
              <w:rPr>
                <w:rFonts w:ascii="Times New Roman"/>
              </w:rPr>
            </w:pPr>
          </w:p>
          <w:p w14:paraId="2A1A9869" w14:textId="2B1D3C1F" w:rsidR="00946CA2" w:rsidRDefault="00000000">
            <w:pPr>
              <w:pStyle w:val="TableParagraph"/>
              <w:ind w:left="107"/>
              <w:jc w:val="both"/>
            </w:pPr>
            <w:r>
              <w:rPr>
                <w:color w:val="1F4E79"/>
                <w:w w:val="105"/>
              </w:rPr>
              <w:t>The</w:t>
            </w:r>
            <w:r>
              <w:rPr>
                <w:color w:val="1F4E79"/>
                <w:spacing w:val="-10"/>
                <w:w w:val="105"/>
              </w:rPr>
              <w:t xml:space="preserve"> </w:t>
            </w:r>
            <w:r>
              <w:rPr>
                <w:color w:val="1F4E79"/>
                <w:w w:val="105"/>
              </w:rPr>
              <w:t>main</w:t>
            </w:r>
            <w:r>
              <w:rPr>
                <w:color w:val="1F4E79"/>
                <w:spacing w:val="-12"/>
                <w:w w:val="105"/>
              </w:rPr>
              <w:t xml:space="preserve"> </w:t>
            </w:r>
            <w:r>
              <w:rPr>
                <w:color w:val="1F4E79"/>
                <w:w w:val="105"/>
              </w:rPr>
              <w:t>activities</w:t>
            </w:r>
            <w:r>
              <w:rPr>
                <w:color w:val="1F4E79"/>
                <w:spacing w:val="-10"/>
                <w:w w:val="105"/>
              </w:rPr>
              <w:t xml:space="preserve"> </w:t>
            </w:r>
            <w:r>
              <w:rPr>
                <w:color w:val="1F4E79"/>
                <w:w w:val="105"/>
              </w:rPr>
              <w:t>of</w:t>
            </w:r>
            <w:r>
              <w:rPr>
                <w:color w:val="1F4E79"/>
                <w:spacing w:val="-12"/>
                <w:w w:val="105"/>
              </w:rPr>
              <w:t xml:space="preserve"> </w:t>
            </w:r>
            <w:r>
              <w:rPr>
                <w:color w:val="1F4E79"/>
                <w:w w:val="105"/>
              </w:rPr>
              <w:t>the</w:t>
            </w:r>
            <w:r>
              <w:rPr>
                <w:color w:val="1F4E79"/>
                <w:spacing w:val="-10"/>
                <w:w w:val="105"/>
              </w:rPr>
              <w:t xml:space="preserve"> </w:t>
            </w:r>
            <w:r>
              <w:rPr>
                <w:color w:val="1F4E79"/>
                <w:w w:val="105"/>
              </w:rPr>
              <w:t>project</w:t>
            </w:r>
            <w:r>
              <w:rPr>
                <w:color w:val="1F4E79"/>
                <w:spacing w:val="-10"/>
                <w:w w:val="105"/>
              </w:rPr>
              <w:t xml:space="preserve"> </w:t>
            </w:r>
            <w:r w:rsidR="006C04C4">
              <w:rPr>
                <w:color w:val="1F4E79"/>
                <w:spacing w:val="-4"/>
                <w:w w:val="105"/>
              </w:rPr>
              <w:t>we</w:t>
            </w:r>
            <w:r>
              <w:rPr>
                <w:color w:val="1F4E79"/>
                <w:spacing w:val="-4"/>
                <w:w w:val="105"/>
              </w:rPr>
              <w:t>re:</w:t>
            </w:r>
          </w:p>
          <w:p w14:paraId="5955C4B1" w14:textId="4D441B35" w:rsidR="00946CA2" w:rsidRDefault="00000000">
            <w:pPr>
              <w:pStyle w:val="TableParagraph"/>
              <w:numPr>
                <w:ilvl w:val="0"/>
                <w:numId w:val="2"/>
              </w:numPr>
              <w:tabs>
                <w:tab w:val="left" w:pos="828"/>
              </w:tabs>
              <w:spacing w:before="78" w:line="312" w:lineRule="auto"/>
              <w:ind w:right="97"/>
              <w:jc w:val="both"/>
            </w:pPr>
            <w:r>
              <w:rPr>
                <w:color w:val="1F4E79"/>
                <w:w w:val="105"/>
              </w:rPr>
              <w:t>Construction works, installations and equipment at the Lipova treatment</w:t>
            </w:r>
            <w:r>
              <w:rPr>
                <w:color w:val="1F4E79"/>
                <w:spacing w:val="-1"/>
                <w:w w:val="105"/>
              </w:rPr>
              <w:t xml:space="preserve"> </w:t>
            </w:r>
            <w:r>
              <w:rPr>
                <w:color w:val="1F4E79"/>
                <w:w w:val="105"/>
              </w:rPr>
              <w:t>plant</w:t>
            </w:r>
            <w:r w:rsidR="00F8150B">
              <w:rPr>
                <w:color w:val="1F4E79"/>
                <w:w w:val="105"/>
              </w:rPr>
              <w:t>;</w:t>
            </w:r>
          </w:p>
          <w:p w14:paraId="4A679E41" w14:textId="48D4A974" w:rsidR="00946CA2" w:rsidRDefault="00000000">
            <w:pPr>
              <w:pStyle w:val="TableParagraph"/>
              <w:numPr>
                <w:ilvl w:val="0"/>
                <w:numId w:val="2"/>
              </w:numPr>
              <w:tabs>
                <w:tab w:val="left" w:pos="828"/>
              </w:tabs>
              <w:spacing w:before="1" w:line="309" w:lineRule="auto"/>
              <w:ind w:right="97"/>
              <w:jc w:val="both"/>
            </w:pPr>
            <w:r>
              <w:rPr>
                <w:color w:val="1F4E79"/>
                <w:w w:val="105"/>
              </w:rPr>
              <w:t>Purchasing equipment for technological objects at Ineu treatment</w:t>
            </w:r>
            <w:r>
              <w:rPr>
                <w:color w:val="1F4E79"/>
                <w:spacing w:val="-1"/>
                <w:w w:val="105"/>
              </w:rPr>
              <w:t xml:space="preserve"> </w:t>
            </w:r>
            <w:r>
              <w:rPr>
                <w:color w:val="1F4E79"/>
                <w:w w:val="105"/>
              </w:rPr>
              <w:t>plant</w:t>
            </w:r>
            <w:r w:rsidR="00F8150B">
              <w:rPr>
                <w:color w:val="1F4E79"/>
                <w:w w:val="105"/>
              </w:rPr>
              <w:t>;</w:t>
            </w:r>
          </w:p>
          <w:p w14:paraId="042F094C" w14:textId="2175A1E2" w:rsidR="00946CA2" w:rsidRDefault="00000000">
            <w:pPr>
              <w:pStyle w:val="TableParagraph"/>
              <w:numPr>
                <w:ilvl w:val="0"/>
                <w:numId w:val="2"/>
              </w:numPr>
              <w:tabs>
                <w:tab w:val="left" w:pos="828"/>
              </w:tabs>
              <w:spacing w:before="3" w:line="309" w:lineRule="auto"/>
              <w:ind w:right="98"/>
              <w:jc w:val="both"/>
            </w:pPr>
            <w:r>
              <w:rPr>
                <w:color w:val="1F4E79"/>
                <w:w w:val="110"/>
              </w:rPr>
              <w:t>Construction</w:t>
            </w:r>
            <w:r>
              <w:rPr>
                <w:color w:val="1F4E79"/>
                <w:spacing w:val="-3"/>
                <w:w w:val="110"/>
              </w:rPr>
              <w:t xml:space="preserve"> </w:t>
            </w:r>
            <w:r>
              <w:rPr>
                <w:color w:val="1F4E79"/>
                <w:w w:val="110"/>
              </w:rPr>
              <w:t>work</w:t>
            </w:r>
            <w:r>
              <w:rPr>
                <w:color w:val="1F4E79"/>
                <w:spacing w:val="-1"/>
                <w:w w:val="110"/>
              </w:rPr>
              <w:t xml:space="preserve"> </w:t>
            </w:r>
            <w:r>
              <w:rPr>
                <w:color w:val="1F4E79"/>
                <w:w w:val="110"/>
              </w:rPr>
              <w:t>and</w:t>
            </w:r>
            <w:r>
              <w:rPr>
                <w:color w:val="1F4E79"/>
                <w:spacing w:val="-1"/>
                <w:w w:val="110"/>
              </w:rPr>
              <w:t xml:space="preserve"> </w:t>
            </w:r>
            <w:r>
              <w:rPr>
                <w:color w:val="1F4E79"/>
                <w:w w:val="110"/>
              </w:rPr>
              <w:t>equipment</w:t>
            </w:r>
            <w:r>
              <w:rPr>
                <w:color w:val="1F4E79"/>
                <w:spacing w:val="-1"/>
                <w:w w:val="110"/>
              </w:rPr>
              <w:t xml:space="preserve"> </w:t>
            </w:r>
            <w:r>
              <w:rPr>
                <w:color w:val="1F4E79"/>
                <w:w w:val="110"/>
              </w:rPr>
              <w:t>at</w:t>
            </w:r>
            <w:r>
              <w:rPr>
                <w:color w:val="1F4E79"/>
                <w:spacing w:val="-2"/>
                <w:w w:val="110"/>
              </w:rPr>
              <w:t xml:space="preserve"> </w:t>
            </w:r>
            <w:r>
              <w:rPr>
                <w:color w:val="1F4E79"/>
                <w:w w:val="110"/>
              </w:rPr>
              <w:t>the Gurahont</w:t>
            </w:r>
            <w:r>
              <w:rPr>
                <w:color w:val="1F4E79"/>
                <w:spacing w:val="-1"/>
                <w:w w:val="110"/>
              </w:rPr>
              <w:t xml:space="preserve"> </w:t>
            </w:r>
            <w:r>
              <w:rPr>
                <w:color w:val="1F4E79"/>
                <w:w w:val="110"/>
              </w:rPr>
              <w:t xml:space="preserve">treatment </w:t>
            </w:r>
            <w:r>
              <w:rPr>
                <w:color w:val="1F4E79"/>
                <w:spacing w:val="-2"/>
                <w:w w:val="110"/>
              </w:rPr>
              <w:t>plant</w:t>
            </w:r>
            <w:r w:rsidR="00F8150B">
              <w:rPr>
                <w:color w:val="1F4E79"/>
                <w:spacing w:val="-2"/>
                <w:w w:val="110"/>
              </w:rPr>
              <w:t>;</w:t>
            </w:r>
          </w:p>
          <w:p w14:paraId="1B844862" w14:textId="38D00D4E" w:rsidR="00946CA2" w:rsidRDefault="00000000">
            <w:pPr>
              <w:pStyle w:val="TableParagraph"/>
              <w:numPr>
                <w:ilvl w:val="0"/>
                <w:numId w:val="2"/>
              </w:numPr>
              <w:tabs>
                <w:tab w:val="left" w:pos="828"/>
              </w:tabs>
              <w:spacing w:before="5" w:line="309" w:lineRule="auto"/>
              <w:ind w:right="98"/>
              <w:jc w:val="both"/>
            </w:pPr>
            <w:r>
              <w:rPr>
                <w:color w:val="1F4E79"/>
                <w:w w:val="110"/>
              </w:rPr>
              <w:t>Purchasing equipment for technological objects at the Arad treatment</w:t>
            </w:r>
            <w:r>
              <w:rPr>
                <w:color w:val="1F4E79"/>
                <w:spacing w:val="-5"/>
                <w:w w:val="110"/>
              </w:rPr>
              <w:t xml:space="preserve"> </w:t>
            </w:r>
            <w:r>
              <w:rPr>
                <w:color w:val="1F4E79"/>
                <w:w w:val="110"/>
              </w:rPr>
              <w:t>plant</w:t>
            </w:r>
            <w:r w:rsidR="00F8150B">
              <w:rPr>
                <w:color w:val="1F4E79"/>
                <w:w w:val="110"/>
              </w:rPr>
              <w:t>;</w:t>
            </w:r>
          </w:p>
          <w:p w14:paraId="3CD98BAD" w14:textId="209B37A3" w:rsidR="00946CA2" w:rsidRDefault="00000000">
            <w:pPr>
              <w:pStyle w:val="TableParagraph"/>
              <w:numPr>
                <w:ilvl w:val="0"/>
                <w:numId w:val="2"/>
              </w:numPr>
              <w:tabs>
                <w:tab w:val="left" w:pos="828"/>
              </w:tabs>
              <w:spacing w:before="3" w:line="312" w:lineRule="auto"/>
              <w:ind w:right="98"/>
              <w:jc w:val="both"/>
            </w:pPr>
            <w:r>
              <w:rPr>
                <w:color w:val="1F4E79"/>
                <w:w w:val="110"/>
              </w:rPr>
              <w:t>Reconstruction of the pool at Algyő plant in order to ensure structural</w:t>
            </w:r>
            <w:r>
              <w:rPr>
                <w:color w:val="1F4E79"/>
                <w:spacing w:val="-19"/>
                <w:w w:val="110"/>
              </w:rPr>
              <w:t xml:space="preserve"> </w:t>
            </w:r>
            <w:r>
              <w:rPr>
                <w:color w:val="1F4E79"/>
                <w:w w:val="110"/>
              </w:rPr>
              <w:t>stability</w:t>
            </w:r>
            <w:r>
              <w:rPr>
                <w:color w:val="1F4E79"/>
                <w:spacing w:val="-19"/>
                <w:w w:val="110"/>
              </w:rPr>
              <w:t xml:space="preserve"> </w:t>
            </w:r>
            <w:r>
              <w:rPr>
                <w:color w:val="1F4E79"/>
                <w:w w:val="110"/>
              </w:rPr>
              <w:t>for</w:t>
            </w:r>
            <w:r>
              <w:rPr>
                <w:color w:val="1F4E79"/>
                <w:spacing w:val="-19"/>
                <w:w w:val="110"/>
              </w:rPr>
              <w:t xml:space="preserve"> </w:t>
            </w:r>
            <w:r>
              <w:rPr>
                <w:color w:val="1F4E79"/>
                <w:w w:val="110"/>
              </w:rPr>
              <w:t>the</w:t>
            </w:r>
            <w:r>
              <w:rPr>
                <w:color w:val="1F4E79"/>
                <w:spacing w:val="-19"/>
                <w:w w:val="110"/>
              </w:rPr>
              <w:t xml:space="preserve"> </w:t>
            </w:r>
            <w:r>
              <w:rPr>
                <w:color w:val="1F4E79"/>
                <w:w w:val="110"/>
              </w:rPr>
              <w:t>installation</w:t>
            </w:r>
            <w:r>
              <w:rPr>
                <w:color w:val="1F4E79"/>
                <w:spacing w:val="-19"/>
                <w:w w:val="110"/>
              </w:rPr>
              <w:t xml:space="preserve"> </w:t>
            </w:r>
            <w:r>
              <w:rPr>
                <w:color w:val="1F4E79"/>
                <w:w w:val="110"/>
              </w:rPr>
              <w:t>and</w:t>
            </w:r>
            <w:r>
              <w:rPr>
                <w:color w:val="1F4E79"/>
                <w:spacing w:val="-19"/>
                <w:w w:val="110"/>
              </w:rPr>
              <w:t xml:space="preserve"> </w:t>
            </w:r>
            <w:r>
              <w:rPr>
                <w:color w:val="1F4E79"/>
                <w:w w:val="110"/>
              </w:rPr>
              <w:t>operation</w:t>
            </w:r>
            <w:r>
              <w:rPr>
                <w:color w:val="1F4E79"/>
                <w:spacing w:val="-19"/>
                <w:w w:val="110"/>
              </w:rPr>
              <w:t xml:space="preserve"> </w:t>
            </w:r>
            <w:r>
              <w:rPr>
                <w:color w:val="1F4E79"/>
                <w:w w:val="110"/>
              </w:rPr>
              <w:t>of</w:t>
            </w:r>
            <w:r>
              <w:rPr>
                <w:color w:val="1F4E79"/>
                <w:spacing w:val="-19"/>
                <w:w w:val="110"/>
              </w:rPr>
              <w:t xml:space="preserve"> </w:t>
            </w:r>
            <w:r>
              <w:rPr>
                <w:color w:val="1F4E79"/>
                <w:w w:val="110"/>
              </w:rPr>
              <w:t>the</w:t>
            </w:r>
            <w:r>
              <w:rPr>
                <w:color w:val="1F4E79"/>
                <w:spacing w:val="-19"/>
                <w:w w:val="110"/>
              </w:rPr>
              <w:t xml:space="preserve"> </w:t>
            </w:r>
            <w:r>
              <w:rPr>
                <w:color w:val="1F4E79"/>
                <w:w w:val="110"/>
              </w:rPr>
              <w:t>new mixers</w:t>
            </w:r>
            <w:r>
              <w:rPr>
                <w:color w:val="1F4E79"/>
                <w:spacing w:val="-6"/>
                <w:w w:val="110"/>
              </w:rPr>
              <w:t xml:space="preserve"> </w:t>
            </w:r>
            <w:r>
              <w:rPr>
                <w:color w:val="1F4E79"/>
                <w:w w:val="110"/>
              </w:rPr>
              <w:t>and</w:t>
            </w:r>
            <w:r>
              <w:rPr>
                <w:color w:val="1F4E79"/>
                <w:spacing w:val="-7"/>
                <w:w w:val="110"/>
              </w:rPr>
              <w:t xml:space="preserve"> </w:t>
            </w:r>
            <w:r>
              <w:rPr>
                <w:color w:val="1F4E79"/>
                <w:w w:val="110"/>
              </w:rPr>
              <w:t>pumps</w:t>
            </w:r>
            <w:r>
              <w:rPr>
                <w:color w:val="1F4E79"/>
                <w:spacing w:val="-6"/>
                <w:w w:val="110"/>
              </w:rPr>
              <w:t xml:space="preserve"> </w:t>
            </w:r>
            <w:r>
              <w:rPr>
                <w:color w:val="1F4E79"/>
                <w:w w:val="110"/>
              </w:rPr>
              <w:t>purchased</w:t>
            </w:r>
            <w:r>
              <w:rPr>
                <w:color w:val="1F4E79"/>
                <w:spacing w:val="-7"/>
                <w:w w:val="110"/>
              </w:rPr>
              <w:t xml:space="preserve"> </w:t>
            </w:r>
            <w:r>
              <w:rPr>
                <w:color w:val="1F4E79"/>
                <w:w w:val="110"/>
              </w:rPr>
              <w:t>within</w:t>
            </w:r>
            <w:r>
              <w:rPr>
                <w:color w:val="1F4E79"/>
                <w:spacing w:val="-8"/>
                <w:w w:val="110"/>
              </w:rPr>
              <w:t xml:space="preserve"> </w:t>
            </w:r>
            <w:r>
              <w:rPr>
                <w:color w:val="1F4E79"/>
                <w:w w:val="110"/>
              </w:rPr>
              <w:t>the</w:t>
            </w:r>
            <w:r>
              <w:rPr>
                <w:color w:val="1F4E79"/>
                <w:spacing w:val="-5"/>
                <w:w w:val="110"/>
              </w:rPr>
              <w:t xml:space="preserve"> </w:t>
            </w:r>
            <w:r>
              <w:rPr>
                <w:color w:val="1F4E79"/>
                <w:w w:val="110"/>
              </w:rPr>
              <w:t>project</w:t>
            </w:r>
            <w:r w:rsidR="00F8150B">
              <w:rPr>
                <w:color w:val="1F4E79"/>
                <w:w w:val="110"/>
              </w:rPr>
              <w:t>;</w:t>
            </w:r>
          </w:p>
          <w:p w14:paraId="00D04EE8" w14:textId="7DB23AEF" w:rsidR="00946CA2" w:rsidRDefault="00000000">
            <w:pPr>
              <w:pStyle w:val="TableParagraph"/>
              <w:numPr>
                <w:ilvl w:val="0"/>
                <w:numId w:val="2"/>
              </w:numPr>
              <w:tabs>
                <w:tab w:val="left" w:pos="828"/>
              </w:tabs>
              <w:spacing w:line="309" w:lineRule="auto"/>
              <w:ind w:right="96"/>
              <w:jc w:val="both"/>
            </w:pPr>
            <w:r>
              <w:rPr>
                <w:color w:val="1F4E79"/>
                <w:w w:val="105"/>
              </w:rPr>
              <w:t>Purchasing IT, laboratory equipment and 1 vehicle for Ineu, Gurahont, Lipova and Arad wastewater treatment plants</w:t>
            </w:r>
            <w:r w:rsidR="00F8150B">
              <w:rPr>
                <w:color w:val="1F4E79"/>
                <w:w w:val="105"/>
              </w:rPr>
              <w:t>;</w:t>
            </w:r>
          </w:p>
          <w:p w14:paraId="526FD2B4" w14:textId="398BD10B" w:rsidR="00946CA2" w:rsidRDefault="00000000">
            <w:pPr>
              <w:pStyle w:val="TableParagraph"/>
              <w:numPr>
                <w:ilvl w:val="0"/>
                <w:numId w:val="2"/>
              </w:numPr>
              <w:tabs>
                <w:tab w:val="left" w:pos="828"/>
              </w:tabs>
              <w:spacing w:before="3" w:line="309" w:lineRule="auto"/>
              <w:ind w:right="98"/>
              <w:jc w:val="both"/>
            </w:pPr>
            <w:r>
              <w:rPr>
                <w:color w:val="1F4E79"/>
                <w:w w:val="110"/>
              </w:rPr>
              <w:t>Purchasing equipment for the modernized Algyő wastewater treatment</w:t>
            </w:r>
            <w:r>
              <w:rPr>
                <w:color w:val="1F4E79"/>
                <w:spacing w:val="-5"/>
                <w:w w:val="110"/>
              </w:rPr>
              <w:t xml:space="preserve"> </w:t>
            </w:r>
            <w:r>
              <w:rPr>
                <w:color w:val="1F4E79"/>
                <w:w w:val="110"/>
              </w:rPr>
              <w:t>plant</w:t>
            </w:r>
            <w:r w:rsidR="00F8150B">
              <w:rPr>
                <w:color w:val="1F4E79"/>
                <w:w w:val="110"/>
              </w:rPr>
              <w:t>;</w:t>
            </w:r>
          </w:p>
          <w:p w14:paraId="503127B5" w14:textId="43DF7454" w:rsidR="00946CA2" w:rsidRPr="004B0312" w:rsidRDefault="00000000" w:rsidP="004B0312">
            <w:pPr>
              <w:pStyle w:val="TableParagraph"/>
              <w:numPr>
                <w:ilvl w:val="0"/>
                <w:numId w:val="2"/>
              </w:numPr>
              <w:tabs>
                <w:tab w:val="left" w:pos="828"/>
              </w:tabs>
              <w:spacing w:before="3" w:line="309" w:lineRule="auto"/>
              <w:ind w:right="99"/>
              <w:jc w:val="both"/>
            </w:pPr>
            <w:r>
              <w:rPr>
                <w:color w:val="1F4E79"/>
                <w:w w:val="110"/>
              </w:rPr>
              <w:t>Purchasing</w:t>
            </w:r>
            <w:r>
              <w:rPr>
                <w:color w:val="1F4E79"/>
                <w:spacing w:val="-19"/>
                <w:w w:val="110"/>
              </w:rPr>
              <w:t xml:space="preserve"> </w:t>
            </w:r>
            <w:r>
              <w:rPr>
                <w:color w:val="1F4E79"/>
                <w:w w:val="110"/>
              </w:rPr>
              <w:t>equipment</w:t>
            </w:r>
            <w:r>
              <w:rPr>
                <w:color w:val="1F4E79"/>
                <w:spacing w:val="-19"/>
                <w:w w:val="110"/>
              </w:rPr>
              <w:t xml:space="preserve"> </w:t>
            </w:r>
            <w:r>
              <w:rPr>
                <w:color w:val="1F4E79"/>
                <w:w w:val="110"/>
              </w:rPr>
              <w:t>for</w:t>
            </w:r>
            <w:r>
              <w:rPr>
                <w:color w:val="1F4E79"/>
                <w:spacing w:val="-19"/>
                <w:w w:val="110"/>
              </w:rPr>
              <w:t xml:space="preserve"> </w:t>
            </w:r>
            <w:r>
              <w:rPr>
                <w:color w:val="1F4E79"/>
                <w:w w:val="110"/>
              </w:rPr>
              <w:t>the</w:t>
            </w:r>
            <w:r>
              <w:rPr>
                <w:color w:val="1F4E79"/>
                <w:spacing w:val="-19"/>
                <w:w w:val="110"/>
              </w:rPr>
              <w:t xml:space="preserve"> </w:t>
            </w:r>
            <w:r>
              <w:rPr>
                <w:color w:val="1F4E79"/>
                <w:w w:val="110"/>
              </w:rPr>
              <w:t>modernized</w:t>
            </w:r>
            <w:r>
              <w:rPr>
                <w:color w:val="1F4E79"/>
                <w:spacing w:val="-19"/>
                <w:w w:val="110"/>
              </w:rPr>
              <w:t xml:space="preserve"> </w:t>
            </w:r>
            <w:r>
              <w:rPr>
                <w:color w:val="1F4E79"/>
                <w:w w:val="110"/>
              </w:rPr>
              <w:t>Szeged</w:t>
            </w:r>
            <w:r>
              <w:rPr>
                <w:color w:val="1F4E79"/>
                <w:spacing w:val="-19"/>
                <w:w w:val="110"/>
              </w:rPr>
              <w:t xml:space="preserve"> </w:t>
            </w:r>
            <w:r>
              <w:rPr>
                <w:color w:val="1F4E79"/>
                <w:w w:val="110"/>
              </w:rPr>
              <w:t>wastewater treatment</w:t>
            </w:r>
            <w:r>
              <w:rPr>
                <w:color w:val="1F4E79"/>
                <w:spacing w:val="-5"/>
                <w:w w:val="110"/>
              </w:rPr>
              <w:t xml:space="preserve"> </w:t>
            </w:r>
            <w:r>
              <w:rPr>
                <w:color w:val="1F4E79"/>
                <w:w w:val="110"/>
              </w:rPr>
              <w:t>plant</w:t>
            </w:r>
            <w:r w:rsidR="00F8150B">
              <w:rPr>
                <w:color w:val="1F4E79"/>
                <w:w w:val="110"/>
              </w:rPr>
              <w:t>.</w:t>
            </w:r>
          </w:p>
        </w:tc>
      </w:tr>
      <w:tr w:rsidR="00946CA2" w14:paraId="1257ED82" w14:textId="77777777">
        <w:trPr>
          <w:trHeight w:val="2685"/>
        </w:trPr>
        <w:tc>
          <w:tcPr>
            <w:tcW w:w="2263" w:type="dxa"/>
          </w:tcPr>
          <w:p w14:paraId="3F3001D7" w14:textId="77777777" w:rsidR="00946CA2" w:rsidRDefault="00946CA2">
            <w:pPr>
              <w:pStyle w:val="TableParagraph"/>
              <w:rPr>
                <w:rFonts w:ascii="Times New Roman"/>
              </w:rPr>
            </w:pPr>
          </w:p>
          <w:p w14:paraId="2FC37DEE" w14:textId="77777777" w:rsidR="00946CA2" w:rsidRDefault="00946CA2">
            <w:pPr>
              <w:pStyle w:val="TableParagraph"/>
              <w:rPr>
                <w:rFonts w:ascii="Times New Roman"/>
              </w:rPr>
            </w:pPr>
          </w:p>
          <w:p w14:paraId="79C2F1B8" w14:textId="77777777" w:rsidR="00946CA2" w:rsidRDefault="00946CA2">
            <w:pPr>
              <w:pStyle w:val="TableParagraph"/>
              <w:rPr>
                <w:rFonts w:ascii="Times New Roman"/>
              </w:rPr>
            </w:pPr>
          </w:p>
          <w:p w14:paraId="46C00D04" w14:textId="77777777" w:rsidR="00946CA2" w:rsidRDefault="00946CA2">
            <w:pPr>
              <w:pStyle w:val="TableParagraph"/>
              <w:spacing w:before="63"/>
              <w:rPr>
                <w:rFonts w:ascii="Times New Roman"/>
              </w:rPr>
            </w:pPr>
          </w:p>
          <w:p w14:paraId="50C01EF4" w14:textId="29355149" w:rsidR="00946CA2" w:rsidRDefault="00000000">
            <w:pPr>
              <w:pStyle w:val="TableParagraph"/>
              <w:ind w:left="13" w:right="2"/>
              <w:jc w:val="center"/>
              <w:rPr>
                <w:rFonts w:ascii="Arial Black"/>
              </w:rPr>
            </w:pPr>
            <w:r>
              <w:rPr>
                <w:rFonts w:ascii="Arial Black"/>
                <w:color w:val="1F4E79"/>
                <w:spacing w:val="-7"/>
              </w:rPr>
              <w:t>Main</w:t>
            </w:r>
            <w:r>
              <w:rPr>
                <w:rFonts w:ascii="Arial Black"/>
                <w:color w:val="1F4E79"/>
                <w:spacing w:val="-15"/>
              </w:rPr>
              <w:t xml:space="preserve"> </w:t>
            </w:r>
            <w:r w:rsidR="006C04C4">
              <w:rPr>
                <w:rFonts w:ascii="Arial Black"/>
                <w:color w:val="1F4E79"/>
                <w:spacing w:val="-2"/>
              </w:rPr>
              <w:t>outcomes</w:t>
            </w:r>
          </w:p>
        </w:tc>
        <w:tc>
          <w:tcPr>
            <w:tcW w:w="7477" w:type="dxa"/>
          </w:tcPr>
          <w:p w14:paraId="746D72B8" w14:textId="17DA9AA3" w:rsidR="006C04C4" w:rsidRPr="006C04C4" w:rsidRDefault="006C04C4">
            <w:pPr>
              <w:pStyle w:val="TableParagraph"/>
              <w:spacing w:before="12" w:line="309" w:lineRule="auto"/>
              <w:ind w:left="107"/>
              <w:rPr>
                <w:b/>
                <w:bCs/>
                <w:color w:val="1F4E79"/>
                <w:w w:val="105"/>
              </w:rPr>
            </w:pPr>
            <w:r w:rsidRPr="006C04C4">
              <w:rPr>
                <w:b/>
                <w:bCs/>
                <w:color w:val="1F4E79"/>
                <w:w w:val="105"/>
              </w:rPr>
              <w:t>The main deliverables:</w:t>
            </w:r>
          </w:p>
          <w:p w14:paraId="7DAD7FC0" w14:textId="2D288642" w:rsidR="006C04C4" w:rsidRPr="006C04C4" w:rsidRDefault="006C04C4" w:rsidP="006C04C4">
            <w:pPr>
              <w:pStyle w:val="TableParagraph"/>
              <w:spacing w:before="12" w:line="309" w:lineRule="auto"/>
              <w:ind w:left="107"/>
              <w:rPr>
                <w:color w:val="1F4E79"/>
                <w:w w:val="105"/>
                <w:lang w:val="en-GB"/>
              </w:rPr>
            </w:pPr>
            <w:r w:rsidRPr="006C04C4">
              <w:rPr>
                <w:color w:val="1F4E79"/>
                <w:w w:val="105"/>
                <w:lang w:val="en-GB"/>
              </w:rPr>
              <w:t>1) Szegedi Vízmű Zrt. (PP2) completed the modernization of Szeged wastewater treatment plant by installing all the relevant equipmen</w:t>
            </w:r>
            <w:r>
              <w:rPr>
                <w:color w:val="1F4E79"/>
                <w:w w:val="105"/>
                <w:lang w:val="en-GB"/>
              </w:rPr>
              <w:t>t</w:t>
            </w:r>
            <w:r w:rsidRPr="006C04C4">
              <w:rPr>
                <w:color w:val="1F4E79"/>
                <w:w w:val="105"/>
                <w:lang w:val="en-GB"/>
              </w:rPr>
              <w:t>.</w:t>
            </w:r>
          </w:p>
          <w:p w14:paraId="040AE4E9" w14:textId="3C2810E6" w:rsidR="006C04C4" w:rsidRPr="006C04C4" w:rsidRDefault="006C04C4" w:rsidP="006C04C4">
            <w:pPr>
              <w:pStyle w:val="TableParagraph"/>
              <w:spacing w:before="12" w:line="309" w:lineRule="auto"/>
              <w:ind w:left="107"/>
              <w:rPr>
                <w:color w:val="1F4E79"/>
                <w:w w:val="105"/>
                <w:lang w:val="en-GB"/>
              </w:rPr>
            </w:pPr>
            <w:r w:rsidRPr="006C04C4">
              <w:rPr>
                <w:color w:val="1F4E79"/>
                <w:w w:val="105"/>
                <w:lang w:val="en-GB"/>
              </w:rPr>
              <w:t xml:space="preserve">2) The technical engineering </w:t>
            </w:r>
            <w:r w:rsidR="00166451">
              <w:rPr>
                <w:color w:val="1F4E79"/>
                <w:w w:val="105"/>
                <w:lang w:val="en-GB"/>
              </w:rPr>
              <w:t xml:space="preserve">plans </w:t>
            </w:r>
            <w:r w:rsidRPr="006C04C4">
              <w:rPr>
                <w:color w:val="1F4E79"/>
                <w:w w:val="105"/>
                <w:lang w:val="en-GB"/>
              </w:rPr>
              <w:t>for the building/ equipping of the 4 wastewater treatment plants in Arad County</w:t>
            </w:r>
            <w:r w:rsidR="00166451">
              <w:rPr>
                <w:color w:val="1F4E79"/>
                <w:w w:val="105"/>
                <w:lang w:val="en-GB"/>
              </w:rPr>
              <w:t xml:space="preserve"> were</w:t>
            </w:r>
            <w:r w:rsidRPr="006C04C4">
              <w:rPr>
                <w:color w:val="1F4E79"/>
                <w:w w:val="105"/>
                <w:lang w:val="en-GB"/>
              </w:rPr>
              <w:t xml:space="preserve"> elaborat</w:t>
            </w:r>
            <w:r w:rsidR="00166451">
              <w:rPr>
                <w:color w:val="1F4E79"/>
                <w:w w:val="105"/>
                <w:lang w:val="en-GB"/>
              </w:rPr>
              <w:t>ed</w:t>
            </w:r>
            <w:r w:rsidRPr="006C04C4">
              <w:rPr>
                <w:color w:val="1F4E79"/>
                <w:w w:val="105"/>
                <w:lang w:val="en-GB"/>
              </w:rPr>
              <w:t>.</w:t>
            </w:r>
          </w:p>
          <w:p w14:paraId="30FC715F" w14:textId="06B36D51" w:rsidR="006C04C4" w:rsidRPr="006C04C4" w:rsidRDefault="006C04C4" w:rsidP="006C04C4">
            <w:pPr>
              <w:pStyle w:val="TableParagraph"/>
              <w:spacing w:before="12" w:line="309" w:lineRule="auto"/>
              <w:ind w:left="107"/>
              <w:rPr>
                <w:color w:val="1F4E79"/>
                <w:w w:val="105"/>
                <w:lang w:val="en-GB"/>
              </w:rPr>
            </w:pPr>
            <w:r w:rsidRPr="006C04C4">
              <w:rPr>
                <w:color w:val="1F4E79"/>
                <w:w w:val="105"/>
                <w:lang w:val="en-GB"/>
              </w:rPr>
              <w:t xml:space="preserve">3) Renovation works at Algyo wastewater treatment plant </w:t>
            </w:r>
            <w:r>
              <w:rPr>
                <w:color w:val="1F4E79"/>
                <w:w w:val="105"/>
                <w:lang w:val="en-GB"/>
              </w:rPr>
              <w:t xml:space="preserve">were </w:t>
            </w:r>
            <w:r w:rsidRPr="006C04C4">
              <w:rPr>
                <w:color w:val="1F4E79"/>
                <w:w w:val="105"/>
                <w:lang w:val="en-GB"/>
              </w:rPr>
              <w:t>completed by PP3.</w:t>
            </w:r>
          </w:p>
          <w:p w14:paraId="5F96223A" w14:textId="1997D5B5" w:rsidR="006C04C4" w:rsidRPr="006C04C4" w:rsidRDefault="006C04C4" w:rsidP="006C04C4">
            <w:pPr>
              <w:pStyle w:val="TableParagraph"/>
              <w:spacing w:before="12" w:line="309" w:lineRule="auto"/>
              <w:ind w:left="107"/>
              <w:rPr>
                <w:color w:val="1F4E79"/>
                <w:w w:val="105"/>
                <w:lang w:val="en-GB"/>
              </w:rPr>
            </w:pPr>
            <w:r w:rsidRPr="006C04C4">
              <w:rPr>
                <w:color w:val="1F4E79"/>
                <w:w w:val="105"/>
                <w:lang w:val="en-GB"/>
              </w:rPr>
              <w:t xml:space="preserve">4) Szegedi Vízmű Zrt. (PP2) </w:t>
            </w:r>
            <w:r w:rsidRPr="00666495">
              <w:rPr>
                <w:color w:val="1F4E79"/>
                <w:w w:val="105"/>
                <w:lang w:val="en-GB"/>
              </w:rPr>
              <w:t>carr</w:t>
            </w:r>
            <w:r w:rsidR="00D17EC0" w:rsidRPr="00666495">
              <w:rPr>
                <w:color w:val="1F4E79"/>
                <w:w w:val="105"/>
                <w:lang w:val="en-GB"/>
              </w:rPr>
              <w:t>ied</w:t>
            </w:r>
            <w:r w:rsidRPr="00666495">
              <w:rPr>
                <w:color w:val="1F4E79"/>
                <w:w w:val="105"/>
                <w:lang w:val="en-GB"/>
              </w:rPr>
              <w:t xml:space="preserve"> out research and analysis </w:t>
            </w:r>
            <w:r w:rsidR="00D17EC0" w:rsidRPr="00666495">
              <w:rPr>
                <w:color w:val="1F4E79"/>
                <w:w w:val="105"/>
                <w:lang w:val="en-GB"/>
              </w:rPr>
              <w:t xml:space="preserve">and </w:t>
            </w:r>
            <w:r w:rsidRPr="00666495">
              <w:rPr>
                <w:color w:val="1F4E79"/>
                <w:w w:val="105"/>
                <w:lang w:val="en-GB"/>
              </w:rPr>
              <w:t>develop</w:t>
            </w:r>
            <w:r w:rsidR="006F7085" w:rsidRPr="00666495">
              <w:rPr>
                <w:color w:val="1F4E79"/>
                <w:w w:val="105"/>
                <w:lang w:val="en-GB"/>
              </w:rPr>
              <w:t>ed</w:t>
            </w:r>
            <w:r w:rsidRPr="00666495">
              <w:rPr>
                <w:color w:val="1F4E79"/>
                <w:w w:val="105"/>
                <w:lang w:val="en-GB"/>
              </w:rPr>
              <w:t xml:space="preserve"> a joint study of technological developments and changes on both sides of the border</w:t>
            </w:r>
            <w:r w:rsidR="00666495">
              <w:rPr>
                <w:color w:val="1F4E79"/>
                <w:w w:val="105"/>
                <w:lang w:val="en-GB"/>
              </w:rPr>
              <w:t>.</w:t>
            </w:r>
          </w:p>
          <w:p w14:paraId="1DABE74F" w14:textId="36E307F8" w:rsidR="006C04C4" w:rsidRPr="006C04C4" w:rsidRDefault="006C04C4" w:rsidP="006C04C4">
            <w:pPr>
              <w:pStyle w:val="TableParagraph"/>
              <w:spacing w:before="12" w:line="309" w:lineRule="auto"/>
              <w:ind w:left="107"/>
              <w:rPr>
                <w:color w:val="1F4E79"/>
                <w:w w:val="105"/>
                <w:lang w:val="en-GB"/>
              </w:rPr>
            </w:pPr>
            <w:r w:rsidRPr="006C04C4">
              <w:rPr>
                <w:color w:val="1F4E79"/>
                <w:w w:val="105"/>
                <w:lang w:val="en-GB"/>
              </w:rPr>
              <w:t xml:space="preserve">5) Development of 4 </w:t>
            </w:r>
            <w:r>
              <w:rPr>
                <w:color w:val="1F4E79"/>
                <w:w w:val="105"/>
                <w:lang w:val="en-GB"/>
              </w:rPr>
              <w:t>wastewater</w:t>
            </w:r>
            <w:r w:rsidRPr="006C04C4">
              <w:rPr>
                <w:color w:val="1F4E79"/>
                <w:w w:val="105"/>
                <w:lang w:val="en-GB"/>
              </w:rPr>
              <w:t xml:space="preserve"> treatment facilities in Romania: </w:t>
            </w:r>
          </w:p>
          <w:p w14:paraId="66D58C2D" w14:textId="77777777" w:rsidR="006C04C4" w:rsidRPr="006C04C4" w:rsidRDefault="006C04C4" w:rsidP="00F8150B">
            <w:pPr>
              <w:pStyle w:val="TableParagraph"/>
              <w:spacing w:before="12" w:line="309" w:lineRule="auto"/>
              <w:ind w:left="720"/>
              <w:rPr>
                <w:color w:val="1F4E79"/>
                <w:w w:val="105"/>
                <w:lang w:val="en-GB"/>
              </w:rPr>
            </w:pPr>
            <w:r w:rsidRPr="006C04C4">
              <w:rPr>
                <w:color w:val="1F4E79"/>
                <w:w w:val="105"/>
                <w:lang w:val="en-GB"/>
              </w:rPr>
              <w:t>a) Construction works, installations and equipment at the Lipova treatment plant;</w:t>
            </w:r>
          </w:p>
          <w:p w14:paraId="296F8951" w14:textId="77777777" w:rsidR="006C04C4" w:rsidRPr="006C04C4" w:rsidRDefault="006C04C4" w:rsidP="00F8150B">
            <w:pPr>
              <w:pStyle w:val="TableParagraph"/>
              <w:spacing w:before="12" w:line="309" w:lineRule="auto"/>
              <w:ind w:left="720"/>
              <w:rPr>
                <w:color w:val="1F4E79"/>
                <w:w w:val="105"/>
                <w:lang w:val="en-GB"/>
              </w:rPr>
            </w:pPr>
            <w:r w:rsidRPr="006C04C4">
              <w:rPr>
                <w:color w:val="1F4E79"/>
                <w:w w:val="105"/>
                <w:lang w:val="en-GB"/>
              </w:rPr>
              <w:t>b) Equipment for technological objects at Ineu treatment plant;</w:t>
            </w:r>
          </w:p>
          <w:p w14:paraId="36F3C2A4" w14:textId="77777777" w:rsidR="006C04C4" w:rsidRPr="006C04C4" w:rsidRDefault="006C04C4" w:rsidP="00F8150B">
            <w:pPr>
              <w:pStyle w:val="TableParagraph"/>
              <w:spacing w:before="12" w:line="309" w:lineRule="auto"/>
              <w:ind w:left="720"/>
              <w:rPr>
                <w:color w:val="1F4E79"/>
                <w:w w:val="105"/>
                <w:lang w:val="en-GB"/>
              </w:rPr>
            </w:pPr>
            <w:r w:rsidRPr="006C04C4">
              <w:rPr>
                <w:color w:val="1F4E79"/>
                <w:w w:val="105"/>
                <w:lang w:val="en-GB"/>
              </w:rPr>
              <w:t>c) Equipment for technological objects at the Arad treatment plant</w:t>
            </w:r>
          </w:p>
          <w:p w14:paraId="407EDBBB" w14:textId="77777777" w:rsidR="006C04C4" w:rsidRPr="006C04C4" w:rsidRDefault="006C04C4" w:rsidP="00F8150B">
            <w:pPr>
              <w:pStyle w:val="TableParagraph"/>
              <w:spacing w:before="12" w:line="309" w:lineRule="auto"/>
              <w:ind w:left="720"/>
              <w:rPr>
                <w:color w:val="1F4E79"/>
                <w:w w:val="105"/>
                <w:lang w:val="en-GB"/>
              </w:rPr>
            </w:pPr>
            <w:r w:rsidRPr="006C04C4">
              <w:rPr>
                <w:color w:val="1F4E79"/>
                <w:w w:val="105"/>
                <w:lang w:val="en-GB"/>
              </w:rPr>
              <w:lastRenderedPageBreak/>
              <w:t>d) Construction of a new treatment plant at Gurahont, installation of the purchased equipment;</w:t>
            </w:r>
          </w:p>
          <w:p w14:paraId="57DA24B8" w14:textId="77777777" w:rsidR="006C04C4" w:rsidRDefault="006C04C4">
            <w:pPr>
              <w:pStyle w:val="TableParagraph"/>
              <w:spacing w:before="12" w:line="309" w:lineRule="auto"/>
              <w:ind w:left="107"/>
              <w:rPr>
                <w:color w:val="1F4E79"/>
                <w:w w:val="105"/>
              </w:rPr>
            </w:pPr>
          </w:p>
          <w:p w14:paraId="31B8B2EA" w14:textId="77777777" w:rsidR="006C04C4" w:rsidRPr="006C04C4" w:rsidRDefault="006C04C4" w:rsidP="006C04C4">
            <w:pPr>
              <w:pStyle w:val="TableParagraph"/>
              <w:spacing w:before="12" w:line="309" w:lineRule="auto"/>
              <w:ind w:left="107"/>
              <w:rPr>
                <w:b/>
                <w:bCs/>
                <w:color w:val="1F4E79"/>
                <w:w w:val="105"/>
              </w:rPr>
            </w:pPr>
            <w:r w:rsidRPr="006C04C4">
              <w:rPr>
                <w:b/>
                <w:bCs/>
                <w:color w:val="1F4E79"/>
                <w:w w:val="105"/>
              </w:rPr>
              <w:t>The main results achieved:</w:t>
            </w:r>
          </w:p>
          <w:p w14:paraId="4AA9546D" w14:textId="77777777" w:rsidR="00AB0C3E" w:rsidRPr="00AB0C3E" w:rsidRDefault="00AB0C3E" w:rsidP="00AB0C3E">
            <w:pPr>
              <w:pStyle w:val="TableParagraph"/>
              <w:spacing w:line="268" w:lineRule="auto"/>
              <w:ind w:left="107" w:right="97"/>
              <w:jc w:val="both"/>
              <w:rPr>
                <w:color w:val="1F4E79"/>
                <w:w w:val="105"/>
                <w:lang w:val="en-GB"/>
              </w:rPr>
            </w:pPr>
            <w:r w:rsidRPr="00AB0C3E">
              <w:rPr>
                <w:color w:val="1F4E79"/>
                <w:w w:val="105"/>
                <w:lang w:val="en-GB"/>
              </w:rPr>
              <w:t>1) Improving the quality of the Crisul Alb, Mureş and Tisa rivers and ensuring the long-term sustainability of a proper water quality discharged into the landfill in accordance with the requirements of Directive 91/271 / EEC on urban waste water treatment as amended by Directive 98/15 / EC, aimed at ensuring that the requirements of Directive 2000/60 / EC establishing a Community policy framework water.</w:t>
            </w:r>
          </w:p>
          <w:p w14:paraId="5D18A679" w14:textId="77777777" w:rsidR="00AB0C3E" w:rsidRPr="00AB0C3E" w:rsidRDefault="00AB0C3E" w:rsidP="00AB0C3E">
            <w:pPr>
              <w:pStyle w:val="TableParagraph"/>
              <w:spacing w:line="268" w:lineRule="auto"/>
              <w:ind w:left="107" w:right="97"/>
              <w:jc w:val="both"/>
              <w:rPr>
                <w:color w:val="1F4E79"/>
                <w:w w:val="105"/>
                <w:lang w:val="en-GB"/>
              </w:rPr>
            </w:pPr>
            <w:r w:rsidRPr="00AB0C3E">
              <w:rPr>
                <w:color w:val="1F4E79"/>
                <w:w w:val="105"/>
                <w:lang w:val="en-GB"/>
              </w:rPr>
              <w:t>2) Increase the efficiency of waste water treatment processes at their facilities, to preserv and improve the water quality of surface and groundwater bodies;</w:t>
            </w:r>
          </w:p>
          <w:p w14:paraId="15B757BC" w14:textId="77777777" w:rsidR="00AB0C3E" w:rsidRPr="00AB0C3E" w:rsidRDefault="00AB0C3E" w:rsidP="00AB0C3E">
            <w:pPr>
              <w:pStyle w:val="TableParagraph"/>
              <w:spacing w:line="268" w:lineRule="auto"/>
              <w:ind w:left="107" w:right="97"/>
              <w:jc w:val="both"/>
              <w:rPr>
                <w:color w:val="1F4E79"/>
                <w:w w:val="105"/>
                <w:lang w:val="en-GB"/>
              </w:rPr>
            </w:pPr>
            <w:r w:rsidRPr="00AB0C3E">
              <w:rPr>
                <w:color w:val="1F4E79"/>
                <w:w w:val="105"/>
                <w:lang w:val="en-GB"/>
              </w:rPr>
              <w:t>3) Remove polluant and potentially toxic infectious substances in dissolved and floating form, most ofnitrogen, phosphorus and potassium in the treated water discharged into various water courses (Cris, Mures, Tisa).</w:t>
            </w:r>
          </w:p>
          <w:p w14:paraId="3053E64C" w14:textId="77777777" w:rsidR="00AB0C3E" w:rsidRDefault="00AB0C3E" w:rsidP="006C04C4">
            <w:pPr>
              <w:pStyle w:val="TableParagraph"/>
              <w:spacing w:line="268" w:lineRule="auto"/>
              <w:ind w:left="107" w:right="97"/>
              <w:jc w:val="both"/>
              <w:rPr>
                <w:color w:val="1F4E79"/>
                <w:w w:val="105"/>
              </w:rPr>
            </w:pPr>
          </w:p>
          <w:p w14:paraId="1FA45A01" w14:textId="77777777" w:rsidR="004B0312" w:rsidRPr="00542B36" w:rsidRDefault="004B0312" w:rsidP="00542B36">
            <w:pPr>
              <w:pStyle w:val="TableParagraph"/>
              <w:spacing w:before="12" w:line="309" w:lineRule="auto"/>
              <w:ind w:left="107"/>
              <w:rPr>
                <w:b/>
                <w:bCs/>
                <w:color w:val="1F4E79"/>
                <w:w w:val="105"/>
              </w:rPr>
            </w:pPr>
            <w:r w:rsidRPr="00542B36">
              <w:rPr>
                <w:b/>
                <w:bCs/>
                <w:color w:val="1F4E79"/>
                <w:w w:val="105"/>
              </w:rPr>
              <w:t>The main indicator:</w:t>
            </w:r>
          </w:p>
          <w:p w14:paraId="757061EF" w14:textId="5ED6D0E3" w:rsidR="00946CA2" w:rsidRPr="00542B36" w:rsidRDefault="004B0312" w:rsidP="00542B36">
            <w:pPr>
              <w:pStyle w:val="TableParagraph"/>
              <w:spacing w:line="268" w:lineRule="auto"/>
              <w:ind w:left="107" w:right="97"/>
              <w:jc w:val="both"/>
              <w:rPr>
                <w:color w:val="1F4E79"/>
                <w:w w:val="105"/>
              </w:rPr>
            </w:pPr>
            <w:r w:rsidRPr="004B0312">
              <w:rPr>
                <w:color w:val="1F4E79"/>
                <w:w w:val="105"/>
              </w:rPr>
              <w:t>Project ROHU–208 contributed to the Programme Output Indicator „6/b - Number of measurement points positively affected by the interventions (after the completion of the project)” by reaching a total of 6 measurement points affected by the interventions</w:t>
            </w:r>
            <w:r w:rsidR="00542B36">
              <w:rPr>
                <w:color w:val="1F4E79"/>
                <w:w w:val="105"/>
              </w:rPr>
              <w:t>, namely</w:t>
            </w:r>
            <w:r>
              <w:rPr>
                <w:color w:val="1F4E79"/>
                <w:w w:val="105"/>
              </w:rPr>
              <w:t>:</w:t>
            </w:r>
          </w:p>
          <w:p w14:paraId="736A1238" w14:textId="77777777" w:rsidR="00946CA2" w:rsidRDefault="00000000" w:rsidP="00542B36">
            <w:pPr>
              <w:pStyle w:val="TableParagraph"/>
              <w:numPr>
                <w:ilvl w:val="0"/>
                <w:numId w:val="1"/>
              </w:numPr>
              <w:tabs>
                <w:tab w:val="left" w:pos="1548"/>
              </w:tabs>
              <w:ind w:left="1555"/>
            </w:pPr>
            <w:r>
              <w:rPr>
                <w:color w:val="1F4E79"/>
                <w:w w:val="105"/>
              </w:rPr>
              <w:t>the</w:t>
            </w:r>
            <w:r>
              <w:rPr>
                <w:color w:val="1F4E79"/>
                <w:spacing w:val="49"/>
                <w:w w:val="105"/>
              </w:rPr>
              <w:t xml:space="preserve"> </w:t>
            </w:r>
            <w:r>
              <w:rPr>
                <w:color w:val="1F4E79"/>
                <w:w w:val="105"/>
              </w:rPr>
              <w:t>"Hydro</w:t>
            </w:r>
            <w:r>
              <w:rPr>
                <w:color w:val="1F4E79"/>
                <w:spacing w:val="48"/>
                <w:w w:val="105"/>
              </w:rPr>
              <w:t xml:space="preserve"> </w:t>
            </w:r>
            <w:r>
              <w:rPr>
                <w:color w:val="1F4E79"/>
                <w:w w:val="105"/>
              </w:rPr>
              <w:t>Ineu</w:t>
            </w:r>
            <w:r>
              <w:rPr>
                <w:color w:val="1F4E79"/>
                <w:spacing w:val="48"/>
                <w:w w:val="105"/>
              </w:rPr>
              <w:t xml:space="preserve"> </w:t>
            </w:r>
            <w:r>
              <w:rPr>
                <w:color w:val="1F4E79"/>
                <w:w w:val="105"/>
              </w:rPr>
              <w:t>Station"</w:t>
            </w:r>
            <w:r>
              <w:rPr>
                <w:color w:val="1F4E79"/>
                <w:spacing w:val="-12"/>
                <w:w w:val="105"/>
              </w:rPr>
              <w:t xml:space="preserve"> </w:t>
            </w:r>
            <w:r>
              <w:rPr>
                <w:color w:val="1F4E79"/>
                <w:w w:val="105"/>
              </w:rPr>
              <w:t>measuring</w:t>
            </w:r>
            <w:r>
              <w:rPr>
                <w:color w:val="1F4E79"/>
                <w:spacing w:val="-12"/>
                <w:w w:val="105"/>
              </w:rPr>
              <w:t xml:space="preserve"> </w:t>
            </w:r>
            <w:r>
              <w:rPr>
                <w:color w:val="1F4E79"/>
                <w:spacing w:val="-2"/>
                <w:w w:val="105"/>
              </w:rPr>
              <w:t>point</w:t>
            </w:r>
          </w:p>
          <w:p w14:paraId="4749ED0C" w14:textId="77777777" w:rsidR="00946CA2" w:rsidRDefault="00000000">
            <w:pPr>
              <w:pStyle w:val="TableParagraph"/>
              <w:numPr>
                <w:ilvl w:val="0"/>
                <w:numId w:val="1"/>
              </w:numPr>
              <w:tabs>
                <w:tab w:val="left" w:pos="1548"/>
              </w:tabs>
              <w:spacing w:before="35"/>
            </w:pPr>
            <w:r>
              <w:rPr>
                <w:color w:val="1F4E79"/>
                <w:w w:val="105"/>
              </w:rPr>
              <w:t>the</w:t>
            </w:r>
            <w:r>
              <w:rPr>
                <w:color w:val="1F4E79"/>
                <w:spacing w:val="-11"/>
                <w:w w:val="105"/>
              </w:rPr>
              <w:t xml:space="preserve"> </w:t>
            </w:r>
            <w:r>
              <w:rPr>
                <w:color w:val="1F4E79"/>
                <w:w w:val="105"/>
              </w:rPr>
              <w:t>"Radna</w:t>
            </w:r>
            <w:r>
              <w:rPr>
                <w:color w:val="1F4E79"/>
                <w:spacing w:val="-11"/>
                <w:w w:val="105"/>
              </w:rPr>
              <w:t xml:space="preserve"> </w:t>
            </w:r>
            <w:r>
              <w:rPr>
                <w:color w:val="1F4E79"/>
                <w:w w:val="105"/>
              </w:rPr>
              <w:t>/</w:t>
            </w:r>
            <w:r>
              <w:rPr>
                <w:color w:val="1F4E79"/>
                <w:spacing w:val="-11"/>
                <w:w w:val="105"/>
              </w:rPr>
              <w:t xml:space="preserve"> </w:t>
            </w:r>
            <w:r>
              <w:rPr>
                <w:color w:val="1F4E79"/>
                <w:w w:val="105"/>
              </w:rPr>
              <w:t>Lipova"</w:t>
            </w:r>
            <w:r>
              <w:rPr>
                <w:color w:val="1F4E79"/>
                <w:spacing w:val="-13"/>
                <w:w w:val="105"/>
              </w:rPr>
              <w:t xml:space="preserve"> </w:t>
            </w:r>
            <w:r>
              <w:rPr>
                <w:color w:val="1F4E79"/>
                <w:w w:val="105"/>
              </w:rPr>
              <w:t>measuring</w:t>
            </w:r>
            <w:r>
              <w:rPr>
                <w:color w:val="1F4E79"/>
                <w:spacing w:val="-13"/>
                <w:w w:val="105"/>
              </w:rPr>
              <w:t xml:space="preserve"> </w:t>
            </w:r>
            <w:r>
              <w:rPr>
                <w:color w:val="1F4E79"/>
                <w:spacing w:val="-2"/>
                <w:w w:val="105"/>
              </w:rPr>
              <w:t>point</w:t>
            </w:r>
          </w:p>
          <w:p w14:paraId="7A17C530" w14:textId="77777777" w:rsidR="00946CA2" w:rsidRDefault="00000000">
            <w:pPr>
              <w:pStyle w:val="TableParagraph"/>
              <w:numPr>
                <w:ilvl w:val="0"/>
                <w:numId w:val="1"/>
              </w:numPr>
              <w:tabs>
                <w:tab w:val="left" w:pos="1548"/>
              </w:tabs>
              <w:spacing w:before="34"/>
            </w:pPr>
            <w:r>
              <w:rPr>
                <w:color w:val="1F4E79"/>
              </w:rPr>
              <w:t>the</w:t>
            </w:r>
            <w:r>
              <w:rPr>
                <w:color w:val="1F4E79"/>
                <w:spacing w:val="39"/>
              </w:rPr>
              <w:t xml:space="preserve"> </w:t>
            </w:r>
            <w:r>
              <w:rPr>
                <w:color w:val="1F4E79"/>
              </w:rPr>
              <w:t>"Zadareni"</w:t>
            </w:r>
            <w:r>
              <w:rPr>
                <w:color w:val="1F4E79"/>
                <w:spacing w:val="34"/>
              </w:rPr>
              <w:t xml:space="preserve"> </w:t>
            </w:r>
            <w:r>
              <w:rPr>
                <w:color w:val="1F4E79"/>
              </w:rPr>
              <w:t>measuring</w:t>
            </w:r>
            <w:r>
              <w:rPr>
                <w:color w:val="1F4E79"/>
                <w:spacing w:val="36"/>
              </w:rPr>
              <w:t xml:space="preserve"> </w:t>
            </w:r>
            <w:r>
              <w:rPr>
                <w:color w:val="1F4E79"/>
                <w:spacing w:val="-4"/>
              </w:rPr>
              <w:t>point</w:t>
            </w:r>
          </w:p>
          <w:p w14:paraId="7CF4CEDA" w14:textId="77777777" w:rsidR="00946CA2" w:rsidRDefault="00000000">
            <w:pPr>
              <w:pStyle w:val="TableParagraph"/>
              <w:numPr>
                <w:ilvl w:val="0"/>
                <w:numId w:val="1"/>
              </w:numPr>
              <w:tabs>
                <w:tab w:val="left" w:pos="1548"/>
              </w:tabs>
              <w:spacing w:before="35"/>
            </w:pPr>
            <w:r>
              <w:rPr>
                <w:color w:val="1F4E79"/>
                <w:w w:val="105"/>
              </w:rPr>
              <w:t>the</w:t>
            </w:r>
            <w:r>
              <w:rPr>
                <w:color w:val="1F4E79"/>
                <w:spacing w:val="-7"/>
                <w:w w:val="105"/>
              </w:rPr>
              <w:t xml:space="preserve"> </w:t>
            </w:r>
            <w:r>
              <w:rPr>
                <w:color w:val="1F4E79"/>
                <w:w w:val="105"/>
              </w:rPr>
              <w:t>"Cil"</w:t>
            </w:r>
            <w:r>
              <w:rPr>
                <w:color w:val="1F4E79"/>
                <w:spacing w:val="-9"/>
                <w:w w:val="105"/>
              </w:rPr>
              <w:t xml:space="preserve"> </w:t>
            </w:r>
            <w:r>
              <w:rPr>
                <w:color w:val="1F4E79"/>
                <w:w w:val="105"/>
              </w:rPr>
              <w:t>measuring</w:t>
            </w:r>
            <w:r>
              <w:rPr>
                <w:color w:val="1F4E79"/>
                <w:spacing w:val="-9"/>
                <w:w w:val="105"/>
              </w:rPr>
              <w:t xml:space="preserve"> </w:t>
            </w:r>
            <w:r>
              <w:rPr>
                <w:color w:val="1F4E79"/>
                <w:spacing w:val="-2"/>
                <w:w w:val="105"/>
              </w:rPr>
              <w:t>point</w:t>
            </w:r>
          </w:p>
          <w:p w14:paraId="56B06A52" w14:textId="77777777" w:rsidR="00946CA2" w:rsidRDefault="00000000">
            <w:pPr>
              <w:pStyle w:val="TableParagraph"/>
              <w:numPr>
                <w:ilvl w:val="0"/>
                <w:numId w:val="1"/>
              </w:numPr>
              <w:tabs>
                <w:tab w:val="left" w:pos="1548"/>
              </w:tabs>
              <w:spacing w:before="34"/>
            </w:pPr>
            <w:r>
              <w:rPr>
                <w:color w:val="1F4E79"/>
                <w:w w:val="105"/>
              </w:rPr>
              <w:t>the</w:t>
            </w:r>
            <w:r>
              <w:rPr>
                <w:color w:val="1F4E79"/>
                <w:spacing w:val="-18"/>
                <w:w w:val="105"/>
              </w:rPr>
              <w:t xml:space="preserve"> </w:t>
            </w:r>
            <w:r>
              <w:rPr>
                <w:color w:val="1F4E79"/>
                <w:w w:val="105"/>
              </w:rPr>
              <w:t>„Tiszasziget,</w:t>
            </w:r>
            <w:r>
              <w:rPr>
                <w:color w:val="1F4E79"/>
                <w:spacing w:val="-16"/>
                <w:w w:val="105"/>
              </w:rPr>
              <w:t xml:space="preserve"> </w:t>
            </w:r>
            <w:r>
              <w:rPr>
                <w:color w:val="1F4E79"/>
                <w:w w:val="105"/>
              </w:rPr>
              <w:t>State</w:t>
            </w:r>
            <w:r>
              <w:rPr>
                <w:color w:val="1F4E79"/>
                <w:spacing w:val="-17"/>
                <w:w w:val="105"/>
              </w:rPr>
              <w:t xml:space="preserve"> </w:t>
            </w:r>
            <w:r>
              <w:rPr>
                <w:color w:val="1F4E79"/>
                <w:w w:val="105"/>
              </w:rPr>
              <w:t>border”</w:t>
            </w:r>
            <w:r>
              <w:rPr>
                <w:color w:val="1F4E79"/>
                <w:spacing w:val="-18"/>
                <w:w w:val="105"/>
              </w:rPr>
              <w:t xml:space="preserve"> </w:t>
            </w:r>
            <w:r>
              <w:rPr>
                <w:color w:val="1F4E79"/>
                <w:w w:val="105"/>
              </w:rPr>
              <w:t>measuring</w:t>
            </w:r>
            <w:r>
              <w:rPr>
                <w:color w:val="1F4E79"/>
                <w:spacing w:val="-18"/>
                <w:w w:val="105"/>
              </w:rPr>
              <w:t xml:space="preserve"> </w:t>
            </w:r>
            <w:r>
              <w:rPr>
                <w:color w:val="1F4E79"/>
                <w:spacing w:val="-2"/>
                <w:w w:val="105"/>
              </w:rPr>
              <w:t>point</w:t>
            </w:r>
          </w:p>
          <w:p w14:paraId="23542550" w14:textId="77777777" w:rsidR="00946CA2" w:rsidRPr="00AF4823" w:rsidRDefault="00000000">
            <w:pPr>
              <w:pStyle w:val="TableParagraph"/>
              <w:numPr>
                <w:ilvl w:val="0"/>
                <w:numId w:val="1"/>
              </w:numPr>
              <w:tabs>
                <w:tab w:val="left" w:pos="1548"/>
              </w:tabs>
              <w:spacing w:before="33"/>
            </w:pPr>
            <w:r>
              <w:rPr>
                <w:color w:val="1F4E79"/>
                <w:w w:val="105"/>
              </w:rPr>
              <w:t>the</w:t>
            </w:r>
            <w:r>
              <w:rPr>
                <w:color w:val="1F4E79"/>
                <w:spacing w:val="34"/>
                <w:w w:val="105"/>
              </w:rPr>
              <w:t xml:space="preserve"> </w:t>
            </w:r>
            <w:r>
              <w:rPr>
                <w:color w:val="1F4E79"/>
                <w:w w:val="105"/>
              </w:rPr>
              <w:t>„Szeged</w:t>
            </w:r>
            <w:r>
              <w:rPr>
                <w:color w:val="1F4E79"/>
                <w:spacing w:val="-18"/>
                <w:w w:val="105"/>
              </w:rPr>
              <w:t xml:space="preserve"> </w:t>
            </w:r>
            <w:r>
              <w:rPr>
                <w:color w:val="1F4E79"/>
                <w:w w:val="105"/>
              </w:rPr>
              <w:t>Tápé,</w:t>
            </w:r>
            <w:r>
              <w:rPr>
                <w:color w:val="1F4E79"/>
                <w:spacing w:val="-18"/>
                <w:w w:val="105"/>
              </w:rPr>
              <w:t xml:space="preserve"> </w:t>
            </w:r>
            <w:r>
              <w:rPr>
                <w:color w:val="1F4E79"/>
                <w:w w:val="105"/>
              </w:rPr>
              <w:t>ferry”</w:t>
            </w:r>
            <w:r>
              <w:rPr>
                <w:color w:val="1F4E79"/>
                <w:spacing w:val="-18"/>
                <w:w w:val="105"/>
              </w:rPr>
              <w:t xml:space="preserve"> </w:t>
            </w:r>
            <w:r>
              <w:rPr>
                <w:color w:val="1F4E79"/>
                <w:w w:val="105"/>
              </w:rPr>
              <w:t>measuring</w:t>
            </w:r>
            <w:r>
              <w:rPr>
                <w:color w:val="1F4E79"/>
                <w:spacing w:val="35"/>
                <w:w w:val="105"/>
              </w:rPr>
              <w:t xml:space="preserve"> </w:t>
            </w:r>
            <w:r>
              <w:rPr>
                <w:color w:val="1F4E79"/>
                <w:spacing w:val="-4"/>
                <w:w w:val="105"/>
              </w:rPr>
              <w:t>point</w:t>
            </w:r>
          </w:p>
          <w:p w14:paraId="48EB9FA2" w14:textId="6B7B08BB" w:rsidR="00AF4823" w:rsidRDefault="00AF4823" w:rsidP="00AF4823">
            <w:pPr>
              <w:pStyle w:val="TableParagraph"/>
              <w:tabs>
                <w:tab w:val="left" w:pos="1548"/>
              </w:tabs>
              <w:spacing w:before="33"/>
              <w:ind w:left="138"/>
            </w:pPr>
            <w:r w:rsidRPr="00AF4823">
              <w:rPr>
                <w:color w:val="1F4E79"/>
                <w:w w:val="105"/>
              </w:rPr>
              <w:t xml:space="preserve">The indicator was achieved </w:t>
            </w:r>
            <w:r w:rsidR="00F8150B">
              <w:rPr>
                <w:color w:val="1F4E79"/>
                <w:w w:val="105"/>
              </w:rPr>
              <w:t>in</w:t>
            </w:r>
            <w:r w:rsidRPr="00AF4823">
              <w:rPr>
                <w:color w:val="1F4E79"/>
                <w:w w:val="105"/>
              </w:rPr>
              <w:t xml:space="preserve"> percentage of 100.00%</w:t>
            </w:r>
            <w:r>
              <w:rPr>
                <w:color w:val="1F4E79"/>
                <w:w w:val="105"/>
              </w:rPr>
              <w:t>.</w:t>
            </w:r>
          </w:p>
        </w:tc>
      </w:tr>
    </w:tbl>
    <w:p w14:paraId="523F5E08" w14:textId="77777777" w:rsidR="009E6194" w:rsidRDefault="009E6194"/>
    <w:sectPr w:rsidR="009E6194">
      <w:pgSz w:w="11910" w:h="16840"/>
      <w:pgMar w:top="2140" w:right="708" w:bottom="1520" w:left="1417" w:header="990" w:footer="1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BDEB8" w14:textId="77777777" w:rsidR="00FE069B" w:rsidRDefault="00FE069B">
      <w:r>
        <w:separator/>
      </w:r>
    </w:p>
  </w:endnote>
  <w:endnote w:type="continuationSeparator" w:id="0">
    <w:p w14:paraId="2627A7DF" w14:textId="77777777" w:rsidR="00FE069B" w:rsidRDefault="00FE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5CB5" w14:textId="77777777" w:rsidR="00946CA2" w:rsidRDefault="00000000">
    <w:pPr>
      <w:pStyle w:val="BodyText"/>
      <w:spacing w:line="14" w:lineRule="auto"/>
    </w:pPr>
    <w:r>
      <w:rPr>
        <w:noProof/>
      </w:rPr>
      <mc:AlternateContent>
        <mc:Choice Requires="wps">
          <w:drawing>
            <wp:anchor distT="0" distB="0" distL="0" distR="0" simplePos="0" relativeHeight="487497728" behindDoc="1" locked="0" layoutInCell="1" allowOverlap="1" wp14:anchorId="24846137" wp14:editId="05923128">
              <wp:simplePos x="0" y="0"/>
              <wp:positionH relativeFrom="page">
                <wp:posOffset>902004</wp:posOffset>
              </wp:positionH>
              <wp:positionV relativeFrom="page">
                <wp:posOffset>9710550</wp:posOffset>
              </wp:positionV>
              <wp:extent cx="1818639" cy="1981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198120"/>
                      </a:xfrm>
                      <a:prstGeom prst="rect">
                        <a:avLst/>
                      </a:prstGeom>
                    </wps:spPr>
                    <wps:txbx>
                      <w:txbxContent>
                        <w:p w14:paraId="637DD32F" w14:textId="77777777" w:rsidR="00946CA2" w:rsidRDefault="00000000">
                          <w:pPr>
                            <w:pStyle w:val="BodyText"/>
                            <w:spacing w:before="33"/>
                            <w:ind w:left="20"/>
                          </w:pPr>
                          <w:r>
                            <w:rPr>
                              <w:color w:val="2D74B5"/>
                            </w:rPr>
                            <w:t>Partnership</w:t>
                          </w:r>
                          <w:r>
                            <w:rPr>
                              <w:color w:val="2D74B5"/>
                              <w:spacing w:val="27"/>
                            </w:rPr>
                            <w:t xml:space="preserve"> </w:t>
                          </w:r>
                          <w:r>
                            <w:rPr>
                              <w:color w:val="2D74B5"/>
                            </w:rPr>
                            <w:t>for</w:t>
                          </w:r>
                          <w:r>
                            <w:rPr>
                              <w:color w:val="2D74B5"/>
                              <w:spacing w:val="27"/>
                            </w:rPr>
                            <w:t xml:space="preserve"> </w:t>
                          </w:r>
                          <w:r>
                            <w:rPr>
                              <w:color w:val="2D74B5"/>
                            </w:rPr>
                            <w:t>a</w:t>
                          </w:r>
                          <w:r>
                            <w:rPr>
                              <w:color w:val="2D74B5"/>
                              <w:spacing w:val="26"/>
                            </w:rPr>
                            <w:t xml:space="preserve"> </w:t>
                          </w:r>
                          <w:r>
                            <w:rPr>
                              <w:color w:val="2D74B5"/>
                            </w:rPr>
                            <w:t>better</w:t>
                          </w:r>
                          <w:r>
                            <w:rPr>
                              <w:color w:val="2D74B5"/>
                              <w:spacing w:val="27"/>
                            </w:rPr>
                            <w:t xml:space="preserve"> </w:t>
                          </w:r>
                          <w:r>
                            <w:rPr>
                              <w:color w:val="2D74B5"/>
                              <w:spacing w:val="-2"/>
                            </w:rPr>
                            <w:t>future</w:t>
                          </w:r>
                        </w:p>
                      </w:txbxContent>
                    </wps:txbx>
                    <wps:bodyPr wrap="square" lIns="0" tIns="0" rIns="0" bIns="0" rtlCol="0">
                      <a:noAutofit/>
                    </wps:bodyPr>
                  </wps:wsp>
                </a:graphicData>
              </a:graphic>
            </wp:anchor>
          </w:drawing>
        </mc:Choice>
        <mc:Fallback>
          <w:pict>
            <v:shapetype w14:anchorId="24846137" id="_x0000_t202" coordsize="21600,21600" o:spt="202" path="m,l,21600r21600,l21600,xe">
              <v:stroke joinstyle="miter"/>
              <v:path gradientshapeok="t" o:connecttype="rect"/>
            </v:shapetype>
            <v:shape id="Textbox 4" o:spid="_x0000_s1026" type="#_x0000_t202" style="position:absolute;margin-left:71pt;margin-top:764.6pt;width:143.2pt;height:15.6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" filled="f" stroked="f">
              <v:textbox inset="0,0,0,0">
                <w:txbxContent>
                  <w:p w14:paraId="637DD32F" w14:textId="77777777" w:rsidR="00946CA2" w:rsidRDefault="00000000">
                    <w:pPr>
                      <w:pStyle w:val="BodyText"/>
                      <w:spacing w:before="33"/>
                      <w:ind w:left="20"/>
                    </w:pPr>
                    <w:r>
                      <w:rPr>
                        <w:color w:val="2D74B5"/>
                      </w:rPr>
                      <w:t>Partnership</w:t>
                    </w:r>
                    <w:r>
                      <w:rPr>
                        <w:color w:val="2D74B5"/>
                        <w:spacing w:val="27"/>
                      </w:rPr>
                      <w:t xml:space="preserve"> </w:t>
                    </w:r>
                    <w:r>
                      <w:rPr>
                        <w:color w:val="2D74B5"/>
                      </w:rPr>
                      <w:t>for</w:t>
                    </w:r>
                    <w:r>
                      <w:rPr>
                        <w:color w:val="2D74B5"/>
                        <w:spacing w:val="27"/>
                      </w:rPr>
                      <w:t xml:space="preserve"> </w:t>
                    </w:r>
                    <w:r>
                      <w:rPr>
                        <w:color w:val="2D74B5"/>
                      </w:rPr>
                      <w:t>a</w:t>
                    </w:r>
                    <w:r>
                      <w:rPr>
                        <w:color w:val="2D74B5"/>
                        <w:spacing w:val="26"/>
                      </w:rPr>
                      <w:t xml:space="preserve"> </w:t>
                    </w:r>
                    <w:r>
                      <w:rPr>
                        <w:color w:val="2D74B5"/>
                      </w:rPr>
                      <w:t>better</w:t>
                    </w:r>
                    <w:r>
                      <w:rPr>
                        <w:color w:val="2D74B5"/>
                        <w:spacing w:val="27"/>
                      </w:rPr>
                      <w:t xml:space="preserve"> </w:t>
                    </w:r>
                    <w:r>
                      <w:rPr>
                        <w:color w:val="2D74B5"/>
                        <w:spacing w:val="-2"/>
                      </w:rPr>
                      <w:t>future</w:t>
                    </w:r>
                  </w:p>
                </w:txbxContent>
              </v:textbox>
              <w10:wrap anchorx="page" anchory="page"/>
            </v:shape>
          </w:pict>
        </mc:Fallback>
      </mc:AlternateContent>
    </w:r>
    <w:r>
      <w:rPr>
        <w:noProof/>
      </w:rPr>
      <mc:AlternateContent>
        <mc:Choice Requires="wps">
          <w:drawing>
            <wp:anchor distT="0" distB="0" distL="0" distR="0" simplePos="0" relativeHeight="487498240" behindDoc="1" locked="0" layoutInCell="1" allowOverlap="1" wp14:anchorId="54748B85" wp14:editId="16194BCE">
              <wp:simplePos x="0" y="0"/>
              <wp:positionH relativeFrom="page">
                <wp:posOffset>5325236</wp:posOffset>
              </wp:positionH>
              <wp:positionV relativeFrom="page">
                <wp:posOffset>9710550</wp:posOffset>
              </wp:positionV>
              <wp:extent cx="1374140" cy="3638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140" cy="363855"/>
                      </a:xfrm>
                      <a:prstGeom prst="rect">
                        <a:avLst/>
                      </a:prstGeom>
                    </wps:spPr>
                    <wps:txbx>
                      <w:txbxContent>
                        <w:p w14:paraId="56B64BF4" w14:textId="77777777" w:rsidR="00946CA2" w:rsidRDefault="00946CA2">
                          <w:pPr>
                            <w:pStyle w:val="BodyText"/>
                            <w:spacing w:before="33"/>
                            <w:ind w:left="20"/>
                          </w:pPr>
                          <w:hyperlink r:id="rId1">
                            <w:r>
                              <w:rPr>
                                <w:color w:val="2D74B5"/>
                              </w:rPr>
                              <w:t>www.interreg-</w:t>
                            </w:r>
                            <w:r>
                              <w:rPr>
                                <w:color w:val="2D74B5"/>
                                <w:spacing w:val="-2"/>
                              </w:rPr>
                              <w:t>rohu.eu</w:t>
                            </w:r>
                          </w:hyperlink>
                        </w:p>
                        <w:p w14:paraId="2A8CA762" w14:textId="77777777" w:rsidR="00946CA2"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54748B85" id="Textbox 5" o:spid="_x0000_s1027" type="#_x0000_t202" style="position:absolute;margin-left:419.3pt;margin-top:764.6pt;width:108.2pt;height:28.6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" filled="f" stroked="f">
              <v:textbox inset="0,0,0,0">
                <w:txbxContent>
                  <w:p w14:paraId="56B64BF4" w14:textId="77777777" w:rsidR="00946CA2" w:rsidRDefault="00946CA2">
                    <w:pPr>
                      <w:pStyle w:val="BodyText"/>
                      <w:spacing w:before="33"/>
                      <w:ind w:left="20"/>
                    </w:pPr>
                    <w:hyperlink r:id="rId2">
                      <w:r>
                        <w:rPr>
                          <w:color w:val="2D74B5"/>
                        </w:rPr>
                        <w:t>www.interreg-</w:t>
                      </w:r>
                      <w:r>
                        <w:rPr>
                          <w:color w:val="2D74B5"/>
                          <w:spacing w:val="-2"/>
                        </w:rPr>
                        <w:t>rohu.eu</w:t>
                      </w:r>
                    </w:hyperlink>
                  </w:p>
                  <w:p w14:paraId="2A8CA762" w14:textId="77777777" w:rsidR="00946CA2"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7E9F6" w14:textId="77777777" w:rsidR="00FE069B" w:rsidRDefault="00FE069B">
      <w:r>
        <w:separator/>
      </w:r>
    </w:p>
  </w:footnote>
  <w:footnote w:type="continuationSeparator" w:id="0">
    <w:p w14:paraId="497FE32C" w14:textId="77777777" w:rsidR="00FE069B" w:rsidRDefault="00FE0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67C5" w14:textId="77777777" w:rsidR="00946CA2" w:rsidRDefault="00000000">
    <w:pPr>
      <w:pStyle w:val="BodyText"/>
      <w:spacing w:line="14" w:lineRule="auto"/>
    </w:pPr>
    <w:r>
      <w:rPr>
        <w:noProof/>
      </w:rPr>
      <w:drawing>
        <wp:anchor distT="0" distB="0" distL="0" distR="0" simplePos="0" relativeHeight="487496192" behindDoc="1" locked="0" layoutInCell="1" allowOverlap="1" wp14:anchorId="0BF87B6E" wp14:editId="56A3E4A8">
          <wp:simplePos x="0" y="0"/>
          <wp:positionH relativeFrom="page">
            <wp:posOffset>6205473</wp:posOffset>
          </wp:positionH>
          <wp:positionV relativeFrom="page">
            <wp:posOffset>628675</wp:posOffset>
          </wp:positionV>
          <wp:extent cx="399796" cy="4391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9796" cy="439129"/>
                  </a:xfrm>
                  <a:prstGeom prst="rect">
                    <a:avLst/>
                  </a:prstGeom>
                </pic:spPr>
              </pic:pic>
            </a:graphicData>
          </a:graphic>
        </wp:anchor>
      </w:drawing>
    </w:r>
    <w:r>
      <w:rPr>
        <w:noProof/>
      </w:rPr>
      <w:drawing>
        <wp:anchor distT="0" distB="0" distL="0" distR="0" simplePos="0" relativeHeight="487496704" behindDoc="1" locked="0" layoutInCell="1" allowOverlap="1" wp14:anchorId="6887EC9E" wp14:editId="418D5406">
          <wp:simplePos x="0" y="0"/>
          <wp:positionH relativeFrom="page">
            <wp:posOffset>5349747</wp:posOffset>
          </wp:positionH>
          <wp:positionV relativeFrom="page">
            <wp:posOffset>629183</wp:posOffset>
          </wp:positionV>
          <wp:extent cx="485381" cy="4620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85381" cy="462000"/>
                  </a:xfrm>
                  <a:prstGeom prst="rect">
                    <a:avLst/>
                  </a:prstGeom>
                </pic:spPr>
              </pic:pic>
            </a:graphicData>
          </a:graphic>
        </wp:anchor>
      </w:drawing>
    </w:r>
    <w:r>
      <w:rPr>
        <w:noProof/>
      </w:rPr>
      <w:drawing>
        <wp:anchor distT="0" distB="0" distL="0" distR="0" simplePos="0" relativeHeight="487497216" behindDoc="1" locked="0" layoutInCell="1" allowOverlap="1" wp14:anchorId="65DD2FDC" wp14:editId="71820846">
          <wp:simplePos x="0" y="0"/>
          <wp:positionH relativeFrom="page">
            <wp:posOffset>914400</wp:posOffset>
          </wp:positionH>
          <wp:positionV relativeFrom="page">
            <wp:posOffset>639330</wp:posOffset>
          </wp:positionV>
          <wp:extent cx="2938018" cy="72274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938018" cy="7227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C5F60"/>
    <w:multiLevelType w:val="hybridMultilevel"/>
    <w:tmpl w:val="64046122"/>
    <w:lvl w:ilvl="0" w:tplc="C2CC8154">
      <w:numFmt w:val="bullet"/>
      <w:lvlText w:val="•"/>
      <w:lvlJc w:val="left"/>
      <w:pPr>
        <w:ind w:left="1548" w:hanging="720"/>
      </w:pPr>
      <w:rPr>
        <w:rFonts w:ascii="Tahoma" w:eastAsia="Tahoma" w:hAnsi="Tahoma" w:cs="Tahoma" w:hint="default"/>
        <w:b w:val="0"/>
        <w:bCs w:val="0"/>
        <w:i w:val="0"/>
        <w:iCs w:val="0"/>
        <w:color w:val="1F4E79"/>
        <w:spacing w:val="0"/>
        <w:w w:val="83"/>
        <w:sz w:val="22"/>
        <w:szCs w:val="22"/>
        <w:lang w:val="en-US" w:eastAsia="en-US" w:bidi="ar-SA"/>
      </w:rPr>
    </w:lvl>
    <w:lvl w:ilvl="1" w:tplc="D8F4C398">
      <w:numFmt w:val="bullet"/>
      <w:lvlText w:val="•"/>
      <w:lvlJc w:val="left"/>
      <w:pPr>
        <w:ind w:left="2132" w:hanging="720"/>
      </w:pPr>
      <w:rPr>
        <w:rFonts w:hint="default"/>
        <w:lang w:val="en-US" w:eastAsia="en-US" w:bidi="ar-SA"/>
      </w:rPr>
    </w:lvl>
    <w:lvl w:ilvl="2" w:tplc="1CB6DCB6">
      <w:numFmt w:val="bullet"/>
      <w:lvlText w:val="•"/>
      <w:lvlJc w:val="left"/>
      <w:pPr>
        <w:ind w:left="2725" w:hanging="720"/>
      </w:pPr>
      <w:rPr>
        <w:rFonts w:hint="default"/>
        <w:lang w:val="en-US" w:eastAsia="en-US" w:bidi="ar-SA"/>
      </w:rPr>
    </w:lvl>
    <w:lvl w:ilvl="3" w:tplc="BD527E1C">
      <w:numFmt w:val="bullet"/>
      <w:lvlText w:val="•"/>
      <w:lvlJc w:val="left"/>
      <w:pPr>
        <w:ind w:left="3318" w:hanging="720"/>
      </w:pPr>
      <w:rPr>
        <w:rFonts w:hint="default"/>
        <w:lang w:val="en-US" w:eastAsia="en-US" w:bidi="ar-SA"/>
      </w:rPr>
    </w:lvl>
    <w:lvl w:ilvl="4" w:tplc="758CF35C">
      <w:numFmt w:val="bullet"/>
      <w:lvlText w:val="•"/>
      <w:lvlJc w:val="left"/>
      <w:pPr>
        <w:ind w:left="3910" w:hanging="720"/>
      </w:pPr>
      <w:rPr>
        <w:rFonts w:hint="default"/>
        <w:lang w:val="en-US" w:eastAsia="en-US" w:bidi="ar-SA"/>
      </w:rPr>
    </w:lvl>
    <w:lvl w:ilvl="5" w:tplc="BA76E60A">
      <w:numFmt w:val="bullet"/>
      <w:lvlText w:val="•"/>
      <w:lvlJc w:val="left"/>
      <w:pPr>
        <w:ind w:left="4503" w:hanging="720"/>
      </w:pPr>
      <w:rPr>
        <w:rFonts w:hint="default"/>
        <w:lang w:val="en-US" w:eastAsia="en-US" w:bidi="ar-SA"/>
      </w:rPr>
    </w:lvl>
    <w:lvl w:ilvl="6" w:tplc="C7942F18">
      <w:numFmt w:val="bullet"/>
      <w:lvlText w:val="•"/>
      <w:lvlJc w:val="left"/>
      <w:pPr>
        <w:ind w:left="5096" w:hanging="720"/>
      </w:pPr>
      <w:rPr>
        <w:rFonts w:hint="default"/>
        <w:lang w:val="en-US" w:eastAsia="en-US" w:bidi="ar-SA"/>
      </w:rPr>
    </w:lvl>
    <w:lvl w:ilvl="7" w:tplc="2B3CE240">
      <w:numFmt w:val="bullet"/>
      <w:lvlText w:val="•"/>
      <w:lvlJc w:val="left"/>
      <w:pPr>
        <w:ind w:left="5688" w:hanging="720"/>
      </w:pPr>
      <w:rPr>
        <w:rFonts w:hint="default"/>
        <w:lang w:val="en-US" w:eastAsia="en-US" w:bidi="ar-SA"/>
      </w:rPr>
    </w:lvl>
    <w:lvl w:ilvl="8" w:tplc="6AE088A2">
      <w:numFmt w:val="bullet"/>
      <w:lvlText w:val="•"/>
      <w:lvlJc w:val="left"/>
      <w:pPr>
        <w:ind w:left="6281" w:hanging="720"/>
      </w:pPr>
      <w:rPr>
        <w:rFonts w:hint="default"/>
        <w:lang w:val="en-US" w:eastAsia="en-US" w:bidi="ar-SA"/>
      </w:rPr>
    </w:lvl>
  </w:abstractNum>
  <w:abstractNum w:abstractNumId="1" w15:restartNumberingAfterBreak="0">
    <w:nsid w:val="4EB94DEF"/>
    <w:multiLevelType w:val="hybridMultilevel"/>
    <w:tmpl w:val="153273FC"/>
    <w:lvl w:ilvl="0" w:tplc="EF7053F2">
      <w:numFmt w:val="bullet"/>
      <w:lvlText w:val="-"/>
      <w:lvlJc w:val="left"/>
      <w:pPr>
        <w:ind w:left="828" w:hanging="360"/>
      </w:pPr>
      <w:rPr>
        <w:rFonts w:ascii="Tahoma" w:eastAsia="Tahoma" w:hAnsi="Tahoma" w:cs="Tahoma" w:hint="default"/>
        <w:b w:val="0"/>
        <w:bCs w:val="0"/>
        <w:i w:val="0"/>
        <w:iCs w:val="0"/>
        <w:color w:val="1F4E79"/>
        <w:spacing w:val="0"/>
        <w:w w:val="88"/>
        <w:sz w:val="22"/>
        <w:szCs w:val="22"/>
        <w:lang w:val="en-US" w:eastAsia="en-US" w:bidi="ar-SA"/>
      </w:rPr>
    </w:lvl>
    <w:lvl w:ilvl="1" w:tplc="F3662084">
      <w:numFmt w:val="bullet"/>
      <w:lvlText w:val="•"/>
      <w:lvlJc w:val="left"/>
      <w:pPr>
        <w:ind w:left="1484" w:hanging="360"/>
      </w:pPr>
      <w:rPr>
        <w:rFonts w:hint="default"/>
        <w:lang w:val="en-US" w:eastAsia="en-US" w:bidi="ar-SA"/>
      </w:rPr>
    </w:lvl>
    <w:lvl w:ilvl="2" w:tplc="E7A8D224">
      <w:numFmt w:val="bullet"/>
      <w:lvlText w:val="•"/>
      <w:lvlJc w:val="left"/>
      <w:pPr>
        <w:ind w:left="2149" w:hanging="360"/>
      </w:pPr>
      <w:rPr>
        <w:rFonts w:hint="default"/>
        <w:lang w:val="en-US" w:eastAsia="en-US" w:bidi="ar-SA"/>
      </w:rPr>
    </w:lvl>
    <w:lvl w:ilvl="3" w:tplc="5B6CBC1C">
      <w:numFmt w:val="bullet"/>
      <w:lvlText w:val="•"/>
      <w:lvlJc w:val="left"/>
      <w:pPr>
        <w:ind w:left="2814" w:hanging="360"/>
      </w:pPr>
      <w:rPr>
        <w:rFonts w:hint="default"/>
        <w:lang w:val="en-US" w:eastAsia="en-US" w:bidi="ar-SA"/>
      </w:rPr>
    </w:lvl>
    <w:lvl w:ilvl="4" w:tplc="058650CC">
      <w:numFmt w:val="bullet"/>
      <w:lvlText w:val="•"/>
      <w:lvlJc w:val="left"/>
      <w:pPr>
        <w:ind w:left="3478" w:hanging="360"/>
      </w:pPr>
      <w:rPr>
        <w:rFonts w:hint="default"/>
        <w:lang w:val="en-US" w:eastAsia="en-US" w:bidi="ar-SA"/>
      </w:rPr>
    </w:lvl>
    <w:lvl w:ilvl="5" w:tplc="17080E74">
      <w:numFmt w:val="bullet"/>
      <w:lvlText w:val="•"/>
      <w:lvlJc w:val="left"/>
      <w:pPr>
        <w:ind w:left="4143" w:hanging="360"/>
      </w:pPr>
      <w:rPr>
        <w:rFonts w:hint="default"/>
        <w:lang w:val="en-US" w:eastAsia="en-US" w:bidi="ar-SA"/>
      </w:rPr>
    </w:lvl>
    <w:lvl w:ilvl="6" w:tplc="EB965A46">
      <w:numFmt w:val="bullet"/>
      <w:lvlText w:val="•"/>
      <w:lvlJc w:val="left"/>
      <w:pPr>
        <w:ind w:left="4808" w:hanging="360"/>
      </w:pPr>
      <w:rPr>
        <w:rFonts w:hint="default"/>
        <w:lang w:val="en-US" w:eastAsia="en-US" w:bidi="ar-SA"/>
      </w:rPr>
    </w:lvl>
    <w:lvl w:ilvl="7" w:tplc="A2563CB0">
      <w:numFmt w:val="bullet"/>
      <w:lvlText w:val="•"/>
      <w:lvlJc w:val="left"/>
      <w:pPr>
        <w:ind w:left="5472" w:hanging="360"/>
      </w:pPr>
      <w:rPr>
        <w:rFonts w:hint="default"/>
        <w:lang w:val="en-US" w:eastAsia="en-US" w:bidi="ar-SA"/>
      </w:rPr>
    </w:lvl>
    <w:lvl w:ilvl="8" w:tplc="8B92C8BC">
      <w:numFmt w:val="bullet"/>
      <w:lvlText w:val="•"/>
      <w:lvlJc w:val="left"/>
      <w:pPr>
        <w:ind w:left="6137" w:hanging="360"/>
      </w:pPr>
      <w:rPr>
        <w:rFonts w:hint="default"/>
        <w:lang w:val="en-US" w:eastAsia="en-US" w:bidi="ar-SA"/>
      </w:rPr>
    </w:lvl>
  </w:abstractNum>
  <w:num w:numId="1" w16cid:durableId="151063494">
    <w:abstractNumId w:val="0"/>
  </w:num>
  <w:num w:numId="2" w16cid:durableId="1622608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A2"/>
    <w:rsid w:val="000D66AD"/>
    <w:rsid w:val="00166451"/>
    <w:rsid w:val="00266573"/>
    <w:rsid w:val="004B0312"/>
    <w:rsid w:val="00542B36"/>
    <w:rsid w:val="00666495"/>
    <w:rsid w:val="006C04C4"/>
    <w:rsid w:val="006F5781"/>
    <w:rsid w:val="006F7085"/>
    <w:rsid w:val="00846929"/>
    <w:rsid w:val="00946CA2"/>
    <w:rsid w:val="009E6194"/>
    <w:rsid w:val="00AB0C3E"/>
    <w:rsid w:val="00AF4823"/>
    <w:rsid w:val="00B62DF8"/>
    <w:rsid w:val="00BF6C30"/>
    <w:rsid w:val="00D17EC0"/>
    <w:rsid w:val="00DA76DA"/>
    <w:rsid w:val="00F8150B"/>
    <w:rsid w:val="00FE0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7AA8"/>
  <w15:docId w15:val="{1B896106-622F-490B-B83C-79F41327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3"/>
      <w:ind w:right="78"/>
      <w:jc w:val="right"/>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ROHU</cp:lastModifiedBy>
  <cp:revision>5</cp:revision>
  <dcterms:created xsi:type="dcterms:W3CDTF">2026-01-19T13:16:00Z</dcterms:created>
  <dcterms:modified xsi:type="dcterms:W3CDTF">2026-01-20T07:17:00Z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Microsoft® Word 2013</vt:lpwstr>
  </property>
  <property fmtid="{D5CDD505-2E9C-101B-9397-08002B2CF9AE}" pid="4" name="LastSaved">
    <vt:filetime>2026-01-19T00:00:00Z</vt:filetime>
  </property>
  <property fmtid="{D5CDD505-2E9C-101B-9397-08002B2CF9AE}" pid="5" name="Producer">
    <vt:lpwstr>Microsoft® Word 2013</vt:lpwstr>
  </property>
  <property fmtid="{D5CDD505-2E9C-101B-9397-08002B2CF9AE}" pid="6" name="GrammarlyDocumentId">
    <vt:lpwstr>09bd0b7a-2584-45c3-a56e-c691b59e8537</vt:lpwstr>
  </property>
</Properties>
</file>