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C2E2" w14:textId="77777777" w:rsidR="00BC714B" w:rsidRDefault="00BC714B">
      <w:pPr>
        <w:pStyle w:val="BodyText"/>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BC714B" w:rsidRPr="00906087" w14:paraId="07ECA883" w14:textId="77777777">
        <w:trPr>
          <w:trHeight w:val="441"/>
        </w:trPr>
        <w:tc>
          <w:tcPr>
            <w:tcW w:w="9740" w:type="dxa"/>
            <w:gridSpan w:val="2"/>
            <w:shd w:val="clear" w:color="auto" w:fill="003399"/>
          </w:tcPr>
          <w:p w14:paraId="0EF92AD3" w14:textId="77777777" w:rsidR="00BC714B" w:rsidRPr="00906087" w:rsidRDefault="00000000">
            <w:pPr>
              <w:pStyle w:val="TableParagraph"/>
              <w:spacing w:line="301" w:lineRule="exact"/>
              <w:rPr>
                <w:rFonts w:ascii="Open Sans" w:hAnsi="Open Sans" w:cs="Open Sans"/>
                <w:b/>
                <w:bCs/>
              </w:rPr>
            </w:pPr>
            <w:r w:rsidRPr="00906087">
              <w:rPr>
                <w:rFonts w:ascii="Open Sans" w:hAnsi="Open Sans" w:cs="Open Sans"/>
                <w:b/>
                <w:bCs/>
                <w:color w:val="FFFFFF"/>
              </w:rPr>
              <w:t>1st Open Call- Normal Projects</w:t>
            </w:r>
          </w:p>
        </w:tc>
      </w:tr>
      <w:tr w:rsidR="00BC714B" w:rsidRPr="00906087" w14:paraId="75CE1F65" w14:textId="77777777">
        <w:trPr>
          <w:trHeight w:val="438"/>
        </w:trPr>
        <w:tc>
          <w:tcPr>
            <w:tcW w:w="2263" w:type="dxa"/>
          </w:tcPr>
          <w:p w14:paraId="1D09647C" w14:textId="77777777" w:rsidR="00BC714B" w:rsidRPr="00906087" w:rsidRDefault="00000000">
            <w:pPr>
              <w:pStyle w:val="TableParagraph"/>
              <w:spacing w:line="301" w:lineRule="exact"/>
              <w:rPr>
                <w:rFonts w:ascii="Open Sans" w:hAnsi="Open Sans" w:cs="Open Sans"/>
                <w:b/>
                <w:bCs/>
              </w:rPr>
            </w:pPr>
            <w:r w:rsidRPr="00906087">
              <w:rPr>
                <w:rFonts w:ascii="Open Sans" w:hAnsi="Open Sans" w:cs="Open Sans"/>
                <w:b/>
                <w:bCs/>
                <w:color w:val="003399"/>
              </w:rPr>
              <w:t>Project code</w:t>
            </w:r>
          </w:p>
        </w:tc>
        <w:tc>
          <w:tcPr>
            <w:tcW w:w="7477" w:type="dxa"/>
          </w:tcPr>
          <w:p w14:paraId="0C60BA0C" w14:textId="77777777" w:rsidR="00BC714B" w:rsidRPr="00906087" w:rsidRDefault="00000000">
            <w:pPr>
              <w:pStyle w:val="TableParagraph"/>
              <w:spacing w:line="301" w:lineRule="exact"/>
              <w:rPr>
                <w:rFonts w:ascii="Open Sans" w:hAnsi="Open Sans" w:cs="Open Sans"/>
                <w:b/>
                <w:bCs/>
              </w:rPr>
            </w:pPr>
            <w:r w:rsidRPr="00906087">
              <w:rPr>
                <w:rFonts w:ascii="Open Sans" w:hAnsi="Open Sans" w:cs="Open Sans"/>
                <w:b/>
                <w:bCs/>
                <w:color w:val="003399"/>
              </w:rPr>
              <w:t>ROHU-7</w:t>
            </w:r>
          </w:p>
        </w:tc>
      </w:tr>
      <w:tr w:rsidR="00BC714B" w:rsidRPr="00906087" w14:paraId="59928827" w14:textId="77777777">
        <w:trPr>
          <w:trHeight w:val="899"/>
        </w:trPr>
        <w:tc>
          <w:tcPr>
            <w:tcW w:w="2263" w:type="dxa"/>
          </w:tcPr>
          <w:p w14:paraId="7F975901" w14:textId="77777777" w:rsidR="00BC714B" w:rsidRPr="00906087" w:rsidRDefault="00000000">
            <w:pPr>
              <w:pStyle w:val="TableParagraph"/>
              <w:spacing w:line="306" w:lineRule="exact"/>
              <w:rPr>
                <w:rFonts w:ascii="Open Sans" w:hAnsi="Open Sans" w:cs="Open Sans"/>
                <w:b/>
                <w:bCs/>
              </w:rPr>
            </w:pPr>
            <w:r w:rsidRPr="00906087">
              <w:rPr>
                <w:rFonts w:ascii="Open Sans" w:hAnsi="Open Sans" w:cs="Open Sans"/>
                <w:b/>
                <w:bCs/>
                <w:color w:val="003399"/>
              </w:rPr>
              <w:t>Project title</w:t>
            </w:r>
          </w:p>
        </w:tc>
        <w:tc>
          <w:tcPr>
            <w:tcW w:w="7477" w:type="dxa"/>
          </w:tcPr>
          <w:p w14:paraId="6C3E6A2E" w14:textId="77777777" w:rsidR="00BC714B" w:rsidRPr="00906087" w:rsidRDefault="00000000">
            <w:pPr>
              <w:pStyle w:val="TableParagraph"/>
              <w:spacing w:line="297" w:lineRule="exact"/>
              <w:rPr>
                <w:rFonts w:ascii="Open Sans" w:hAnsi="Open Sans" w:cs="Open Sans"/>
                <w:b/>
                <w:bCs/>
              </w:rPr>
            </w:pPr>
            <w:r w:rsidRPr="00906087">
              <w:rPr>
                <w:rFonts w:ascii="Open Sans" w:hAnsi="Open Sans" w:cs="Open Sans"/>
                <w:b/>
                <w:bCs/>
                <w:color w:val="003399"/>
              </w:rPr>
              <w:t>JCJCMCBNH</w:t>
            </w:r>
          </w:p>
          <w:p w14:paraId="317C596D" w14:textId="77777777" w:rsidR="00BC714B" w:rsidRPr="00906087" w:rsidRDefault="00000000">
            <w:pPr>
              <w:pStyle w:val="TableParagraph"/>
              <w:spacing w:line="313" w:lineRule="exact"/>
              <w:rPr>
                <w:rFonts w:ascii="Open Sans" w:hAnsi="Open Sans" w:cs="Open Sans"/>
              </w:rPr>
            </w:pPr>
            <w:r w:rsidRPr="00906087">
              <w:rPr>
                <w:rFonts w:ascii="Open Sans" w:hAnsi="Open Sans" w:cs="Open Sans"/>
                <w:color w:val="003399"/>
              </w:rPr>
              <w:t>Joint challenge and joint cooperation for the management of cross-</w:t>
            </w:r>
          </w:p>
          <w:p w14:paraId="0A7F8809" w14:textId="77777777" w:rsidR="00BC714B" w:rsidRPr="00906087" w:rsidRDefault="00000000">
            <w:pPr>
              <w:pStyle w:val="TableParagraph"/>
              <w:spacing w:line="269" w:lineRule="exact"/>
              <w:rPr>
                <w:rFonts w:ascii="Open Sans" w:hAnsi="Open Sans" w:cs="Open Sans"/>
              </w:rPr>
            </w:pPr>
            <w:r w:rsidRPr="00906087">
              <w:rPr>
                <w:rFonts w:ascii="Open Sans" w:hAnsi="Open Sans" w:cs="Open Sans"/>
                <w:color w:val="003399"/>
              </w:rPr>
              <w:t>border natural heritage</w:t>
            </w:r>
          </w:p>
        </w:tc>
      </w:tr>
      <w:tr w:rsidR="00BC714B" w:rsidRPr="00906087" w14:paraId="41F85C34" w14:textId="77777777" w:rsidTr="00D84138">
        <w:trPr>
          <w:trHeight w:val="618"/>
        </w:trPr>
        <w:tc>
          <w:tcPr>
            <w:tcW w:w="2263" w:type="dxa"/>
          </w:tcPr>
          <w:p w14:paraId="657E1390" w14:textId="77777777" w:rsidR="00BC714B" w:rsidRPr="00906087" w:rsidRDefault="00000000" w:rsidP="00D84138">
            <w:pPr>
              <w:pStyle w:val="TableParagraph"/>
              <w:spacing w:line="301" w:lineRule="exact"/>
              <w:ind w:left="101"/>
              <w:rPr>
                <w:rFonts w:ascii="Open Sans" w:hAnsi="Open Sans" w:cs="Open Sans"/>
                <w:b/>
                <w:bCs/>
              </w:rPr>
            </w:pPr>
            <w:r w:rsidRPr="00906087">
              <w:rPr>
                <w:rFonts w:ascii="Open Sans" w:hAnsi="Open Sans" w:cs="Open Sans"/>
                <w:b/>
                <w:bCs/>
                <w:color w:val="003399"/>
              </w:rPr>
              <w:t>Priority</w:t>
            </w:r>
          </w:p>
          <w:p w14:paraId="30C15B86" w14:textId="77777777" w:rsidR="00BC714B" w:rsidRPr="00906087" w:rsidRDefault="00000000" w:rsidP="00D84138">
            <w:pPr>
              <w:pStyle w:val="TableParagraph"/>
              <w:ind w:left="101"/>
              <w:rPr>
                <w:rFonts w:ascii="Open Sans" w:hAnsi="Open Sans" w:cs="Open Sans"/>
                <w:b/>
                <w:bCs/>
              </w:rPr>
            </w:pPr>
            <w:r w:rsidRPr="00906087">
              <w:rPr>
                <w:rFonts w:ascii="Open Sans" w:hAnsi="Open Sans" w:cs="Open Sans"/>
                <w:b/>
                <w:bCs/>
                <w:color w:val="003399"/>
              </w:rPr>
              <w:t>axis</w:t>
            </w:r>
          </w:p>
        </w:tc>
        <w:tc>
          <w:tcPr>
            <w:tcW w:w="7477" w:type="dxa"/>
          </w:tcPr>
          <w:p w14:paraId="04E0DFDA" w14:textId="77777777" w:rsidR="00BC714B" w:rsidRPr="00906087" w:rsidRDefault="00000000">
            <w:pPr>
              <w:pStyle w:val="TableParagraph"/>
              <w:spacing w:before="51" w:line="244" w:lineRule="auto"/>
              <w:rPr>
                <w:rFonts w:ascii="Open Sans" w:hAnsi="Open Sans" w:cs="Open Sans"/>
              </w:rPr>
            </w:pPr>
            <w:r w:rsidRPr="00906087">
              <w:rPr>
                <w:rFonts w:ascii="Open Sans" w:hAnsi="Open Sans" w:cs="Open Sans"/>
                <w:color w:val="003399"/>
              </w:rPr>
              <w:t>1 - Joint protection and efficient use of common values and resources (Cooperating on common values and resources)</w:t>
            </w:r>
          </w:p>
        </w:tc>
      </w:tr>
      <w:tr w:rsidR="00BC714B" w:rsidRPr="00906087" w14:paraId="330AD62F" w14:textId="77777777" w:rsidTr="00D84138">
        <w:trPr>
          <w:trHeight w:val="672"/>
        </w:trPr>
        <w:tc>
          <w:tcPr>
            <w:tcW w:w="2263" w:type="dxa"/>
          </w:tcPr>
          <w:p w14:paraId="6FF5FE98" w14:textId="77777777" w:rsidR="00BC714B" w:rsidRPr="00906087" w:rsidRDefault="00000000" w:rsidP="00D84138">
            <w:pPr>
              <w:pStyle w:val="TableParagraph"/>
              <w:spacing w:line="303" w:lineRule="exact"/>
              <w:ind w:left="101"/>
              <w:rPr>
                <w:rFonts w:ascii="Open Sans" w:hAnsi="Open Sans" w:cs="Open Sans"/>
                <w:b/>
                <w:bCs/>
              </w:rPr>
            </w:pPr>
            <w:r w:rsidRPr="00906087">
              <w:rPr>
                <w:rFonts w:ascii="Open Sans" w:hAnsi="Open Sans" w:cs="Open Sans"/>
                <w:b/>
                <w:bCs/>
                <w:color w:val="003399"/>
              </w:rPr>
              <w:t>Investment</w:t>
            </w:r>
          </w:p>
          <w:p w14:paraId="4B3506E7" w14:textId="77777777" w:rsidR="00BC714B" w:rsidRPr="00906087" w:rsidRDefault="00000000" w:rsidP="00D84138">
            <w:pPr>
              <w:pStyle w:val="TableParagraph"/>
              <w:ind w:left="101"/>
              <w:rPr>
                <w:rFonts w:ascii="Open Sans" w:hAnsi="Open Sans" w:cs="Open Sans"/>
                <w:b/>
                <w:bCs/>
              </w:rPr>
            </w:pPr>
            <w:r w:rsidRPr="00906087">
              <w:rPr>
                <w:rFonts w:ascii="Open Sans" w:hAnsi="Open Sans" w:cs="Open Sans"/>
                <w:b/>
                <w:bCs/>
                <w:color w:val="003399"/>
              </w:rPr>
              <w:t>priority</w:t>
            </w:r>
          </w:p>
        </w:tc>
        <w:tc>
          <w:tcPr>
            <w:tcW w:w="7477" w:type="dxa"/>
          </w:tcPr>
          <w:p w14:paraId="4C56A528" w14:textId="77777777" w:rsidR="00BC714B" w:rsidRPr="00906087" w:rsidRDefault="00000000">
            <w:pPr>
              <w:pStyle w:val="TableParagraph"/>
              <w:spacing w:before="53" w:line="244" w:lineRule="auto"/>
              <w:rPr>
                <w:rFonts w:ascii="Open Sans" w:hAnsi="Open Sans" w:cs="Open Sans"/>
              </w:rPr>
            </w:pPr>
            <w:r w:rsidRPr="00906087">
              <w:rPr>
                <w:rFonts w:ascii="Open Sans" w:hAnsi="Open Sans" w:cs="Open Sans"/>
                <w:color w:val="003399"/>
              </w:rPr>
              <w:t>6/c - Conserving, protecting, promoting and developing natural and cultural heritage.</w:t>
            </w:r>
          </w:p>
        </w:tc>
      </w:tr>
      <w:tr w:rsidR="00BC714B" w:rsidRPr="00906087" w14:paraId="63FBF520" w14:textId="77777777" w:rsidTr="00D84138">
        <w:trPr>
          <w:trHeight w:val="627"/>
        </w:trPr>
        <w:tc>
          <w:tcPr>
            <w:tcW w:w="2263" w:type="dxa"/>
          </w:tcPr>
          <w:p w14:paraId="41C79D12" w14:textId="77777777" w:rsidR="00BC714B" w:rsidRPr="00906087" w:rsidRDefault="00000000">
            <w:pPr>
              <w:pStyle w:val="TableParagraph"/>
              <w:spacing w:line="266" w:lineRule="auto"/>
              <w:rPr>
                <w:rFonts w:ascii="Open Sans" w:hAnsi="Open Sans" w:cs="Open Sans"/>
                <w:b/>
                <w:bCs/>
              </w:rPr>
            </w:pPr>
            <w:r w:rsidRPr="00906087">
              <w:rPr>
                <w:rFonts w:ascii="Open Sans" w:hAnsi="Open Sans" w:cs="Open Sans"/>
                <w:b/>
                <w:bCs/>
                <w:color w:val="003399"/>
              </w:rPr>
              <w:t>Implementation period</w:t>
            </w:r>
          </w:p>
        </w:tc>
        <w:tc>
          <w:tcPr>
            <w:tcW w:w="7477" w:type="dxa"/>
          </w:tcPr>
          <w:p w14:paraId="21E186C5" w14:textId="77777777" w:rsidR="00BC714B" w:rsidRPr="00906087" w:rsidRDefault="00000000">
            <w:pPr>
              <w:pStyle w:val="TableParagraph"/>
              <w:spacing w:before="185"/>
              <w:rPr>
                <w:rFonts w:ascii="Open Sans" w:hAnsi="Open Sans" w:cs="Open Sans"/>
              </w:rPr>
            </w:pPr>
            <w:r w:rsidRPr="00906087">
              <w:rPr>
                <w:rFonts w:ascii="Open Sans" w:hAnsi="Open Sans" w:cs="Open Sans"/>
                <w:color w:val="003399"/>
              </w:rPr>
              <w:t>29 Months (</w:t>
            </w:r>
            <w:r w:rsidRPr="00906087">
              <w:rPr>
                <w:rFonts w:ascii="Open Sans" w:hAnsi="Open Sans" w:cs="Open Sans"/>
                <w:b/>
                <w:bCs/>
                <w:color w:val="003399"/>
              </w:rPr>
              <w:t>March 01, 2018 - July 31, 2020</w:t>
            </w:r>
            <w:r w:rsidRPr="00906087">
              <w:rPr>
                <w:rFonts w:ascii="Open Sans" w:hAnsi="Open Sans" w:cs="Open Sans"/>
                <w:color w:val="003399"/>
              </w:rPr>
              <w:t>)</w:t>
            </w:r>
          </w:p>
        </w:tc>
      </w:tr>
      <w:tr w:rsidR="00BC714B" w:rsidRPr="00906087" w14:paraId="6AD010AC" w14:textId="77777777" w:rsidTr="00D84138">
        <w:trPr>
          <w:trHeight w:val="1626"/>
        </w:trPr>
        <w:tc>
          <w:tcPr>
            <w:tcW w:w="2263" w:type="dxa"/>
          </w:tcPr>
          <w:p w14:paraId="53F7CA5B" w14:textId="77777777" w:rsidR="00BC714B" w:rsidRPr="00906087" w:rsidRDefault="00BC714B">
            <w:pPr>
              <w:pStyle w:val="TableParagraph"/>
              <w:ind w:left="0"/>
              <w:rPr>
                <w:rFonts w:ascii="Open Sans" w:hAnsi="Open Sans" w:cs="Open Sans"/>
                <w:b/>
                <w:bCs/>
              </w:rPr>
            </w:pPr>
          </w:p>
          <w:p w14:paraId="641AD6F4" w14:textId="77777777" w:rsidR="00BC714B" w:rsidRPr="00906087" w:rsidRDefault="00BC714B">
            <w:pPr>
              <w:pStyle w:val="TableParagraph"/>
              <w:spacing w:before="211"/>
              <w:ind w:left="0"/>
              <w:rPr>
                <w:rFonts w:ascii="Open Sans" w:hAnsi="Open Sans" w:cs="Open Sans"/>
                <w:b/>
                <w:bCs/>
              </w:rPr>
            </w:pPr>
          </w:p>
          <w:p w14:paraId="74B53CEF" w14:textId="77777777" w:rsidR="00BC714B" w:rsidRPr="00906087" w:rsidRDefault="00000000">
            <w:pPr>
              <w:pStyle w:val="TableParagraph"/>
              <w:rPr>
                <w:rFonts w:ascii="Open Sans" w:hAnsi="Open Sans" w:cs="Open Sans"/>
                <w:b/>
                <w:bCs/>
              </w:rPr>
            </w:pPr>
            <w:r w:rsidRPr="00906087">
              <w:rPr>
                <w:rFonts w:ascii="Open Sans" w:hAnsi="Open Sans" w:cs="Open Sans"/>
                <w:b/>
                <w:bCs/>
                <w:color w:val="003399"/>
              </w:rPr>
              <w:t>Objective</w:t>
            </w:r>
          </w:p>
        </w:tc>
        <w:tc>
          <w:tcPr>
            <w:tcW w:w="7477" w:type="dxa"/>
          </w:tcPr>
          <w:p w14:paraId="67EF850C" w14:textId="77777777" w:rsidR="00BC714B" w:rsidRPr="00906087" w:rsidRDefault="00000000">
            <w:pPr>
              <w:pStyle w:val="TableParagraph"/>
              <w:spacing w:before="18" w:line="213" w:lineRule="auto"/>
              <w:ind w:right="93"/>
              <w:jc w:val="both"/>
              <w:rPr>
                <w:rFonts w:ascii="Open Sans" w:hAnsi="Open Sans" w:cs="Open Sans"/>
              </w:rPr>
            </w:pPr>
            <w:r w:rsidRPr="00906087">
              <w:rPr>
                <w:rFonts w:ascii="Open Sans" w:hAnsi="Open Sans" w:cs="Open Sans"/>
                <w:color w:val="003399"/>
              </w:rPr>
              <w:t>The project's overall objective was the preservation and development of a cross-border system to protect the natural values located in the Koros-Maros Natural Park (HU) and up to the Crișul Repede River Defile (RO), aiming to maintain the environmental balance, the resource's natural identity and to integrate the natural values into the modern tourist circuit.</w:t>
            </w:r>
          </w:p>
        </w:tc>
      </w:tr>
      <w:tr w:rsidR="00BC714B" w:rsidRPr="00906087" w14:paraId="294B7F7B" w14:textId="77777777" w:rsidTr="00D84138">
        <w:trPr>
          <w:trHeight w:val="654"/>
        </w:trPr>
        <w:tc>
          <w:tcPr>
            <w:tcW w:w="2263" w:type="dxa"/>
            <w:vMerge w:val="restart"/>
          </w:tcPr>
          <w:p w14:paraId="4B1C853A" w14:textId="77777777" w:rsidR="00BC714B" w:rsidRPr="00906087" w:rsidRDefault="00BC714B">
            <w:pPr>
              <w:pStyle w:val="TableParagraph"/>
              <w:ind w:left="0"/>
              <w:rPr>
                <w:rFonts w:ascii="Open Sans" w:hAnsi="Open Sans" w:cs="Open Sans"/>
                <w:b/>
                <w:bCs/>
              </w:rPr>
            </w:pPr>
          </w:p>
          <w:p w14:paraId="202FEDE5" w14:textId="77777777" w:rsidR="00BC714B" w:rsidRPr="00906087" w:rsidRDefault="00BC714B">
            <w:pPr>
              <w:pStyle w:val="TableParagraph"/>
              <w:ind w:left="0"/>
              <w:rPr>
                <w:rFonts w:ascii="Open Sans" w:hAnsi="Open Sans" w:cs="Open Sans"/>
                <w:b/>
                <w:bCs/>
              </w:rPr>
            </w:pPr>
          </w:p>
          <w:p w14:paraId="69C62C47" w14:textId="77777777" w:rsidR="00BC714B" w:rsidRPr="00906087" w:rsidRDefault="00BC714B">
            <w:pPr>
              <w:pStyle w:val="TableParagraph"/>
              <w:spacing w:before="9"/>
              <w:ind w:left="0"/>
              <w:rPr>
                <w:rFonts w:ascii="Open Sans" w:hAnsi="Open Sans" w:cs="Open Sans"/>
                <w:b/>
                <w:bCs/>
              </w:rPr>
            </w:pPr>
          </w:p>
          <w:p w14:paraId="729D8192" w14:textId="77777777" w:rsidR="00BC714B" w:rsidRPr="00906087" w:rsidRDefault="00000000">
            <w:pPr>
              <w:pStyle w:val="TableParagraph"/>
              <w:rPr>
                <w:rFonts w:ascii="Open Sans" w:hAnsi="Open Sans" w:cs="Open Sans"/>
                <w:b/>
                <w:bCs/>
              </w:rPr>
            </w:pPr>
            <w:r w:rsidRPr="00906087">
              <w:rPr>
                <w:rFonts w:ascii="Open Sans" w:hAnsi="Open Sans" w:cs="Open Sans"/>
                <w:b/>
                <w:bCs/>
                <w:color w:val="003399"/>
              </w:rPr>
              <w:t>Partners</w:t>
            </w:r>
          </w:p>
        </w:tc>
        <w:tc>
          <w:tcPr>
            <w:tcW w:w="7477" w:type="dxa"/>
          </w:tcPr>
          <w:p w14:paraId="28E56E34" w14:textId="77777777" w:rsidR="00906087" w:rsidRDefault="00000000">
            <w:pPr>
              <w:pStyle w:val="TableParagraph"/>
              <w:tabs>
                <w:tab w:val="left" w:pos="2251"/>
              </w:tabs>
              <w:spacing w:before="17" w:line="213" w:lineRule="auto"/>
              <w:ind w:right="95"/>
              <w:rPr>
                <w:rFonts w:ascii="Open Sans" w:hAnsi="Open Sans" w:cs="Open Sans"/>
                <w:color w:val="003399"/>
              </w:rPr>
            </w:pPr>
            <w:r w:rsidRPr="00906087">
              <w:rPr>
                <w:rFonts w:ascii="Open Sans" w:hAnsi="Open Sans" w:cs="Open Sans"/>
                <w:b/>
                <w:bCs/>
                <w:color w:val="003399"/>
              </w:rPr>
              <w:t>Lead Beneficiary:</w:t>
            </w:r>
            <w:r w:rsidRPr="00906087">
              <w:rPr>
                <w:rFonts w:ascii="Open Sans" w:hAnsi="Open Sans" w:cs="Open Sans"/>
                <w:color w:val="003399"/>
              </w:rPr>
              <w:tab/>
            </w:r>
          </w:p>
          <w:p w14:paraId="1F80BFD1" w14:textId="01EE2A9D" w:rsidR="00BC714B" w:rsidRPr="00906087" w:rsidRDefault="00000000">
            <w:pPr>
              <w:pStyle w:val="TableParagraph"/>
              <w:tabs>
                <w:tab w:val="left" w:pos="2251"/>
              </w:tabs>
              <w:spacing w:before="17" w:line="213" w:lineRule="auto"/>
              <w:ind w:right="95"/>
              <w:rPr>
                <w:rFonts w:ascii="Open Sans" w:hAnsi="Open Sans" w:cs="Open Sans"/>
              </w:rPr>
            </w:pPr>
            <w:r w:rsidRPr="00906087">
              <w:rPr>
                <w:rFonts w:ascii="Open Sans" w:hAnsi="Open Sans" w:cs="Open Sans"/>
                <w:color w:val="003399"/>
              </w:rPr>
              <w:t>Don Orione Beneficence Charity Society Oradea (Romania)</w:t>
            </w:r>
          </w:p>
        </w:tc>
      </w:tr>
      <w:tr w:rsidR="00BC714B" w:rsidRPr="00906087" w14:paraId="0FC91972" w14:textId="77777777" w:rsidTr="00D84138">
        <w:trPr>
          <w:trHeight w:val="978"/>
        </w:trPr>
        <w:tc>
          <w:tcPr>
            <w:tcW w:w="2263" w:type="dxa"/>
            <w:vMerge/>
            <w:tcBorders>
              <w:top w:val="nil"/>
            </w:tcBorders>
          </w:tcPr>
          <w:p w14:paraId="50666142" w14:textId="77777777" w:rsidR="00BC714B" w:rsidRPr="00906087" w:rsidRDefault="00BC714B">
            <w:pPr>
              <w:rPr>
                <w:rFonts w:ascii="Open Sans" w:hAnsi="Open Sans" w:cs="Open Sans"/>
                <w:b/>
                <w:bCs/>
              </w:rPr>
            </w:pPr>
          </w:p>
        </w:tc>
        <w:tc>
          <w:tcPr>
            <w:tcW w:w="7477" w:type="dxa"/>
          </w:tcPr>
          <w:p w14:paraId="02ADF713" w14:textId="77777777" w:rsidR="00BC714B" w:rsidRPr="00906087" w:rsidRDefault="00000000" w:rsidP="00D84138">
            <w:pPr>
              <w:pStyle w:val="TableParagraph"/>
              <w:ind w:left="101"/>
              <w:rPr>
                <w:rFonts w:ascii="Open Sans" w:hAnsi="Open Sans" w:cs="Open Sans"/>
                <w:b/>
                <w:bCs/>
              </w:rPr>
            </w:pPr>
            <w:r w:rsidRPr="00906087">
              <w:rPr>
                <w:rFonts w:ascii="Open Sans" w:hAnsi="Open Sans" w:cs="Open Sans"/>
                <w:b/>
                <w:bCs/>
                <w:color w:val="003399"/>
              </w:rPr>
              <w:t>Project Partners:</w:t>
            </w:r>
          </w:p>
          <w:p w14:paraId="66EC3C10" w14:textId="77777777" w:rsidR="00BC714B" w:rsidRPr="00906087" w:rsidRDefault="00000000" w:rsidP="00D84138">
            <w:pPr>
              <w:pStyle w:val="TableParagraph"/>
              <w:ind w:left="101" w:right="95"/>
              <w:rPr>
                <w:rFonts w:ascii="Open Sans" w:hAnsi="Open Sans" w:cs="Open Sans"/>
              </w:rPr>
            </w:pPr>
            <w:r w:rsidRPr="00906087">
              <w:rPr>
                <w:rFonts w:ascii="Open Sans" w:hAnsi="Open Sans" w:cs="Open Sans"/>
                <w:color w:val="003399"/>
              </w:rPr>
              <w:t>PP2: Bekes County Chamber of Commerce and Industry (Hungary) PP3: Körös-Maros National Park Directorate (Hungary)</w:t>
            </w:r>
          </w:p>
        </w:tc>
      </w:tr>
      <w:tr w:rsidR="00BC714B" w:rsidRPr="00906087" w14:paraId="6DEEBFAD" w14:textId="77777777" w:rsidTr="00906087">
        <w:trPr>
          <w:trHeight w:val="1014"/>
        </w:trPr>
        <w:tc>
          <w:tcPr>
            <w:tcW w:w="2263" w:type="dxa"/>
          </w:tcPr>
          <w:p w14:paraId="30E1D68C" w14:textId="77777777" w:rsidR="00BC714B" w:rsidRPr="00906087" w:rsidRDefault="00000000">
            <w:pPr>
              <w:pStyle w:val="TableParagraph"/>
              <w:spacing w:line="303" w:lineRule="exact"/>
              <w:rPr>
                <w:rFonts w:ascii="Open Sans" w:hAnsi="Open Sans" w:cs="Open Sans"/>
                <w:b/>
                <w:bCs/>
              </w:rPr>
            </w:pPr>
            <w:r w:rsidRPr="00906087">
              <w:rPr>
                <w:rFonts w:ascii="Open Sans" w:hAnsi="Open Sans" w:cs="Open Sans"/>
                <w:b/>
                <w:bCs/>
                <w:color w:val="003399"/>
              </w:rPr>
              <w:t>TOTAL Budget</w:t>
            </w:r>
          </w:p>
        </w:tc>
        <w:tc>
          <w:tcPr>
            <w:tcW w:w="7477" w:type="dxa"/>
          </w:tcPr>
          <w:p w14:paraId="62F0922C" w14:textId="77777777" w:rsidR="00BC714B" w:rsidRPr="00906087" w:rsidRDefault="00000000" w:rsidP="00906087">
            <w:pPr>
              <w:pStyle w:val="TableParagraph"/>
              <w:spacing w:line="301" w:lineRule="exact"/>
              <w:rPr>
                <w:rFonts w:ascii="Open Sans" w:hAnsi="Open Sans" w:cs="Open Sans"/>
                <w:color w:val="003399"/>
              </w:rPr>
            </w:pPr>
            <w:r w:rsidRPr="00906087">
              <w:rPr>
                <w:rFonts w:ascii="Open Sans" w:hAnsi="Open Sans" w:cs="Open Sans"/>
                <w:color w:val="003399"/>
              </w:rPr>
              <w:t>€ 1,117,788.09 out of which ERDF € 950,119.87</w:t>
            </w:r>
          </w:p>
          <w:p w14:paraId="42248F9B" w14:textId="77777777" w:rsidR="00BC714B" w:rsidRPr="00906087" w:rsidRDefault="00000000" w:rsidP="00906087">
            <w:pPr>
              <w:pStyle w:val="TableParagraph"/>
              <w:spacing w:line="301" w:lineRule="exact"/>
              <w:rPr>
                <w:rFonts w:ascii="Open Sans" w:hAnsi="Open Sans" w:cs="Open Sans"/>
                <w:color w:val="003399"/>
              </w:rPr>
            </w:pPr>
            <w:r w:rsidRPr="00906087">
              <w:rPr>
                <w:rFonts w:ascii="Open Sans" w:hAnsi="Open Sans" w:cs="Open Sans"/>
                <w:color w:val="003399"/>
              </w:rPr>
              <w:t>Total eligible expenditure certified within the project: € 1,079,097.91</w:t>
            </w:r>
          </w:p>
          <w:p w14:paraId="0FA5FD2F" w14:textId="77777777" w:rsidR="00BC714B" w:rsidRPr="00906087" w:rsidRDefault="00000000" w:rsidP="00906087">
            <w:pPr>
              <w:pStyle w:val="TableParagraph"/>
              <w:spacing w:line="301" w:lineRule="exact"/>
              <w:rPr>
                <w:rFonts w:ascii="Open Sans" w:hAnsi="Open Sans" w:cs="Open Sans"/>
                <w:b/>
                <w:i/>
              </w:rPr>
            </w:pPr>
            <w:r w:rsidRPr="00906087">
              <w:rPr>
                <w:rFonts w:ascii="Open Sans" w:hAnsi="Open Sans" w:cs="Open Sans"/>
                <w:color w:val="003399"/>
              </w:rPr>
              <w:t xml:space="preserve">Budget execution: </w:t>
            </w:r>
            <w:r w:rsidRPr="00906087">
              <w:rPr>
                <w:rFonts w:ascii="Open Sans" w:hAnsi="Open Sans" w:cs="Open Sans"/>
                <w:b/>
                <w:bCs/>
                <w:color w:val="003399"/>
              </w:rPr>
              <w:t>96.54%</w:t>
            </w:r>
          </w:p>
        </w:tc>
      </w:tr>
      <w:tr w:rsidR="00BC714B" w:rsidRPr="00906087" w14:paraId="69EEBFFF" w14:textId="77777777">
        <w:trPr>
          <w:trHeight w:val="3103"/>
        </w:trPr>
        <w:tc>
          <w:tcPr>
            <w:tcW w:w="2263" w:type="dxa"/>
          </w:tcPr>
          <w:p w14:paraId="7B3C3440" w14:textId="77777777" w:rsidR="00BC714B" w:rsidRPr="00906087" w:rsidRDefault="00BC714B">
            <w:pPr>
              <w:pStyle w:val="TableParagraph"/>
              <w:ind w:left="0"/>
              <w:rPr>
                <w:rFonts w:ascii="Open Sans" w:hAnsi="Open Sans" w:cs="Open Sans"/>
                <w:b/>
                <w:bCs/>
              </w:rPr>
            </w:pPr>
          </w:p>
          <w:p w14:paraId="4FAD6460" w14:textId="77777777" w:rsidR="00BC714B" w:rsidRPr="00906087" w:rsidRDefault="00BC714B">
            <w:pPr>
              <w:pStyle w:val="TableParagraph"/>
              <w:ind w:left="0"/>
              <w:rPr>
                <w:rFonts w:ascii="Open Sans" w:hAnsi="Open Sans" w:cs="Open Sans"/>
                <w:b/>
                <w:bCs/>
              </w:rPr>
            </w:pPr>
          </w:p>
          <w:p w14:paraId="49F08AB8" w14:textId="77777777" w:rsidR="00BC714B" w:rsidRPr="00906087" w:rsidRDefault="00BC714B">
            <w:pPr>
              <w:pStyle w:val="TableParagraph"/>
              <w:ind w:left="0"/>
              <w:rPr>
                <w:rFonts w:ascii="Open Sans" w:hAnsi="Open Sans" w:cs="Open Sans"/>
                <w:b/>
                <w:bCs/>
              </w:rPr>
            </w:pPr>
          </w:p>
          <w:p w14:paraId="2C069880" w14:textId="77777777" w:rsidR="00BC714B" w:rsidRPr="00906087" w:rsidRDefault="00BC714B">
            <w:pPr>
              <w:pStyle w:val="TableParagraph"/>
              <w:ind w:left="0"/>
              <w:rPr>
                <w:rFonts w:ascii="Open Sans" w:hAnsi="Open Sans" w:cs="Open Sans"/>
                <w:b/>
                <w:bCs/>
              </w:rPr>
            </w:pPr>
          </w:p>
          <w:p w14:paraId="1415304F" w14:textId="77777777" w:rsidR="00BC714B" w:rsidRPr="00906087" w:rsidRDefault="00BC714B">
            <w:pPr>
              <w:pStyle w:val="TableParagraph"/>
              <w:spacing w:before="19"/>
              <w:ind w:left="0"/>
              <w:rPr>
                <w:rFonts w:ascii="Open Sans" w:hAnsi="Open Sans" w:cs="Open Sans"/>
                <w:b/>
                <w:bCs/>
              </w:rPr>
            </w:pPr>
          </w:p>
          <w:p w14:paraId="0BEAF6F5" w14:textId="77777777" w:rsidR="00BC714B" w:rsidRPr="00906087" w:rsidRDefault="00000000">
            <w:pPr>
              <w:pStyle w:val="TableParagraph"/>
              <w:rPr>
                <w:rFonts w:ascii="Open Sans" w:hAnsi="Open Sans" w:cs="Open Sans"/>
                <w:b/>
                <w:bCs/>
              </w:rPr>
            </w:pPr>
            <w:r w:rsidRPr="00906087">
              <w:rPr>
                <w:rFonts w:ascii="Open Sans" w:hAnsi="Open Sans" w:cs="Open Sans"/>
                <w:b/>
                <w:bCs/>
                <w:color w:val="003399"/>
              </w:rPr>
              <w:t>Summary</w:t>
            </w:r>
          </w:p>
        </w:tc>
        <w:tc>
          <w:tcPr>
            <w:tcW w:w="7477" w:type="dxa"/>
          </w:tcPr>
          <w:p w14:paraId="5010C794" w14:textId="3095D9DA" w:rsidR="00BC714B" w:rsidRPr="00906087" w:rsidRDefault="00000000">
            <w:pPr>
              <w:pStyle w:val="TableParagraph"/>
              <w:spacing w:line="244" w:lineRule="auto"/>
              <w:ind w:right="94"/>
              <w:jc w:val="both"/>
              <w:rPr>
                <w:rFonts w:ascii="Open Sans" w:hAnsi="Open Sans" w:cs="Open Sans"/>
              </w:rPr>
            </w:pPr>
            <w:r w:rsidRPr="00906087">
              <w:rPr>
                <w:rFonts w:ascii="Open Sans" w:hAnsi="Open Sans" w:cs="Open Sans"/>
                <w:color w:val="003399"/>
              </w:rPr>
              <w:t xml:space="preserve">Through joint efforts </w:t>
            </w:r>
            <w:r w:rsidR="00D84138">
              <w:rPr>
                <w:rFonts w:ascii="Open Sans" w:hAnsi="Open Sans" w:cs="Open Sans"/>
                <w:color w:val="003399"/>
              </w:rPr>
              <w:t xml:space="preserve">in conservation and education for nature, ROHU-7 aimed to improve environmental quality and increase access to a natural network </w:t>
            </w:r>
            <w:r w:rsidRPr="00906087">
              <w:rPr>
                <w:rFonts w:ascii="Open Sans" w:hAnsi="Open Sans" w:cs="Open Sans"/>
                <w:color w:val="003399"/>
              </w:rPr>
              <w:t>of protected species located in the cross-border area.</w:t>
            </w:r>
          </w:p>
          <w:p w14:paraId="2EC569E9" w14:textId="77777777" w:rsidR="00BC714B" w:rsidRPr="00906087" w:rsidRDefault="00BC714B">
            <w:pPr>
              <w:pStyle w:val="TableParagraph"/>
              <w:spacing w:before="82"/>
              <w:ind w:left="0"/>
              <w:rPr>
                <w:rFonts w:ascii="Open Sans" w:hAnsi="Open Sans" w:cs="Open Sans"/>
              </w:rPr>
            </w:pPr>
          </w:p>
          <w:p w14:paraId="667CCDC2" w14:textId="18934B24" w:rsidR="00BC714B" w:rsidRPr="00906087" w:rsidRDefault="00000000">
            <w:pPr>
              <w:pStyle w:val="TableParagraph"/>
              <w:spacing w:before="1"/>
              <w:rPr>
                <w:rFonts w:ascii="Open Sans" w:hAnsi="Open Sans" w:cs="Open Sans"/>
              </w:rPr>
            </w:pPr>
            <w:r w:rsidRPr="00906087">
              <w:rPr>
                <w:rFonts w:ascii="Open Sans" w:hAnsi="Open Sans" w:cs="Open Sans"/>
                <w:color w:val="003399"/>
              </w:rPr>
              <w:t>The main activities implemented within the project:</w:t>
            </w:r>
          </w:p>
          <w:p w14:paraId="5CEE7B91" w14:textId="65B672D3" w:rsidR="00BC714B" w:rsidRPr="00906087" w:rsidRDefault="00000000" w:rsidP="00D84138">
            <w:pPr>
              <w:pStyle w:val="TableParagraph"/>
              <w:numPr>
                <w:ilvl w:val="0"/>
                <w:numId w:val="4"/>
              </w:numPr>
              <w:tabs>
                <w:tab w:val="left" w:pos="828"/>
              </w:tabs>
              <w:spacing w:before="7" w:line="242" w:lineRule="auto"/>
              <w:ind w:right="98"/>
              <w:rPr>
                <w:rFonts w:ascii="Open Sans" w:hAnsi="Open Sans" w:cs="Open Sans"/>
              </w:rPr>
            </w:pPr>
            <w:r w:rsidRPr="00906087">
              <w:rPr>
                <w:rFonts w:ascii="Open Sans" w:hAnsi="Open Sans" w:cs="Open Sans"/>
                <w:color w:val="003399"/>
              </w:rPr>
              <w:t>Developing a tourist park in the village Zece Hotare and a Belvedere touristic refuge – Observer, fully equipped</w:t>
            </w:r>
            <w:r w:rsidR="00906087">
              <w:rPr>
                <w:rFonts w:ascii="Open Sans" w:hAnsi="Open Sans" w:cs="Open Sans"/>
                <w:color w:val="003399"/>
              </w:rPr>
              <w:t>;</w:t>
            </w:r>
          </w:p>
          <w:p w14:paraId="3ABD0736" w14:textId="77777777" w:rsidR="00BC714B" w:rsidRPr="00D84138" w:rsidRDefault="00000000" w:rsidP="00D84138">
            <w:pPr>
              <w:pStyle w:val="TableParagraph"/>
              <w:numPr>
                <w:ilvl w:val="0"/>
                <w:numId w:val="4"/>
              </w:numPr>
              <w:tabs>
                <w:tab w:val="left" w:pos="828"/>
              </w:tabs>
              <w:spacing w:before="6" w:line="334" w:lineRule="exact"/>
              <w:rPr>
                <w:rFonts w:ascii="Open Sans" w:hAnsi="Open Sans" w:cs="Open Sans"/>
              </w:rPr>
            </w:pPr>
            <w:r w:rsidRPr="00906087">
              <w:rPr>
                <w:rFonts w:ascii="Open Sans" w:hAnsi="Open Sans" w:cs="Open Sans"/>
                <w:color w:val="003399"/>
              </w:rPr>
              <w:t>Construction of a 750 sq. wooded hurdle for grazed cattle</w:t>
            </w:r>
            <w:r w:rsidR="00906087">
              <w:rPr>
                <w:rFonts w:ascii="Open Sans" w:hAnsi="Open Sans" w:cs="Open Sans"/>
                <w:color w:val="003399"/>
              </w:rPr>
              <w:t>;</w:t>
            </w:r>
          </w:p>
          <w:p w14:paraId="44075FB0" w14:textId="51FB1147" w:rsidR="00D84138" w:rsidRPr="00D84138" w:rsidRDefault="00D84138" w:rsidP="00D84138">
            <w:pPr>
              <w:pStyle w:val="TableParagraph"/>
              <w:numPr>
                <w:ilvl w:val="0"/>
                <w:numId w:val="4"/>
              </w:numPr>
              <w:tabs>
                <w:tab w:val="left" w:pos="828"/>
              </w:tabs>
              <w:spacing w:line="244" w:lineRule="auto"/>
              <w:ind w:right="93"/>
              <w:jc w:val="both"/>
              <w:rPr>
                <w:rFonts w:ascii="Open Sans" w:hAnsi="Open Sans" w:cs="Open Sans"/>
              </w:rPr>
            </w:pPr>
            <w:r w:rsidRPr="00906087">
              <w:rPr>
                <w:rFonts w:ascii="Open Sans" w:hAnsi="Open Sans" w:cs="Open Sans"/>
                <w:color w:val="003399"/>
              </w:rPr>
              <w:t>Elimination of invasive species along River Cris/Körös – Gyomaendrod by forestry mulching (land clearing method that uses a single machine - Forestry Mulcher - to cut, grind and clear vegetation)</w:t>
            </w:r>
            <w:r>
              <w:rPr>
                <w:rFonts w:ascii="Open Sans" w:hAnsi="Open Sans" w:cs="Open Sans"/>
                <w:color w:val="003399"/>
              </w:rPr>
              <w:t>;</w:t>
            </w:r>
          </w:p>
        </w:tc>
      </w:tr>
    </w:tbl>
    <w:p w14:paraId="07488A68" w14:textId="77777777" w:rsidR="00BC714B" w:rsidRDefault="00BC714B">
      <w:pPr>
        <w:pStyle w:val="TableParagraph"/>
        <w:spacing w:line="334" w:lineRule="exact"/>
        <w:sectPr w:rsidR="00BC714B">
          <w:headerReference w:type="default" r:id="rId7"/>
          <w:footerReference w:type="default" r:id="rId8"/>
          <w:type w:val="continuous"/>
          <w:pgSz w:w="11910" w:h="16840"/>
          <w:pgMar w:top="2000" w:right="708" w:bottom="980" w:left="1417" w:header="977" w:footer="781" w:gutter="0"/>
          <w:pgNumType w:start="1"/>
          <w:cols w:space="720"/>
        </w:sectPr>
      </w:pPr>
    </w:p>
    <w:p w14:paraId="04F2796C" w14:textId="77777777" w:rsidR="00BC714B" w:rsidRDefault="00BC714B">
      <w:pPr>
        <w:pStyle w:val="BodyText"/>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BC714B" w:rsidRPr="00906087" w14:paraId="7F4722CF" w14:textId="77777777" w:rsidTr="00D84138">
        <w:trPr>
          <w:trHeight w:val="10716"/>
        </w:trPr>
        <w:tc>
          <w:tcPr>
            <w:tcW w:w="2263" w:type="dxa"/>
          </w:tcPr>
          <w:p w14:paraId="6528DC34" w14:textId="77777777" w:rsidR="00BC714B" w:rsidRPr="00906087" w:rsidRDefault="00BC714B">
            <w:pPr>
              <w:pStyle w:val="TableParagraph"/>
              <w:ind w:left="0"/>
              <w:rPr>
                <w:rFonts w:ascii="Open Sans" w:hAnsi="Open Sans" w:cs="Open Sans"/>
              </w:rPr>
            </w:pPr>
          </w:p>
        </w:tc>
        <w:tc>
          <w:tcPr>
            <w:tcW w:w="7477" w:type="dxa"/>
          </w:tcPr>
          <w:p w14:paraId="41721A36" w14:textId="449C48E8" w:rsidR="00BC714B" w:rsidRPr="00906087" w:rsidRDefault="00000000">
            <w:pPr>
              <w:pStyle w:val="TableParagraph"/>
              <w:numPr>
                <w:ilvl w:val="0"/>
                <w:numId w:val="3"/>
              </w:numPr>
              <w:tabs>
                <w:tab w:val="left" w:pos="828"/>
              </w:tabs>
              <w:spacing w:line="244" w:lineRule="auto"/>
              <w:ind w:right="96"/>
              <w:jc w:val="both"/>
              <w:rPr>
                <w:rFonts w:ascii="Open Sans" w:hAnsi="Open Sans" w:cs="Open Sans"/>
              </w:rPr>
            </w:pPr>
            <w:r w:rsidRPr="00906087">
              <w:rPr>
                <w:rFonts w:ascii="Open Sans" w:hAnsi="Open Sans" w:cs="Open Sans"/>
                <w:color w:val="003399"/>
              </w:rPr>
              <w:t>Developing a Cris/Körös Valley Visitor Centre and Animal Park - Szarvas, Bekes county</w:t>
            </w:r>
            <w:r w:rsidR="00906087">
              <w:rPr>
                <w:rFonts w:ascii="Open Sans" w:hAnsi="Open Sans" w:cs="Open Sans"/>
                <w:color w:val="003399"/>
              </w:rPr>
              <w:t>;</w:t>
            </w:r>
          </w:p>
          <w:p w14:paraId="51646E65" w14:textId="3AA5BF9A" w:rsidR="00BC714B" w:rsidRPr="00906087" w:rsidRDefault="00000000">
            <w:pPr>
              <w:pStyle w:val="TableParagraph"/>
              <w:numPr>
                <w:ilvl w:val="0"/>
                <w:numId w:val="3"/>
              </w:numPr>
              <w:tabs>
                <w:tab w:val="left" w:pos="828"/>
              </w:tabs>
              <w:spacing w:line="244" w:lineRule="auto"/>
              <w:ind w:right="99"/>
              <w:jc w:val="both"/>
              <w:rPr>
                <w:rFonts w:ascii="Open Sans" w:hAnsi="Open Sans" w:cs="Open Sans"/>
              </w:rPr>
            </w:pPr>
            <w:r w:rsidRPr="00906087">
              <w:rPr>
                <w:rFonts w:ascii="Open Sans" w:hAnsi="Open Sans" w:cs="Open Sans"/>
                <w:color w:val="003399"/>
              </w:rPr>
              <w:t>Purchasing equipment for the Tourist Info Point in Békéscsaba (laptops, smartphones, smart TV, etc.)</w:t>
            </w:r>
            <w:r w:rsidR="00906087">
              <w:rPr>
                <w:rFonts w:ascii="Open Sans" w:hAnsi="Open Sans" w:cs="Open Sans"/>
                <w:color w:val="003399"/>
              </w:rPr>
              <w:t>;</w:t>
            </w:r>
          </w:p>
          <w:p w14:paraId="14EBFE4C" w14:textId="03B45030" w:rsidR="00BC714B" w:rsidRPr="00906087" w:rsidRDefault="00000000">
            <w:pPr>
              <w:pStyle w:val="TableParagraph"/>
              <w:numPr>
                <w:ilvl w:val="0"/>
                <w:numId w:val="3"/>
              </w:numPr>
              <w:tabs>
                <w:tab w:val="left" w:pos="828"/>
              </w:tabs>
              <w:spacing w:line="244" w:lineRule="auto"/>
              <w:ind w:right="95"/>
              <w:jc w:val="both"/>
              <w:rPr>
                <w:rFonts w:ascii="Open Sans" w:hAnsi="Open Sans" w:cs="Open Sans"/>
              </w:rPr>
            </w:pPr>
            <w:r w:rsidRPr="00906087">
              <w:rPr>
                <w:rFonts w:ascii="Open Sans" w:hAnsi="Open Sans" w:cs="Open Sans"/>
                <w:color w:val="003399"/>
              </w:rPr>
              <w:t>Organization of educational training sessions for children and young people ("School in nature", Survival classes for scouts, The importance of protected areas and Natura 2000 sites, Nature knowledge courses, Courses on nature protection)</w:t>
            </w:r>
            <w:r w:rsidR="00906087">
              <w:rPr>
                <w:rFonts w:ascii="Open Sans" w:hAnsi="Open Sans" w:cs="Open Sans"/>
                <w:color w:val="003399"/>
              </w:rPr>
              <w:t>;</w:t>
            </w:r>
          </w:p>
          <w:p w14:paraId="3C8768C6" w14:textId="377501BA" w:rsidR="00BC714B" w:rsidRPr="00906087" w:rsidRDefault="00000000">
            <w:pPr>
              <w:pStyle w:val="TableParagraph"/>
              <w:numPr>
                <w:ilvl w:val="0"/>
                <w:numId w:val="3"/>
              </w:numPr>
              <w:tabs>
                <w:tab w:val="left" w:pos="828"/>
              </w:tabs>
              <w:spacing w:line="244" w:lineRule="auto"/>
              <w:ind w:right="99"/>
              <w:jc w:val="both"/>
              <w:rPr>
                <w:rFonts w:ascii="Open Sans" w:hAnsi="Open Sans" w:cs="Open Sans"/>
              </w:rPr>
            </w:pPr>
            <w:r w:rsidRPr="00906087">
              <w:rPr>
                <w:rFonts w:ascii="Open Sans" w:hAnsi="Open Sans" w:cs="Open Sans"/>
                <w:color w:val="003399"/>
              </w:rPr>
              <w:t>Setting up 31.36 km of thematic and educational routes (Cave Route and Flora Route) by LB with high school students</w:t>
            </w:r>
            <w:r w:rsidR="00906087">
              <w:rPr>
                <w:rFonts w:ascii="Open Sans" w:hAnsi="Open Sans" w:cs="Open Sans"/>
                <w:color w:val="003399"/>
              </w:rPr>
              <w:t>;</w:t>
            </w:r>
          </w:p>
          <w:p w14:paraId="31CB527E" w14:textId="1ED01091" w:rsidR="00BC714B" w:rsidRPr="00906087" w:rsidRDefault="00000000">
            <w:pPr>
              <w:pStyle w:val="TableParagraph"/>
              <w:numPr>
                <w:ilvl w:val="0"/>
                <w:numId w:val="3"/>
              </w:numPr>
              <w:tabs>
                <w:tab w:val="left" w:pos="828"/>
              </w:tabs>
              <w:spacing w:line="244" w:lineRule="auto"/>
              <w:ind w:right="97"/>
              <w:jc w:val="both"/>
              <w:rPr>
                <w:rFonts w:ascii="Open Sans" w:hAnsi="Open Sans" w:cs="Open Sans"/>
              </w:rPr>
            </w:pPr>
            <w:r w:rsidRPr="00906087">
              <w:rPr>
                <w:rFonts w:ascii="Open Sans" w:hAnsi="Open Sans" w:cs="Open Sans"/>
                <w:color w:val="003399"/>
              </w:rPr>
              <w:t>Cleaning up 120 hectares of land on the Natura 2000 Crişul Repede River Defile – Craiului Forest site, with the participation of children and young people, members of the Orion Scouts Community</w:t>
            </w:r>
            <w:r w:rsidR="00906087">
              <w:rPr>
                <w:rFonts w:ascii="Open Sans" w:hAnsi="Open Sans" w:cs="Open Sans"/>
                <w:color w:val="003399"/>
              </w:rPr>
              <w:t>;</w:t>
            </w:r>
          </w:p>
          <w:p w14:paraId="60286817" w14:textId="2F1855E8" w:rsidR="00BC714B" w:rsidRPr="00906087" w:rsidRDefault="00000000">
            <w:pPr>
              <w:pStyle w:val="TableParagraph"/>
              <w:numPr>
                <w:ilvl w:val="0"/>
                <w:numId w:val="3"/>
              </w:numPr>
              <w:tabs>
                <w:tab w:val="left" w:pos="827"/>
              </w:tabs>
              <w:spacing w:line="336" w:lineRule="exact"/>
              <w:ind w:left="827" w:hanging="359"/>
              <w:jc w:val="both"/>
              <w:rPr>
                <w:rFonts w:ascii="Open Sans" w:hAnsi="Open Sans" w:cs="Open Sans"/>
              </w:rPr>
            </w:pPr>
            <w:r w:rsidRPr="00906087">
              <w:rPr>
                <w:rFonts w:ascii="Open Sans" w:hAnsi="Open Sans" w:cs="Open Sans"/>
                <w:color w:val="003399"/>
              </w:rPr>
              <w:t>Elaboration of Joint Tourism Strategy by PP2</w:t>
            </w:r>
            <w:r w:rsidR="00906087">
              <w:rPr>
                <w:rFonts w:ascii="Open Sans" w:hAnsi="Open Sans" w:cs="Open Sans"/>
                <w:color w:val="003399"/>
              </w:rPr>
              <w:t>;</w:t>
            </w:r>
          </w:p>
          <w:p w14:paraId="092E1CAA" w14:textId="53A466D8" w:rsidR="00BC714B" w:rsidRPr="00906087" w:rsidRDefault="00000000">
            <w:pPr>
              <w:pStyle w:val="TableParagraph"/>
              <w:numPr>
                <w:ilvl w:val="0"/>
                <w:numId w:val="3"/>
              </w:numPr>
              <w:tabs>
                <w:tab w:val="left" w:pos="828"/>
              </w:tabs>
              <w:spacing w:line="244" w:lineRule="auto"/>
              <w:ind w:right="96"/>
              <w:jc w:val="both"/>
              <w:rPr>
                <w:rFonts w:ascii="Open Sans" w:hAnsi="Open Sans" w:cs="Open Sans"/>
              </w:rPr>
            </w:pPr>
            <w:r w:rsidRPr="00906087">
              <w:rPr>
                <w:rFonts w:ascii="Open Sans" w:hAnsi="Open Sans" w:cs="Open Sans"/>
                <w:color w:val="003399"/>
              </w:rPr>
              <w:t>Organizing the conference “Conserving and Protecting Biodiversity and Natural Heritage” by PP3</w:t>
            </w:r>
            <w:r w:rsidR="00906087">
              <w:rPr>
                <w:rFonts w:ascii="Open Sans" w:hAnsi="Open Sans" w:cs="Open Sans"/>
                <w:color w:val="003399"/>
              </w:rPr>
              <w:t>;</w:t>
            </w:r>
          </w:p>
          <w:p w14:paraId="490E6539" w14:textId="650A43D5" w:rsidR="00BC714B" w:rsidRPr="00906087" w:rsidRDefault="00000000">
            <w:pPr>
              <w:pStyle w:val="TableParagraph"/>
              <w:numPr>
                <w:ilvl w:val="0"/>
                <w:numId w:val="3"/>
              </w:numPr>
              <w:tabs>
                <w:tab w:val="left" w:pos="828"/>
              </w:tabs>
              <w:spacing w:line="244" w:lineRule="auto"/>
              <w:ind w:right="94"/>
              <w:jc w:val="both"/>
              <w:rPr>
                <w:rFonts w:ascii="Open Sans" w:hAnsi="Open Sans" w:cs="Open Sans"/>
              </w:rPr>
            </w:pPr>
            <w:r w:rsidRPr="00906087">
              <w:rPr>
                <w:rFonts w:ascii="Open Sans" w:hAnsi="Open Sans" w:cs="Open Sans"/>
                <w:color w:val="003399"/>
              </w:rPr>
              <w:t>Organizing 4 conferences that gathered regional experts and actors from the field of nature protection and conservation and also from the tourism domain –PP2</w:t>
            </w:r>
            <w:r w:rsidR="00906087">
              <w:rPr>
                <w:rFonts w:ascii="Open Sans" w:hAnsi="Open Sans" w:cs="Open Sans"/>
                <w:color w:val="003399"/>
              </w:rPr>
              <w:t>;</w:t>
            </w:r>
          </w:p>
          <w:p w14:paraId="484E0FC7" w14:textId="55D93AA3" w:rsidR="00BC714B" w:rsidRPr="00906087" w:rsidRDefault="00000000">
            <w:pPr>
              <w:pStyle w:val="TableParagraph"/>
              <w:numPr>
                <w:ilvl w:val="0"/>
                <w:numId w:val="3"/>
              </w:numPr>
              <w:tabs>
                <w:tab w:val="left" w:pos="828"/>
              </w:tabs>
              <w:spacing w:line="244" w:lineRule="auto"/>
              <w:ind w:right="94"/>
              <w:jc w:val="both"/>
              <w:rPr>
                <w:rFonts w:ascii="Open Sans" w:hAnsi="Open Sans" w:cs="Open Sans"/>
              </w:rPr>
            </w:pPr>
            <w:r w:rsidRPr="00906087">
              <w:rPr>
                <w:rFonts w:ascii="Open Sans" w:hAnsi="Open Sans" w:cs="Open Sans"/>
                <w:color w:val="003399"/>
              </w:rPr>
              <w:t>Participating at six trade fairs in the cross-border area: 2 times in Oradea, two times in Arad, and two times in Bekescsaba - PP2</w:t>
            </w:r>
            <w:r w:rsidR="00906087">
              <w:rPr>
                <w:rFonts w:ascii="Open Sans" w:hAnsi="Open Sans" w:cs="Open Sans"/>
                <w:color w:val="003399"/>
              </w:rPr>
              <w:t>;</w:t>
            </w:r>
          </w:p>
          <w:p w14:paraId="75C0177D" w14:textId="09AB6D83" w:rsidR="00BC714B" w:rsidRPr="00906087" w:rsidRDefault="00000000">
            <w:pPr>
              <w:pStyle w:val="TableParagraph"/>
              <w:numPr>
                <w:ilvl w:val="0"/>
                <w:numId w:val="3"/>
              </w:numPr>
              <w:tabs>
                <w:tab w:val="left" w:pos="828"/>
              </w:tabs>
              <w:spacing w:line="244" w:lineRule="auto"/>
              <w:ind w:right="98"/>
              <w:jc w:val="both"/>
              <w:rPr>
                <w:rFonts w:ascii="Open Sans" w:hAnsi="Open Sans" w:cs="Open Sans"/>
              </w:rPr>
            </w:pPr>
            <w:r w:rsidRPr="00906087">
              <w:rPr>
                <w:rFonts w:ascii="Open Sans" w:hAnsi="Open Sans" w:cs="Open Sans"/>
                <w:color w:val="003399"/>
              </w:rPr>
              <w:t>Elaboration of 5 surveys by PP3, whose results will guide the target groups in the process of taking decisions related to conservation and protection of natural heritage in general and on Natura 2000 sites in particular</w:t>
            </w:r>
            <w:r w:rsidR="00906087">
              <w:rPr>
                <w:rFonts w:ascii="Open Sans" w:hAnsi="Open Sans" w:cs="Open Sans"/>
                <w:color w:val="003399"/>
              </w:rPr>
              <w:t>.</w:t>
            </w:r>
          </w:p>
          <w:p w14:paraId="6551FA36" w14:textId="77777777" w:rsidR="00BC714B" w:rsidRPr="00906087" w:rsidRDefault="00BC714B">
            <w:pPr>
              <w:pStyle w:val="TableParagraph"/>
              <w:spacing w:before="118"/>
              <w:ind w:left="0"/>
              <w:rPr>
                <w:rFonts w:ascii="Open Sans" w:hAnsi="Open Sans" w:cs="Open Sans"/>
              </w:rPr>
            </w:pPr>
          </w:p>
          <w:p w14:paraId="14F8E7B9" w14:textId="77777777" w:rsidR="00BC714B" w:rsidRPr="00906087" w:rsidRDefault="00000000">
            <w:pPr>
              <w:pStyle w:val="TableParagraph"/>
              <w:rPr>
                <w:rFonts w:ascii="Open Sans" w:hAnsi="Open Sans" w:cs="Open Sans"/>
                <w:b/>
                <w:i/>
              </w:rPr>
            </w:pPr>
            <w:r w:rsidRPr="00906087">
              <w:rPr>
                <w:rFonts w:ascii="Open Sans" w:hAnsi="Open Sans" w:cs="Open Sans"/>
                <w:b/>
                <w:i/>
                <w:color w:val="003399"/>
              </w:rPr>
              <w:t>On July 31, 2020, the project was successfully finalized.</w:t>
            </w:r>
          </w:p>
          <w:p w14:paraId="69731706" w14:textId="2A543F95" w:rsidR="00BC714B" w:rsidRPr="00906087" w:rsidRDefault="00000000" w:rsidP="00D84138">
            <w:pPr>
              <w:pStyle w:val="TableParagraph"/>
              <w:spacing w:before="93"/>
              <w:rPr>
                <w:rFonts w:ascii="Open Sans" w:hAnsi="Open Sans" w:cs="Open Sans"/>
                <w:b/>
                <w:i/>
              </w:rPr>
            </w:pPr>
            <w:r w:rsidRPr="00906087">
              <w:rPr>
                <w:rFonts w:ascii="Open Sans" w:hAnsi="Open Sans" w:cs="Open Sans"/>
                <w:b/>
                <w:i/>
                <w:color w:val="003399"/>
              </w:rPr>
              <w:t>All activities provided in the project were completed (100%).</w:t>
            </w:r>
          </w:p>
        </w:tc>
      </w:tr>
    </w:tbl>
    <w:p w14:paraId="670F5309" w14:textId="77777777" w:rsidR="00BC714B" w:rsidRPr="00906087" w:rsidRDefault="00BC714B">
      <w:pPr>
        <w:pStyle w:val="TableParagraph"/>
        <w:spacing w:line="252" w:lineRule="auto"/>
        <w:jc w:val="both"/>
        <w:rPr>
          <w:rFonts w:ascii="Open Sans" w:hAnsi="Open Sans" w:cs="Open Sans"/>
          <w:b/>
          <w:i/>
        </w:rPr>
        <w:sectPr w:rsidR="00BC714B" w:rsidRPr="00906087">
          <w:pgSz w:w="11910" w:h="16840"/>
          <w:pgMar w:top="2000" w:right="708" w:bottom="980" w:left="1417" w:header="977" w:footer="781" w:gutter="0"/>
          <w:cols w:space="720"/>
        </w:sectPr>
      </w:pPr>
    </w:p>
    <w:p w14:paraId="51F17994" w14:textId="77777777" w:rsidR="00BC714B" w:rsidRPr="00906087" w:rsidRDefault="00BC714B">
      <w:pPr>
        <w:pStyle w:val="BodyText"/>
        <w:rPr>
          <w:rFonts w:ascii="Open Sans" w:hAnsi="Open Sans" w:cs="Open Sans"/>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BC714B" w:rsidRPr="00906087" w14:paraId="4775C40E" w14:textId="77777777" w:rsidTr="00906087">
        <w:trPr>
          <w:trHeight w:val="6180"/>
        </w:trPr>
        <w:tc>
          <w:tcPr>
            <w:tcW w:w="2263" w:type="dxa"/>
          </w:tcPr>
          <w:p w14:paraId="73017A88" w14:textId="77777777" w:rsidR="00BC714B" w:rsidRPr="00906087" w:rsidRDefault="00BC714B">
            <w:pPr>
              <w:pStyle w:val="TableParagraph"/>
              <w:ind w:left="0"/>
              <w:rPr>
                <w:rFonts w:ascii="Open Sans" w:hAnsi="Open Sans" w:cs="Open Sans"/>
              </w:rPr>
            </w:pPr>
          </w:p>
          <w:p w14:paraId="1AC6B5B6" w14:textId="77777777" w:rsidR="00BC714B" w:rsidRPr="00906087" w:rsidRDefault="00BC714B">
            <w:pPr>
              <w:pStyle w:val="TableParagraph"/>
              <w:ind w:left="0"/>
              <w:rPr>
                <w:rFonts w:ascii="Open Sans" w:hAnsi="Open Sans" w:cs="Open Sans"/>
              </w:rPr>
            </w:pPr>
          </w:p>
          <w:p w14:paraId="5435B5CC" w14:textId="77777777" w:rsidR="00BC714B" w:rsidRPr="00906087" w:rsidRDefault="00BC714B">
            <w:pPr>
              <w:pStyle w:val="TableParagraph"/>
              <w:ind w:left="0"/>
              <w:rPr>
                <w:rFonts w:ascii="Open Sans" w:hAnsi="Open Sans" w:cs="Open Sans"/>
              </w:rPr>
            </w:pPr>
          </w:p>
          <w:p w14:paraId="2B8C332B" w14:textId="77777777" w:rsidR="00BC714B" w:rsidRPr="00906087" w:rsidRDefault="00BC714B">
            <w:pPr>
              <w:pStyle w:val="TableParagraph"/>
              <w:ind w:left="0"/>
              <w:rPr>
                <w:rFonts w:ascii="Open Sans" w:hAnsi="Open Sans" w:cs="Open Sans"/>
              </w:rPr>
            </w:pPr>
          </w:p>
          <w:p w14:paraId="3C93CD37" w14:textId="77777777" w:rsidR="00BC714B" w:rsidRPr="00906087" w:rsidRDefault="00BC714B">
            <w:pPr>
              <w:pStyle w:val="TableParagraph"/>
              <w:ind w:left="0"/>
              <w:rPr>
                <w:rFonts w:ascii="Open Sans" w:hAnsi="Open Sans" w:cs="Open Sans"/>
              </w:rPr>
            </w:pPr>
          </w:p>
          <w:p w14:paraId="0D349398" w14:textId="77777777" w:rsidR="00BC714B" w:rsidRPr="00906087" w:rsidRDefault="00BC714B">
            <w:pPr>
              <w:pStyle w:val="TableParagraph"/>
              <w:ind w:left="0"/>
              <w:rPr>
                <w:rFonts w:ascii="Open Sans" w:hAnsi="Open Sans" w:cs="Open Sans"/>
              </w:rPr>
            </w:pPr>
          </w:p>
          <w:p w14:paraId="350EF52D" w14:textId="77777777" w:rsidR="00BC714B" w:rsidRPr="00906087" w:rsidRDefault="00BC714B">
            <w:pPr>
              <w:pStyle w:val="TableParagraph"/>
              <w:ind w:left="0"/>
              <w:rPr>
                <w:rFonts w:ascii="Open Sans" w:hAnsi="Open Sans" w:cs="Open Sans"/>
              </w:rPr>
            </w:pPr>
          </w:p>
          <w:p w14:paraId="19E099B7" w14:textId="77777777" w:rsidR="00BC714B" w:rsidRPr="00906087" w:rsidRDefault="00BC714B">
            <w:pPr>
              <w:pStyle w:val="TableParagraph"/>
              <w:ind w:left="0"/>
              <w:rPr>
                <w:rFonts w:ascii="Open Sans" w:hAnsi="Open Sans" w:cs="Open Sans"/>
              </w:rPr>
            </w:pPr>
          </w:p>
          <w:p w14:paraId="5875B734" w14:textId="77777777" w:rsidR="00BC714B" w:rsidRPr="00906087" w:rsidRDefault="00BC714B">
            <w:pPr>
              <w:pStyle w:val="TableParagraph"/>
              <w:ind w:left="0"/>
              <w:rPr>
                <w:rFonts w:ascii="Open Sans" w:hAnsi="Open Sans" w:cs="Open Sans"/>
              </w:rPr>
            </w:pPr>
          </w:p>
          <w:p w14:paraId="370228CC" w14:textId="77777777" w:rsidR="00BC714B" w:rsidRPr="00906087" w:rsidRDefault="00BC714B">
            <w:pPr>
              <w:pStyle w:val="TableParagraph"/>
              <w:ind w:left="0"/>
              <w:rPr>
                <w:rFonts w:ascii="Open Sans" w:hAnsi="Open Sans" w:cs="Open Sans"/>
              </w:rPr>
            </w:pPr>
          </w:p>
          <w:p w14:paraId="68E3EAF4" w14:textId="77777777" w:rsidR="00BC714B" w:rsidRPr="00906087" w:rsidRDefault="00BC714B">
            <w:pPr>
              <w:pStyle w:val="TableParagraph"/>
              <w:ind w:left="0"/>
              <w:rPr>
                <w:rFonts w:ascii="Open Sans" w:hAnsi="Open Sans" w:cs="Open Sans"/>
              </w:rPr>
            </w:pPr>
          </w:p>
          <w:p w14:paraId="0AB99279" w14:textId="77777777" w:rsidR="00BC714B" w:rsidRPr="00906087" w:rsidRDefault="00BC714B">
            <w:pPr>
              <w:pStyle w:val="TableParagraph"/>
              <w:spacing w:before="142"/>
              <w:ind w:left="0"/>
              <w:rPr>
                <w:rFonts w:ascii="Open Sans" w:hAnsi="Open Sans" w:cs="Open Sans"/>
              </w:rPr>
            </w:pPr>
          </w:p>
          <w:p w14:paraId="0C34DACA" w14:textId="722C55CF" w:rsidR="00BC714B" w:rsidRPr="00906087" w:rsidRDefault="00000000">
            <w:pPr>
              <w:pStyle w:val="TableParagraph"/>
              <w:rPr>
                <w:rFonts w:ascii="Open Sans" w:hAnsi="Open Sans" w:cs="Open Sans"/>
                <w:b/>
                <w:bCs/>
              </w:rPr>
            </w:pPr>
            <w:r w:rsidRPr="00906087">
              <w:rPr>
                <w:rFonts w:ascii="Open Sans" w:hAnsi="Open Sans" w:cs="Open Sans"/>
                <w:b/>
                <w:bCs/>
                <w:color w:val="003399"/>
              </w:rPr>
              <w:t xml:space="preserve">Main </w:t>
            </w:r>
            <w:r w:rsidR="00A40647">
              <w:rPr>
                <w:rFonts w:ascii="Open Sans" w:hAnsi="Open Sans" w:cs="Open Sans"/>
                <w:b/>
                <w:bCs/>
                <w:color w:val="003399"/>
              </w:rPr>
              <w:t>outcomes</w:t>
            </w:r>
          </w:p>
        </w:tc>
        <w:tc>
          <w:tcPr>
            <w:tcW w:w="7477" w:type="dxa"/>
          </w:tcPr>
          <w:p w14:paraId="49D0A28D" w14:textId="77777777" w:rsidR="00711D6A" w:rsidRPr="005E0EB5" w:rsidRDefault="00711D6A" w:rsidP="00711D6A">
            <w:pPr>
              <w:pStyle w:val="TableParagraph"/>
              <w:spacing w:line="329" w:lineRule="exact"/>
              <w:rPr>
                <w:rFonts w:ascii="Open Sans" w:hAnsi="Open Sans" w:cs="Open Sans"/>
                <w:b/>
                <w:bCs/>
              </w:rPr>
            </w:pPr>
            <w:r w:rsidRPr="005E0EB5">
              <w:rPr>
                <w:rFonts w:ascii="Open Sans" w:hAnsi="Open Sans" w:cs="Open Sans"/>
                <w:b/>
                <w:bCs/>
                <w:color w:val="003399"/>
                <w:spacing w:val="-8"/>
              </w:rPr>
              <w:t>The</w:t>
            </w:r>
            <w:r w:rsidRPr="005E0EB5">
              <w:rPr>
                <w:rFonts w:ascii="Open Sans" w:hAnsi="Open Sans" w:cs="Open Sans"/>
                <w:b/>
                <w:bCs/>
                <w:color w:val="003399"/>
                <w:spacing w:val="-2"/>
              </w:rPr>
              <w:t xml:space="preserve"> </w:t>
            </w:r>
            <w:r w:rsidRPr="005E0EB5">
              <w:rPr>
                <w:rFonts w:ascii="Open Sans" w:hAnsi="Open Sans" w:cs="Open Sans"/>
                <w:b/>
                <w:bCs/>
                <w:color w:val="003399"/>
                <w:spacing w:val="-8"/>
              </w:rPr>
              <w:t>main</w:t>
            </w:r>
            <w:r w:rsidRPr="005E0EB5">
              <w:rPr>
                <w:rFonts w:ascii="Open Sans" w:hAnsi="Open Sans" w:cs="Open Sans"/>
                <w:b/>
                <w:bCs/>
                <w:color w:val="003399"/>
                <w:spacing w:val="-4"/>
              </w:rPr>
              <w:t xml:space="preserve"> deliverables</w:t>
            </w:r>
            <w:r w:rsidRPr="005E0EB5">
              <w:rPr>
                <w:rFonts w:ascii="Open Sans" w:hAnsi="Open Sans" w:cs="Open Sans"/>
                <w:b/>
                <w:bCs/>
                <w:color w:val="003399"/>
                <w:spacing w:val="-8"/>
              </w:rPr>
              <w:t>:</w:t>
            </w:r>
          </w:p>
          <w:p w14:paraId="719C9C1E" w14:textId="3E5CB009"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1) Construction of a tourist park in the village Zece Hotare and a Belvedere touristic refuge - Observer;</w:t>
            </w:r>
          </w:p>
          <w:p w14:paraId="201E0F28" w14:textId="1830BF61"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 xml:space="preserve">2)The Tourist Info Point (TIP) in Bekescsaba was developed, acting as a bridge between the </w:t>
            </w:r>
            <w:r w:rsidRPr="00711D6A">
              <w:rPr>
                <w:rFonts w:ascii="Open Sans" w:hAnsi="Open Sans" w:cs="Open Sans"/>
                <w:color w:val="003399"/>
                <w:lang w:val="en-GB"/>
              </w:rPr>
              <w:t>travellers</w:t>
            </w:r>
            <w:r w:rsidRPr="00711D6A">
              <w:rPr>
                <w:rFonts w:ascii="Open Sans" w:hAnsi="Open Sans" w:cs="Open Sans"/>
                <w:color w:val="003399"/>
                <w:lang w:val="en-GB"/>
              </w:rPr>
              <w:t xml:space="preserve"> and the local communities.;</w:t>
            </w:r>
          </w:p>
          <w:p w14:paraId="3C382682" w14:textId="4B16CFF7"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 xml:space="preserve">3) Development of Cris/Körös Valley Visitor Centre and Animal Park - Szarvas, </w:t>
            </w:r>
            <w:r>
              <w:rPr>
                <w:rFonts w:ascii="Open Sans" w:hAnsi="Open Sans" w:cs="Open Sans"/>
                <w:color w:val="003399"/>
                <w:lang w:val="en-GB"/>
              </w:rPr>
              <w:t>Békés</w:t>
            </w:r>
            <w:r w:rsidRPr="00711D6A">
              <w:rPr>
                <w:rFonts w:ascii="Open Sans" w:hAnsi="Open Sans" w:cs="Open Sans"/>
                <w:color w:val="003399"/>
                <w:lang w:val="en-GB"/>
              </w:rPr>
              <w:t xml:space="preserve"> county, including a room for 50 people suitable for education, a warming kitchen, a chamber, the required social spaces, and a terrace facing the backwater where 40-50 individuals can have seats during educational occasions and temporary exhibitions to visit;</w:t>
            </w:r>
          </w:p>
          <w:p w14:paraId="512A0CD0" w14:textId="220588FA"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 xml:space="preserve">4) Grassland management along River Cris/Körös - Szentes, Csongrád county: 750 sqm constructed wooded hurdle for grazed </w:t>
            </w:r>
            <w:r>
              <w:rPr>
                <w:rFonts w:ascii="Open Sans" w:hAnsi="Open Sans" w:cs="Open Sans"/>
                <w:color w:val="003399"/>
                <w:lang w:val="en-GB"/>
              </w:rPr>
              <w:t>cattle</w:t>
            </w:r>
            <w:r w:rsidRPr="00711D6A">
              <w:rPr>
                <w:rFonts w:ascii="Open Sans" w:hAnsi="Open Sans" w:cs="Open Sans"/>
                <w:color w:val="003399"/>
                <w:lang w:val="en-GB"/>
              </w:rPr>
              <w:t>;</w:t>
            </w:r>
          </w:p>
          <w:p w14:paraId="553A5B42" w14:textId="70132863"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5) A Joint Tourist Strategy was delivered for promoting the joint tourist destination: The Crişul Repede/Sebes Koros Valley Road;</w:t>
            </w:r>
          </w:p>
          <w:p w14:paraId="3ACBC8B2" w14:textId="2A0147D7"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6) 4 conferences aiming the main themes: tourism future trends; technology, legal, environmental, reaction to changes and innovation related to tourism were delivered;</w:t>
            </w:r>
          </w:p>
          <w:p w14:paraId="36DF26B6" w14:textId="3EC5A27E"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 xml:space="preserve">7) 6 cross-border trade-fairs having the general purpose to build strong relationships with local </w:t>
            </w:r>
            <w:r w:rsidRPr="00711D6A">
              <w:rPr>
                <w:rFonts w:ascii="Open Sans" w:hAnsi="Open Sans" w:cs="Open Sans"/>
                <w:color w:val="003399"/>
                <w:lang w:val="en-GB"/>
              </w:rPr>
              <w:t>tourists’</w:t>
            </w:r>
            <w:r w:rsidRPr="00711D6A">
              <w:rPr>
                <w:rFonts w:ascii="Open Sans" w:hAnsi="Open Sans" w:cs="Open Sans"/>
                <w:color w:val="003399"/>
                <w:lang w:val="en-GB"/>
              </w:rPr>
              <w:t xml:space="preserve"> </w:t>
            </w:r>
            <w:r w:rsidR="002B25B5">
              <w:rPr>
                <w:rFonts w:ascii="Open Sans" w:hAnsi="Open Sans" w:cs="Open Sans"/>
                <w:color w:val="003399"/>
                <w:lang w:val="en-GB"/>
              </w:rPr>
              <w:t>businesses</w:t>
            </w:r>
            <w:r w:rsidRPr="00711D6A">
              <w:rPr>
                <w:rFonts w:ascii="Open Sans" w:hAnsi="Open Sans" w:cs="Open Sans"/>
                <w:color w:val="003399"/>
                <w:lang w:val="en-GB"/>
              </w:rPr>
              <w:t xml:space="preserve"> by supporting and encouraging </w:t>
            </w:r>
            <w:r w:rsidR="002B25B5">
              <w:rPr>
                <w:rFonts w:ascii="Open Sans" w:hAnsi="Open Sans" w:cs="Open Sans"/>
                <w:color w:val="003399"/>
                <w:lang w:val="en-GB"/>
              </w:rPr>
              <w:t xml:space="preserve">the </w:t>
            </w:r>
            <w:r w:rsidRPr="00711D6A">
              <w:rPr>
                <w:rFonts w:ascii="Open Sans" w:hAnsi="Open Sans" w:cs="Open Sans"/>
                <w:color w:val="003399"/>
                <w:lang w:val="en-GB"/>
              </w:rPr>
              <w:t>quality of tourist services and products;</w:t>
            </w:r>
          </w:p>
          <w:p w14:paraId="29DCE9FD" w14:textId="062D9EF4"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 xml:space="preserve">8) The </w:t>
            </w:r>
            <w:r>
              <w:rPr>
                <w:rFonts w:ascii="Open Sans" w:hAnsi="Open Sans" w:cs="Open Sans"/>
                <w:color w:val="003399"/>
                <w:lang w:val="en-GB"/>
              </w:rPr>
              <w:t>Cross-border</w:t>
            </w:r>
            <w:r w:rsidRPr="00711D6A">
              <w:rPr>
                <w:rFonts w:ascii="Open Sans" w:hAnsi="Open Sans" w:cs="Open Sans"/>
                <w:color w:val="003399"/>
                <w:lang w:val="en-GB"/>
              </w:rPr>
              <w:t xml:space="preserve"> Natura 2000 Official Surveys: Land-use survey, Landscape survey, Botanical survey, </w:t>
            </w:r>
            <w:r>
              <w:rPr>
                <w:rFonts w:ascii="Open Sans" w:hAnsi="Open Sans" w:cs="Open Sans"/>
                <w:color w:val="003399"/>
                <w:lang w:val="en-GB"/>
              </w:rPr>
              <w:t xml:space="preserve">and </w:t>
            </w:r>
            <w:r w:rsidRPr="00711D6A">
              <w:rPr>
                <w:rFonts w:ascii="Open Sans" w:hAnsi="Open Sans" w:cs="Open Sans"/>
                <w:color w:val="003399"/>
                <w:lang w:val="en-GB"/>
              </w:rPr>
              <w:t>2 Zoological surveys were delivered;</w:t>
            </w:r>
          </w:p>
          <w:p w14:paraId="1B094888" w14:textId="0FF47725"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9) The conference</w:t>
            </w:r>
            <w:r>
              <w:rPr>
                <w:rFonts w:ascii="Open Sans" w:hAnsi="Open Sans" w:cs="Open Sans"/>
                <w:color w:val="003399"/>
                <w:lang w:val="en-GB"/>
              </w:rPr>
              <w:t xml:space="preserve"> </w:t>
            </w:r>
            <w:r w:rsidRPr="00711D6A">
              <w:rPr>
                <w:rFonts w:ascii="Open Sans" w:hAnsi="Open Sans" w:cs="Open Sans"/>
                <w:color w:val="003399"/>
                <w:lang w:val="en-GB"/>
              </w:rPr>
              <w:t>,,Conserving and Protecting Biodiversity and Natural Heritage", was in place.</w:t>
            </w:r>
          </w:p>
          <w:p w14:paraId="4E305708" w14:textId="32A69454"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10) Educational activities for children and young people were delivered:</w:t>
            </w:r>
            <w:r>
              <w:rPr>
                <w:rFonts w:ascii="Open Sans" w:hAnsi="Open Sans" w:cs="Open Sans"/>
                <w:color w:val="003399"/>
                <w:lang w:val="en-GB"/>
              </w:rPr>
              <w:t xml:space="preserve"> </w:t>
            </w:r>
            <w:r w:rsidRPr="00711D6A">
              <w:rPr>
                <w:rFonts w:ascii="Open Sans" w:hAnsi="Open Sans" w:cs="Open Sans"/>
                <w:color w:val="003399"/>
                <w:lang w:val="en-GB"/>
              </w:rPr>
              <w:t>"School in nature",</w:t>
            </w:r>
            <w:r>
              <w:rPr>
                <w:rFonts w:ascii="Open Sans" w:hAnsi="Open Sans" w:cs="Open Sans"/>
                <w:color w:val="003399"/>
                <w:lang w:val="en-GB"/>
              </w:rPr>
              <w:t xml:space="preserve"> </w:t>
            </w:r>
            <w:r w:rsidRPr="00711D6A">
              <w:rPr>
                <w:rFonts w:ascii="Open Sans" w:hAnsi="Open Sans" w:cs="Open Sans"/>
                <w:color w:val="003399"/>
                <w:lang w:val="en-GB"/>
              </w:rPr>
              <w:t>Survival classes for scouts,</w:t>
            </w:r>
            <w:r>
              <w:rPr>
                <w:rFonts w:ascii="Open Sans" w:hAnsi="Open Sans" w:cs="Open Sans"/>
                <w:color w:val="003399"/>
                <w:lang w:val="en-GB"/>
              </w:rPr>
              <w:t xml:space="preserve"> </w:t>
            </w:r>
            <w:r w:rsidRPr="00711D6A">
              <w:rPr>
                <w:rFonts w:ascii="Open Sans" w:hAnsi="Open Sans" w:cs="Open Sans"/>
                <w:color w:val="003399"/>
                <w:lang w:val="en-GB"/>
              </w:rPr>
              <w:t>The importance of protected areas and Natura 2000 sites,</w:t>
            </w:r>
            <w:r>
              <w:rPr>
                <w:rFonts w:ascii="Open Sans" w:hAnsi="Open Sans" w:cs="Open Sans"/>
                <w:color w:val="003399"/>
                <w:lang w:val="en-GB"/>
              </w:rPr>
              <w:t xml:space="preserve"> </w:t>
            </w:r>
            <w:r w:rsidRPr="00711D6A">
              <w:rPr>
                <w:rFonts w:ascii="Open Sans" w:hAnsi="Open Sans" w:cs="Open Sans"/>
                <w:color w:val="003399"/>
                <w:lang w:val="en-GB"/>
              </w:rPr>
              <w:t>Nature knowledge courses,</w:t>
            </w:r>
            <w:r>
              <w:rPr>
                <w:rFonts w:ascii="Open Sans" w:hAnsi="Open Sans" w:cs="Open Sans"/>
                <w:color w:val="003399"/>
                <w:lang w:val="en-GB"/>
              </w:rPr>
              <w:t xml:space="preserve"> </w:t>
            </w:r>
            <w:r w:rsidR="002B25B5">
              <w:rPr>
                <w:rFonts w:ascii="Open Sans" w:hAnsi="Open Sans" w:cs="Open Sans"/>
                <w:color w:val="003399"/>
                <w:lang w:val="en-GB"/>
              </w:rPr>
              <w:t>and courses</w:t>
            </w:r>
            <w:r w:rsidRPr="00711D6A">
              <w:rPr>
                <w:rFonts w:ascii="Open Sans" w:hAnsi="Open Sans" w:cs="Open Sans"/>
                <w:color w:val="003399"/>
                <w:lang w:val="en-GB"/>
              </w:rPr>
              <w:t xml:space="preserve"> on nature protection.</w:t>
            </w:r>
          </w:p>
          <w:p w14:paraId="2F87AEA4" w14:textId="26F85709"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Activities were focused on raising environmental awareness and developing eco-sustainable behavio</w:t>
            </w:r>
            <w:r>
              <w:rPr>
                <w:rFonts w:ascii="Open Sans" w:hAnsi="Open Sans" w:cs="Open Sans"/>
                <w:color w:val="003399"/>
                <w:lang w:val="en-GB"/>
              </w:rPr>
              <w:t>u</w:t>
            </w:r>
            <w:r w:rsidRPr="00711D6A">
              <w:rPr>
                <w:rFonts w:ascii="Open Sans" w:hAnsi="Open Sans" w:cs="Open Sans"/>
                <w:color w:val="003399"/>
                <w:lang w:val="en-GB"/>
              </w:rPr>
              <w:t>r. All these activities can be called ”green activities”;</w:t>
            </w:r>
          </w:p>
          <w:p w14:paraId="0343902A" w14:textId="77777777"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11) A surface of 120 hectares was cleaned up of land on the Natura 2000 Crişu Repede Gorge – Craiului Forest site;</w:t>
            </w:r>
          </w:p>
          <w:p w14:paraId="51FE52C7" w14:textId="77777777"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 xml:space="preserve">12) Two thematic routes were developed within this project: </w:t>
            </w:r>
          </w:p>
          <w:p w14:paraId="24BA8CFD" w14:textId="77777777"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 xml:space="preserve">- CAVE ROUTE - a 30,36 km route, which has the following itinerary: leave from Unguru Mare Cave, reach Mişidului Valley, pass on Izbucul Izbândiş and Izbândiş Cave, approaching Bătrânu Cave, passes by Recea Quarry, climb the Pojorâta cliff (point of view), arrive at the Tourist park in the village Zece Hotare and a Belvedere touristic refuge – Observer (Wachtower). </w:t>
            </w:r>
          </w:p>
          <w:p w14:paraId="23BF9796" w14:textId="3FB4274E" w:rsidR="00711D6A" w:rsidRPr="00711D6A" w:rsidRDefault="00711D6A" w:rsidP="00711D6A">
            <w:pPr>
              <w:pStyle w:val="TableParagraph"/>
              <w:spacing w:line="310" w:lineRule="exact"/>
              <w:jc w:val="both"/>
              <w:rPr>
                <w:rFonts w:ascii="Open Sans" w:hAnsi="Open Sans" w:cs="Open Sans"/>
                <w:color w:val="003399"/>
                <w:lang w:val="en-GB"/>
              </w:rPr>
            </w:pPr>
            <w:r w:rsidRPr="00711D6A">
              <w:rPr>
                <w:rFonts w:ascii="Open Sans" w:hAnsi="Open Sans" w:cs="Open Sans"/>
                <w:color w:val="003399"/>
                <w:lang w:val="en-GB"/>
              </w:rPr>
              <w:t>- FLORA ROUTE - a 1 km mini route on the field of LP (11 ha) dedicated to educational activities.</w:t>
            </w:r>
          </w:p>
          <w:p w14:paraId="4A8C2E3B" w14:textId="77777777" w:rsidR="00711D6A" w:rsidRPr="005E0EB5" w:rsidRDefault="00711D6A" w:rsidP="00711D6A">
            <w:pPr>
              <w:pStyle w:val="TableParagraph"/>
              <w:spacing w:line="268" w:lineRule="auto"/>
              <w:ind w:right="97"/>
              <w:jc w:val="both"/>
              <w:rPr>
                <w:rFonts w:ascii="Open Sans" w:hAnsi="Open Sans" w:cs="Open Sans"/>
                <w:b/>
                <w:bCs/>
                <w:color w:val="003399"/>
              </w:rPr>
            </w:pPr>
            <w:r w:rsidRPr="002A0448">
              <w:rPr>
                <w:rFonts w:ascii="Open Sans" w:hAnsi="Open Sans" w:cs="Open Sans"/>
                <w:b/>
                <w:bCs/>
                <w:color w:val="003399"/>
              </w:rPr>
              <w:lastRenderedPageBreak/>
              <w:t>The main results achieved</w:t>
            </w:r>
            <w:r w:rsidRPr="005E0EB5">
              <w:rPr>
                <w:rFonts w:ascii="Open Sans" w:hAnsi="Open Sans" w:cs="Open Sans"/>
                <w:b/>
                <w:bCs/>
                <w:color w:val="003399"/>
              </w:rPr>
              <w:t>:</w:t>
            </w:r>
          </w:p>
          <w:p w14:paraId="1E1048CF" w14:textId="77777777" w:rsidR="00BC714B" w:rsidRPr="00906087" w:rsidRDefault="00000000">
            <w:pPr>
              <w:pStyle w:val="TableParagraph"/>
              <w:numPr>
                <w:ilvl w:val="0"/>
                <w:numId w:val="2"/>
              </w:numPr>
              <w:tabs>
                <w:tab w:val="left" w:pos="828"/>
              </w:tabs>
              <w:spacing w:before="7" w:line="213" w:lineRule="auto"/>
              <w:ind w:right="96"/>
              <w:jc w:val="both"/>
              <w:rPr>
                <w:rFonts w:ascii="Open Sans" w:hAnsi="Open Sans" w:cs="Open Sans"/>
              </w:rPr>
            </w:pPr>
            <w:r w:rsidRPr="00906087">
              <w:rPr>
                <w:rFonts w:ascii="Open Sans" w:hAnsi="Open Sans" w:cs="Open Sans"/>
                <w:color w:val="003399"/>
              </w:rPr>
              <w:t>2 new buildings where trainings on educational and environmental topics will continue to take place, aiming to encourage young people toward a "greener" lifestyle through activities creating healthy living habits;</w:t>
            </w:r>
          </w:p>
          <w:p w14:paraId="71C5E432" w14:textId="77777777" w:rsidR="00BC714B" w:rsidRPr="00906087" w:rsidRDefault="00000000">
            <w:pPr>
              <w:pStyle w:val="TableParagraph"/>
              <w:numPr>
                <w:ilvl w:val="0"/>
                <w:numId w:val="2"/>
              </w:numPr>
              <w:tabs>
                <w:tab w:val="left" w:pos="828"/>
              </w:tabs>
              <w:spacing w:line="213" w:lineRule="auto"/>
              <w:ind w:right="95"/>
              <w:jc w:val="both"/>
              <w:rPr>
                <w:rFonts w:ascii="Open Sans" w:hAnsi="Open Sans" w:cs="Open Sans"/>
              </w:rPr>
            </w:pPr>
            <w:r w:rsidRPr="00906087">
              <w:rPr>
                <w:rFonts w:ascii="Open Sans" w:hAnsi="Open Sans" w:cs="Open Sans"/>
                <w:color w:val="003399"/>
              </w:rPr>
              <w:t>486.5 ha of habitats attained a better state of conservation (Natura 2000 flora and fauna habitats), protected by all activities carried out in Șuncuiuş, Bihor County, Romania, and the Directorate of the Körös Maros National Park, Bekes County in Hungary;</w:t>
            </w:r>
          </w:p>
          <w:p w14:paraId="4FD03871" w14:textId="1AD74744" w:rsidR="00BC714B" w:rsidRPr="0086512D" w:rsidRDefault="00000000">
            <w:pPr>
              <w:pStyle w:val="TableParagraph"/>
              <w:numPr>
                <w:ilvl w:val="0"/>
                <w:numId w:val="2"/>
              </w:numPr>
              <w:tabs>
                <w:tab w:val="left" w:pos="828"/>
              </w:tabs>
              <w:spacing w:line="213" w:lineRule="auto"/>
              <w:ind w:right="94"/>
              <w:jc w:val="both"/>
              <w:rPr>
                <w:rFonts w:ascii="Open Sans" w:hAnsi="Open Sans" w:cs="Open Sans"/>
              </w:rPr>
            </w:pPr>
            <w:r w:rsidRPr="00906087">
              <w:rPr>
                <w:rFonts w:ascii="Open Sans" w:hAnsi="Open Sans" w:cs="Open Sans"/>
                <w:color w:val="003399"/>
              </w:rPr>
              <w:t xml:space="preserve">1 Joint Tourism Strategy, aiming to promote the joint touristic destination generated through this project, namely </w:t>
            </w:r>
            <w:r w:rsidRPr="00906087">
              <w:rPr>
                <w:rFonts w:ascii="Open Sans" w:hAnsi="Open Sans" w:cs="Open Sans"/>
                <w:i/>
                <w:color w:val="003399"/>
              </w:rPr>
              <w:t>The Crişul Repede/Sebes Koros Valley Road</w:t>
            </w:r>
            <w:r w:rsidRPr="00906087">
              <w:rPr>
                <w:rFonts w:ascii="Open Sans" w:hAnsi="Open Sans" w:cs="Open Sans"/>
                <w:color w:val="003399"/>
              </w:rPr>
              <w:t>, to create an authentic experience while developing a positive attitude and a sustainable behavior towards natural heritage</w:t>
            </w:r>
            <w:r w:rsidR="0086512D">
              <w:rPr>
                <w:rFonts w:ascii="Open Sans" w:hAnsi="Open Sans" w:cs="Open Sans"/>
                <w:color w:val="003399"/>
              </w:rPr>
              <w:t>;</w:t>
            </w:r>
          </w:p>
          <w:p w14:paraId="22E64C8C" w14:textId="77777777" w:rsidR="00711D6A" w:rsidRDefault="00711D6A" w:rsidP="00711D6A">
            <w:pPr>
              <w:pStyle w:val="TableParagraph"/>
              <w:spacing w:line="268" w:lineRule="auto"/>
              <w:ind w:right="97"/>
              <w:jc w:val="both"/>
              <w:rPr>
                <w:rFonts w:ascii="Open Sans" w:hAnsi="Open Sans" w:cs="Open Sans"/>
                <w:b/>
                <w:bCs/>
                <w:color w:val="003399"/>
              </w:rPr>
            </w:pPr>
          </w:p>
          <w:p w14:paraId="550BDDC3" w14:textId="3457AF21" w:rsidR="00711D6A" w:rsidRPr="002A0448" w:rsidRDefault="00711D6A" w:rsidP="00711D6A">
            <w:pPr>
              <w:pStyle w:val="TableParagraph"/>
              <w:spacing w:line="268" w:lineRule="auto"/>
              <w:ind w:right="97"/>
              <w:jc w:val="both"/>
              <w:rPr>
                <w:rFonts w:ascii="Open Sans" w:hAnsi="Open Sans" w:cs="Open Sans"/>
                <w:b/>
                <w:bCs/>
                <w:color w:val="003399"/>
              </w:rPr>
            </w:pPr>
            <w:r w:rsidRPr="002A0448">
              <w:rPr>
                <w:rFonts w:ascii="Open Sans" w:hAnsi="Open Sans" w:cs="Open Sans"/>
                <w:b/>
                <w:bCs/>
                <w:color w:val="003399"/>
              </w:rPr>
              <w:t>The main indicator:</w:t>
            </w:r>
          </w:p>
          <w:p w14:paraId="02121EA5" w14:textId="70FB3D9C" w:rsidR="00BC714B" w:rsidRPr="00D84138" w:rsidRDefault="00D84138" w:rsidP="00711D6A">
            <w:pPr>
              <w:pStyle w:val="TableParagraph"/>
              <w:spacing w:before="2"/>
              <w:ind w:left="138"/>
              <w:jc w:val="both"/>
              <w:rPr>
                <w:rFonts w:ascii="Open Sans" w:hAnsi="Open Sans" w:cs="Open Sans"/>
                <w:color w:val="003399"/>
              </w:rPr>
            </w:pPr>
            <w:r w:rsidRPr="00D84138">
              <w:rPr>
                <w:rFonts w:ascii="Open Sans" w:hAnsi="Open Sans" w:cs="Open Sans"/>
                <w:color w:val="003399"/>
              </w:rPr>
              <w:t>ROHU-7 project</w:t>
            </w:r>
            <w:r w:rsidRPr="00D84138">
              <w:rPr>
                <w:rFonts w:ascii="Open Sans" w:hAnsi="Open Sans" w:cs="Open Sans"/>
                <w:color w:val="003399"/>
              </w:rPr>
              <w:t xml:space="preserve"> </w:t>
            </w:r>
            <w:r>
              <w:rPr>
                <w:rFonts w:ascii="Open Sans" w:hAnsi="Open Sans" w:cs="Open Sans"/>
                <w:color w:val="003399"/>
              </w:rPr>
              <w:t xml:space="preserve">contributed to the </w:t>
            </w:r>
            <w:r w:rsidRPr="00D84138">
              <w:rPr>
                <w:rFonts w:ascii="Open Sans" w:hAnsi="Open Sans" w:cs="Open Sans"/>
                <w:color w:val="003399"/>
              </w:rPr>
              <w:t>“CO23 Nature and biodiversity: Surface area of habitats supported to attain a better conservation status”</w:t>
            </w:r>
            <w:r>
              <w:rPr>
                <w:rFonts w:ascii="Open Sans" w:hAnsi="Open Sans" w:cs="Open Sans"/>
                <w:color w:val="003399"/>
              </w:rPr>
              <w:t xml:space="preserve"> </w:t>
            </w:r>
            <w:r w:rsidRPr="00D84138">
              <w:rPr>
                <w:rFonts w:ascii="Open Sans" w:hAnsi="Open Sans" w:cs="Open Sans"/>
                <w:color w:val="003399"/>
              </w:rPr>
              <w:t xml:space="preserve">Programme Output Indicator </w:t>
            </w:r>
            <w:r>
              <w:rPr>
                <w:rFonts w:ascii="Open Sans" w:hAnsi="Open Sans" w:cs="Open Sans"/>
                <w:color w:val="003399"/>
              </w:rPr>
              <w:t>t</w:t>
            </w:r>
            <w:r w:rsidRPr="00D84138">
              <w:rPr>
                <w:rFonts w:ascii="Open Sans" w:hAnsi="Open Sans" w:cs="Open Sans"/>
                <w:color w:val="003399"/>
              </w:rPr>
              <w:t>hrough the activities implemented with 486.5 ha of land</w:t>
            </w:r>
            <w:r>
              <w:rPr>
                <w:rFonts w:ascii="Open Sans" w:hAnsi="Open Sans" w:cs="Open Sans"/>
                <w:color w:val="003399"/>
              </w:rPr>
              <w:t>, which has</w:t>
            </w:r>
            <w:r w:rsidRPr="00D84138">
              <w:rPr>
                <w:rFonts w:ascii="Open Sans" w:hAnsi="Open Sans" w:cs="Open Sans"/>
                <w:color w:val="003399"/>
              </w:rPr>
              <w:t xml:space="preserve"> a better conservation status.</w:t>
            </w:r>
          </w:p>
          <w:p w14:paraId="0534CF58" w14:textId="77777777" w:rsidR="00D84138" w:rsidRPr="00906087" w:rsidRDefault="00D84138">
            <w:pPr>
              <w:pStyle w:val="TableParagraph"/>
              <w:spacing w:before="2"/>
              <w:ind w:left="0"/>
              <w:rPr>
                <w:rFonts w:ascii="Open Sans" w:hAnsi="Open Sans" w:cs="Open Sans"/>
              </w:rPr>
            </w:pPr>
          </w:p>
          <w:p w14:paraId="0C2E6062" w14:textId="77777777" w:rsidR="00BC714B" w:rsidRPr="00711D6A" w:rsidRDefault="00000000">
            <w:pPr>
              <w:pStyle w:val="TableParagraph"/>
              <w:spacing w:line="319" w:lineRule="exact"/>
              <w:rPr>
                <w:rFonts w:ascii="Open Sans" w:hAnsi="Open Sans" w:cs="Open Sans"/>
                <w:b/>
                <w:bCs/>
              </w:rPr>
            </w:pPr>
            <w:r w:rsidRPr="00711D6A">
              <w:rPr>
                <w:rFonts w:ascii="Open Sans" w:hAnsi="Open Sans" w:cs="Open Sans"/>
                <w:b/>
                <w:bCs/>
                <w:color w:val="003399"/>
              </w:rPr>
              <w:t>Website/webpage:</w:t>
            </w:r>
          </w:p>
          <w:p w14:paraId="6A344B2B" w14:textId="77777777" w:rsidR="00BC714B" w:rsidRPr="00906087" w:rsidRDefault="00000000">
            <w:pPr>
              <w:pStyle w:val="TableParagraph"/>
              <w:numPr>
                <w:ilvl w:val="0"/>
                <w:numId w:val="1"/>
              </w:numPr>
              <w:tabs>
                <w:tab w:val="left" w:pos="828"/>
              </w:tabs>
              <w:spacing w:before="7" w:line="213" w:lineRule="auto"/>
              <w:ind w:right="187"/>
              <w:rPr>
                <w:rFonts w:ascii="Open Sans" w:hAnsi="Open Sans" w:cs="Open Sans"/>
              </w:rPr>
            </w:pPr>
            <w:hyperlink r:id="rId9">
              <w:r w:rsidRPr="00906087">
                <w:rPr>
                  <w:rFonts w:ascii="Open Sans" w:hAnsi="Open Sans" w:cs="Open Sans"/>
                  <w:color w:val="0462C1"/>
                  <w:u w:val="single" w:color="0462C1"/>
                </w:rPr>
                <w:t>http://www.oradea.donorioneromania.ro/societatea-de-</w:t>
              </w:r>
            </w:hyperlink>
            <w:r w:rsidRPr="00906087">
              <w:rPr>
                <w:rFonts w:ascii="Open Sans" w:hAnsi="Open Sans" w:cs="Open Sans"/>
                <w:color w:val="0462C1"/>
              </w:rPr>
              <w:t xml:space="preserve"> </w:t>
            </w:r>
            <w:hyperlink r:id="rId10">
              <w:r w:rsidRPr="00906087">
                <w:rPr>
                  <w:rFonts w:ascii="Open Sans" w:hAnsi="Open Sans" w:cs="Open Sans"/>
                  <w:color w:val="0462C1"/>
                  <w:u w:val="single" w:color="0462C1"/>
                </w:rPr>
                <w:t>binefacere-don-orione-finalizeaza-proiectul-provocari-comune-</w:t>
              </w:r>
            </w:hyperlink>
            <w:r w:rsidRPr="00906087">
              <w:rPr>
                <w:rFonts w:ascii="Open Sans" w:hAnsi="Open Sans" w:cs="Open Sans"/>
                <w:color w:val="0462C1"/>
              </w:rPr>
              <w:t xml:space="preserve"> </w:t>
            </w:r>
            <w:hyperlink r:id="rId11">
              <w:r w:rsidRPr="00906087">
                <w:rPr>
                  <w:rFonts w:ascii="Open Sans" w:hAnsi="Open Sans" w:cs="Open Sans"/>
                  <w:color w:val="0462C1"/>
                  <w:u w:val="single" w:color="0462C1"/>
                </w:rPr>
                <w:t>si-cooperare-pentru-gestionarea-patrimoniului-natural-</w:t>
              </w:r>
            </w:hyperlink>
            <w:r w:rsidRPr="00906087">
              <w:rPr>
                <w:rFonts w:ascii="Open Sans" w:hAnsi="Open Sans" w:cs="Open Sans"/>
                <w:color w:val="0462C1"/>
              </w:rPr>
              <w:t xml:space="preserve"> </w:t>
            </w:r>
            <w:hyperlink r:id="rId12">
              <w:r w:rsidRPr="00906087">
                <w:rPr>
                  <w:rFonts w:ascii="Open Sans" w:hAnsi="Open Sans" w:cs="Open Sans"/>
                  <w:color w:val="0462C1"/>
                  <w:u w:val="single" w:color="0462C1"/>
                </w:rPr>
                <w:t>transfrontalier/</w:t>
              </w:r>
            </w:hyperlink>
          </w:p>
          <w:p w14:paraId="7334B0F6" w14:textId="77777777" w:rsidR="00BC714B" w:rsidRPr="00906087" w:rsidRDefault="00000000">
            <w:pPr>
              <w:pStyle w:val="TableParagraph"/>
              <w:numPr>
                <w:ilvl w:val="0"/>
                <w:numId w:val="1"/>
              </w:numPr>
              <w:tabs>
                <w:tab w:val="left" w:pos="886"/>
              </w:tabs>
              <w:spacing w:line="306" w:lineRule="exact"/>
              <w:ind w:left="886" w:hanging="719"/>
              <w:rPr>
                <w:rFonts w:ascii="Open Sans" w:hAnsi="Open Sans" w:cs="Open Sans"/>
              </w:rPr>
            </w:pPr>
            <w:hyperlink r:id="rId13">
              <w:r w:rsidRPr="00906087">
                <w:rPr>
                  <w:rFonts w:ascii="Open Sans" w:hAnsi="Open Sans" w:cs="Open Sans"/>
                  <w:color w:val="0462C1"/>
                  <w:u w:val="single" w:color="0462C1"/>
                </w:rPr>
                <w:t>https://www.bmkik.hu/index.php?id=2889</w:t>
              </w:r>
            </w:hyperlink>
          </w:p>
        </w:tc>
      </w:tr>
    </w:tbl>
    <w:p w14:paraId="0BEF1C24" w14:textId="77777777" w:rsidR="000B5D63" w:rsidRDefault="000B5D63"/>
    <w:sectPr w:rsidR="000B5D63">
      <w:pgSz w:w="11910" w:h="16840"/>
      <w:pgMar w:top="2000" w:right="708" w:bottom="980" w:left="1417" w:header="977"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7E14" w14:textId="77777777" w:rsidR="000B5D63" w:rsidRDefault="000B5D63">
      <w:r>
        <w:separator/>
      </w:r>
    </w:p>
  </w:endnote>
  <w:endnote w:type="continuationSeparator" w:id="0">
    <w:p w14:paraId="061A4E95" w14:textId="77777777" w:rsidR="000B5D63" w:rsidRDefault="000B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F782" w14:textId="77777777" w:rsidR="00BC714B" w:rsidRDefault="00000000">
    <w:pPr>
      <w:pStyle w:val="BodyText"/>
      <w:spacing w:before="0" w:line="14" w:lineRule="auto"/>
      <w:rPr>
        <w:sz w:val="20"/>
      </w:rPr>
    </w:pPr>
    <w:r>
      <w:rPr>
        <w:noProof/>
        <w:sz w:val="20"/>
      </w:rPr>
      <mc:AlternateContent>
        <mc:Choice Requires="wps">
          <w:drawing>
            <wp:anchor distT="0" distB="0" distL="0" distR="0" simplePos="0" relativeHeight="487486464" behindDoc="1" locked="0" layoutInCell="1" allowOverlap="1" wp14:anchorId="60FDCCAF" wp14:editId="03A245E5">
              <wp:simplePos x="0" y="0"/>
              <wp:positionH relativeFrom="page">
                <wp:posOffset>902004</wp:posOffset>
              </wp:positionH>
              <wp:positionV relativeFrom="page">
                <wp:posOffset>10056783</wp:posOffset>
              </wp:positionV>
              <wp:extent cx="201676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196215"/>
                      </a:xfrm>
                      <a:prstGeom prst="rect">
                        <a:avLst/>
                      </a:prstGeom>
                    </wps:spPr>
                    <wps:txbx>
                      <w:txbxContent>
                        <w:p w14:paraId="072EF581" w14:textId="77777777" w:rsidR="00BC714B"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wps:txbx>
                    <wps:bodyPr wrap="square" lIns="0" tIns="0" rIns="0" bIns="0" rtlCol="0">
                      <a:noAutofit/>
                    </wps:bodyPr>
                  </wps:wsp>
                </a:graphicData>
              </a:graphic>
            </wp:anchor>
          </w:drawing>
        </mc:Choice>
        <mc:Fallback>
          <w:pict>
            <v:shapetype w14:anchorId="60FDCCAF" id="_x0000_t202" coordsize="21600,21600" o:spt="202" path="m,l,21600r21600,l21600,xe">
              <v:stroke joinstyle="miter"/>
              <v:path gradientshapeok="t" o:connecttype="rect"/>
            </v:shapetype>
            <v:shape id="Textbox 2" o:spid="_x0000_s1026" type="#_x0000_t202" style="position:absolute;margin-left:71pt;margin-top:791.85pt;width:158.8pt;height:15.4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" filled="f" stroked="f">
              <v:textbox inset="0,0,0,0">
                <w:txbxContent>
                  <w:p w14:paraId="072EF581" w14:textId="77777777" w:rsidR="00BC714B" w:rsidRDefault="00000000">
                    <w:pPr>
                      <w:pStyle w:val="BodyText"/>
                      <w:spacing w:before="12"/>
                      <w:ind w:left="20"/>
                    </w:pPr>
                    <w:r>
                      <w:rPr>
                        <w:color w:val="003399"/>
                      </w:rPr>
                      <w:t>Partnership</w:t>
                    </w:r>
                    <w:r>
                      <w:rPr>
                        <w:color w:val="003399"/>
                        <w:spacing w:val="-4"/>
                      </w:rPr>
                      <w:t xml:space="preserve"> </w:t>
                    </w:r>
                    <w:r>
                      <w:rPr>
                        <w:color w:val="003399"/>
                      </w:rPr>
                      <w:t>for</w:t>
                    </w:r>
                    <w:r>
                      <w:rPr>
                        <w:color w:val="003399"/>
                        <w:spacing w:val="-5"/>
                      </w:rPr>
                      <w:t xml:space="preserve"> </w:t>
                    </w:r>
                    <w:r>
                      <w:rPr>
                        <w:color w:val="003399"/>
                      </w:rPr>
                      <w:t>a</w:t>
                    </w:r>
                    <w:r>
                      <w:rPr>
                        <w:color w:val="003399"/>
                        <w:spacing w:val="-2"/>
                      </w:rPr>
                      <w:t xml:space="preserve"> </w:t>
                    </w:r>
                    <w:r>
                      <w:rPr>
                        <w:color w:val="003399"/>
                      </w:rPr>
                      <w:t>better</w:t>
                    </w:r>
                    <w:r>
                      <w:rPr>
                        <w:color w:val="003399"/>
                        <w:spacing w:val="-5"/>
                      </w:rPr>
                      <w:t xml:space="preserve"> </w:t>
                    </w:r>
                    <w:r>
                      <w:rPr>
                        <w:color w:val="003399"/>
                        <w:spacing w:val="-2"/>
                      </w:rPr>
                      <w:t>future</w:t>
                    </w:r>
                  </w:p>
                </w:txbxContent>
              </v:textbox>
              <w10:wrap anchorx="page" anchory="page"/>
            </v:shape>
          </w:pict>
        </mc:Fallback>
      </mc:AlternateContent>
    </w:r>
    <w:r>
      <w:rPr>
        <w:noProof/>
        <w:sz w:val="20"/>
      </w:rPr>
      <mc:AlternateContent>
        <mc:Choice Requires="wps">
          <w:drawing>
            <wp:anchor distT="0" distB="0" distL="0" distR="0" simplePos="0" relativeHeight="487486976" behindDoc="1" locked="0" layoutInCell="1" allowOverlap="1" wp14:anchorId="03602063" wp14:editId="19C7204D">
              <wp:simplePos x="0" y="0"/>
              <wp:positionH relativeFrom="page">
                <wp:posOffset>5325236</wp:posOffset>
              </wp:positionH>
              <wp:positionV relativeFrom="page">
                <wp:posOffset>10059546</wp:posOffset>
              </wp:positionV>
              <wp:extent cx="1333500"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51361A12" w14:textId="77777777" w:rsidR="00BC714B" w:rsidRDefault="00000000">
                          <w:pPr>
                            <w:spacing w:before="13" w:line="298" w:lineRule="exact"/>
                            <w:ind w:left="20"/>
                            <w:rPr>
                              <w:sz w:val="20"/>
                            </w:rPr>
                          </w:pPr>
                          <w:hyperlink r:id="rId1">
                            <w:r>
                              <w:rPr>
                                <w:color w:val="003399"/>
                                <w:w w:val="90"/>
                                <w:sz w:val="20"/>
                              </w:rPr>
                              <w:t>www.interreg-</w:t>
                            </w:r>
                            <w:r>
                              <w:rPr>
                                <w:color w:val="003399"/>
                                <w:spacing w:val="-2"/>
                                <w:sz w:val="20"/>
                              </w:rPr>
                              <w:t>rohu.eu</w:t>
                            </w:r>
                          </w:hyperlink>
                        </w:p>
                      </w:txbxContent>
                    </wps:txbx>
                    <wps:bodyPr wrap="square" lIns="0" tIns="0" rIns="0" bIns="0" rtlCol="0">
                      <a:noAutofit/>
                    </wps:bodyPr>
                  </wps:wsp>
                </a:graphicData>
              </a:graphic>
            </wp:anchor>
          </w:drawing>
        </mc:Choice>
        <mc:Fallback>
          <w:pict>
            <v:shape w14:anchorId="03602063" id="Textbox 3" o:spid="_x0000_s1027" type="#_x0000_t202" style="position:absolute;margin-left:419.3pt;margin-top:792.1pt;width:105pt;height:15.6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" filled="f" stroked="f">
              <v:textbox inset="0,0,0,0">
                <w:txbxContent>
                  <w:p w14:paraId="51361A12" w14:textId="77777777" w:rsidR="00BC714B" w:rsidRDefault="00000000">
                    <w:pPr>
                      <w:spacing w:before="13" w:line="298" w:lineRule="exact"/>
                      <w:ind w:left="20"/>
                      <w:rPr>
                        <w:sz w:val="20"/>
                      </w:rPr>
                    </w:pPr>
                    <w:hyperlink r:id="rId2">
                      <w:r>
                        <w:rPr>
                          <w:color w:val="003399"/>
                          <w:w w:val="90"/>
                          <w:sz w:val="20"/>
                        </w:rPr>
                        <w:t>www.interreg-</w:t>
                      </w:r>
                      <w:r>
                        <w:rPr>
                          <w:color w:val="003399"/>
                          <w:spacing w:val="-2"/>
                          <w:sz w:val="20"/>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4FAE" w14:textId="77777777" w:rsidR="000B5D63" w:rsidRDefault="000B5D63">
      <w:r>
        <w:separator/>
      </w:r>
    </w:p>
  </w:footnote>
  <w:footnote w:type="continuationSeparator" w:id="0">
    <w:p w14:paraId="388E5CD3" w14:textId="77777777" w:rsidR="000B5D63" w:rsidRDefault="000B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4D62" w14:textId="77777777" w:rsidR="00BC714B" w:rsidRDefault="00000000">
    <w:pPr>
      <w:pStyle w:val="BodyText"/>
      <w:spacing w:before="0" w:line="14" w:lineRule="auto"/>
      <w:rPr>
        <w:sz w:val="20"/>
      </w:rPr>
    </w:pPr>
    <w:r>
      <w:rPr>
        <w:noProof/>
        <w:sz w:val="20"/>
      </w:rPr>
      <w:drawing>
        <wp:anchor distT="0" distB="0" distL="0" distR="0" simplePos="0" relativeHeight="487485952" behindDoc="1" locked="0" layoutInCell="1" allowOverlap="1" wp14:anchorId="71E4DC85" wp14:editId="73ECDD97">
          <wp:simplePos x="0" y="0"/>
          <wp:positionH relativeFrom="page">
            <wp:posOffset>914400</wp:posOffset>
          </wp:positionH>
          <wp:positionV relativeFrom="page">
            <wp:posOffset>620267</wp:posOffset>
          </wp:positionV>
          <wp:extent cx="5730875" cy="6399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30875" cy="6399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5123"/>
    <w:multiLevelType w:val="hybridMultilevel"/>
    <w:tmpl w:val="0936C8E4"/>
    <w:lvl w:ilvl="0" w:tplc="4EEC0598">
      <w:numFmt w:val="bullet"/>
      <w:lvlText w:val=""/>
      <w:lvlJc w:val="left"/>
      <w:pPr>
        <w:ind w:left="828" w:hanging="360"/>
      </w:pPr>
      <w:rPr>
        <w:rFonts w:ascii="Symbol" w:eastAsia="Symbol" w:hAnsi="Symbol" w:cs="Symbol" w:hint="default"/>
        <w:b w:val="0"/>
        <w:bCs w:val="0"/>
        <w:i w:val="0"/>
        <w:iCs w:val="0"/>
        <w:color w:val="003399"/>
        <w:spacing w:val="0"/>
        <w:w w:val="100"/>
        <w:sz w:val="22"/>
        <w:szCs w:val="22"/>
        <w:lang w:val="en-US" w:eastAsia="en-US" w:bidi="ar-SA"/>
      </w:rPr>
    </w:lvl>
    <w:lvl w:ilvl="1" w:tplc="E50CBAE0">
      <w:numFmt w:val="bullet"/>
      <w:lvlText w:val="•"/>
      <w:lvlJc w:val="left"/>
      <w:pPr>
        <w:ind w:left="1484" w:hanging="360"/>
      </w:pPr>
      <w:rPr>
        <w:rFonts w:hint="default"/>
        <w:lang w:val="en-US" w:eastAsia="en-US" w:bidi="ar-SA"/>
      </w:rPr>
    </w:lvl>
    <w:lvl w:ilvl="2" w:tplc="9E3AB516">
      <w:numFmt w:val="bullet"/>
      <w:lvlText w:val="•"/>
      <w:lvlJc w:val="left"/>
      <w:pPr>
        <w:ind w:left="2149" w:hanging="360"/>
      </w:pPr>
      <w:rPr>
        <w:rFonts w:hint="default"/>
        <w:lang w:val="en-US" w:eastAsia="en-US" w:bidi="ar-SA"/>
      </w:rPr>
    </w:lvl>
    <w:lvl w:ilvl="3" w:tplc="9110BD88">
      <w:numFmt w:val="bullet"/>
      <w:lvlText w:val="•"/>
      <w:lvlJc w:val="left"/>
      <w:pPr>
        <w:ind w:left="2814" w:hanging="360"/>
      </w:pPr>
      <w:rPr>
        <w:rFonts w:hint="default"/>
        <w:lang w:val="en-US" w:eastAsia="en-US" w:bidi="ar-SA"/>
      </w:rPr>
    </w:lvl>
    <w:lvl w:ilvl="4" w:tplc="7E5AD220">
      <w:numFmt w:val="bullet"/>
      <w:lvlText w:val="•"/>
      <w:lvlJc w:val="left"/>
      <w:pPr>
        <w:ind w:left="3478" w:hanging="360"/>
      </w:pPr>
      <w:rPr>
        <w:rFonts w:hint="default"/>
        <w:lang w:val="en-US" w:eastAsia="en-US" w:bidi="ar-SA"/>
      </w:rPr>
    </w:lvl>
    <w:lvl w:ilvl="5" w:tplc="C8562D12">
      <w:numFmt w:val="bullet"/>
      <w:lvlText w:val="•"/>
      <w:lvlJc w:val="left"/>
      <w:pPr>
        <w:ind w:left="4143" w:hanging="360"/>
      </w:pPr>
      <w:rPr>
        <w:rFonts w:hint="default"/>
        <w:lang w:val="en-US" w:eastAsia="en-US" w:bidi="ar-SA"/>
      </w:rPr>
    </w:lvl>
    <w:lvl w:ilvl="6" w:tplc="59BE3988">
      <w:numFmt w:val="bullet"/>
      <w:lvlText w:val="•"/>
      <w:lvlJc w:val="left"/>
      <w:pPr>
        <w:ind w:left="4808" w:hanging="360"/>
      </w:pPr>
      <w:rPr>
        <w:rFonts w:hint="default"/>
        <w:lang w:val="en-US" w:eastAsia="en-US" w:bidi="ar-SA"/>
      </w:rPr>
    </w:lvl>
    <w:lvl w:ilvl="7" w:tplc="A9C8CC30">
      <w:numFmt w:val="bullet"/>
      <w:lvlText w:val="•"/>
      <w:lvlJc w:val="left"/>
      <w:pPr>
        <w:ind w:left="5472" w:hanging="360"/>
      </w:pPr>
      <w:rPr>
        <w:rFonts w:hint="default"/>
        <w:lang w:val="en-US" w:eastAsia="en-US" w:bidi="ar-SA"/>
      </w:rPr>
    </w:lvl>
    <w:lvl w:ilvl="8" w:tplc="CB4A596E">
      <w:numFmt w:val="bullet"/>
      <w:lvlText w:val="•"/>
      <w:lvlJc w:val="left"/>
      <w:pPr>
        <w:ind w:left="6137" w:hanging="360"/>
      </w:pPr>
      <w:rPr>
        <w:rFonts w:hint="default"/>
        <w:lang w:val="en-US" w:eastAsia="en-US" w:bidi="ar-SA"/>
      </w:rPr>
    </w:lvl>
  </w:abstractNum>
  <w:abstractNum w:abstractNumId="1" w15:restartNumberingAfterBreak="0">
    <w:nsid w:val="48DF4C40"/>
    <w:multiLevelType w:val="hybridMultilevel"/>
    <w:tmpl w:val="00CE3AAC"/>
    <w:lvl w:ilvl="0" w:tplc="537AE8FA">
      <w:numFmt w:val="bullet"/>
      <w:lvlText w:val=""/>
      <w:lvlJc w:val="left"/>
      <w:pPr>
        <w:ind w:left="828" w:hanging="360"/>
      </w:pPr>
      <w:rPr>
        <w:rFonts w:ascii="Symbol" w:eastAsia="Symbol" w:hAnsi="Symbol" w:cs="Symbol" w:hint="default"/>
        <w:b w:val="0"/>
        <w:bCs w:val="0"/>
        <w:i w:val="0"/>
        <w:iCs w:val="0"/>
        <w:color w:val="003399"/>
        <w:spacing w:val="0"/>
        <w:w w:val="100"/>
        <w:sz w:val="22"/>
        <w:szCs w:val="22"/>
        <w:lang w:val="en-US" w:eastAsia="en-US" w:bidi="ar-SA"/>
      </w:rPr>
    </w:lvl>
    <w:lvl w:ilvl="1" w:tplc="80BE7502">
      <w:numFmt w:val="bullet"/>
      <w:lvlText w:val="•"/>
      <w:lvlJc w:val="left"/>
      <w:pPr>
        <w:ind w:left="1484" w:hanging="360"/>
      </w:pPr>
      <w:rPr>
        <w:rFonts w:hint="default"/>
        <w:lang w:val="en-US" w:eastAsia="en-US" w:bidi="ar-SA"/>
      </w:rPr>
    </w:lvl>
    <w:lvl w:ilvl="2" w:tplc="5C443A02">
      <w:numFmt w:val="bullet"/>
      <w:lvlText w:val="•"/>
      <w:lvlJc w:val="left"/>
      <w:pPr>
        <w:ind w:left="2149" w:hanging="360"/>
      </w:pPr>
      <w:rPr>
        <w:rFonts w:hint="default"/>
        <w:lang w:val="en-US" w:eastAsia="en-US" w:bidi="ar-SA"/>
      </w:rPr>
    </w:lvl>
    <w:lvl w:ilvl="3" w:tplc="B374EDEE">
      <w:numFmt w:val="bullet"/>
      <w:lvlText w:val="•"/>
      <w:lvlJc w:val="left"/>
      <w:pPr>
        <w:ind w:left="2814" w:hanging="360"/>
      </w:pPr>
      <w:rPr>
        <w:rFonts w:hint="default"/>
        <w:lang w:val="en-US" w:eastAsia="en-US" w:bidi="ar-SA"/>
      </w:rPr>
    </w:lvl>
    <w:lvl w:ilvl="4" w:tplc="4B58E24E">
      <w:numFmt w:val="bullet"/>
      <w:lvlText w:val="•"/>
      <w:lvlJc w:val="left"/>
      <w:pPr>
        <w:ind w:left="3478" w:hanging="360"/>
      </w:pPr>
      <w:rPr>
        <w:rFonts w:hint="default"/>
        <w:lang w:val="en-US" w:eastAsia="en-US" w:bidi="ar-SA"/>
      </w:rPr>
    </w:lvl>
    <w:lvl w:ilvl="5" w:tplc="6B2CEF18">
      <w:numFmt w:val="bullet"/>
      <w:lvlText w:val="•"/>
      <w:lvlJc w:val="left"/>
      <w:pPr>
        <w:ind w:left="4143" w:hanging="360"/>
      </w:pPr>
      <w:rPr>
        <w:rFonts w:hint="default"/>
        <w:lang w:val="en-US" w:eastAsia="en-US" w:bidi="ar-SA"/>
      </w:rPr>
    </w:lvl>
    <w:lvl w:ilvl="6" w:tplc="FE4C33F4">
      <w:numFmt w:val="bullet"/>
      <w:lvlText w:val="•"/>
      <w:lvlJc w:val="left"/>
      <w:pPr>
        <w:ind w:left="4808" w:hanging="360"/>
      </w:pPr>
      <w:rPr>
        <w:rFonts w:hint="default"/>
        <w:lang w:val="en-US" w:eastAsia="en-US" w:bidi="ar-SA"/>
      </w:rPr>
    </w:lvl>
    <w:lvl w:ilvl="7" w:tplc="5FE8BA86">
      <w:numFmt w:val="bullet"/>
      <w:lvlText w:val="•"/>
      <w:lvlJc w:val="left"/>
      <w:pPr>
        <w:ind w:left="5472" w:hanging="360"/>
      </w:pPr>
      <w:rPr>
        <w:rFonts w:hint="default"/>
        <w:lang w:val="en-US" w:eastAsia="en-US" w:bidi="ar-SA"/>
      </w:rPr>
    </w:lvl>
    <w:lvl w:ilvl="8" w:tplc="1A06C592">
      <w:numFmt w:val="bullet"/>
      <w:lvlText w:val="•"/>
      <w:lvlJc w:val="left"/>
      <w:pPr>
        <w:ind w:left="6137" w:hanging="360"/>
      </w:pPr>
      <w:rPr>
        <w:rFonts w:hint="default"/>
        <w:lang w:val="en-US" w:eastAsia="en-US" w:bidi="ar-SA"/>
      </w:rPr>
    </w:lvl>
  </w:abstractNum>
  <w:abstractNum w:abstractNumId="2" w15:restartNumberingAfterBreak="0">
    <w:nsid w:val="6C901073"/>
    <w:multiLevelType w:val="hybridMultilevel"/>
    <w:tmpl w:val="7BD87B28"/>
    <w:lvl w:ilvl="0" w:tplc="0C264D18">
      <w:numFmt w:val="bullet"/>
      <w:lvlText w:val=""/>
      <w:lvlJc w:val="left"/>
      <w:pPr>
        <w:ind w:left="828" w:hanging="661"/>
      </w:pPr>
      <w:rPr>
        <w:rFonts w:ascii="Symbol" w:eastAsia="Symbol" w:hAnsi="Symbol" w:cs="Symbol" w:hint="default"/>
        <w:b w:val="0"/>
        <w:bCs w:val="0"/>
        <w:i w:val="0"/>
        <w:iCs w:val="0"/>
        <w:color w:val="003399"/>
        <w:spacing w:val="0"/>
        <w:w w:val="100"/>
        <w:sz w:val="22"/>
        <w:szCs w:val="22"/>
        <w:lang w:val="en-US" w:eastAsia="en-US" w:bidi="ar-SA"/>
      </w:rPr>
    </w:lvl>
    <w:lvl w:ilvl="1" w:tplc="E612FFB6">
      <w:numFmt w:val="bullet"/>
      <w:lvlText w:val="•"/>
      <w:lvlJc w:val="left"/>
      <w:pPr>
        <w:ind w:left="1484" w:hanging="661"/>
      </w:pPr>
      <w:rPr>
        <w:rFonts w:hint="default"/>
        <w:lang w:val="en-US" w:eastAsia="en-US" w:bidi="ar-SA"/>
      </w:rPr>
    </w:lvl>
    <w:lvl w:ilvl="2" w:tplc="7D3AB2C4">
      <w:numFmt w:val="bullet"/>
      <w:lvlText w:val="•"/>
      <w:lvlJc w:val="left"/>
      <w:pPr>
        <w:ind w:left="2149" w:hanging="661"/>
      </w:pPr>
      <w:rPr>
        <w:rFonts w:hint="default"/>
        <w:lang w:val="en-US" w:eastAsia="en-US" w:bidi="ar-SA"/>
      </w:rPr>
    </w:lvl>
    <w:lvl w:ilvl="3" w:tplc="8B860A04">
      <w:numFmt w:val="bullet"/>
      <w:lvlText w:val="•"/>
      <w:lvlJc w:val="left"/>
      <w:pPr>
        <w:ind w:left="2814" w:hanging="661"/>
      </w:pPr>
      <w:rPr>
        <w:rFonts w:hint="default"/>
        <w:lang w:val="en-US" w:eastAsia="en-US" w:bidi="ar-SA"/>
      </w:rPr>
    </w:lvl>
    <w:lvl w:ilvl="4" w:tplc="BCEC5582">
      <w:numFmt w:val="bullet"/>
      <w:lvlText w:val="•"/>
      <w:lvlJc w:val="left"/>
      <w:pPr>
        <w:ind w:left="3478" w:hanging="661"/>
      </w:pPr>
      <w:rPr>
        <w:rFonts w:hint="default"/>
        <w:lang w:val="en-US" w:eastAsia="en-US" w:bidi="ar-SA"/>
      </w:rPr>
    </w:lvl>
    <w:lvl w:ilvl="5" w:tplc="C542F9C2">
      <w:numFmt w:val="bullet"/>
      <w:lvlText w:val="•"/>
      <w:lvlJc w:val="left"/>
      <w:pPr>
        <w:ind w:left="4143" w:hanging="661"/>
      </w:pPr>
      <w:rPr>
        <w:rFonts w:hint="default"/>
        <w:lang w:val="en-US" w:eastAsia="en-US" w:bidi="ar-SA"/>
      </w:rPr>
    </w:lvl>
    <w:lvl w:ilvl="6" w:tplc="19FAD7D0">
      <w:numFmt w:val="bullet"/>
      <w:lvlText w:val="•"/>
      <w:lvlJc w:val="left"/>
      <w:pPr>
        <w:ind w:left="4808" w:hanging="661"/>
      </w:pPr>
      <w:rPr>
        <w:rFonts w:hint="default"/>
        <w:lang w:val="en-US" w:eastAsia="en-US" w:bidi="ar-SA"/>
      </w:rPr>
    </w:lvl>
    <w:lvl w:ilvl="7" w:tplc="FB243F76">
      <w:numFmt w:val="bullet"/>
      <w:lvlText w:val="•"/>
      <w:lvlJc w:val="left"/>
      <w:pPr>
        <w:ind w:left="5472" w:hanging="661"/>
      </w:pPr>
      <w:rPr>
        <w:rFonts w:hint="default"/>
        <w:lang w:val="en-US" w:eastAsia="en-US" w:bidi="ar-SA"/>
      </w:rPr>
    </w:lvl>
    <w:lvl w:ilvl="8" w:tplc="EB665E9A">
      <w:numFmt w:val="bullet"/>
      <w:lvlText w:val="•"/>
      <w:lvlJc w:val="left"/>
      <w:pPr>
        <w:ind w:left="6137" w:hanging="661"/>
      </w:pPr>
      <w:rPr>
        <w:rFonts w:hint="default"/>
        <w:lang w:val="en-US" w:eastAsia="en-US" w:bidi="ar-SA"/>
      </w:rPr>
    </w:lvl>
  </w:abstractNum>
  <w:abstractNum w:abstractNumId="3" w15:restartNumberingAfterBreak="0">
    <w:nsid w:val="6DD679F5"/>
    <w:multiLevelType w:val="hybridMultilevel"/>
    <w:tmpl w:val="FE6626A8"/>
    <w:lvl w:ilvl="0" w:tplc="66006AA2">
      <w:numFmt w:val="bullet"/>
      <w:lvlText w:val=""/>
      <w:lvlJc w:val="left"/>
      <w:pPr>
        <w:ind w:left="828" w:hanging="360"/>
      </w:pPr>
      <w:rPr>
        <w:rFonts w:ascii="Symbol" w:eastAsia="Symbol" w:hAnsi="Symbol" w:cs="Symbol" w:hint="default"/>
        <w:b w:val="0"/>
        <w:bCs w:val="0"/>
        <w:i w:val="0"/>
        <w:iCs w:val="0"/>
        <w:color w:val="003399"/>
        <w:spacing w:val="0"/>
        <w:w w:val="100"/>
        <w:sz w:val="22"/>
        <w:szCs w:val="22"/>
        <w:lang w:val="en-US" w:eastAsia="en-US" w:bidi="ar-SA"/>
      </w:rPr>
    </w:lvl>
    <w:lvl w:ilvl="1" w:tplc="46BC1E34">
      <w:numFmt w:val="bullet"/>
      <w:lvlText w:val="•"/>
      <w:lvlJc w:val="left"/>
      <w:pPr>
        <w:ind w:left="1484" w:hanging="360"/>
      </w:pPr>
      <w:rPr>
        <w:rFonts w:hint="default"/>
        <w:lang w:val="en-US" w:eastAsia="en-US" w:bidi="ar-SA"/>
      </w:rPr>
    </w:lvl>
    <w:lvl w:ilvl="2" w:tplc="F3D84F82">
      <w:numFmt w:val="bullet"/>
      <w:lvlText w:val="•"/>
      <w:lvlJc w:val="left"/>
      <w:pPr>
        <w:ind w:left="2149" w:hanging="360"/>
      </w:pPr>
      <w:rPr>
        <w:rFonts w:hint="default"/>
        <w:lang w:val="en-US" w:eastAsia="en-US" w:bidi="ar-SA"/>
      </w:rPr>
    </w:lvl>
    <w:lvl w:ilvl="3" w:tplc="C3A4DFE0">
      <w:numFmt w:val="bullet"/>
      <w:lvlText w:val="•"/>
      <w:lvlJc w:val="left"/>
      <w:pPr>
        <w:ind w:left="2814" w:hanging="360"/>
      </w:pPr>
      <w:rPr>
        <w:rFonts w:hint="default"/>
        <w:lang w:val="en-US" w:eastAsia="en-US" w:bidi="ar-SA"/>
      </w:rPr>
    </w:lvl>
    <w:lvl w:ilvl="4" w:tplc="1AE66110">
      <w:numFmt w:val="bullet"/>
      <w:lvlText w:val="•"/>
      <w:lvlJc w:val="left"/>
      <w:pPr>
        <w:ind w:left="3478" w:hanging="360"/>
      </w:pPr>
      <w:rPr>
        <w:rFonts w:hint="default"/>
        <w:lang w:val="en-US" w:eastAsia="en-US" w:bidi="ar-SA"/>
      </w:rPr>
    </w:lvl>
    <w:lvl w:ilvl="5" w:tplc="FEF4A432">
      <w:numFmt w:val="bullet"/>
      <w:lvlText w:val="•"/>
      <w:lvlJc w:val="left"/>
      <w:pPr>
        <w:ind w:left="4143" w:hanging="360"/>
      </w:pPr>
      <w:rPr>
        <w:rFonts w:hint="default"/>
        <w:lang w:val="en-US" w:eastAsia="en-US" w:bidi="ar-SA"/>
      </w:rPr>
    </w:lvl>
    <w:lvl w:ilvl="6" w:tplc="A50EAA18">
      <w:numFmt w:val="bullet"/>
      <w:lvlText w:val="•"/>
      <w:lvlJc w:val="left"/>
      <w:pPr>
        <w:ind w:left="4808" w:hanging="360"/>
      </w:pPr>
      <w:rPr>
        <w:rFonts w:hint="default"/>
        <w:lang w:val="en-US" w:eastAsia="en-US" w:bidi="ar-SA"/>
      </w:rPr>
    </w:lvl>
    <w:lvl w:ilvl="7" w:tplc="E3FA85B4">
      <w:numFmt w:val="bullet"/>
      <w:lvlText w:val="•"/>
      <w:lvlJc w:val="left"/>
      <w:pPr>
        <w:ind w:left="5472" w:hanging="360"/>
      </w:pPr>
      <w:rPr>
        <w:rFonts w:hint="default"/>
        <w:lang w:val="en-US" w:eastAsia="en-US" w:bidi="ar-SA"/>
      </w:rPr>
    </w:lvl>
    <w:lvl w:ilvl="8" w:tplc="DA2C4622">
      <w:numFmt w:val="bullet"/>
      <w:lvlText w:val="•"/>
      <w:lvlJc w:val="left"/>
      <w:pPr>
        <w:ind w:left="6137" w:hanging="360"/>
      </w:pPr>
      <w:rPr>
        <w:rFonts w:hint="default"/>
        <w:lang w:val="en-US" w:eastAsia="en-US" w:bidi="ar-SA"/>
      </w:rPr>
    </w:lvl>
  </w:abstractNum>
  <w:num w:numId="1" w16cid:durableId="1068185823">
    <w:abstractNumId w:val="2"/>
  </w:num>
  <w:num w:numId="2" w16cid:durableId="1365785698">
    <w:abstractNumId w:val="0"/>
  </w:num>
  <w:num w:numId="3" w16cid:durableId="1666127661">
    <w:abstractNumId w:val="3"/>
  </w:num>
  <w:num w:numId="4" w16cid:durableId="1657614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B5D63"/>
    <w:rsid w:val="00277225"/>
    <w:rsid w:val="002B25B5"/>
    <w:rsid w:val="00583B81"/>
    <w:rsid w:val="00711D6A"/>
    <w:rsid w:val="0086512D"/>
    <w:rsid w:val="00906087"/>
    <w:rsid w:val="00A40647"/>
    <w:rsid w:val="00BC714B"/>
    <w:rsid w:val="00D8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0A0E"/>
  <w15:docId w15:val="{189A6492-D1AA-4FC8-B0C5-2FF4BC5B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pPr>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D84138"/>
    <w:rPr>
      <w:color w:val="0000FF" w:themeColor="hyperlink"/>
      <w:u w:val="single"/>
    </w:rPr>
  </w:style>
  <w:style w:type="character" w:styleId="UnresolvedMention">
    <w:name w:val="Unresolved Mention"/>
    <w:basedOn w:val="DefaultParagraphFont"/>
    <w:uiPriority w:val="99"/>
    <w:semiHidden/>
    <w:unhideWhenUsed/>
    <w:rsid w:val="00D84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mkik.hu/index.php?id=288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oradea.donorioneromania.ro/societatea-de-binefacere-don-orione-finalizeaza-proiectul-provocari-comune-si-cooperare-pentru-gestionarea-patrimoniului-natural-transfrontali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adea.donorioneromania.ro/societatea-de-binefacere-don-orione-finalizeaza-proiectul-provocari-comune-si-cooperare-pentru-gestionarea-patrimoniului-natural-transfrontali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radea.donorioneromania.ro/societatea-de-binefacere-don-orione-finalizeaza-proiectul-provocari-comune-si-cooperare-pentru-gestionarea-patrimoniului-natural-transfrontalier/" TargetMode="External"/><Relationship Id="rId4" Type="http://schemas.openxmlformats.org/officeDocument/2006/relationships/webSettings" Target="webSettings.xml"/><Relationship Id="rId9" Type="http://schemas.openxmlformats.org/officeDocument/2006/relationships/hyperlink" Target="http://www.oradea.donorioneromania.ro/societatea-de-binefacere-don-orione-finalizeaza-proiectul-provocari-comune-si-cooperare-pentru-gestionarea-patrimoniului-natural-transfrontali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5</cp:revision>
  <dcterms:created xsi:type="dcterms:W3CDTF">2026-01-20T08:54:00Z</dcterms:created>
  <dcterms:modified xsi:type="dcterms:W3CDTF">2026-01-20T11:42:00Z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2013</vt:lpwstr>
  </property>
  <property fmtid="{D5CDD505-2E9C-101B-9397-08002B2CF9AE}" pid="4" name="LastSaved">
    <vt:filetime>2026-01-20T00:00:00Z</vt:filetime>
  </property>
  <property fmtid="{D5CDD505-2E9C-101B-9397-08002B2CF9AE}" pid="5" name="Producer">
    <vt:lpwstr>Microsoft® Word 2013</vt:lpwstr>
  </property>
  <property fmtid="{D5CDD505-2E9C-101B-9397-08002B2CF9AE}" pid="6" name="GrammarlyDocumentId">
    <vt:lpwstr>a3d9ad54-7e9e-4482-bad7-c2f561bafa8a</vt:lpwstr>
  </property>
</Properties>
</file>