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AAE140B"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EDCB" w14:textId="6B3439A1" w:rsidR="00E3788F" w:rsidRPr="00E3788F" w:rsidRDefault="00ED559D" w:rsidP="00E3788F">
            <w:pPr>
              <w:spacing w:after="120" w:line="276" w:lineRule="auto"/>
              <w:jc w:val="both"/>
              <w:rPr>
                <w:rFonts w:cs="Calibri"/>
                <w:b/>
                <w:color w:val="1F3864" w:themeColor="accent5" w:themeShade="80"/>
                <w:szCs w:val="20"/>
                <w:lang w:val="en-GB" w:eastAsia="en-GB"/>
              </w:rPr>
            </w:pPr>
            <w:r w:rsidRPr="00ED559D">
              <w:rPr>
                <w:rFonts w:cs="Calibri"/>
                <w:b/>
                <w:color w:val="1F3864" w:themeColor="accent5" w:themeShade="80"/>
                <w:szCs w:val="20"/>
                <w:lang w:eastAsia="en-GB"/>
              </w:rPr>
              <w:t>ROHU00</w:t>
            </w:r>
            <w:r w:rsidR="0053374D">
              <w:rPr>
                <w:rFonts w:cs="Calibri"/>
                <w:b/>
                <w:color w:val="1F3864" w:themeColor="accent5" w:themeShade="80"/>
                <w:szCs w:val="20"/>
                <w:lang w:eastAsia="en-GB"/>
              </w:rPr>
              <w:t>0</w:t>
            </w:r>
            <w:r w:rsidRPr="00ED559D">
              <w:rPr>
                <w:rFonts w:cs="Calibri"/>
                <w:b/>
                <w:color w:val="1F3864" w:themeColor="accent5" w:themeShade="80"/>
                <w:szCs w:val="20"/>
                <w:lang w:eastAsia="en-GB"/>
              </w:rPr>
              <w:t xml:space="preserve">49 </w:t>
            </w:r>
            <w:r w:rsidR="0053374D" w:rsidRPr="0053374D">
              <w:rPr>
                <w:rFonts w:cs="Calibri"/>
                <w:b/>
                <w:color w:val="1F3864" w:themeColor="accent5" w:themeShade="80"/>
                <w:szCs w:val="20"/>
                <w:lang w:eastAsia="en-GB"/>
              </w:rPr>
              <w:t>– METAGEN</w:t>
            </w:r>
          </w:p>
          <w:p w14:paraId="72A6C865" w14:textId="5F2D1CF5" w:rsidR="00DF4008" w:rsidRPr="00D47A26" w:rsidRDefault="00DF4008" w:rsidP="00D47A26">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07BB662"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rPr>
              <w:t>A ROHU cross-border innovation to combat antibiotic resistance while ensuring health equity and system resilience</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9055276"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5F4E2615" w:rsidR="00DF4008" w:rsidRPr="00D47A26" w:rsidRDefault="0053374D" w:rsidP="00D47A26">
            <w:pPr>
              <w:spacing w:after="120" w:line="276" w:lineRule="auto"/>
              <w:jc w:val="both"/>
              <w:rPr>
                <w:color w:val="1F3864" w:themeColor="accent5" w:themeShade="80"/>
                <w:szCs w:val="20"/>
                <w:lang w:val="en-GB"/>
              </w:rPr>
            </w:pPr>
            <w:r w:rsidRPr="0053374D">
              <w:rPr>
                <w:color w:val="1F3864" w:themeColor="accent5" w:themeShade="80"/>
                <w:szCs w:val="20"/>
              </w:rPr>
              <w:t xml:space="preserve">RS04.5 - Ensuring equal access to health care and fostering resilience of health systems, including primary care, and promoting the transition from institutional to family and </w:t>
            </w:r>
            <w:proofErr w:type="gramStart"/>
            <w:r>
              <w:rPr>
                <w:color w:val="1F3864" w:themeColor="accent5" w:themeShade="80"/>
                <w:szCs w:val="20"/>
              </w:rPr>
              <w:t>community based</w:t>
            </w:r>
            <w:proofErr w:type="gramEnd"/>
            <w:r w:rsidRPr="0053374D">
              <w:rPr>
                <w:color w:val="1F3864" w:themeColor="accent5" w:themeShade="80"/>
                <w:szCs w:val="20"/>
              </w:rPr>
              <w:t xml:space="preserve"> care</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323D6419" w:rsidR="00DF4008" w:rsidRPr="00C12238" w:rsidRDefault="00ED559D"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2</w:t>
            </w:r>
            <w:r w:rsidR="0053374D">
              <w:rPr>
                <w:color w:val="1F3864" w:themeColor="accent5" w:themeShade="80"/>
                <w:szCs w:val="20"/>
                <w:lang w:val="en-GB"/>
              </w:rPr>
              <w:t>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0053374D" w:rsidRPr="0053374D">
              <w:rPr>
                <w:color w:val="1F3864" w:themeColor="accent5" w:themeShade="80"/>
                <w:szCs w:val="20"/>
                <w:lang w:val="en-GB"/>
              </w:rPr>
              <w:t>07/02/2025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sidR="0053374D" w:rsidRPr="0053374D">
              <w:rPr>
                <w:color w:val="1F3864" w:themeColor="accent5" w:themeShade="80"/>
                <w:szCs w:val="20"/>
                <w:lang w:val="en-GB"/>
              </w:rPr>
              <w:t>01/01/2028</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7D2203EA" w:rsidR="00F119CB" w:rsidRPr="00D47A26" w:rsidRDefault="0053374D" w:rsidP="00ED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T</w:t>
            </w:r>
            <w:r>
              <w:rPr>
                <w:color w:val="1F3864" w:themeColor="accent5" w:themeShade="80"/>
                <w:szCs w:val="20"/>
                <w:lang w:val="en-GB"/>
              </w:rPr>
              <w:t>he main objective of the project is t</w:t>
            </w:r>
            <w:r w:rsidRPr="0053374D">
              <w:rPr>
                <w:color w:val="1F3864" w:themeColor="accent5" w:themeShade="80"/>
                <w:szCs w:val="20"/>
                <w:lang w:val="en-GB"/>
              </w:rPr>
              <w:t xml:space="preserve">o ensure equitable healthcare access and enhance the resilience of healthcare systems in the ROHU border region by introducing state-of-the-art workflows, with a goal of </w:t>
            </w:r>
            <w:proofErr w:type="spellStart"/>
            <w:r w:rsidRPr="0053374D">
              <w:rPr>
                <w:color w:val="1F3864" w:themeColor="accent5" w:themeShade="80"/>
                <w:szCs w:val="20"/>
                <w:lang w:val="en-GB"/>
              </w:rPr>
              <w:t>analyzing</w:t>
            </w:r>
            <w:proofErr w:type="spellEnd"/>
            <w:r w:rsidRPr="0053374D">
              <w:rPr>
                <w:color w:val="1F3864" w:themeColor="accent5" w:themeShade="80"/>
                <w:szCs w:val="20"/>
                <w:lang w:val="en-GB"/>
              </w:rPr>
              <w:t xml:space="preserve"> 8,000 clinical specimens. Additionally, it will facilitate joint capacity building and the exchange of valuable </w:t>
            </w:r>
            <w:r>
              <w:rPr>
                <w:color w:val="1F3864" w:themeColor="accent5" w:themeShade="80"/>
                <w:szCs w:val="20"/>
                <w:lang w:val="en-GB"/>
              </w:rPr>
              <w:t>experiences among 60 microbiologists or technicians and 40 resident doctors or clinicians, who will actively engage in training sessions</w:t>
            </w:r>
            <w:r w:rsidRPr="0053374D">
              <w:rPr>
                <w:color w:val="1F3864" w:themeColor="accent5" w:themeShade="80"/>
                <w:szCs w:val="20"/>
                <w:lang w:val="en-GB"/>
              </w:rPr>
              <w:t xml:space="preserve"> focusing on advanced diagnostic techniques and infectious disease management.</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66FAAF1A" w:rsidR="009209FA" w:rsidRPr="00D47A26" w:rsidRDefault="0053374D"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proofErr w:type="spellStart"/>
            <w:r w:rsidRPr="0053374D">
              <w:rPr>
                <w:color w:val="1F3864" w:themeColor="accent5" w:themeShade="80"/>
                <w:szCs w:val="20"/>
                <w:lang w:val="en-GB"/>
              </w:rPr>
              <w:t>Universitatea</w:t>
            </w:r>
            <w:proofErr w:type="spellEnd"/>
            <w:r w:rsidRPr="0053374D">
              <w:rPr>
                <w:color w:val="1F3864" w:themeColor="accent5" w:themeShade="80"/>
                <w:szCs w:val="20"/>
                <w:lang w:val="en-GB"/>
              </w:rPr>
              <w:t xml:space="preserve"> de </w:t>
            </w:r>
            <w:proofErr w:type="spellStart"/>
            <w:r w:rsidRPr="0053374D">
              <w:rPr>
                <w:color w:val="1F3864" w:themeColor="accent5" w:themeShade="80"/>
                <w:szCs w:val="20"/>
                <w:lang w:val="en-GB"/>
              </w:rPr>
              <w:t>Medicină</w:t>
            </w:r>
            <w:proofErr w:type="spellEnd"/>
            <w:r w:rsidRPr="0053374D">
              <w:rPr>
                <w:color w:val="1F3864" w:themeColor="accent5" w:themeShade="80"/>
                <w:szCs w:val="20"/>
                <w:lang w:val="en-GB"/>
              </w:rPr>
              <w:t xml:space="preserve"> </w:t>
            </w:r>
            <w:proofErr w:type="spellStart"/>
            <w:r w:rsidRPr="0053374D">
              <w:rPr>
                <w:color w:val="1F3864" w:themeColor="accent5" w:themeShade="80"/>
                <w:szCs w:val="20"/>
                <w:lang w:val="en-GB"/>
              </w:rPr>
              <w:t>și</w:t>
            </w:r>
            <w:proofErr w:type="spellEnd"/>
            <w:r w:rsidRPr="0053374D">
              <w:rPr>
                <w:color w:val="1F3864" w:themeColor="accent5" w:themeShade="80"/>
                <w:szCs w:val="20"/>
                <w:lang w:val="en-GB"/>
              </w:rPr>
              <w:t xml:space="preserve"> </w:t>
            </w:r>
            <w:proofErr w:type="spellStart"/>
            <w:r w:rsidRPr="0053374D">
              <w:rPr>
                <w:color w:val="1F3864" w:themeColor="accent5" w:themeShade="80"/>
                <w:szCs w:val="20"/>
                <w:lang w:val="en-GB"/>
              </w:rPr>
              <w:t>Farmacie</w:t>
            </w:r>
            <w:proofErr w:type="spellEnd"/>
            <w:r w:rsidRPr="0053374D">
              <w:rPr>
                <w:color w:val="1F3864" w:themeColor="accent5" w:themeShade="80"/>
                <w:szCs w:val="20"/>
                <w:lang w:val="en-GB"/>
              </w:rPr>
              <w:t xml:space="preserve"> „Victor Babeș" din </w:t>
            </w:r>
            <w:proofErr w:type="spellStart"/>
            <w:r w:rsidRPr="0053374D">
              <w:rPr>
                <w:color w:val="1F3864" w:themeColor="accent5" w:themeShade="80"/>
                <w:szCs w:val="20"/>
                <w:lang w:val="en-GB"/>
              </w:rPr>
              <w:t>Timișoara</w:t>
            </w:r>
            <w:proofErr w:type="spellEnd"/>
            <w:r>
              <w:rPr>
                <w:color w:val="1F3864" w:themeColor="accent5" w:themeShade="80"/>
                <w:szCs w:val="20"/>
                <w:lang w:val="en-GB"/>
              </w:rPr>
              <w:t xml:space="preserve"> </w:t>
            </w:r>
            <w:proofErr w:type="gramStart"/>
            <w:r>
              <w:rPr>
                <w:color w:val="1F3864" w:themeColor="accent5" w:themeShade="80"/>
                <w:szCs w:val="20"/>
                <w:lang w:val="en-GB"/>
              </w:rPr>
              <w:t xml:space="preserve">/ </w:t>
            </w:r>
            <w:r w:rsidRPr="0053374D">
              <w:rPr>
                <w:color w:val="1F3864" w:themeColor="accent5" w:themeShade="80"/>
                <w:szCs w:val="20"/>
                <w:lang w:val="en-GB"/>
              </w:rPr>
              <w:t>”Victor</w:t>
            </w:r>
            <w:proofErr w:type="gramEnd"/>
            <w:r w:rsidRPr="0053374D">
              <w:rPr>
                <w:color w:val="1F3864" w:themeColor="accent5" w:themeShade="80"/>
                <w:szCs w:val="20"/>
                <w:lang w:val="en-GB"/>
              </w:rPr>
              <w:t xml:space="preserve"> Babeș” University of Medicine and Pharmacy from </w:t>
            </w:r>
            <w:proofErr w:type="spellStart"/>
            <w:r w:rsidRPr="0053374D">
              <w:rPr>
                <w:color w:val="1F3864" w:themeColor="accent5" w:themeShade="80"/>
                <w:szCs w:val="20"/>
                <w:lang w:val="en-GB"/>
              </w:rPr>
              <w:t>Timișoara</w:t>
            </w:r>
            <w:proofErr w:type="spellEnd"/>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6BBA3348" w14:textId="4D920261" w:rsidR="00E3788F"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53374D" w:rsidRPr="0053374D">
              <w:rPr>
                <w:color w:val="1F3864" w:themeColor="accent5" w:themeShade="80"/>
                <w:szCs w:val="20"/>
                <w:lang w:val="en-GB"/>
              </w:rPr>
              <w:t>Szegedi Tudományegyetem</w:t>
            </w:r>
            <w:r w:rsidR="0053374D">
              <w:rPr>
                <w:color w:val="1F3864" w:themeColor="accent5" w:themeShade="80"/>
                <w:szCs w:val="20"/>
                <w:lang w:val="en-GB"/>
              </w:rPr>
              <w:t xml:space="preserve"> / </w:t>
            </w:r>
            <w:r w:rsidR="0053374D" w:rsidRPr="0053374D">
              <w:rPr>
                <w:color w:val="1F3864" w:themeColor="accent5" w:themeShade="80"/>
                <w:szCs w:val="20"/>
                <w:lang w:val="en-GB"/>
              </w:rPr>
              <w:t>University of Szeged</w:t>
            </w:r>
          </w:p>
          <w:p w14:paraId="7BCBBF71" w14:textId="6D7211B7" w:rsidR="00091D2C" w:rsidRPr="00D47A26" w:rsidRDefault="00091D2C"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PP3: </w:t>
            </w:r>
            <w:proofErr w:type="spellStart"/>
            <w:r w:rsidR="0053374D" w:rsidRPr="0053374D">
              <w:rPr>
                <w:color w:val="1F3864" w:themeColor="accent5" w:themeShade="80"/>
                <w:szCs w:val="20"/>
                <w:lang w:val="en-GB"/>
              </w:rPr>
              <w:t>Asociatia</w:t>
            </w:r>
            <w:proofErr w:type="spellEnd"/>
            <w:r w:rsidR="0053374D" w:rsidRPr="0053374D">
              <w:rPr>
                <w:color w:val="1F3864" w:themeColor="accent5" w:themeShade="80"/>
                <w:szCs w:val="20"/>
                <w:lang w:val="en-GB"/>
              </w:rPr>
              <w:t xml:space="preserve"> Oncohelp</w:t>
            </w:r>
            <w:r w:rsidR="0053374D">
              <w:rPr>
                <w:color w:val="1F3864" w:themeColor="accent5" w:themeShade="80"/>
                <w:szCs w:val="20"/>
                <w:lang w:val="en-GB"/>
              </w:rPr>
              <w:t xml:space="preserve"> / </w:t>
            </w:r>
            <w:r w:rsidR="0053374D" w:rsidRPr="0053374D">
              <w:rPr>
                <w:color w:val="1F3864" w:themeColor="accent5" w:themeShade="80"/>
                <w:szCs w:val="20"/>
                <w:lang w:val="en-GB"/>
              </w:rPr>
              <w:t>Oncohelp Association</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7216CB8A"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53374D">
              <w:rPr>
                <w:rFonts w:cs="Calibri"/>
                <w:b/>
                <w:bCs/>
                <w:color w:val="1F3864" w:themeColor="accent5" w:themeShade="80"/>
                <w:szCs w:val="20"/>
                <w:lang w:eastAsia="en-GB"/>
              </w:rPr>
              <w:t xml:space="preserve"> </w:t>
            </w:r>
            <w:r w:rsidR="0053374D" w:rsidRPr="0053374D">
              <w:rPr>
                <w:rFonts w:cs="Calibri"/>
                <w:b/>
                <w:bCs/>
                <w:color w:val="1F3864" w:themeColor="accent5" w:themeShade="80"/>
                <w:szCs w:val="20"/>
                <w:lang w:eastAsia="en-GB"/>
              </w:rPr>
              <w:t>2.266.696,33</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6B09C250"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53374D">
              <w:rPr>
                <w:rFonts w:cs="Calibri"/>
                <w:color w:val="1F3864" w:themeColor="accent5" w:themeShade="80"/>
                <w:szCs w:val="20"/>
                <w:lang w:val="en-GB" w:eastAsia="en-GB"/>
              </w:rPr>
              <w:t xml:space="preserve"> </w:t>
            </w:r>
            <w:r w:rsidR="0053374D" w:rsidRPr="0053374D">
              <w:rPr>
                <w:rFonts w:cs="Calibri"/>
                <w:b/>
                <w:bCs/>
                <w:color w:val="1F3864" w:themeColor="accent5" w:themeShade="80"/>
                <w:szCs w:val="20"/>
                <w:lang w:val="en-GB" w:eastAsia="en-GB"/>
              </w:rPr>
              <w:t>1.813.357,05</w:t>
            </w:r>
            <w:r w:rsidR="0053374D" w:rsidRPr="0053374D">
              <w:rPr>
                <w:rFonts w:cs="Calibri"/>
                <w:color w:val="1F3864" w:themeColor="accent5" w:themeShade="80"/>
                <w:szCs w:val="20"/>
                <w:lang w:val="en-GB" w:eastAsia="en-GB"/>
              </w:rPr>
              <w:tab/>
            </w:r>
            <w:r w:rsidR="009209FA" w:rsidRPr="009209FA">
              <w:rPr>
                <w:rFonts w:cs="Calibri"/>
                <w:b/>
                <w:bCs/>
                <w:color w:val="1F3864" w:themeColor="accent5" w:themeShade="80"/>
                <w:szCs w:val="20"/>
                <w:lang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8D97" w14:textId="6349AA36"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 xml:space="preserve">METAGEN </w:t>
            </w:r>
            <w:r>
              <w:rPr>
                <w:color w:val="1F3864" w:themeColor="accent5" w:themeShade="80"/>
                <w:szCs w:val="20"/>
                <w:lang w:val="en-GB"/>
              </w:rPr>
              <w:t xml:space="preserve">project </w:t>
            </w:r>
            <w:r w:rsidRPr="00FE67E5">
              <w:rPr>
                <w:color w:val="1F3864" w:themeColor="accent5" w:themeShade="80"/>
                <w:szCs w:val="20"/>
                <w:lang w:val="en-GB"/>
              </w:rPr>
              <w:t xml:space="preserve">addresses the lack of expertise in bacterial genome sequencing by training at least 60 microbiologists, clinical microbiologists, clinical laboratory doctors, technicians and 40 doctors in training (residents), public health specialists, infection control specialists, and clinicians in the use of Nanopore whole genome sequencing, along with </w:t>
            </w:r>
            <w:proofErr w:type="spellStart"/>
            <w:r w:rsidRPr="00FE67E5">
              <w:rPr>
                <w:color w:val="1F3864" w:themeColor="accent5" w:themeShade="80"/>
                <w:szCs w:val="20"/>
                <w:lang w:val="en-GB"/>
              </w:rPr>
              <w:t>TapeStation</w:t>
            </w:r>
            <w:proofErr w:type="spellEnd"/>
            <w:r w:rsidRPr="00FE67E5">
              <w:rPr>
                <w:color w:val="1F3864" w:themeColor="accent5" w:themeShade="80"/>
                <w:szCs w:val="20"/>
                <w:lang w:val="en-GB"/>
              </w:rPr>
              <w:t xml:space="preserve"> and IR </w:t>
            </w:r>
            <w:proofErr w:type="spellStart"/>
            <w:r w:rsidRPr="00FE67E5">
              <w:rPr>
                <w:color w:val="1F3864" w:themeColor="accent5" w:themeShade="80"/>
                <w:szCs w:val="20"/>
                <w:lang w:val="en-GB"/>
              </w:rPr>
              <w:t>Biotyping</w:t>
            </w:r>
            <w:proofErr w:type="spellEnd"/>
            <w:r w:rsidRPr="00FE67E5">
              <w:rPr>
                <w:color w:val="1F3864" w:themeColor="accent5" w:themeShade="80"/>
                <w:szCs w:val="20"/>
                <w:lang w:val="en-GB"/>
              </w:rPr>
              <w:t xml:space="preserve">. In addition, the significance of TDM in avoiding the development of </w:t>
            </w:r>
            <w:proofErr w:type="spellStart"/>
            <w:r w:rsidRPr="00FE67E5">
              <w:rPr>
                <w:color w:val="1F3864" w:themeColor="accent5" w:themeShade="80"/>
                <w:szCs w:val="20"/>
                <w:lang w:val="en-GB"/>
              </w:rPr>
              <w:t>multiresistant</w:t>
            </w:r>
            <w:proofErr w:type="spellEnd"/>
            <w:r w:rsidRPr="00FE67E5">
              <w:rPr>
                <w:color w:val="1F3864" w:themeColor="accent5" w:themeShade="80"/>
                <w:szCs w:val="20"/>
                <w:lang w:val="en-GB"/>
              </w:rPr>
              <w:t xml:space="preserve"> pathogens and the place of LC-MS/MS system will be highlighted. This knowledge dissemination goes beyond existing practices, raising awareness about cutting-edge technology.</w:t>
            </w:r>
          </w:p>
          <w:p w14:paraId="009E9248" w14:textId="60E5415B"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lastRenderedPageBreak/>
              <w:t xml:space="preserve">The training in the Nanopore workflow and procedures outlined in the </w:t>
            </w:r>
            <w:r>
              <w:rPr>
                <w:color w:val="1F3864" w:themeColor="accent5" w:themeShade="80"/>
                <w:szCs w:val="20"/>
                <w:lang w:val="en-GB"/>
              </w:rPr>
              <w:t>project</w:t>
            </w:r>
            <w:r w:rsidRPr="00FE67E5">
              <w:rPr>
                <w:color w:val="1F3864" w:themeColor="accent5" w:themeShade="80"/>
                <w:szCs w:val="20"/>
                <w:lang w:val="en-GB"/>
              </w:rPr>
              <w:t xml:space="preserve"> will offer significant advantages in microbiology practice in the area, since:</w:t>
            </w:r>
          </w:p>
          <w:p w14:paraId="5E5E7F04"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w:t>
            </w:r>
            <w:r w:rsidRPr="00FE67E5">
              <w:rPr>
                <w:color w:val="1F3864" w:themeColor="accent5" w:themeShade="80"/>
                <w:szCs w:val="20"/>
                <w:lang w:val="en-GB"/>
              </w:rPr>
              <w:tab/>
              <w:t>It does not require specialized personnel; all procedures, including bioinformatics analysis, are streamlined for use by individuals with minimal laboratory training.</w:t>
            </w:r>
          </w:p>
          <w:p w14:paraId="6A3B9265"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w:t>
            </w:r>
            <w:r w:rsidRPr="00FE67E5">
              <w:rPr>
                <w:color w:val="1F3864" w:themeColor="accent5" w:themeShade="80"/>
                <w:szCs w:val="20"/>
                <w:lang w:val="en-GB"/>
              </w:rPr>
              <w:tab/>
              <w:t>It eliminates the need for dedicated culture spaces, as biological samples are preserved in inactivating solutions that immediately conserve the DNA and RNA of the bacterial mixture upon sampling.</w:t>
            </w:r>
          </w:p>
          <w:p w14:paraId="0A6C1F1C"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w:t>
            </w:r>
            <w:r w:rsidRPr="00FE67E5">
              <w:rPr>
                <w:color w:val="1F3864" w:themeColor="accent5" w:themeShade="80"/>
                <w:szCs w:val="20"/>
                <w:lang w:val="en-GB"/>
              </w:rPr>
              <w:tab/>
              <w:t>It ensures a speedy delivery of bacterial composition in a complex mixture, within 24 hours from the sampling moment.</w:t>
            </w:r>
          </w:p>
          <w:p w14:paraId="70F236A8"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w:t>
            </w:r>
            <w:r w:rsidRPr="00FE67E5">
              <w:rPr>
                <w:color w:val="1F3864" w:themeColor="accent5" w:themeShade="80"/>
                <w:szCs w:val="20"/>
                <w:lang w:val="en-GB"/>
              </w:rPr>
              <w:tab/>
              <w:t>It offers comprehensiveness by providing information at the strain level for the entire bacterial mixture.</w:t>
            </w:r>
          </w:p>
          <w:p w14:paraId="1727C1CC"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w:t>
            </w:r>
            <w:r w:rsidRPr="00FE67E5">
              <w:rPr>
                <w:color w:val="1F3864" w:themeColor="accent5" w:themeShade="80"/>
                <w:szCs w:val="20"/>
                <w:lang w:val="en-GB"/>
              </w:rPr>
              <w:tab/>
              <w:t>It simultaneously identifies antimicrobial resistance genes, enabling rapid guidance for therapy selection.</w:t>
            </w:r>
          </w:p>
          <w:p w14:paraId="6C3D2CA1" w14:textId="56093146"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 xml:space="preserve">Addressing </w:t>
            </w:r>
            <w:r>
              <w:rPr>
                <w:color w:val="1F3864" w:themeColor="accent5" w:themeShade="80"/>
                <w:szCs w:val="20"/>
                <w:lang w:val="en-GB"/>
              </w:rPr>
              <w:t xml:space="preserve">the </w:t>
            </w:r>
            <w:r w:rsidRPr="00FE67E5">
              <w:rPr>
                <w:color w:val="1F3864" w:themeColor="accent5" w:themeShade="80"/>
                <w:szCs w:val="20"/>
                <w:lang w:val="en-GB"/>
              </w:rPr>
              <w:t>escalating threat of antimicrobial resistance (AMR).</w:t>
            </w:r>
          </w:p>
          <w:p w14:paraId="01E6041E" w14:textId="77777777" w:rsidR="00FE67E5" w:rsidRPr="00FE67E5"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The project goes beyond traditional practices by collecting data on antimicrobial resistance (AMR) genes circulating in microbial populations. This comprehensive approach helps build a database of all antibiotic resistance genes within the eligible area, facilitating evidence-based interventions. This is crucial for monitoring the outbreak and spread of antimicrobial resistance, particularly in the context of the proximity of Romania and Hungary and the potential for resistance factor exchange through activities like animal transport and tourism.</w:t>
            </w:r>
          </w:p>
          <w:p w14:paraId="769F20B1" w14:textId="58C50FF2" w:rsidR="00BB41BC" w:rsidRPr="001C4914" w:rsidRDefault="00FE67E5" w:rsidP="00FE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E67E5">
              <w:rPr>
                <w:color w:val="1F3864" w:themeColor="accent5" w:themeShade="80"/>
                <w:szCs w:val="20"/>
                <w:lang w:val="en-GB"/>
              </w:rPr>
              <w:t xml:space="preserve">The Nanopore-based sequencing workflow holds the potential to be integrated into the National Surveillance Program of communicable diseases. This advanced sequencing technology not only enables rapid and accurate pathogen identification, but also provides invaluable data on antimicrobial resistance genes. By incorporating this workflow into the National Surveillance Program, </w:t>
            </w:r>
            <w:r>
              <w:rPr>
                <w:color w:val="1F3864" w:themeColor="accent5" w:themeShade="80"/>
                <w:szCs w:val="20"/>
                <w:lang w:val="en-GB"/>
              </w:rPr>
              <w:t>project partners can</w:t>
            </w:r>
            <w:r w:rsidRPr="00FE67E5">
              <w:rPr>
                <w:color w:val="1F3864" w:themeColor="accent5" w:themeShade="80"/>
                <w:szCs w:val="20"/>
                <w:lang w:val="en-GB"/>
              </w:rPr>
              <w:t xml:space="preserve"> enhance </w:t>
            </w:r>
            <w:r>
              <w:rPr>
                <w:color w:val="1F3864" w:themeColor="accent5" w:themeShade="80"/>
                <w:szCs w:val="20"/>
                <w:lang w:val="en-GB"/>
              </w:rPr>
              <w:t>their</w:t>
            </w:r>
            <w:r w:rsidRPr="00FE67E5">
              <w:rPr>
                <w:color w:val="1F3864" w:themeColor="accent5" w:themeShade="80"/>
                <w:szCs w:val="20"/>
                <w:lang w:val="en-GB"/>
              </w:rPr>
              <w:t xml:space="preserve"> capacity to monitor and respond to the spread of AMR more effectively. This proactive approach will enable </w:t>
            </w:r>
            <w:r>
              <w:rPr>
                <w:color w:val="1F3864" w:themeColor="accent5" w:themeShade="80"/>
                <w:szCs w:val="20"/>
                <w:lang w:val="en-GB"/>
              </w:rPr>
              <w:t>project partners</w:t>
            </w:r>
            <w:r w:rsidRPr="00FE67E5">
              <w:rPr>
                <w:color w:val="1F3864" w:themeColor="accent5" w:themeShade="80"/>
                <w:szCs w:val="20"/>
                <w:lang w:val="en-GB"/>
              </w:rPr>
              <w:t xml:space="preserve"> to better understand the dynamics of AMR, optimize treatment strategies, and ultimately safeguard public health.</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A2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
              </w:rPr>
            </w:pPr>
            <w:r w:rsidRPr="00A225C0">
              <w:rPr>
                <w:color w:val="1F3864" w:themeColor="accent5" w:themeShade="80"/>
                <w:lang w:val="en"/>
              </w:rPr>
              <w:t>The main results of the project:</w:t>
            </w:r>
          </w:p>
          <w:p w14:paraId="65EFD734" w14:textId="68FE18EC" w:rsidR="00CD7449" w:rsidRDefault="00036B16"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A</w:t>
            </w:r>
            <w:r w:rsidR="00FE67E5" w:rsidRPr="00FE67E5">
              <w:rPr>
                <w:color w:val="1F3864" w:themeColor="accent5" w:themeShade="80"/>
                <w:lang w:val="en-GB"/>
              </w:rPr>
              <w:t xml:space="preserve"> </w:t>
            </w:r>
            <w:r>
              <w:rPr>
                <w:color w:val="1F3864" w:themeColor="accent5" w:themeShade="80"/>
                <w:lang w:val="en-GB"/>
              </w:rPr>
              <w:t>s</w:t>
            </w:r>
            <w:r w:rsidR="00FE67E5" w:rsidRPr="00FE67E5">
              <w:rPr>
                <w:color w:val="1F3864" w:themeColor="accent5" w:themeShade="80"/>
                <w:lang w:val="en-GB"/>
              </w:rPr>
              <w:t xml:space="preserve">tate-of-the-art Romanian Metagenomic Reference </w:t>
            </w:r>
            <w:proofErr w:type="spellStart"/>
            <w:r w:rsidR="00FE67E5" w:rsidRPr="00FE67E5">
              <w:rPr>
                <w:color w:val="1F3864" w:themeColor="accent5" w:themeShade="80"/>
                <w:lang w:val="en-GB"/>
              </w:rPr>
              <w:t>Center</w:t>
            </w:r>
            <w:proofErr w:type="spellEnd"/>
            <w:r w:rsidR="00FE67E5" w:rsidRPr="00FE67E5">
              <w:rPr>
                <w:color w:val="1F3864" w:themeColor="accent5" w:themeShade="80"/>
                <w:lang w:val="en-GB"/>
              </w:rPr>
              <w:t xml:space="preserve"> (MRC)</w:t>
            </w:r>
            <w:r>
              <w:rPr>
                <w:color w:val="1F3864" w:themeColor="accent5" w:themeShade="80"/>
                <w:lang w:val="en-GB"/>
              </w:rPr>
              <w:t xml:space="preserve"> </w:t>
            </w:r>
            <w:r w:rsidRPr="00036B16">
              <w:rPr>
                <w:color w:val="1F3864" w:themeColor="accent5" w:themeShade="80"/>
                <w:lang w:val="en-GB"/>
              </w:rPr>
              <w:t xml:space="preserve">at the “Victor Babes” University of Medicine and Pharmacy Timisoara, capable of conducting high throughput metagenomic analysis, maintaining a biorepository of biological samples and serving as a training </w:t>
            </w:r>
            <w:proofErr w:type="spellStart"/>
            <w:r w:rsidRPr="00036B16">
              <w:rPr>
                <w:color w:val="1F3864" w:themeColor="accent5" w:themeShade="80"/>
                <w:lang w:val="en-GB"/>
              </w:rPr>
              <w:t>center</w:t>
            </w:r>
            <w:proofErr w:type="spellEnd"/>
            <w:r w:rsidRPr="00036B16">
              <w:rPr>
                <w:color w:val="1F3864" w:themeColor="accent5" w:themeShade="80"/>
                <w:lang w:val="en-GB"/>
              </w:rPr>
              <w:t xml:space="preserve"> for individuals interested in utilizing these advanced techniques</w:t>
            </w:r>
            <w:r>
              <w:rPr>
                <w:color w:val="1F3864" w:themeColor="accent5" w:themeShade="80"/>
                <w:lang w:val="en-GB"/>
              </w:rPr>
              <w:t>;</w:t>
            </w:r>
          </w:p>
          <w:p w14:paraId="16E70A29" w14:textId="77777777" w:rsidR="00036B16" w:rsidRDefault="00036B16" w:rsidP="009D77F1">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The </w:t>
            </w:r>
            <w:r w:rsidRPr="00036B16">
              <w:rPr>
                <w:color w:val="1F3864" w:themeColor="accent5" w:themeShade="80"/>
                <w:lang w:val="en-GB"/>
              </w:rPr>
              <w:t>Modernization of the Department of Medical Microbiology and the Institute of Laboratory Medicine, University of Szeged</w:t>
            </w:r>
            <w:r>
              <w:rPr>
                <w:color w:val="1F3864" w:themeColor="accent5" w:themeShade="80"/>
                <w:lang w:val="en-GB"/>
              </w:rPr>
              <w:t>, through:</w:t>
            </w:r>
          </w:p>
          <w:p w14:paraId="3E99B5D2"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lastRenderedPageBreak/>
              <w:t>Establishment of Nanopore Sequencing Capabilities at University of Szeged's Department of Medical Microbiology</w:t>
            </w:r>
            <w:r>
              <w:rPr>
                <w:color w:val="1F3864" w:themeColor="accent5" w:themeShade="80"/>
                <w:lang w:val="en-GB"/>
              </w:rPr>
              <w:t>;</w:t>
            </w:r>
          </w:p>
          <w:p w14:paraId="52EBA041"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Establishment of an advanced Therapeutic Drug Monitoring (TDM) with LC-MS system in the Institute of Laboratory Medicine, University of Szeged</w:t>
            </w:r>
            <w:r>
              <w:rPr>
                <w:color w:val="1F3864" w:themeColor="accent5" w:themeShade="80"/>
                <w:lang w:val="en-GB"/>
              </w:rPr>
              <w:t>;</w:t>
            </w:r>
          </w:p>
          <w:p w14:paraId="22298CCD"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T</w:t>
            </w:r>
            <w:r w:rsidRPr="00036B16">
              <w:rPr>
                <w:color w:val="1F3864" w:themeColor="accent5" w:themeShade="80"/>
                <w:lang w:val="en-GB"/>
              </w:rPr>
              <w:t>he establishment of the ROHU Medical Expert Team, a specialized group comprising 19 Romanian professionals and 5 Hungarian professionals, all experienced microbiologists</w:t>
            </w:r>
            <w:r>
              <w:rPr>
                <w:color w:val="1F3864" w:themeColor="accent5" w:themeShade="80"/>
                <w:lang w:val="en-GB"/>
              </w:rPr>
              <w:t>;</w:t>
            </w:r>
          </w:p>
          <w:p w14:paraId="3AACF040"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60 participants selected for joint trainings and 40 participants selected for joint workshops</w:t>
            </w:r>
            <w:r>
              <w:rPr>
                <w:color w:val="1F3864" w:themeColor="accent5" w:themeShade="80"/>
                <w:lang w:val="en-GB"/>
              </w:rPr>
              <w:t>;</w:t>
            </w:r>
          </w:p>
          <w:p w14:paraId="72FE3126"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7 joint trainings organised with 60 participants</w:t>
            </w:r>
            <w:r>
              <w:rPr>
                <w:color w:val="1F3864" w:themeColor="accent5" w:themeShade="80"/>
                <w:lang w:val="en-GB"/>
              </w:rPr>
              <w:t>;</w:t>
            </w:r>
          </w:p>
          <w:p w14:paraId="57766C16"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2 workshops conducted with 40 participants</w:t>
            </w:r>
            <w:r>
              <w:rPr>
                <w:color w:val="1F3864" w:themeColor="accent5" w:themeShade="80"/>
                <w:lang w:val="en-GB"/>
              </w:rPr>
              <w:t>;</w:t>
            </w:r>
          </w:p>
          <w:p w14:paraId="438C4294" w14:textId="77777777" w:rsidR="00036B16"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Protocols for metagenomic analysis of the main types of biological samples</w:t>
            </w:r>
            <w:r>
              <w:rPr>
                <w:color w:val="1F3864" w:themeColor="accent5" w:themeShade="80"/>
                <w:lang w:val="en-GB"/>
              </w:rPr>
              <w:t>;</w:t>
            </w:r>
          </w:p>
          <w:p w14:paraId="173E30B6" w14:textId="48B4A661" w:rsidR="00036B16" w:rsidRPr="009D77F1" w:rsidRDefault="00036B16" w:rsidP="00036B16">
            <w:pPr>
              <w:pStyle w:val="ListParagraph"/>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36B16">
              <w:rPr>
                <w:color w:val="1F3864" w:themeColor="accent5" w:themeShade="80"/>
                <w:lang w:val="en-GB"/>
              </w:rPr>
              <w:t>ROHU antibiotic resistance gene database and action plan</w:t>
            </w:r>
            <w:r>
              <w:rPr>
                <w:color w:val="1F3864" w:themeColor="accent5" w:themeShade="80"/>
                <w:lang w:val="en-GB"/>
              </w:rPr>
              <w:t xml:space="preserve"> developed;</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B082" w14:textId="77777777" w:rsidR="00AC0A63" w:rsidRDefault="00AC0A63" w:rsidP="00C23211">
      <w:pPr>
        <w:spacing w:after="0" w:line="240" w:lineRule="auto"/>
      </w:pPr>
      <w:r>
        <w:separator/>
      </w:r>
    </w:p>
  </w:endnote>
  <w:endnote w:type="continuationSeparator" w:id="0">
    <w:p w14:paraId="4B781182" w14:textId="77777777" w:rsidR="00AC0A63" w:rsidRDefault="00AC0A63"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Times New Roman"/>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B0C7" w14:textId="77777777" w:rsidR="00AC0A63" w:rsidRDefault="00AC0A63" w:rsidP="00C23211">
      <w:pPr>
        <w:spacing w:after="0" w:line="240" w:lineRule="auto"/>
      </w:pPr>
      <w:r>
        <w:separator/>
      </w:r>
    </w:p>
  </w:footnote>
  <w:footnote w:type="continuationSeparator" w:id="0">
    <w:p w14:paraId="022A1998" w14:textId="77777777" w:rsidR="00AC0A63" w:rsidRDefault="00AC0A63"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0493"/>
    <w:rsid w:val="00034A56"/>
    <w:rsid w:val="000350F3"/>
    <w:rsid w:val="00036B16"/>
    <w:rsid w:val="000445CF"/>
    <w:rsid w:val="00091D2C"/>
    <w:rsid w:val="000F0D69"/>
    <w:rsid w:val="00105385"/>
    <w:rsid w:val="001163BF"/>
    <w:rsid w:val="00153082"/>
    <w:rsid w:val="00190E0A"/>
    <w:rsid w:val="00197333"/>
    <w:rsid w:val="001C4914"/>
    <w:rsid w:val="0020035C"/>
    <w:rsid w:val="002127C0"/>
    <w:rsid w:val="002216AE"/>
    <w:rsid w:val="00242594"/>
    <w:rsid w:val="002601E5"/>
    <w:rsid w:val="002642B0"/>
    <w:rsid w:val="00290CD3"/>
    <w:rsid w:val="00293375"/>
    <w:rsid w:val="00297FD4"/>
    <w:rsid w:val="002A5B39"/>
    <w:rsid w:val="003035E1"/>
    <w:rsid w:val="003316F2"/>
    <w:rsid w:val="00352959"/>
    <w:rsid w:val="003620F5"/>
    <w:rsid w:val="00376591"/>
    <w:rsid w:val="00380501"/>
    <w:rsid w:val="003C0C49"/>
    <w:rsid w:val="003F05EA"/>
    <w:rsid w:val="00423711"/>
    <w:rsid w:val="004630C3"/>
    <w:rsid w:val="00486A6A"/>
    <w:rsid w:val="004A3DA2"/>
    <w:rsid w:val="004C23A3"/>
    <w:rsid w:val="005023A1"/>
    <w:rsid w:val="00507A63"/>
    <w:rsid w:val="0053374D"/>
    <w:rsid w:val="0054292D"/>
    <w:rsid w:val="00543B22"/>
    <w:rsid w:val="0055075A"/>
    <w:rsid w:val="005A58E8"/>
    <w:rsid w:val="005B5E59"/>
    <w:rsid w:val="005B7B70"/>
    <w:rsid w:val="005C3698"/>
    <w:rsid w:val="005C409E"/>
    <w:rsid w:val="00614C99"/>
    <w:rsid w:val="00686420"/>
    <w:rsid w:val="006B30F3"/>
    <w:rsid w:val="007120ED"/>
    <w:rsid w:val="00722416"/>
    <w:rsid w:val="00732D28"/>
    <w:rsid w:val="0074713A"/>
    <w:rsid w:val="00761E91"/>
    <w:rsid w:val="007B6147"/>
    <w:rsid w:val="008527BE"/>
    <w:rsid w:val="008626BE"/>
    <w:rsid w:val="008A0D0C"/>
    <w:rsid w:val="008B4EDA"/>
    <w:rsid w:val="008C34C7"/>
    <w:rsid w:val="008E24AC"/>
    <w:rsid w:val="00910C0E"/>
    <w:rsid w:val="009209FA"/>
    <w:rsid w:val="009448FF"/>
    <w:rsid w:val="00945828"/>
    <w:rsid w:val="00946967"/>
    <w:rsid w:val="0097126B"/>
    <w:rsid w:val="00994DEF"/>
    <w:rsid w:val="009D0623"/>
    <w:rsid w:val="009D77F1"/>
    <w:rsid w:val="00A170BA"/>
    <w:rsid w:val="00A225C0"/>
    <w:rsid w:val="00A2500A"/>
    <w:rsid w:val="00A35463"/>
    <w:rsid w:val="00A53CBE"/>
    <w:rsid w:val="00A64984"/>
    <w:rsid w:val="00AC0A63"/>
    <w:rsid w:val="00AC0DD1"/>
    <w:rsid w:val="00AC7698"/>
    <w:rsid w:val="00B24F49"/>
    <w:rsid w:val="00B34538"/>
    <w:rsid w:val="00B51267"/>
    <w:rsid w:val="00B57F8C"/>
    <w:rsid w:val="00B77B00"/>
    <w:rsid w:val="00B80A04"/>
    <w:rsid w:val="00B85133"/>
    <w:rsid w:val="00B92ED0"/>
    <w:rsid w:val="00BB41BC"/>
    <w:rsid w:val="00BB5E38"/>
    <w:rsid w:val="00C02611"/>
    <w:rsid w:val="00C12238"/>
    <w:rsid w:val="00C13AD6"/>
    <w:rsid w:val="00C23211"/>
    <w:rsid w:val="00C23EAD"/>
    <w:rsid w:val="00C72CB1"/>
    <w:rsid w:val="00CA0AA2"/>
    <w:rsid w:val="00CB46CA"/>
    <w:rsid w:val="00CD1B6F"/>
    <w:rsid w:val="00CD7449"/>
    <w:rsid w:val="00CE656E"/>
    <w:rsid w:val="00D1768D"/>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EE33BD"/>
    <w:rsid w:val="00F0230A"/>
    <w:rsid w:val="00F100E9"/>
    <w:rsid w:val="00F119CB"/>
    <w:rsid w:val="00F5533E"/>
    <w:rsid w:val="00F7622A"/>
    <w:rsid w:val="00FB5250"/>
    <w:rsid w:val="00FE25AB"/>
    <w:rsid w:val="00FE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36</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4</cp:revision>
  <dcterms:created xsi:type="dcterms:W3CDTF">2025-12-17T12:00:00Z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