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82D00" w14:textId="77777777" w:rsidR="00726B83" w:rsidRDefault="00726B83">
      <w:pPr>
        <w:pStyle w:val="Szvegtrzs"/>
        <w:spacing w:before="125"/>
        <w:rPr>
          <w:rFonts w:ascii="Times New Roman"/>
          <w:sz w:val="20"/>
        </w:rPr>
      </w:pPr>
    </w:p>
    <w:tbl>
      <w:tblPr>
        <w:tblW w:w="0" w:type="auto"/>
        <w:tblInd w:w="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3"/>
        <w:gridCol w:w="7477"/>
      </w:tblGrid>
      <w:tr w:rsidR="00726B83" w14:paraId="68E5C7D7" w14:textId="77777777">
        <w:trPr>
          <w:trHeight w:val="440"/>
        </w:trPr>
        <w:tc>
          <w:tcPr>
            <w:tcW w:w="9740" w:type="dxa"/>
            <w:gridSpan w:val="2"/>
            <w:tcBorders>
              <w:right w:val="single" w:sz="4" w:space="0" w:color="000000"/>
            </w:tcBorders>
            <w:shd w:val="clear" w:color="auto" w:fill="003399"/>
          </w:tcPr>
          <w:p w14:paraId="3D330223" w14:textId="03F4DB40" w:rsidR="00726B83" w:rsidRPr="00DA1527" w:rsidRDefault="00384C49">
            <w:pPr>
              <w:pStyle w:val="TableParagraph"/>
              <w:spacing w:line="301" w:lineRule="exact"/>
              <w:ind w:left="117"/>
              <w:rPr>
                <w:rFonts w:ascii="Open Sans" w:hAnsi="Open Sans" w:cs="Open Sans"/>
                <w:b/>
                <w:bCs/>
              </w:rPr>
            </w:pPr>
            <w:r w:rsidRPr="00DA1527">
              <w:rPr>
                <w:rFonts w:ascii="Open Sans" w:hAnsi="Open Sans" w:cs="Open Sans"/>
                <w:b/>
                <w:bCs/>
                <w:color w:val="FFFFFF"/>
              </w:rPr>
              <w:t>1</w:t>
            </w:r>
            <w:r w:rsidR="00684CC7">
              <w:rPr>
                <w:rFonts w:ascii="Open Sans" w:hAnsi="Open Sans" w:cs="Open Sans"/>
                <w:b/>
                <w:bCs/>
                <w:color w:val="FFFFFF"/>
              </w:rPr>
              <w:t>.</w:t>
            </w:r>
            <w:r w:rsidRPr="00DA1527">
              <w:rPr>
                <w:rFonts w:ascii="Open Sans" w:hAnsi="Open Sans" w:cs="Open Sans"/>
                <w:b/>
                <w:bCs/>
                <w:color w:val="FFFFFF"/>
              </w:rPr>
              <w:t xml:space="preserve"> </w:t>
            </w:r>
            <w:proofErr w:type="spellStart"/>
            <w:r w:rsidR="00684CC7">
              <w:rPr>
                <w:rFonts w:ascii="Open Sans" w:hAnsi="Open Sans" w:cs="Open Sans"/>
                <w:b/>
                <w:bCs/>
                <w:color w:val="FFFFFF"/>
              </w:rPr>
              <w:t>Nyílt</w:t>
            </w:r>
            <w:proofErr w:type="spellEnd"/>
            <w:r w:rsidR="00684CC7">
              <w:rPr>
                <w:rFonts w:ascii="Open Sans" w:hAnsi="Open Sans" w:cs="Open Sans"/>
                <w:b/>
                <w:bCs/>
                <w:color w:val="FFFFFF"/>
              </w:rPr>
              <w:t xml:space="preserve"> </w:t>
            </w:r>
            <w:proofErr w:type="spellStart"/>
            <w:r w:rsidR="00684CC7">
              <w:rPr>
                <w:rFonts w:ascii="Open Sans" w:hAnsi="Open Sans" w:cs="Open Sans"/>
                <w:b/>
                <w:bCs/>
                <w:color w:val="FFFFFF"/>
              </w:rPr>
              <w:t>pályázati</w:t>
            </w:r>
            <w:proofErr w:type="spellEnd"/>
            <w:r w:rsidR="00684CC7">
              <w:rPr>
                <w:rFonts w:ascii="Open Sans" w:hAnsi="Open Sans" w:cs="Open Sans"/>
                <w:b/>
                <w:bCs/>
                <w:color w:val="FFFFFF"/>
              </w:rPr>
              <w:t xml:space="preserve"> </w:t>
            </w:r>
            <w:proofErr w:type="spellStart"/>
            <w:r w:rsidR="00684CC7">
              <w:rPr>
                <w:rFonts w:ascii="Open Sans" w:hAnsi="Open Sans" w:cs="Open Sans"/>
                <w:b/>
                <w:bCs/>
                <w:color w:val="FFFFFF"/>
              </w:rPr>
              <w:t>felhívás</w:t>
            </w:r>
            <w:proofErr w:type="spellEnd"/>
          </w:p>
        </w:tc>
      </w:tr>
      <w:tr w:rsidR="00726B83" w14:paraId="090377D1" w14:textId="77777777" w:rsidTr="009D6C07">
        <w:trPr>
          <w:trHeight w:val="338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6CC1" w14:textId="46F7E139" w:rsidR="00726B83" w:rsidRPr="00DA1527" w:rsidRDefault="00384C49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DA1527">
              <w:rPr>
                <w:rFonts w:ascii="Open Sans" w:hAnsi="Open Sans" w:cs="Open Sans"/>
                <w:b/>
                <w:bCs/>
                <w:color w:val="003399"/>
              </w:rPr>
              <w:t>Proje</w:t>
            </w:r>
            <w:r w:rsidR="00684CC7">
              <w:rPr>
                <w:rFonts w:ascii="Open Sans" w:hAnsi="Open Sans" w:cs="Open Sans"/>
                <w:b/>
                <w:bCs/>
                <w:color w:val="003399"/>
              </w:rPr>
              <w:t>k</w:t>
            </w:r>
            <w:r w:rsidRPr="00DA1527">
              <w:rPr>
                <w:rFonts w:ascii="Open Sans" w:hAnsi="Open Sans" w:cs="Open Sans"/>
                <w:b/>
                <w:bCs/>
                <w:color w:val="003399"/>
              </w:rPr>
              <w:t xml:space="preserve">t </w:t>
            </w:r>
            <w:proofErr w:type="spellStart"/>
            <w:r w:rsidR="00684CC7">
              <w:rPr>
                <w:rFonts w:ascii="Open Sans" w:hAnsi="Open Sans" w:cs="Open Sans"/>
                <w:b/>
                <w:bCs/>
                <w:color w:val="003399"/>
              </w:rPr>
              <w:t>kód</w:t>
            </w:r>
            <w:proofErr w:type="spellEnd"/>
          </w:p>
        </w:tc>
        <w:tc>
          <w:tcPr>
            <w:tcW w:w="7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064D" w14:textId="77777777" w:rsidR="00726B83" w:rsidRPr="00AE1E45" w:rsidRDefault="00384C49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r w:rsidRPr="00AE1E45">
              <w:rPr>
                <w:rFonts w:ascii="Open Sans" w:hAnsi="Open Sans" w:cs="Open Sans"/>
                <w:b/>
                <w:bCs/>
                <w:color w:val="003399"/>
              </w:rPr>
              <w:t>ROHU-29</w:t>
            </w:r>
          </w:p>
        </w:tc>
      </w:tr>
      <w:tr w:rsidR="00726B83" w14:paraId="1D84E1E8" w14:textId="77777777">
        <w:trPr>
          <w:trHeight w:val="89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371C" w14:textId="6C5B1097" w:rsidR="00726B83" w:rsidRPr="00DA1527" w:rsidRDefault="00384C49">
            <w:pPr>
              <w:pStyle w:val="TableParagraph"/>
              <w:spacing w:line="303" w:lineRule="exact"/>
              <w:rPr>
                <w:rFonts w:ascii="Open Sans" w:hAnsi="Open Sans" w:cs="Open Sans"/>
                <w:b/>
                <w:bCs/>
              </w:rPr>
            </w:pPr>
            <w:r w:rsidRPr="00DA1527">
              <w:rPr>
                <w:rFonts w:ascii="Open Sans" w:hAnsi="Open Sans" w:cs="Open Sans"/>
                <w:b/>
                <w:bCs/>
                <w:color w:val="003399"/>
              </w:rPr>
              <w:t>Proje</w:t>
            </w:r>
            <w:r w:rsidR="00684CC7">
              <w:rPr>
                <w:rFonts w:ascii="Open Sans" w:hAnsi="Open Sans" w:cs="Open Sans"/>
                <w:b/>
                <w:bCs/>
                <w:color w:val="003399"/>
              </w:rPr>
              <w:t>k</w:t>
            </w:r>
            <w:r w:rsidRPr="00DA1527">
              <w:rPr>
                <w:rFonts w:ascii="Open Sans" w:hAnsi="Open Sans" w:cs="Open Sans"/>
                <w:b/>
                <w:bCs/>
                <w:color w:val="003399"/>
              </w:rPr>
              <w:t xml:space="preserve">t </w:t>
            </w:r>
            <w:proofErr w:type="spellStart"/>
            <w:r w:rsidR="00684CC7">
              <w:rPr>
                <w:rFonts w:ascii="Open Sans" w:hAnsi="Open Sans" w:cs="Open Sans"/>
                <w:b/>
                <w:bCs/>
                <w:color w:val="003399"/>
              </w:rPr>
              <w:t>cím</w:t>
            </w:r>
            <w:proofErr w:type="spellEnd"/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1120" w14:textId="77777777" w:rsidR="00726B83" w:rsidRPr="009D6C07" w:rsidRDefault="00384C49">
            <w:pPr>
              <w:pStyle w:val="TableParagraph"/>
              <w:spacing w:line="296" w:lineRule="exact"/>
              <w:rPr>
                <w:rFonts w:ascii="Open Sans" w:hAnsi="Open Sans" w:cs="Open Sans"/>
                <w:b/>
                <w:bCs/>
              </w:rPr>
            </w:pPr>
            <w:r w:rsidRPr="009D6C07">
              <w:rPr>
                <w:rFonts w:ascii="Open Sans" w:hAnsi="Open Sans" w:cs="Open Sans"/>
                <w:b/>
                <w:bCs/>
                <w:color w:val="003399"/>
              </w:rPr>
              <w:t>AQUARES</w:t>
            </w:r>
          </w:p>
          <w:p w14:paraId="11E51C8C" w14:textId="337A09DD" w:rsidR="00726B83" w:rsidRPr="00DA1527" w:rsidRDefault="00684CC7">
            <w:pPr>
              <w:pStyle w:val="TableParagraph"/>
              <w:spacing w:line="269" w:lineRule="exact"/>
              <w:rPr>
                <w:rFonts w:ascii="Open Sans" w:hAnsi="Open Sans" w:cs="Open Sans"/>
              </w:rPr>
            </w:pPr>
            <w:r w:rsidRPr="00684CC7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termál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édesvízhiány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miatt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veszélyeztetett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ökoszisztémák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megőrzése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védelme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határon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átnyúló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térségben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>.</w:t>
            </w:r>
          </w:p>
        </w:tc>
      </w:tr>
      <w:tr w:rsidR="00726B83" w14:paraId="7E5653C1" w14:textId="77777777" w:rsidTr="00DA1527">
        <w:trPr>
          <w:trHeight w:val="68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39DB" w14:textId="705A7EC7" w:rsidR="00726B83" w:rsidRPr="00DA1527" w:rsidRDefault="00684CC7">
            <w:pPr>
              <w:pStyle w:val="TableParagraph"/>
              <w:spacing w:line="301" w:lineRule="exact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Prioritási</w:t>
            </w:r>
            <w:proofErr w:type="spellEnd"/>
            <w:r w:rsidR="00384C49" w:rsidRPr="00DA1527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tengely</w:t>
            </w:r>
            <w:proofErr w:type="spellEnd"/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3F5B" w14:textId="711B540C" w:rsidR="00726B83" w:rsidRPr="00DA1527" w:rsidRDefault="00384C49">
            <w:pPr>
              <w:pStyle w:val="TableParagraph"/>
              <w:spacing w:line="244" w:lineRule="auto"/>
              <w:rPr>
                <w:rFonts w:ascii="Open Sans" w:hAnsi="Open Sans" w:cs="Open Sans"/>
              </w:rPr>
            </w:pPr>
            <w:r w:rsidRPr="00DA1527">
              <w:rPr>
                <w:rFonts w:ascii="Open Sans" w:hAnsi="Open Sans" w:cs="Open Sans"/>
                <w:color w:val="003399"/>
              </w:rPr>
              <w:t xml:space="preserve">1 – </w:t>
            </w:r>
            <w:r w:rsidR="00684CC7" w:rsidRPr="00684CC7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közös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értékek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erőforrások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együttes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védelme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hatékony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felhasználása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Együttműködés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közös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értékek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erőforrások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mentén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>).</w:t>
            </w:r>
          </w:p>
        </w:tc>
      </w:tr>
      <w:tr w:rsidR="00726B83" w14:paraId="05100A40" w14:textId="77777777" w:rsidTr="009D6C07">
        <w:trPr>
          <w:trHeight w:val="64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212D" w14:textId="2C693E29" w:rsidR="00726B83" w:rsidRPr="00DA1527" w:rsidRDefault="00684CC7">
            <w:pPr>
              <w:pStyle w:val="TableParagraph"/>
              <w:spacing w:line="266" w:lineRule="auto"/>
              <w:ind w:right="108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Beruházási</w:t>
            </w:r>
            <w:proofErr w:type="spellEnd"/>
            <w:r w:rsidR="00384C49" w:rsidRPr="00DA1527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prioritás</w:t>
            </w:r>
            <w:proofErr w:type="spellEnd"/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A42D" w14:textId="6C44445F" w:rsidR="00726B83" w:rsidRPr="00DA1527" w:rsidRDefault="00384C49">
            <w:pPr>
              <w:pStyle w:val="TableParagraph"/>
              <w:spacing w:line="244" w:lineRule="auto"/>
              <w:rPr>
                <w:rFonts w:ascii="Open Sans" w:hAnsi="Open Sans" w:cs="Open Sans"/>
              </w:rPr>
            </w:pPr>
            <w:r w:rsidRPr="00DA1527">
              <w:rPr>
                <w:rFonts w:ascii="Open Sans" w:hAnsi="Open Sans" w:cs="Open Sans"/>
                <w:color w:val="003399"/>
              </w:rPr>
              <w:t xml:space="preserve">6/c- </w:t>
            </w:r>
            <w:r w:rsidR="00684CC7" w:rsidRPr="00684CC7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természeti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kulturális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örökség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megőrzése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védelme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népszerűsítése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="00684CC7" w:rsidRPr="00684CC7">
              <w:rPr>
                <w:rFonts w:ascii="Open Sans" w:hAnsi="Open Sans" w:cs="Open Sans"/>
                <w:color w:val="003399"/>
              </w:rPr>
              <w:t>fejlesztése</w:t>
            </w:r>
            <w:proofErr w:type="spellEnd"/>
            <w:r w:rsidR="00684CC7" w:rsidRPr="00684CC7">
              <w:rPr>
                <w:rFonts w:ascii="Open Sans" w:hAnsi="Open Sans" w:cs="Open Sans"/>
                <w:color w:val="003399"/>
              </w:rPr>
              <w:t>.</w:t>
            </w:r>
          </w:p>
        </w:tc>
      </w:tr>
      <w:tr w:rsidR="00726B83" w14:paraId="6789ACAF" w14:textId="77777777" w:rsidTr="009D6C07">
        <w:trPr>
          <w:trHeight w:val="68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D9B1" w14:textId="7226A83B" w:rsidR="00726B83" w:rsidRPr="00DA1527" w:rsidRDefault="00684CC7">
            <w:pPr>
              <w:pStyle w:val="TableParagraph"/>
              <w:spacing w:line="266" w:lineRule="auto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Megvalósítás</w:t>
            </w:r>
            <w:proofErr w:type="spellEnd"/>
            <w:r w:rsidR="00384C49" w:rsidRPr="00DA1527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időtartama</w:t>
            </w:r>
            <w:proofErr w:type="spellEnd"/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4E18" w14:textId="2BB19727" w:rsidR="00726B83" w:rsidRPr="00DA1527" w:rsidRDefault="00384C49">
            <w:pPr>
              <w:pStyle w:val="TableParagraph"/>
              <w:spacing w:before="188"/>
              <w:rPr>
                <w:rFonts w:ascii="Open Sans" w:hAnsi="Open Sans" w:cs="Open Sans"/>
              </w:rPr>
            </w:pPr>
            <w:r w:rsidRPr="00DA1527">
              <w:rPr>
                <w:rFonts w:ascii="Open Sans" w:hAnsi="Open Sans" w:cs="Open Sans"/>
                <w:color w:val="003399"/>
              </w:rPr>
              <w:t xml:space="preserve">34 </w:t>
            </w:r>
            <w:proofErr w:type="spellStart"/>
            <w:r w:rsidR="00684CC7">
              <w:rPr>
                <w:rFonts w:ascii="Open Sans" w:hAnsi="Open Sans" w:cs="Open Sans"/>
                <w:color w:val="003399"/>
              </w:rPr>
              <w:t>hónap</w:t>
            </w:r>
            <w:proofErr w:type="spellEnd"/>
            <w:r w:rsidRPr="00DA1527">
              <w:rPr>
                <w:rFonts w:ascii="Open Sans" w:hAnsi="Open Sans" w:cs="Open Sans"/>
                <w:color w:val="003399"/>
              </w:rPr>
              <w:t xml:space="preserve"> (</w:t>
            </w:r>
            <w:r w:rsidRPr="009D6C07">
              <w:rPr>
                <w:rFonts w:ascii="Open Sans" w:hAnsi="Open Sans" w:cs="Open Sans"/>
                <w:b/>
                <w:bCs/>
                <w:color w:val="003399"/>
              </w:rPr>
              <w:t>2018</w:t>
            </w:r>
            <w:r w:rsidR="00684CC7">
              <w:rPr>
                <w:rFonts w:ascii="Open Sans" w:hAnsi="Open Sans" w:cs="Open Sans"/>
                <w:b/>
                <w:bCs/>
                <w:color w:val="003399"/>
              </w:rPr>
              <w:t xml:space="preserve">. </w:t>
            </w:r>
            <w:proofErr w:type="spellStart"/>
            <w:r w:rsidR="00684CC7">
              <w:rPr>
                <w:rFonts w:ascii="Open Sans" w:hAnsi="Open Sans" w:cs="Open Sans"/>
                <w:b/>
                <w:bCs/>
                <w:color w:val="003399"/>
              </w:rPr>
              <w:t>május</w:t>
            </w:r>
            <w:proofErr w:type="spellEnd"/>
            <w:r w:rsidR="00684CC7">
              <w:rPr>
                <w:rFonts w:ascii="Open Sans" w:hAnsi="Open Sans" w:cs="Open Sans"/>
                <w:b/>
                <w:bCs/>
                <w:color w:val="003399"/>
              </w:rPr>
              <w:t xml:space="preserve"> 1.</w:t>
            </w:r>
            <w:r w:rsidRPr="009D6C07">
              <w:rPr>
                <w:rFonts w:ascii="Open Sans" w:hAnsi="Open Sans" w:cs="Open Sans"/>
                <w:b/>
                <w:bCs/>
                <w:color w:val="003399"/>
              </w:rPr>
              <w:t xml:space="preserve"> –2021</w:t>
            </w:r>
            <w:r w:rsidR="00684CC7">
              <w:rPr>
                <w:rFonts w:ascii="Open Sans" w:hAnsi="Open Sans" w:cs="Open Sans"/>
                <w:b/>
                <w:bCs/>
                <w:color w:val="003399"/>
              </w:rPr>
              <w:t xml:space="preserve">. </w:t>
            </w:r>
            <w:proofErr w:type="spellStart"/>
            <w:r w:rsidR="00684CC7">
              <w:rPr>
                <w:rFonts w:ascii="Open Sans" w:hAnsi="Open Sans" w:cs="Open Sans"/>
                <w:b/>
                <w:bCs/>
                <w:color w:val="003399"/>
              </w:rPr>
              <w:t>február</w:t>
            </w:r>
            <w:proofErr w:type="spellEnd"/>
            <w:r w:rsidR="00684CC7">
              <w:rPr>
                <w:rFonts w:ascii="Open Sans" w:hAnsi="Open Sans" w:cs="Open Sans"/>
                <w:b/>
                <w:bCs/>
                <w:color w:val="003399"/>
              </w:rPr>
              <w:t xml:space="preserve"> 28.</w:t>
            </w:r>
            <w:r w:rsidRPr="00DA1527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726B83" w14:paraId="37299F2E" w14:textId="77777777" w:rsidTr="00DA1527">
        <w:trPr>
          <w:trHeight w:val="84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97BB" w14:textId="77777777" w:rsidR="00726B83" w:rsidRPr="00DA1527" w:rsidRDefault="00726B83">
            <w:pPr>
              <w:pStyle w:val="TableParagraph"/>
              <w:spacing w:before="13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973B8D4" w14:textId="7F339D9F" w:rsidR="00726B83" w:rsidRPr="00DA1527" w:rsidRDefault="00684CC7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Célkitűzés</w:t>
            </w:r>
            <w:proofErr w:type="spellEnd"/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52F7" w14:textId="2DA740B4" w:rsidR="00726B83" w:rsidRPr="00DA1527" w:rsidRDefault="00684CC7">
            <w:pPr>
              <w:pStyle w:val="TableParagraph"/>
              <w:spacing w:before="20" w:line="211" w:lineRule="auto"/>
              <w:ind w:right="92"/>
              <w:jc w:val="both"/>
              <w:rPr>
                <w:rFonts w:ascii="Open Sans" w:hAnsi="Open Sans" w:cs="Open Sans"/>
              </w:rPr>
            </w:pPr>
            <w:r w:rsidRPr="00684CC7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elsődleges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célkitűzése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határon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átnyúló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térségek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termálvíz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édesvízhiánya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miatt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veszélyeztetett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ökoszisztémák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megőrzése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védelme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volt.</w:t>
            </w:r>
          </w:p>
        </w:tc>
      </w:tr>
      <w:tr w:rsidR="00726B83" w14:paraId="74D3D426" w14:textId="77777777" w:rsidTr="00AE1E45">
        <w:trPr>
          <w:trHeight w:val="483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6C32" w14:textId="77777777" w:rsidR="00726B83" w:rsidRPr="00DA1527" w:rsidRDefault="00726B83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75F94C2" w14:textId="77777777" w:rsidR="00726B83" w:rsidRPr="00DA1527" w:rsidRDefault="00726B83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78DA7ABD" w14:textId="77777777" w:rsidR="00726B83" w:rsidRPr="00DA1527" w:rsidRDefault="00726B83">
            <w:pPr>
              <w:pStyle w:val="TableParagraph"/>
              <w:spacing w:before="237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70A3A190" w14:textId="42B6602E" w:rsidR="00726B83" w:rsidRPr="00DA1527" w:rsidRDefault="00684CC7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Partnerség</w:t>
            </w:r>
            <w:proofErr w:type="spellEnd"/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A09B9" w14:textId="0AD554BE" w:rsidR="00726B83" w:rsidRPr="00DA1527" w:rsidRDefault="00684CC7">
            <w:pPr>
              <w:pStyle w:val="TableParagraph"/>
              <w:tabs>
                <w:tab w:val="left" w:pos="880"/>
                <w:tab w:val="left" w:pos="2426"/>
                <w:tab w:val="left" w:pos="3431"/>
                <w:tab w:val="left" w:pos="5007"/>
                <w:tab w:val="left" w:pos="5724"/>
              </w:tabs>
              <w:spacing w:before="38" w:line="211" w:lineRule="auto"/>
              <w:ind w:right="93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Vezető</w:t>
            </w:r>
            <w:proofErr w:type="spellEnd"/>
            <w:r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kedvezményezett</w:t>
            </w:r>
            <w:proofErr w:type="spellEnd"/>
            <w:r w:rsidR="00384C49" w:rsidRPr="00B84651">
              <w:rPr>
                <w:rFonts w:ascii="Open Sans" w:hAnsi="Open Sans" w:cs="Open Sans"/>
                <w:b/>
                <w:bCs/>
                <w:color w:val="003399"/>
              </w:rPr>
              <w:t>:</w:t>
            </w:r>
            <w:r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Nagyvárad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Környéke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Interkommunális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Fejlesztési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Társaság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Románia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726B83" w14:paraId="3C681B26" w14:textId="77777777" w:rsidTr="009D6C07">
        <w:trPr>
          <w:trHeight w:val="1266"/>
        </w:trPr>
        <w:tc>
          <w:tcPr>
            <w:tcW w:w="2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9CC1" w14:textId="77777777" w:rsidR="00726B83" w:rsidRPr="00DA1527" w:rsidRDefault="00726B83">
            <w:pPr>
              <w:rPr>
                <w:rFonts w:ascii="Open Sans" w:hAnsi="Open Sans" w:cs="Open Sans"/>
                <w:b/>
                <w:bCs/>
                <w:sz w:val="2"/>
                <w:szCs w:val="2"/>
              </w:rPr>
            </w:pPr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8821" w14:textId="5579F0AA" w:rsidR="00726B83" w:rsidRPr="00B84651" w:rsidRDefault="00384C49" w:rsidP="00AE1E45">
            <w:pPr>
              <w:pStyle w:val="TableParagraph"/>
              <w:spacing w:line="301" w:lineRule="exact"/>
              <w:ind w:left="115"/>
              <w:rPr>
                <w:rFonts w:ascii="Open Sans" w:hAnsi="Open Sans" w:cs="Open Sans"/>
                <w:b/>
                <w:bCs/>
              </w:rPr>
            </w:pPr>
            <w:r w:rsidRPr="00B84651">
              <w:rPr>
                <w:rFonts w:ascii="Open Sans" w:hAnsi="Open Sans" w:cs="Open Sans"/>
                <w:b/>
                <w:bCs/>
                <w:color w:val="003399"/>
              </w:rPr>
              <w:t>Proje</w:t>
            </w:r>
            <w:r w:rsidR="00684CC7">
              <w:rPr>
                <w:rFonts w:ascii="Open Sans" w:hAnsi="Open Sans" w:cs="Open Sans"/>
                <w:b/>
                <w:bCs/>
                <w:color w:val="003399"/>
              </w:rPr>
              <w:t>k</w:t>
            </w:r>
            <w:r w:rsidRPr="00B84651">
              <w:rPr>
                <w:rFonts w:ascii="Open Sans" w:hAnsi="Open Sans" w:cs="Open Sans"/>
                <w:b/>
                <w:bCs/>
                <w:color w:val="003399"/>
              </w:rPr>
              <w:t xml:space="preserve">t </w:t>
            </w:r>
            <w:proofErr w:type="spellStart"/>
            <w:r w:rsidR="00684CC7">
              <w:rPr>
                <w:rFonts w:ascii="Open Sans" w:hAnsi="Open Sans" w:cs="Open Sans"/>
                <w:b/>
                <w:bCs/>
                <w:color w:val="003399"/>
              </w:rPr>
              <w:t>parnerek</w:t>
            </w:r>
            <w:proofErr w:type="spellEnd"/>
            <w:r w:rsidRPr="00B84651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67710063" w14:textId="77777777" w:rsidR="00684CC7" w:rsidRPr="00684CC7" w:rsidRDefault="00684CC7" w:rsidP="00684CC7">
            <w:pPr>
              <w:pStyle w:val="TableParagraph"/>
              <w:ind w:left="115" w:right="2044"/>
              <w:rPr>
                <w:rFonts w:ascii="Open Sans" w:hAnsi="Open Sans" w:cs="Open Sans"/>
                <w:color w:val="003399"/>
              </w:rPr>
            </w:pPr>
            <w:r w:rsidRPr="00684CC7">
              <w:rPr>
                <w:rFonts w:ascii="Open Sans" w:hAnsi="Open Sans" w:cs="Open Sans"/>
                <w:color w:val="003399"/>
              </w:rPr>
              <w:t xml:space="preserve">PP2: Aqua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Crisius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Horgászegyesület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Románia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>)</w:t>
            </w:r>
          </w:p>
          <w:p w14:paraId="39EF49D4" w14:textId="77777777" w:rsidR="00684CC7" w:rsidRPr="00684CC7" w:rsidRDefault="00684CC7" w:rsidP="00684CC7">
            <w:pPr>
              <w:pStyle w:val="TableParagraph"/>
              <w:ind w:left="115" w:right="2044"/>
              <w:rPr>
                <w:rFonts w:ascii="Open Sans" w:hAnsi="Open Sans" w:cs="Open Sans"/>
                <w:color w:val="003399"/>
              </w:rPr>
            </w:pPr>
            <w:r w:rsidRPr="00684CC7">
              <w:rPr>
                <w:rFonts w:ascii="Open Sans" w:hAnsi="Open Sans" w:cs="Open Sans"/>
                <w:color w:val="003399"/>
              </w:rPr>
              <w:t xml:space="preserve">PP3: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Nagyváradi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Egyetem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Románia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>)</w:t>
            </w:r>
          </w:p>
          <w:p w14:paraId="68987908" w14:textId="370F550F" w:rsidR="00726B83" w:rsidRPr="00DA1527" w:rsidRDefault="00684CC7" w:rsidP="00684CC7">
            <w:pPr>
              <w:pStyle w:val="TableParagraph"/>
              <w:ind w:left="115"/>
              <w:rPr>
                <w:rFonts w:ascii="Open Sans" w:hAnsi="Open Sans" w:cs="Open Sans"/>
              </w:rPr>
            </w:pPr>
            <w:r w:rsidRPr="00684CC7">
              <w:rPr>
                <w:rFonts w:ascii="Open Sans" w:hAnsi="Open Sans" w:cs="Open Sans"/>
                <w:color w:val="003399"/>
              </w:rPr>
              <w:t xml:space="preserve">PP4: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Atommagkutató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Intézet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– ATOMKI (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Magyarország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>)</w:t>
            </w:r>
          </w:p>
        </w:tc>
      </w:tr>
      <w:tr w:rsidR="00726B83" w14:paraId="3AE3AC43" w14:textId="77777777" w:rsidTr="009D6C07">
        <w:trPr>
          <w:trHeight w:val="96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4239" w14:textId="5CF57020" w:rsidR="00726B83" w:rsidRPr="00DA1527" w:rsidRDefault="00684CC7">
            <w:pPr>
              <w:pStyle w:val="TableParagraph"/>
              <w:spacing w:line="303" w:lineRule="exact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Teljes</w:t>
            </w:r>
            <w:proofErr w:type="spellEnd"/>
            <w:r w:rsidR="00384C49" w:rsidRPr="00DA1527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költségvetés</w:t>
            </w:r>
            <w:proofErr w:type="spellEnd"/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2DBE" w14:textId="77777777" w:rsidR="00684CC7" w:rsidRPr="00684CC7" w:rsidRDefault="00684CC7" w:rsidP="00684CC7">
            <w:pPr>
              <w:pStyle w:val="TableParagraph"/>
              <w:spacing w:line="332" w:lineRule="exact"/>
              <w:ind w:left="115"/>
              <w:rPr>
                <w:rFonts w:ascii="Open Sans" w:hAnsi="Open Sans" w:cs="Open Sans"/>
                <w:color w:val="003399"/>
              </w:rPr>
            </w:pPr>
            <w:r w:rsidRPr="00684CC7">
              <w:rPr>
                <w:rFonts w:ascii="Open Sans" w:hAnsi="Open Sans" w:cs="Open Sans"/>
                <w:color w:val="003399"/>
              </w:rPr>
              <w:t xml:space="preserve">1 346 941,55 €,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amelyből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ERFA (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Európai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Regionális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Fejlesztési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Alap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támogatás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>: 1 144 900,31 €</w:t>
            </w:r>
          </w:p>
          <w:p w14:paraId="234042A2" w14:textId="0FFBC07E" w:rsidR="00684CC7" w:rsidRPr="00684CC7" w:rsidRDefault="00684CC7" w:rsidP="00684CC7">
            <w:pPr>
              <w:pStyle w:val="TableParagraph"/>
              <w:spacing w:line="332" w:lineRule="exact"/>
              <w:ind w:left="115"/>
              <w:rPr>
                <w:rFonts w:ascii="Open Sans" w:hAnsi="Open Sans" w:cs="Open Sans"/>
                <w:color w:val="003399"/>
              </w:rPr>
            </w:pPr>
            <w:r w:rsidRPr="00684CC7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keretében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igazolt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összes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elszámolható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kiadás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>: 1 259 099,31 €</w:t>
            </w:r>
          </w:p>
          <w:p w14:paraId="104ED23A" w14:textId="2FFCA9F2" w:rsidR="00726B83" w:rsidRPr="00DA1527" w:rsidRDefault="00684CC7" w:rsidP="00684CC7">
            <w:pPr>
              <w:pStyle w:val="TableParagraph"/>
              <w:ind w:left="115"/>
              <w:rPr>
                <w:rFonts w:ascii="Open Sans" w:hAnsi="Open Sans" w:cs="Open Sans"/>
                <w:b/>
                <w:i/>
              </w:rPr>
            </w:pPr>
            <w:proofErr w:type="spellStart"/>
            <w:r w:rsidRPr="00684CC7">
              <w:rPr>
                <w:rFonts w:ascii="Open Sans" w:hAnsi="Open Sans" w:cs="Open Sans"/>
                <w:color w:val="003399"/>
              </w:rPr>
              <w:t>Költségvetési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végrehajtás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aránya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>: 93,48%</w:t>
            </w:r>
          </w:p>
        </w:tc>
      </w:tr>
      <w:tr w:rsidR="00726B83" w14:paraId="5E777AB5" w14:textId="77777777">
        <w:trPr>
          <w:trHeight w:val="378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567A" w14:textId="77777777" w:rsidR="00726B83" w:rsidRPr="00DA1527" w:rsidRDefault="00726B83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7D865717" w14:textId="77777777" w:rsidR="00726B83" w:rsidRPr="00DA1527" w:rsidRDefault="00726B83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25C80637" w14:textId="77777777" w:rsidR="00726B83" w:rsidRPr="00DA1527" w:rsidRDefault="00726B83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05A34560" w14:textId="77777777" w:rsidR="00726B83" w:rsidRPr="00DA1527" w:rsidRDefault="00726B83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3A91BBC" w14:textId="77777777" w:rsidR="00726B83" w:rsidRPr="00DA1527" w:rsidRDefault="00726B83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6999ED69" w14:textId="77777777" w:rsidR="00726B83" w:rsidRPr="00DA1527" w:rsidRDefault="00726B83">
            <w:pPr>
              <w:pStyle w:val="TableParagraph"/>
              <w:spacing w:before="110"/>
              <w:ind w:left="0"/>
              <w:rPr>
                <w:rFonts w:ascii="Open Sans" w:hAnsi="Open Sans" w:cs="Open Sans"/>
                <w:b/>
                <w:bCs/>
              </w:rPr>
            </w:pPr>
          </w:p>
          <w:p w14:paraId="5135C77C" w14:textId="6B97AC10" w:rsidR="00726B83" w:rsidRPr="00DA1527" w:rsidRDefault="00684CC7">
            <w:pPr>
              <w:pStyle w:val="TableParagraph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Összefoglalás</w:t>
            </w:r>
            <w:proofErr w:type="spellEnd"/>
          </w:p>
        </w:tc>
        <w:tc>
          <w:tcPr>
            <w:tcW w:w="7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6C0B" w14:textId="77777777" w:rsidR="00684CC7" w:rsidRPr="00684CC7" w:rsidRDefault="00684CC7" w:rsidP="00684CC7">
            <w:pPr>
              <w:pStyle w:val="TableParagraph"/>
              <w:spacing w:line="244" w:lineRule="auto"/>
              <w:ind w:right="94"/>
              <w:jc w:val="both"/>
              <w:rPr>
                <w:rFonts w:ascii="Open Sans" w:hAnsi="Open Sans" w:cs="Open Sans"/>
                <w:color w:val="003399"/>
              </w:rPr>
            </w:pPr>
            <w:r w:rsidRPr="00684CC7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célja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volt,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hogy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megoldásokat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találjon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föld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alatti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termálvizek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védelmének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fokozására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termálvízi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fajok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természetvédelmi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helyzetének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javítására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Bihar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Hajdú-Bihar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vármegyékben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>.</w:t>
            </w:r>
          </w:p>
          <w:p w14:paraId="66299F83" w14:textId="77777777" w:rsidR="00684CC7" w:rsidRPr="00684CC7" w:rsidRDefault="00684CC7" w:rsidP="00684CC7">
            <w:pPr>
              <w:pStyle w:val="TableParagraph"/>
              <w:spacing w:line="244" w:lineRule="auto"/>
              <w:ind w:right="94"/>
              <w:jc w:val="both"/>
              <w:rPr>
                <w:rFonts w:ascii="Open Sans" w:hAnsi="Open Sans" w:cs="Open Sans"/>
                <w:color w:val="003399"/>
              </w:rPr>
            </w:pPr>
          </w:p>
          <w:p w14:paraId="1D1CF8D4" w14:textId="65D9434C" w:rsidR="00726B83" w:rsidRDefault="00684CC7" w:rsidP="00684CC7">
            <w:pPr>
              <w:pStyle w:val="TableParagraph"/>
              <w:spacing w:before="79"/>
              <w:ind w:left="138"/>
              <w:rPr>
                <w:rFonts w:ascii="Open Sans" w:hAnsi="Open Sans" w:cs="Open Sans"/>
                <w:color w:val="003399"/>
              </w:rPr>
            </w:pPr>
            <w:r w:rsidRPr="00684CC7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projekttevékenységek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vizsgálták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túlzott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kitermelés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következtében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kialakult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természetes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hidrogeológiai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állapotokat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amelyek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Püspökfürdő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(„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Băile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1 Mai”, Bihar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megye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, RO)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a „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Pocsaji-kapu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” (Hajdú-Bihar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vármegye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, HU)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természetvédelmi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területek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termálforrásainak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vizeinek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kiszáradását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okozták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. A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vizsgálatok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célja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föld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alatti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termálvizek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revitalizációjához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szükséges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feltételek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kritériumok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684CC7">
              <w:rPr>
                <w:rFonts w:ascii="Open Sans" w:hAnsi="Open Sans" w:cs="Open Sans"/>
                <w:color w:val="003399"/>
              </w:rPr>
              <w:t>meghatározása</w:t>
            </w:r>
            <w:proofErr w:type="spellEnd"/>
            <w:r w:rsidRPr="00684CC7">
              <w:rPr>
                <w:rFonts w:ascii="Open Sans" w:hAnsi="Open Sans" w:cs="Open Sans"/>
                <w:color w:val="003399"/>
              </w:rPr>
              <w:t xml:space="preserve"> volt.</w:t>
            </w:r>
          </w:p>
          <w:p w14:paraId="6A70AA22" w14:textId="77777777" w:rsidR="00684CC7" w:rsidRPr="00DA1527" w:rsidRDefault="00684CC7" w:rsidP="00684CC7">
            <w:pPr>
              <w:pStyle w:val="TableParagraph"/>
              <w:spacing w:before="79"/>
              <w:ind w:left="138"/>
              <w:rPr>
                <w:rFonts w:ascii="Open Sans" w:hAnsi="Open Sans" w:cs="Open Sans"/>
              </w:rPr>
            </w:pPr>
          </w:p>
          <w:p w14:paraId="67FF5053" w14:textId="77777777" w:rsidR="001D62B7" w:rsidRPr="001D62B7" w:rsidRDefault="001D62B7" w:rsidP="001D62B7">
            <w:pPr>
              <w:pStyle w:val="TableParagraph"/>
              <w:tabs>
                <w:tab w:val="left" w:pos="704"/>
              </w:tabs>
              <w:spacing w:line="244" w:lineRule="auto"/>
              <w:ind w:right="96"/>
              <w:jc w:val="both"/>
              <w:rPr>
                <w:rFonts w:ascii="Open Sans" w:hAnsi="Open Sans" w:cs="Open Sans"/>
              </w:rPr>
            </w:pPr>
            <w:r w:rsidRPr="001D62B7">
              <w:rPr>
                <w:rFonts w:ascii="Open Sans" w:hAnsi="Open Sans" w:cs="Open Sans"/>
                <w:color w:val="003399"/>
              </w:rPr>
              <w:t xml:space="preserve">A projekt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keretében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megvalósított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főbb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tevékenységek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alábbiak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voltak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>:</w:t>
            </w:r>
          </w:p>
          <w:p w14:paraId="22286335" w14:textId="77777777" w:rsidR="001D62B7" w:rsidRPr="001D62B7" w:rsidRDefault="001D62B7" w:rsidP="009D6C07">
            <w:pPr>
              <w:pStyle w:val="TableParagraph"/>
              <w:numPr>
                <w:ilvl w:val="0"/>
                <w:numId w:val="3"/>
              </w:numPr>
              <w:tabs>
                <w:tab w:val="left" w:pos="689"/>
              </w:tabs>
              <w:spacing w:line="244" w:lineRule="auto"/>
              <w:ind w:left="318" w:right="96" w:hanging="180"/>
              <w:jc w:val="both"/>
              <w:rPr>
                <w:rFonts w:ascii="Open Sans" w:hAnsi="Open Sans" w:cs="Open Sans"/>
              </w:rPr>
            </w:pPr>
            <w:r w:rsidRPr="001D62B7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Nagyváradi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Geotermikus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Fejlesztési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Metropolisz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Központ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létrehozása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: a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központ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bútorzattal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laboratóriumi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informatikai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eszközökkel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lett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felszerelve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geotermikus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erőforrások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védelmével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megfelelő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hasznosításával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kapcsolatos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kezdeményezések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ösztönzése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támogatása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érdekében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– LB (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Vezető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Partner)</w:t>
            </w:r>
          </w:p>
          <w:p w14:paraId="29A27D22" w14:textId="77777777" w:rsidR="001D62B7" w:rsidRPr="001D62B7" w:rsidRDefault="001D62B7" w:rsidP="009D6C07">
            <w:pPr>
              <w:pStyle w:val="TableParagraph"/>
              <w:numPr>
                <w:ilvl w:val="0"/>
                <w:numId w:val="3"/>
              </w:numPr>
              <w:tabs>
                <w:tab w:val="left" w:pos="689"/>
              </w:tabs>
              <w:spacing w:line="244" w:lineRule="auto"/>
              <w:ind w:left="318" w:right="96" w:hanging="180"/>
              <w:jc w:val="both"/>
              <w:rPr>
                <w:rFonts w:ascii="Open Sans" w:hAnsi="Open Sans" w:cs="Open Sans"/>
              </w:rPr>
            </w:pPr>
            <w:r w:rsidRPr="001D62B7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Nagyváradi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Egyetemi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campus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medencéjének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felújítása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annak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használata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hévízi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tündérrózsa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(Nymphaea lotus var.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thermalis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betelepítésére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>/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áttelepítésére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– PP3</w:t>
            </w:r>
          </w:p>
          <w:p w14:paraId="221F3924" w14:textId="77777777" w:rsidR="001D62B7" w:rsidRPr="001D62B7" w:rsidRDefault="001D62B7" w:rsidP="009D6C07">
            <w:pPr>
              <w:pStyle w:val="TableParagraph"/>
              <w:numPr>
                <w:ilvl w:val="0"/>
                <w:numId w:val="3"/>
              </w:numPr>
              <w:tabs>
                <w:tab w:val="left" w:pos="680"/>
              </w:tabs>
              <w:spacing w:line="244" w:lineRule="auto"/>
              <w:ind w:left="318" w:right="97" w:hanging="180"/>
              <w:jc w:val="both"/>
              <w:rPr>
                <w:rFonts w:ascii="Open Sans" w:hAnsi="Open Sans" w:cs="Open Sans"/>
              </w:rPr>
            </w:pPr>
            <w:proofErr w:type="spellStart"/>
            <w:r w:rsidRPr="001D62B7">
              <w:rPr>
                <w:rFonts w:ascii="Open Sans" w:hAnsi="Open Sans" w:cs="Open Sans"/>
                <w:color w:val="003399"/>
              </w:rPr>
              <w:t>Nyílt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nap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szervezése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Püspökfürdői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Băile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1 Mai)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Természetvédelmi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Terület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meglátogatására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;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az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eseményen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több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mint 200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fő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vett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részt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gyermekek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felnőttek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egyaránt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– PP2</w:t>
            </w:r>
          </w:p>
          <w:p w14:paraId="05C60256" w14:textId="77777777" w:rsidR="001D62B7" w:rsidRPr="001D62B7" w:rsidRDefault="001D62B7" w:rsidP="009D6C07">
            <w:pPr>
              <w:pStyle w:val="TableParagraph"/>
              <w:numPr>
                <w:ilvl w:val="0"/>
                <w:numId w:val="3"/>
              </w:numPr>
              <w:tabs>
                <w:tab w:val="left" w:pos="721"/>
              </w:tabs>
              <w:spacing w:line="244" w:lineRule="auto"/>
              <w:ind w:left="318" w:right="99" w:hanging="180"/>
              <w:jc w:val="both"/>
              <w:rPr>
                <w:rFonts w:ascii="Open Sans" w:hAnsi="Open Sans" w:cs="Open Sans"/>
              </w:rPr>
            </w:pP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Tanulmány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készítése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térség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ökoturisztikai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fejlesztési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lehetőségeiről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kerékpáros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útvonalak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tematikus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utak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kialakításával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valamint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dedikált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marketingterv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kidolgozásával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>.</w:t>
            </w:r>
          </w:p>
          <w:p w14:paraId="64D9145B" w14:textId="7F4B6747" w:rsidR="001D62B7" w:rsidRPr="001D62B7" w:rsidRDefault="001D62B7" w:rsidP="009D6C07">
            <w:pPr>
              <w:pStyle w:val="TableParagraph"/>
              <w:numPr>
                <w:ilvl w:val="0"/>
                <w:numId w:val="3"/>
              </w:numPr>
              <w:tabs>
                <w:tab w:val="left" w:pos="702"/>
              </w:tabs>
              <w:spacing w:line="244" w:lineRule="auto"/>
              <w:ind w:left="318" w:right="98" w:hanging="180"/>
              <w:jc w:val="both"/>
              <w:rPr>
                <w:rFonts w:ascii="Open Sans" w:hAnsi="Open Sans" w:cs="Open Sans"/>
              </w:rPr>
            </w:pPr>
            <w:r w:rsidRPr="001D62B7">
              <w:rPr>
                <w:rFonts w:ascii="Open Sans" w:hAnsi="Open Sans" w:cs="Open Sans"/>
                <w:color w:val="003399"/>
              </w:rPr>
              <w:t xml:space="preserve">Egy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természetvédelmi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őr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alkalmazása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járőrjármű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beszerzése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védett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természeti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terület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folyamatos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monitorozásának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felügyeletének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biztosítása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érdekében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– PP2</w:t>
            </w:r>
          </w:p>
          <w:p w14:paraId="0413DA73" w14:textId="77777777" w:rsidR="001D62B7" w:rsidRPr="001D62B7" w:rsidRDefault="001D62B7" w:rsidP="009D6C07">
            <w:pPr>
              <w:pStyle w:val="TableParagraph"/>
              <w:numPr>
                <w:ilvl w:val="0"/>
                <w:numId w:val="3"/>
              </w:numPr>
              <w:tabs>
                <w:tab w:val="left" w:pos="706"/>
              </w:tabs>
              <w:spacing w:line="244" w:lineRule="auto"/>
              <w:ind w:left="318" w:right="98" w:hanging="180"/>
              <w:jc w:val="both"/>
              <w:rPr>
                <w:rFonts w:ascii="Open Sans" w:hAnsi="Open Sans" w:cs="Open Sans"/>
              </w:rPr>
            </w:pPr>
            <w:proofErr w:type="spellStart"/>
            <w:r w:rsidRPr="001D62B7">
              <w:rPr>
                <w:rFonts w:ascii="Open Sans" w:hAnsi="Open Sans" w:cs="Open Sans"/>
                <w:color w:val="003399"/>
              </w:rPr>
              <w:t>Biológiai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kémiai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laboratóriumi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eszközök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beszerzése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hévízi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tündérrózsa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(Nymphaea lotus var.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thermalis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változattal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kapcsolatos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kutatási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tevékenységek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elvégzéséhez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– PP3</w:t>
            </w:r>
          </w:p>
          <w:p w14:paraId="23473707" w14:textId="77777777" w:rsidR="001D62B7" w:rsidRPr="001D62B7" w:rsidRDefault="001D62B7" w:rsidP="009D6C07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</w:tabs>
              <w:spacing w:line="244" w:lineRule="auto"/>
              <w:ind w:left="318" w:right="99" w:hanging="180"/>
              <w:jc w:val="both"/>
              <w:rPr>
                <w:rFonts w:ascii="Open Sans" w:hAnsi="Open Sans" w:cs="Open Sans"/>
              </w:rPr>
            </w:pPr>
            <w:r w:rsidRPr="001D62B7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hévízi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tündérrózsa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(Nymphaea lotus var.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thermalis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fajról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szóló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elméleti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tanulmány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kidolgozása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a PP3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által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végzett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kutatások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laboratóriumi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elemzések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alapján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>.</w:t>
            </w:r>
          </w:p>
          <w:p w14:paraId="64BA5849" w14:textId="77777777" w:rsidR="001D62B7" w:rsidRPr="001D62B7" w:rsidRDefault="001D62B7" w:rsidP="009D6C07">
            <w:pPr>
              <w:pStyle w:val="TableParagraph"/>
              <w:numPr>
                <w:ilvl w:val="0"/>
                <w:numId w:val="3"/>
              </w:numPr>
              <w:tabs>
                <w:tab w:val="left" w:pos="699"/>
              </w:tabs>
              <w:spacing w:line="244" w:lineRule="auto"/>
              <w:ind w:left="318" w:right="100" w:hanging="180"/>
              <w:jc w:val="both"/>
              <w:rPr>
                <w:rFonts w:ascii="Open Sans" w:hAnsi="Open Sans" w:cs="Open Sans"/>
              </w:rPr>
            </w:pPr>
            <w:r w:rsidRPr="001D62B7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püspökfürdői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Băile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1 Mai, RO)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természetvédelmi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terület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hévízi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tündérrózsa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népszerűsítése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500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darab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fotóalbum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megjelentetésével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2 film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készítésével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– LB (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Vezető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Partner)</w:t>
            </w:r>
          </w:p>
          <w:p w14:paraId="6D03CEBE" w14:textId="77777777" w:rsidR="001D62B7" w:rsidRPr="001D62B7" w:rsidRDefault="001D62B7" w:rsidP="009D6C07">
            <w:pPr>
              <w:pStyle w:val="TableParagraph"/>
              <w:numPr>
                <w:ilvl w:val="0"/>
                <w:numId w:val="3"/>
              </w:numPr>
              <w:tabs>
                <w:tab w:val="left" w:pos="685"/>
              </w:tabs>
              <w:spacing w:line="244" w:lineRule="auto"/>
              <w:ind w:left="318" w:right="95" w:hanging="180"/>
              <w:jc w:val="both"/>
              <w:rPr>
                <w:rFonts w:ascii="Open Sans" w:hAnsi="Open Sans" w:cs="Open Sans"/>
              </w:rPr>
            </w:pPr>
            <w:r w:rsidRPr="001D62B7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Petye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Hidișel-patakok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(RO)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megtisztítására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irányuló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kampány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megszervezése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a „No Litter Strategy” (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Szemétmentes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Stratégia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)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elnevezésű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akció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keretében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, a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térség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flóra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-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faunafajai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élőhelyi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megőrzési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állapotának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javítása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érdekében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– PP2</w:t>
            </w:r>
          </w:p>
          <w:p w14:paraId="73F9A78E" w14:textId="77777777" w:rsidR="001D62B7" w:rsidRDefault="001D62B7" w:rsidP="001D62B7">
            <w:pPr>
              <w:pStyle w:val="TableParagraph"/>
              <w:numPr>
                <w:ilvl w:val="0"/>
                <w:numId w:val="3"/>
              </w:numPr>
              <w:tabs>
                <w:tab w:val="left" w:pos="687"/>
              </w:tabs>
              <w:spacing w:line="244" w:lineRule="auto"/>
              <w:ind w:left="318" w:right="96" w:hanging="180"/>
              <w:jc w:val="both"/>
              <w:rPr>
                <w:rFonts w:ascii="Open Sans" w:hAnsi="Open Sans" w:cs="Open Sans"/>
              </w:rPr>
            </w:pPr>
            <w:r w:rsidRPr="001D62B7">
              <w:rPr>
                <w:rFonts w:ascii="Open Sans" w:hAnsi="Open Sans" w:cs="Open Sans"/>
                <w:color w:val="003399"/>
              </w:rPr>
              <w:t xml:space="preserve">A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magyarországi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„Pocsaji-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kapu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”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természetvédelmi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területen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található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Tövises-meder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vízi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élőhelyének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kutatása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revitalizációja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egy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paleobotanikai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tanulmány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kidolgozásával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, a Natura 2000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kutatási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területen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végzett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vizsgálatok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alapján.</w:t>
            </w:r>
            <w:proofErr w:type="spellEnd"/>
          </w:p>
          <w:p w14:paraId="2ECF0964" w14:textId="2EAB12B6" w:rsidR="009D6C07" w:rsidRPr="001D62B7" w:rsidRDefault="001D62B7" w:rsidP="001D62B7">
            <w:pPr>
              <w:pStyle w:val="TableParagraph"/>
              <w:numPr>
                <w:ilvl w:val="0"/>
                <w:numId w:val="3"/>
              </w:numPr>
              <w:tabs>
                <w:tab w:val="left" w:pos="687"/>
              </w:tabs>
              <w:spacing w:line="244" w:lineRule="auto"/>
              <w:ind w:left="318" w:right="96" w:hanging="180"/>
              <w:jc w:val="both"/>
              <w:rPr>
                <w:rFonts w:ascii="Open Sans" w:hAnsi="Open Sans" w:cs="Open Sans"/>
              </w:rPr>
            </w:pPr>
            <w:r w:rsidRPr="001D62B7">
              <w:rPr>
                <w:rFonts w:ascii="Open Sans" w:hAnsi="Open Sans" w:cs="Open Sans"/>
                <w:color w:val="003399"/>
              </w:rPr>
              <w:t xml:space="preserve">Hat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darab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tanulmány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kidolgozása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termálforrások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helyreállításának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lehetőségéről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; a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tanulmányok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Püspökfürdő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(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Băile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1 Mai)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területén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revitalizációra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szoruló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forrásokon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végzett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kutatási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tevékenységek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,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elemzések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vizsgálatok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eredményeire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03399"/>
              </w:rPr>
              <w:t>épülnek</w:t>
            </w:r>
            <w:proofErr w:type="spellEnd"/>
            <w:r w:rsidRPr="001D62B7">
              <w:rPr>
                <w:rFonts w:ascii="Open Sans" w:hAnsi="Open Sans" w:cs="Open Sans"/>
                <w:color w:val="003399"/>
              </w:rPr>
              <w:t>.</w:t>
            </w:r>
          </w:p>
          <w:p w14:paraId="7B82A817" w14:textId="6EED505C" w:rsidR="00726B83" w:rsidRPr="00AE1E45" w:rsidRDefault="001D62B7" w:rsidP="009D6C07">
            <w:pPr>
              <w:pStyle w:val="TableParagraph"/>
              <w:tabs>
                <w:tab w:val="left" w:pos="704"/>
              </w:tabs>
              <w:spacing w:line="244" w:lineRule="auto"/>
              <w:ind w:right="96"/>
              <w:jc w:val="both"/>
              <w:rPr>
                <w:rFonts w:ascii="Open Sans" w:hAnsi="Open Sans" w:cs="Open Sans"/>
              </w:rPr>
            </w:pPr>
            <w:r w:rsidRPr="001D62B7">
              <w:rPr>
                <w:rFonts w:ascii="Open Sans" w:hAnsi="Open Sans" w:cs="Open Sans"/>
                <w:b/>
                <w:i/>
                <w:color w:val="003399"/>
              </w:rPr>
              <w:t xml:space="preserve">2021. </w:t>
            </w:r>
            <w:proofErr w:type="spellStart"/>
            <w:r w:rsidRPr="001D62B7">
              <w:rPr>
                <w:rFonts w:ascii="Open Sans" w:hAnsi="Open Sans" w:cs="Open Sans"/>
                <w:b/>
                <w:i/>
                <w:color w:val="003399"/>
              </w:rPr>
              <w:t>február</w:t>
            </w:r>
            <w:proofErr w:type="spellEnd"/>
            <w:r w:rsidRPr="001D62B7">
              <w:rPr>
                <w:rFonts w:ascii="Open Sans" w:hAnsi="Open Sans" w:cs="Open Sans"/>
                <w:b/>
                <w:i/>
                <w:color w:val="003399"/>
              </w:rPr>
              <w:t xml:space="preserve"> 28-án a projekt </w:t>
            </w:r>
            <w:proofErr w:type="spellStart"/>
            <w:r w:rsidRPr="001D62B7">
              <w:rPr>
                <w:rFonts w:ascii="Open Sans" w:hAnsi="Open Sans" w:cs="Open Sans"/>
                <w:b/>
                <w:i/>
                <w:color w:val="003399"/>
              </w:rPr>
              <w:t>sikeresen</w:t>
            </w:r>
            <w:proofErr w:type="spellEnd"/>
            <w:r w:rsidRPr="001D62B7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b/>
                <w:i/>
                <w:color w:val="003399"/>
              </w:rPr>
              <w:t>lezárult</w:t>
            </w:r>
            <w:proofErr w:type="spellEnd"/>
            <w:r w:rsidRPr="001D62B7">
              <w:rPr>
                <w:rFonts w:ascii="Open Sans" w:hAnsi="Open Sans" w:cs="Open Sans"/>
                <w:b/>
                <w:i/>
                <w:color w:val="003399"/>
              </w:rPr>
              <w:t xml:space="preserve">. A </w:t>
            </w:r>
            <w:proofErr w:type="spellStart"/>
            <w:r w:rsidRPr="001D62B7">
              <w:rPr>
                <w:rFonts w:ascii="Open Sans" w:hAnsi="Open Sans" w:cs="Open Sans"/>
                <w:b/>
                <w:i/>
                <w:color w:val="003399"/>
              </w:rPr>
              <w:t>projektben</w:t>
            </w:r>
            <w:proofErr w:type="spellEnd"/>
            <w:r w:rsidRPr="001D62B7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b/>
                <w:i/>
                <w:color w:val="003399"/>
              </w:rPr>
              <w:t>rögzített</w:t>
            </w:r>
            <w:proofErr w:type="spellEnd"/>
            <w:r w:rsidRPr="001D62B7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b/>
                <w:i/>
                <w:color w:val="003399"/>
              </w:rPr>
              <w:t>összes</w:t>
            </w:r>
            <w:proofErr w:type="spellEnd"/>
            <w:r w:rsidRPr="001D62B7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b/>
                <w:i/>
                <w:color w:val="003399"/>
              </w:rPr>
              <w:t>tevékenység</w:t>
            </w:r>
            <w:proofErr w:type="spellEnd"/>
            <w:r w:rsidRPr="001D62B7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b/>
                <w:i/>
                <w:color w:val="003399"/>
              </w:rPr>
              <w:t>maradéktalanul</w:t>
            </w:r>
            <w:proofErr w:type="spellEnd"/>
            <w:r w:rsidRPr="001D62B7">
              <w:rPr>
                <w:rFonts w:ascii="Open Sans" w:hAnsi="Open Sans" w:cs="Open Sans"/>
                <w:b/>
                <w:i/>
                <w:color w:val="003399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b/>
                <w:i/>
                <w:color w:val="003399"/>
              </w:rPr>
              <w:t>megvalósult</w:t>
            </w:r>
            <w:proofErr w:type="spellEnd"/>
            <w:r w:rsidRPr="001D62B7">
              <w:rPr>
                <w:rFonts w:ascii="Open Sans" w:hAnsi="Open Sans" w:cs="Open Sans"/>
                <w:b/>
                <w:i/>
                <w:color w:val="003399"/>
              </w:rPr>
              <w:t xml:space="preserve"> (100%).</w:t>
            </w:r>
          </w:p>
        </w:tc>
      </w:tr>
      <w:tr w:rsidR="009D6C07" w14:paraId="361A2237" w14:textId="77777777" w:rsidTr="009D6C07">
        <w:trPr>
          <w:trHeight w:val="2228"/>
        </w:trPr>
        <w:tc>
          <w:tcPr>
            <w:tcW w:w="2263" w:type="dxa"/>
          </w:tcPr>
          <w:p w14:paraId="4AB74C26" w14:textId="77777777" w:rsidR="009D6C07" w:rsidRPr="00DA1527" w:rsidRDefault="009D6C07" w:rsidP="009D6C07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74F11E46" w14:textId="77777777" w:rsidR="009D6C07" w:rsidRPr="00DA1527" w:rsidRDefault="009D6C07" w:rsidP="009D6C07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612366C7" w14:textId="77777777" w:rsidR="009D6C07" w:rsidRPr="00DA1527" w:rsidRDefault="009D6C07" w:rsidP="009D6C07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262ACA2B" w14:textId="77777777" w:rsidR="009D6C07" w:rsidRPr="00DA1527" w:rsidRDefault="009D6C07" w:rsidP="009D6C07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529AA059" w14:textId="77777777" w:rsidR="009D6C07" w:rsidRPr="00DA1527" w:rsidRDefault="009D6C07" w:rsidP="009D6C07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1106502D" w14:textId="77777777" w:rsidR="009D6C07" w:rsidRPr="00DA1527" w:rsidRDefault="009D6C07" w:rsidP="009D6C07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3A3E79A8" w14:textId="77777777" w:rsidR="009D6C07" w:rsidRPr="00DA1527" w:rsidRDefault="009D6C07" w:rsidP="009D6C07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09CDFB6D" w14:textId="77777777" w:rsidR="009D6C07" w:rsidRPr="00DA1527" w:rsidRDefault="009D6C07" w:rsidP="009D6C07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3E332C76" w14:textId="77777777" w:rsidR="009D6C07" w:rsidRPr="00DA1527" w:rsidRDefault="009D6C07" w:rsidP="009D6C07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4C3D769F" w14:textId="77777777" w:rsidR="009D6C07" w:rsidRPr="00DA1527" w:rsidRDefault="009D6C07" w:rsidP="009D6C07">
            <w:pPr>
              <w:pStyle w:val="TableParagraph"/>
              <w:ind w:left="0"/>
              <w:rPr>
                <w:rFonts w:ascii="Open Sans" w:hAnsi="Open Sans" w:cs="Open Sans"/>
              </w:rPr>
            </w:pPr>
          </w:p>
          <w:p w14:paraId="6CFC7DBD" w14:textId="77777777" w:rsidR="009D6C07" w:rsidRPr="00DA1527" w:rsidRDefault="009D6C07" w:rsidP="009D6C07">
            <w:pPr>
              <w:pStyle w:val="TableParagraph"/>
              <w:spacing w:before="4"/>
              <w:ind w:left="0"/>
              <w:rPr>
                <w:rFonts w:ascii="Open Sans" w:hAnsi="Open Sans" w:cs="Open Sans"/>
              </w:rPr>
            </w:pPr>
          </w:p>
          <w:p w14:paraId="0B4927AF" w14:textId="760523D1" w:rsidR="009D6C07" w:rsidRPr="00DA1527" w:rsidRDefault="001D62B7" w:rsidP="009D6C07">
            <w:pPr>
              <w:pStyle w:val="TableParagraph"/>
              <w:ind w:left="0"/>
              <w:rPr>
                <w:rFonts w:ascii="Open Sans" w:hAnsi="Open Sans" w:cs="Open Sans"/>
                <w:b/>
                <w:bCs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pacing w:val="-7"/>
              </w:rPr>
              <w:t>Fő</w:t>
            </w:r>
            <w:proofErr w:type="spellEnd"/>
            <w:r w:rsidR="009D6C07" w:rsidRPr="00DA1527">
              <w:rPr>
                <w:rFonts w:ascii="Open Sans" w:hAnsi="Open Sans" w:cs="Open Sans"/>
                <w:b/>
                <w:bCs/>
                <w:color w:val="003399"/>
                <w:spacing w:val="-15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eredmények</w:t>
            </w:r>
            <w:proofErr w:type="spellEnd"/>
          </w:p>
        </w:tc>
        <w:tc>
          <w:tcPr>
            <w:tcW w:w="7477" w:type="dxa"/>
          </w:tcPr>
          <w:p w14:paraId="40B5FAB3" w14:textId="17FCD304" w:rsidR="001931F5" w:rsidRDefault="001D62B7" w:rsidP="009D6C07">
            <w:pPr>
              <w:pStyle w:val="TableParagraph"/>
              <w:spacing w:line="332" w:lineRule="exact"/>
              <w:ind w:left="107"/>
              <w:jc w:val="both"/>
              <w:rPr>
                <w:rFonts w:ascii="Open Sans" w:hAnsi="Open Sans" w:cs="Open Sans"/>
                <w:b/>
                <w:bCs/>
                <w:color w:val="0E2A75"/>
                <w:spacing w:val="-6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0E2A75"/>
                <w:spacing w:val="-6"/>
              </w:rPr>
              <w:t>Fő</w:t>
            </w:r>
            <w:proofErr w:type="spellEnd"/>
            <w:r>
              <w:rPr>
                <w:rFonts w:ascii="Open Sans" w:hAnsi="Open Sans" w:cs="Open Sans"/>
                <w:b/>
                <w:bCs/>
                <w:color w:val="0E2A75"/>
                <w:spacing w:val="-6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E2A75"/>
                <w:spacing w:val="-6"/>
              </w:rPr>
              <w:t>eredmények</w:t>
            </w:r>
            <w:proofErr w:type="spellEnd"/>
            <w:r w:rsidR="001931F5">
              <w:rPr>
                <w:rFonts w:ascii="Open Sans" w:hAnsi="Open Sans" w:cs="Open Sans"/>
                <w:b/>
                <w:bCs/>
                <w:color w:val="0E2A75"/>
                <w:spacing w:val="-6"/>
              </w:rPr>
              <w:t>:</w:t>
            </w:r>
          </w:p>
          <w:p w14:paraId="4A7FBDD1" w14:textId="77777777" w:rsidR="001D62B7" w:rsidRDefault="001D62B7" w:rsidP="001931F5">
            <w:pPr>
              <w:pStyle w:val="TableParagraph"/>
              <w:spacing w:line="332" w:lineRule="exact"/>
              <w:ind w:left="107"/>
              <w:jc w:val="both"/>
              <w:rPr>
                <w:rFonts w:ascii="Open Sans" w:hAnsi="Open Sans" w:cs="Open Sans"/>
                <w:color w:val="0E2A75"/>
                <w:spacing w:val="-6"/>
                <w:lang w:val="en-GB"/>
              </w:rPr>
            </w:pPr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1) A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rehabilitált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Geotermikus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Fejlesztési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Metropolisz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proofErr w:type="gram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Központ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;</w:t>
            </w:r>
            <w:proofErr w:type="gramEnd"/>
          </w:p>
          <w:p w14:paraId="2BA08E39" w14:textId="77777777" w:rsidR="001D62B7" w:rsidRDefault="001D62B7" w:rsidP="001931F5">
            <w:pPr>
              <w:pStyle w:val="TableParagraph"/>
              <w:spacing w:line="332" w:lineRule="exact"/>
              <w:ind w:left="107"/>
              <w:jc w:val="both"/>
              <w:rPr>
                <w:rFonts w:ascii="Open Sans" w:hAnsi="Open Sans" w:cs="Open Sans"/>
                <w:color w:val="0E2A75"/>
                <w:spacing w:val="-6"/>
                <w:lang w:val="en-GB"/>
              </w:rPr>
            </w:pPr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2) 1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természetvédelmi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terület-takarítási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kampány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– 30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résztvevő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tisztasági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akciót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szervezett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a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Petye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-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és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Hidișel-patakoknál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, a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Petye-patak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mentén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, a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réten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,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valamint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a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kerítéssel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elzárt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proofErr w:type="gram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területen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;</w:t>
            </w:r>
            <w:proofErr w:type="gramEnd"/>
          </w:p>
          <w:p w14:paraId="7A30EB67" w14:textId="77777777" w:rsidR="001D62B7" w:rsidRDefault="001D62B7" w:rsidP="001931F5">
            <w:pPr>
              <w:pStyle w:val="TableParagraph"/>
              <w:spacing w:line="332" w:lineRule="exact"/>
              <w:ind w:left="107"/>
              <w:jc w:val="both"/>
              <w:rPr>
                <w:rFonts w:ascii="Open Sans" w:hAnsi="Open Sans" w:cs="Open Sans"/>
                <w:color w:val="0E2A75"/>
                <w:spacing w:val="-6"/>
                <w:lang w:val="en-GB"/>
              </w:rPr>
            </w:pPr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3) 1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befejezett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ökoturisztikai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proofErr w:type="gram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koncepciótanulmány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;</w:t>
            </w:r>
            <w:proofErr w:type="gramEnd"/>
          </w:p>
          <w:p w14:paraId="6E716F50" w14:textId="77777777" w:rsidR="001D62B7" w:rsidRDefault="001D62B7" w:rsidP="001931F5">
            <w:pPr>
              <w:pStyle w:val="TableParagraph"/>
              <w:spacing w:line="332" w:lineRule="exact"/>
              <w:ind w:left="107"/>
              <w:jc w:val="both"/>
              <w:rPr>
                <w:rFonts w:ascii="Open Sans" w:hAnsi="Open Sans" w:cs="Open Sans"/>
                <w:color w:val="0E2A75"/>
                <w:spacing w:val="-6"/>
                <w:lang w:val="en-GB"/>
              </w:rPr>
            </w:pPr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4) 1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kidolgozott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bakteriológiai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proofErr w:type="gram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tanulmány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;</w:t>
            </w:r>
            <w:proofErr w:type="gramEnd"/>
          </w:p>
          <w:p w14:paraId="30D717D9" w14:textId="77777777" w:rsidR="001D62B7" w:rsidRDefault="001D62B7" w:rsidP="001931F5">
            <w:pPr>
              <w:pStyle w:val="TableParagraph"/>
              <w:spacing w:line="332" w:lineRule="exact"/>
              <w:ind w:left="107"/>
              <w:jc w:val="both"/>
              <w:rPr>
                <w:rFonts w:ascii="Open Sans" w:hAnsi="Open Sans" w:cs="Open Sans"/>
                <w:color w:val="0E2A75"/>
                <w:spacing w:val="-6"/>
                <w:lang w:val="en-GB"/>
              </w:rPr>
            </w:pPr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5) 1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kidolgozott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paleobotanikai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proofErr w:type="gram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tanulmány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;</w:t>
            </w:r>
            <w:proofErr w:type="gramEnd"/>
          </w:p>
          <w:p w14:paraId="09640E4A" w14:textId="77777777" w:rsidR="001D62B7" w:rsidRDefault="001D62B7" w:rsidP="001931F5">
            <w:pPr>
              <w:pStyle w:val="TableParagraph"/>
              <w:spacing w:line="332" w:lineRule="exact"/>
              <w:ind w:left="107"/>
              <w:jc w:val="both"/>
              <w:rPr>
                <w:rFonts w:ascii="Open Sans" w:hAnsi="Open Sans" w:cs="Open Sans"/>
                <w:color w:val="0E2A75"/>
                <w:spacing w:val="-6"/>
                <w:lang w:val="en-GB"/>
              </w:rPr>
            </w:pPr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6) 6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kidolgozott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tanulmány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a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termálforrások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proofErr w:type="gram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helyreállításáról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;</w:t>
            </w:r>
            <w:proofErr w:type="gramEnd"/>
          </w:p>
          <w:p w14:paraId="74F32964" w14:textId="7A025DDA" w:rsidR="001931F5" w:rsidRDefault="001D62B7" w:rsidP="009D6C07">
            <w:pPr>
              <w:pStyle w:val="TableParagraph"/>
              <w:spacing w:line="332" w:lineRule="exact"/>
              <w:ind w:left="107"/>
              <w:jc w:val="both"/>
              <w:rPr>
                <w:rFonts w:ascii="Open Sans" w:hAnsi="Open Sans" w:cs="Open Sans"/>
                <w:b/>
                <w:bCs/>
                <w:color w:val="0E2A75"/>
                <w:spacing w:val="-6"/>
              </w:rPr>
            </w:pPr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7) 1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felújított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,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hévízi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tündérrózsákkal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betelepített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medence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,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ahová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a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védett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tündérrózsafaj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egyedeit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az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üvegházból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visszatelepítik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. Ez a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medence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a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természetes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körülményeket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utánozza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,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biztosítva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benne a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geotermikus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víz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folyamatos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áramlását</w:t>
            </w:r>
            <w:proofErr w:type="spellEnd"/>
            <w:r w:rsidRPr="001D62B7">
              <w:rPr>
                <w:rFonts w:ascii="Open Sans" w:hAnsi="Open Sans" w:cs="Open Sans"/>
                <w:color w:val="0E2A75"/>
                <w:spacing w:val="-6"/>
                <w:lang w:val="en-GB"/>
              </w:rPr>
              <w:t>.</w:t>
            </w:r>
          </w:p>
          <w:p w14:paraId="17E51738" w14:textId="77777777" w:rsidR="001D62B7" w:rsidRDefault="001D62B7" w:rsidP="001D62B7">
            <w:pPr>
              <w:pStyle w:val="TableParagraph"/>
              <w:tabs>
                <w:tab w:val="left" w:pos="828"/>
              </w:tabs>
              <w:spacing w:before="31" w:line="213" w:lineRule="auto"/>
              <w:ind w:right="102"/>
              <w:jc w:val="both"/>
              <w:rPr>
                <w:rFonts w:ascii="Open Sans" w:hAnsi="Open Sans" w:cs="Open Sans"/>
                <w:b/>
                <w:bCs/>
                <w:color w:val="0E2A75"/>
                <w:spacing w:val="-6"/>
              </w:rPr>
            </w:pPr>
            <w:r w:rsidRPr="001D62B7">
              <w:rPr>
                <w:rFonts w:ascii="Open Sans" w:hAnsi="Open Sans" w:cs="Open Sans"/>
                <w:b/>
                <w:bCs/>
                <w:color w:val="0E2A75"/>
                <w:spacing w:val="-6"/>
              </w:rPr>
              <w:t xml:space="preserve">A projekt </w:t>
            </w:r>
            <w:proofErr w:type="spellStart"/>
            <w:r w:rsidRPr="001D62B7">
              <w:rPr>
                <w:rFonts w:ascii="Open Sans" w:hAnsi="Open Sans" w:cs="Open Sans"/>
                <w:b/>
                <w:bCs/>
                <w:color w:val="0E2A75"/>
                <w:spacing w:val="-6"/>
              </w:rPr>
              <w:t>főbb</w:t>
            </w:r>
            <w:proofErr w:type="spellEnd"/>
            <w:r w:rsidRPr="001D62B7">
              <w:rPr>
                <w:rFonts w:ascii="Open Sans" w:hAnsi="Open Sans" w:cs="Open Sans"/>
                <w:b/>
                <w:bCs/>
                <w:color w:val="0E2A75"/>
                <w:spacing w:val="-6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b/>
                <w:bCs/>
                <w:color w:val="0E2A75"/>
                <w:spacing w:val="-6"/>
              </w:rPr>
              <w:t>eredményei</w:t>
            </w:r>
            <w:proofErr w:type="spellEnd"/>
            <w:r w:rsidRPr="001D62B7">
              <w:rPr>
                <w:rFonts w:ascii="Open Sans" w:hAnsi="Open Sans" w:cs="Open Sans"/>
                <w:b/>
                <w:bCs/>
                <w:color w:val="0E2A75"/>
                <w:spacing w:val="-6"/>
              </w:rPr>
              <w:t xml:space="preserve"> a </w:t>
            </w:r>
            <w:proofErr w:type="spellStart"/>
            <w:r w:rsidRPr="001D62B7">
              <w:rPr>
                <w:rFonts w:ascii="Open Sans" w:hAnsi="Open Sans" w:cs="Open Sans"/>
                <w:b/>
                <w:bCs/>
                <w:color w:val="0E2A75"/>
                <w:spacing w:val="-6"/>
              </w:rPr>
              <w:t>következők</w:t>
            </w:r>
            <w:proofErr w:type="spellEnd"/>
            <w:r w:rsidRPr="001D62B7">
              <w:rPr>
                <w:rFonts w:ascii="Open Sans" w:hAnsi="Open Sans" w:cs="Open Sans"/>
                <w:b/>
                <w:bCs/>
                <w:color w:val="0E2A75"/>
                <w:spacing w:val="-6"/>
              </w:rPr>
              <w:t xml:space="preserve"> </w:t>
            </w:r>
            <w:proofErr w:type="spellStart"/>
            <w:r w:rsidRPr="001D62B7">
              <w:rPr>
                <w:rFonts w:ascii="Open Sans" w:hAnsi="Open Sans" w:cs="Open Sans"/>
                <w:b/>
                <w:bCs/>
                <w:color w:val="0E2A75"/>
                <w:spacing w:val="-6"/>
              </w:rPr>
              <w:t>voltak</w:t>
            </w:r>
            <w:proofErr w:type="spellEnd"/>
            <w:r w:rsidRPr="001D62B7">
              <w:rPr>
                <w:rFonts w:ascii="Open Sans" w:hAnsi="Open Sans" w:cs="Open Sans"/>
                <w:b/>
                <w:bCs/>
                <w:color w:val="0E2A75"/>
                <w:spacing w:val="-6"/>
              </w:rPr>
              <w:t>:</w:t>
            </w:r>
          </w:p>
          <w:p w14:paraId="729D7F96" w14:textId="77777777" w:rsidR="00266886" w:rsidRDefault="00266886" w:rsidP="001931F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31" w:line="213" w:lineRule="auto"/>
              <w:ind w:right="102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A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hévízi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fajok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kedvezőbb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természetvédelmi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helyzete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romániai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magyarországi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védett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területeken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(372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hektár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Petye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Natúrparkban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284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hektár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a „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Pocsaji-kapu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”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természetvédelmi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területen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),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különös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tekintettel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hévízi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tündérrózsára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vagy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dretére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(Nymphaea lotus var.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thermalis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), a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pettyes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fogascsigára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(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Melanopsis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parreyssii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)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hévízi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vörösszárnyú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koncérra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(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Scardinius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racovitzai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>).</w:t>
            </w:r>
          </w:p>
          <w:p w14:paraId="006B75F5" w14:textId="77777777" w:rsidR="00266886" w:rsidRDefault="00266886" w:rsidP="001931F5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before="31" w:line="213" w:lineRule="auto"/>
              <w:ind w:right="102"/>
              <w:jc w:val="both"/>
              <w:rPr>
                <w:rFonts w:ascii="Open Sans" w:hAnsi="Open Sans" w:cs="Open Sans"/>
                <w:color w:val="003399"/>
                <w:lang w:val="en-GB"/>
              </w:rPr>
            </w:pPr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Egy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felújított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medence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Nagyváradi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Egyetem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kampuszán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amely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kedvezőbb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megőrzési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feltételeket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biztosít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hévízi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tündérrózsák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számára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066D4EAB" w14:textId="61602914" w:rsidR="009D6C07" w:rsidRDefault="00266886" w:rsidP="00266886">
            <w:pPr>
              <w:pStyle w:val="TableParagraph"/>
              <w:numPr>
                <w:ilvl w:val="0"/>
                <w:numId w:val="4"/>
              </w:numPr>
              <w:spacing w:before="26"/>
              <w:rPr>
                <w:rFonts w:ascii="Open Sans" w:hAnsi="Open Sans" w:cs="Open Sans"/>
              </w:rPr>
            </w:pPr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9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befejezett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tanulmány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amelyek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segítik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termálforrások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helyreállításához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üzemeltetéséhez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szükséges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hidrogeológiai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feltételek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jellemzését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kutatását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,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ezáltal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kedvezőbb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természetvédelmi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helyzetet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biztosítva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a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hévízi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fajok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számára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Romániában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és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  <w:lang w:val="en-GB"/>
              </w:rPr>
              <w:t>Magyarországon</w:t>
            </w:r>
            <w:proofErr w:type="spellEnd"/>
            <w:r w:rsidRPr="00266886">
              <w:rPr>
                <w:rFonts w:ascii="Open Sans" w:hAnsi="Open Sans" w:cs="Open Sans"/>
                <w:color w:val="003399"/>
                <w:lang w:val="en-GB"/>
              </w:rPr>
              <w:t>.</w:t>
            </w:r>
          </w:p>
          <w:p w14:paraId="37523E22" w14:textId="539C5D57" w:rsidR="00856040" w:rsidRPr="002A0448" w:rsidRDefault="00266886" w:rsidP="00856040">
            <w:pPr>
              <w:pStyle w:val="TableParagraph"/>
              <w:spacing w:line="268" w:lineRule="auto"/>
              <w:ind w:right="97"/>
              <w:jc w:val="both"/>
              <w:rPr>
                <w:rFonts w:ascii="Open Sans" w:hAnsi="Open Sans" w:cs="Open Sans"/>
                <w:b/>
                <w:bCs/>
                <w:color w:val="003399"/>
              </w:rPr>
            </w:pPr>
            <w:r>
              <w:rPr>
                <w:rFonts w:ascii="Open Sans" w:hAnsi="Open Sans" w:cs="Open Sans"/>
                <w:b/>
                <w:bCs/>
                <w:color w:val="003399"/>
              </w:rPr>
              <w:t>A</w:t>
            </w:r>
            <w:r w:rsidR="00856040" w:rsidRPr="002A0448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fő</w:t>
            </w:r>
            <w:proofErr w:type="spellEnd"/>
            <w:r w:rsidR="00856040" w:rsidRPr="002A0448">
              <w:rPr>
                <w:rFonts w:ascii="Open Sans" w:hAnsi="Open Sans" w:cs="Open Sans"/>
                <w:b/>
                <w:bCs/>
                <w:color w:val="003399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3399"/>
              </w:rPr>
              <w:t>indikátor</w:t>
            </w:r>
            <w:proofErr w:type="spellEnd"/>
            <w:r w:rsidR="00856040" w:rsidRPr="002A0448">
              <w:rPr>
                <w:rFonts w:ascii="Open Sans" w:hAnsi="Open Sans" w:cs="Open Sans"/>
                <w:b/>
                <w:bCs/>
                <w:color w:val="003399"/>
              </w:rPr>
              <w:t>:</w:t>
            </w:r>
          </w:p>
          <w:p w14:paraId="160FA3AF" w14:textId="1A7C9C13" w:rsidR="009D6C07" w:rsidRPr="00DA1527" w:rsidRDefault="00266886" w:rsidP="009D6C07">
            <w:pPr>
              <w:pStyle w:val="TableParagraph"/>
              <w:spacing w:before="26"/>
              <w:ind w:left="138"/>
              <w:rPr>
                <w:rFonts w:ascii="Open Sans" w:hAnsi="Open Sans" w:cs="Open Sans"/>
              </w:rPr>
            </w:pPr>
            <w:r w:rsidRPr="00266886">
              <w:rPr>
                <w:rFonts w:ascii="Open Sans" w:hAnsi="Open Sans" w:cs="Open Sans"/>
                <w:color w:val="003399"/>
              </w:rPr>
              <w:t xml:space="preserve">A program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kimeneti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indikátora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: „CO23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Természet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és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biodiverzitás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: A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kedvezőbb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természetvédelmi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helyzet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elérése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érdekében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támogatott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élőhelyek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felszíne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”. A ROHU-9 projekt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révén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összesen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 656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hektárnyi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terület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érte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el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 a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kedvezőbb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természetvédelmi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 xml:space="preserve"> </w:t>
            </w:r>
            <w:proofErr w:type="spellStart"/>
            <w:r w:rsidRPr="00266886">
              <w:rPr>
                <w:rFonts w:ascii="Open Sans" w:hAnsi="Open Sans" w:cs="Open Sans"/>
                <w:color w:val="003399"/>
              </w:rPr>
              <w:t>helyzetet</w:t>
            </w:r>
            <w:proofErr w:type="spellEnd"/>
            <w:r w:rsidRPr="00266886">
              <w:rPr>
                <w:rFonts w:ascii="Open Sans" w:hAnsi="Open Sans" w:cs="Open Sans"/>
                <w:color w:val="003399"/>
              </w:rPr>
              <w:t>.</w:t>
            </w:r>
          </w:p>
          <w:p w14:paraId="71072792" w14:textId="0B36232E" w:rsidR="009D6C07" w:rsidRPr="00DA1527" w:rsidRDefault="00266886" w:rsidP="009D6C07">
            <w:pPr>
              <w:pStyle w:val="TableParagraph"/>
              <w:spacing w:line="319" w:lineRule="exact"/>
              <w:ind w:left="107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  <w:color w:val="003399"/>
                <w:spacing w:val="-2"/>
              </w:rPr>
              <w:t>Weboldal:</w:t>
            </w:r>
          </w:p>
          <w:p w14:paraId="108414AE" w14:textId="3A85F251" w:rsidR="009D6C07" w:rsidRPr="00DA1527" w:rsidRDefault="009D6C07" w:rsidP="009D6C07">
            <w:pPr>
              <w:pStyle w:val="TableParagraph"/>
              <w:spacing w:line="244" w:lineRule="auto"/>
              <w:ind w:right="94"/>
              <w:jc w:val="both"/>
              <w:rPr>
                <w:rFonts w:ascii="Open Sans" w:hAnsi="Open Sans" w:cs="Open Sans"/>
                <w:color w:val="003399"/>
              </w:rPr>
            </w:pPr>
            <w:hyperlink r:id="rId7">
              <w:r w:rsidRPr="00DA1527">
                <w:rPr>
                  <w:rFonts w:ascii="Open Sans" w:hAnsi="Open Sans" w:cs="Open Sans"/>
                  <w:color w:val="0462C1"/>
                  <w:spacing w:val="-2"/>
                  <w:u w:val="single" w:color="0462C1"/>
                </w:rPr>
                <w:t>https://aquares.ro/</w:t>
              </w:r>
            </w:hyperlink>
            <w:r w:rsidRPr="00DA1527">
              <w:rPr>
                <w:rFonts w:ascii="Open Sans" w:hAnsi="Open Sans" w:cs="Open Sans"/>
                <w:color w:val="0462C1"/>
                <w:spacing w:val="-2"/>
              </w:rPr>
              <w:t xml:space="preserve"> </w:t>
            </w:r>
            <w:hyperlink r:id="rId8">
              <w:r w:rsidRPr="00DA1527">
                <w:rPr>
                  <w:rFonts w:ascii="Open Sans" w:hAnsi="Open Sans" w:cs="Open Sans"/>
                  <w:color w:val="0462C1"/>
                  <w:spacing w:val="-6"/>
                  <w:u w:val="single" w:color="0462C1"/>
                </w:rPr>
                <w:t>https://zmo.ro/download/Rezumat%20proiect%20ROHU29%20RO.pdf</w:t>
              </w:r>
            </w:hyperlink>
          </w:p>
        </w:tc>
      </w:tr>
    </w:tbl>
    <w:p w14:paraId="28AB5170" w14:textId="77777777" w:rsidR="00726B83" w:rsidRDefault="00726B83">
      <w:pPr>
        <w:pStyle w:val="TableParagraph"/>
        <w:spacing w:line="334" w:lineRule="exact"/>
        <w:jc w:val="both"/>
        <w:sectPr w:rsidR="00726B83">
          <w:headerReference w:type="default" r:id="rId9"/>
          <w:footerReference w:type="default" r:id="rId10"/>
          <w:type w:val="continuous"/>
          <w:pgSz w:w="11910" w:h="16840"/>
          <w:pgMar w:top="2000" w:right="708" w:bottom="980" w:left="1417" w:header="720" w:footer="796" w:gutter="0"/>
          <w:pgNumType w:start="1"/>
          <w:cols w:space="720"/>
        </w:sectPr>
      </w:pPr>
    </w:p>
    <w:p w14:paraId="07D40DA9" w14:textId="77777777" w:rsidR="00726B83" w:rsidRDefault="00726B83">
      <w:pPr>
        <w:pStyle w:val="TableParagraph"/>
        <w:spacing w:line="326" w:lineRule="auto"/>
        <w:rPr>
          <w:rFonts w:ascii="Arial"/>
          <w:b/>
          <w:i/>
        </w:rPr>
        <w:sectPr w:rsidR="00726B83">
          <w:type w:val="continuous"/>
          <w:pgSz w:w="11910" w:h="16840"/>
          <w:pgMar w:top="2000" w:right="708" w:bottom="980" w:left="1417" w:header="720" w:footer="796" w:gutter="0"/>
          <w:cols w:space="720"/>
        </w:sectPr>
      </w:pPr>
    </w:p>
    <w:p w14:paraId="21A4ABDA" w14:textId="77777777" w:rsidR="002B42CE" w:rsidRDefault="002B42CE"/>
    <w:sectPr w:rsidR="002B42CE">
      <w:type w:val="continuous"/>
      <w:pgSz w:w="11910" w:h="16840"/>
      <w:pgMar w:top="2000" w:right="708" w:bottom="980" w:left="1417" w:header="720" w:footer="7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C86A" w14:textId="77777777" w:rsidR="002B42CE" w:rsidRDefault="002B42CE">
      <w:r>
        <w:separator/>
      </w:r>
    </w:p>
  </w:endnote>
  <w:endnote w:type="continuationSeparator" w:id="0">
    <w:p w14:paraId="2D770E39" w14:textId="77777777" w:rsidR="002B42CE" w:rsidRDefault="002B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2FB2" w14:textId="77777777" w:rsidR="00726B83" w:rsidRDefault="00384C49">
    <w:pPr>
      <w:pStyle w:val="Szvegtrz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CBAC457" wp14:editId="240B3F4F">
              <wp:simplePos x="0" y="0"/>
              <wp:positionH relativeFrom="page">
                <wp:posOffset>5325236</wp:posOffset>
              </wp:positionH>
              <wp:positionV relativeFrom="page">
                <wp:posOffset>10047354</wp:posOffset>
              </wp:positionV>
              <wp:extent cx="1333500" cy="1981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8D697" w14:textId="77777777" w:rsidR="00726B83" w:rsidRDefault="00726B83">
                          <w:pPr>
                            <w:spacing w:before="13" w:line="298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003399"/>
                                <w:w w:val="90"/>
                                <w:sz w:val="20"/>
                              </w:rPr>
                              <w:t>www.interreg-</w:t>
                            </w:r>
                            <w:r>
                              <w:rPr>
                                <w:color w:val="003399"/>
                                <w:spacing w:val="-2"/>
                                <w:sz w:val="20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AC45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9.3pt;margin-top:791.15pt;width:105pt;height:15.6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" filled="f" stroked="f">
              <v:textbox inset="0,0,0,0">
                <w:txbxContent>
                  <w:p w14:paraId="2888D697" w14:textId="77777777" w:rsidR="00726B83" w:rsidRDefault="00726B83">
                    <w:pPr>
                      <w:spacing w:before="13" w:line="298" w:lineRule="exact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003399"/>
                          <w:w w:val="90"/>
                          <w:sz w:val="20"/>
                        </w:rPr>
                        <w:t>www.interreg-</w:t>
                      </w:r>
                      <w:r>
                        <w:rPr>
                          <w:color w:val="003399"/>
                          <w:spacing w:val="-2"/>
                          <w:sz w:val="20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E887D5C" wp14:editId="353E0D16">
              <wp:simplePos x="0" y="0"/>
              <wp:positionH relativeFrom="page">
                <wp:posOffset>902004</wp:posOffset>
              </wp:positionH>
              <wp:positionV relativeFrom="page">
                <wp:posOffset>10068255</wp:posOffset>
              </wp:positionV>
              <wp:extent cx="190881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8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784324" w14:textId="77777777" w:rsidR="00726B83" w:rsidRDefault="00384C49">
                          <w:pPr>
                            <w:pStyle w:val="Szvegtrzs"/>
                            <w:spacing w:line="264" w:lineRule="exact"/>
                            <w:ind w:left="20"/>
                          </w:pPr>
                          <w:r>
                            <w:rPr>
                              <w:color w:val="003399"/>
                            </w:rPr>
                            <w:t>Partnership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for</w:t>
                          </w:r>
                          <w:r>
                            <w:rPr>
                              <w:color w:val="003399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a</w:t>
                          </w:r>
                          <w:r>
                            <w:rPr>
                              <w:color w:val="0033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</w:rPr>
                            <w:t>better</w:t>
                          </w:r>
                          <w:r>
                            <w:rPr>
                              <w:color w:val="00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887D5C" id="Textbox 3" o:spid="_x0000_s1027" type="#_x0000_t202" style="position:absolute;margin-left:71pt;margin-top:792.8pt;width:150.3pt;height:1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" filled="f" stroked="f">
              <v:textbox inset="0,0,0,0">
                <w:txbxContent>
                  <w:p w14:paraId="3D784324" w14:textId="77777777" w:rsidR="00726B83" w:rsidRDefault="00384C49">
                    <w:pPr>
                      <w:pStyle w:val="Szvegtrzs"/>
                      <w:spacing w:line="264" w:lineRule="exact"/>
                      <w:ind w:left="20"/>
                    </w:pPr>
                    <w:r>
                      <w:rPr>
                        <w:color w:val="003399"/>
                      </w:rPr>
                      <w:t>Partnership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for</w:t>
                    </w:r>
                    <w:r>
                      <w:rPr>
                        <w:color w:val="003399"/>
                        <w:spacing w:val="-1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a</w:t>
                    </w:r>
                    <w:r>
                      <w:rPr>
                        <w:color w:val="003399"/>
                        <w:spacing w:val="-4"/>
                      </w:rPr>
                      <w:t xml:space="preserve"> </w:t>
                    </w:r>
                    <w:r>
                      <w:rPr>
                        <w:color w:val="003399"/>
                      </w:rPr>
                      <w:t>better</w:t>
                    </w:r>
                    <w:r>
                      <w:rPr>
                        <w:color w:val="003399"/>
                        <w:spacing w:val="-3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23100" w14:textId="77777777" w:rsidR="002B42CE" w:rsidRDefault="002B42CE">
      <w:r>
        <w:separator/>
      </w:r>
    </w:p>
  </w:footnote>
  <w:footnote w:type="continuationSeparator" w:id="0">
    <w:p w14:paraId="35A5A050" w14:textId="77777777" w:rsidR="002B42CE" w:rsidRDefault="002B4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576A" w14:textId="77777777" w:rsidR="00726B83" w:rsidRDefault="00384C49">
    <w:pPr>
      <w:pStyle w:val="Szvegtrzs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34308B8B" wp14:editId="456632E1">
          <wp:simplePos x="0" y="0"/>
          <wp:positionH relativeFrom="page">
            <wp:posOffset>914400</wp:posOffset>
          </wp:positionH>
          <wp:positionV relativeFrom="page">
            <wp:posOffset>457199</wp:posOffset>
          </wp:positionV>
          <wp:extent cx="5730875" cy="640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0875" cy="640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00F6"/>
    <w:multiLevelType w:val="hybridMultilevel"/>
    <w:tmpl w:val="17EAF580"/>
    <w:lvl w:ilvl="0" w:tplc="B6CAE102">
      <w:numFmt w:val="bullet"/>
      <w:lvlText w:val="•"/>
      <w:lvlJc w:val="left"/>
      <w:pPr>
        <w:ind w:left="540" w:hanging="166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3399"/>
        <w:spacing w:val="0"/>
        <w:w w:val="59"/>
        <w:sz w:val="22"/>
        <w:szCs w:val="22"/>
        <w:lang w:val="en-US" w:eastAsia="en-US" w:bidi="ar-SA"/>
      </w:rPr>
    </w:lvl>
    <w:lvl w:ilvl="1" w:tplc="A184E89C">
      <w:numFmt w:val="bullet"/>
      <w:lvlText w:val="•"/>
      <w:lvlJc w:val="left"/>
      <w:pPr>
        <w:ind w:left="1232" w:hanging="166"/>
      </w:pPr>
      <w:rPr>
        <w:rFonts w:hint="default"/>
        <w:lang w:val="en-US" w:eastAsia="en-US" w:bidi="ar-SA"/>
      </w:rPr>
    </w:lvl>
    <w:lvl w:ilvl="2" w:tplc="4C5CC30E">
      <w:numFmt w:val="bullet"/>
      <w:lvlText w:val="•"/>
      <w:lvlJc w:val="left"/>
      <w:pPr>
        <w:ind w:left="1925" w:hanging="166"/>
      </w:pPr>
      <w:rPr>
        <w:rFonts w:hint="default"/>
        <w:lang w:val="en-US" w:eastAsia="en-US" w:bidi="ar-SA"/>
      </w:rPr>
    </w:lvl>
    <w:lvl w:ilvl="3" w:tplc="648A9248">
      <w:numFmt w:val="bullet"/>
      <w:lvlText w:val="•"/>
      <w:lvlJc w:val="left"/>
      <w:pPr>
        <w:ind w:left="2618" w:hanging="166"/>
      </w:pPr>
      <w:rPr>
        <w:rFonts w:hint="default"/>
        <w:lang w:val="en-US" w:eastAsia="en-US" w:bidi="ar-SA"/>
      </w:rPr>
    </w:lvl>
    <w:lvl w:ilvl="4" w:tplc="80AA9982">
      <w:numFmt w:val="bullet"/>
      <w:lvlText w:val="•"/>
      <w:lvlJc w:val="left"/>
      <w:pPr>
        <w:ind w:left="3310" w:hanging="166"/>
      </w:pPr>
      <w:rPr>
        <w:rFonts w:hint="default"/>
        <w:lang w:val="en-US" w:eastAsia="en-US" w:bidi="ar-SA"/>
      </w:rPr>
    </w:lvl>
    <w:lvl w:ilvl="5" w:tplc="8D603BD6">
      <w:numFmt w:val="bullet"/>
      <w:lvlText w:val="•"/>
      <w:lvlJc w:val="left"/>
      <w:pPr>
        <w:ind w:left="4003" w:hanging="166"/>
      </w:pPr>
      <w:rPr>
        <w:rFonts w:hint="default"/>
        <w:lang w:val="en-US" w:eastAsia="en-US" w:bidi="ar-SA"/>
      </w:rPr>
    </w:lvl>
    <w:lvl w:ilvl="6" w:tplc="E918C036">
      <w:numFmt w:val="bullet"/>
      <w:lvlText w:val="•"/>
      <w:lvlJc w:val="left"/>
      <w:pPr>
        <w:ind w:left="4696" w:hanging="166"/>
      </w:pPr>
      <w:rPr>
        <w:rFonts w:hint="default"/>
        <w:lang w:val="en-US" w:eastAsia="en-US" w:bidi="ar-SA"/>
      </w:rPr>
    </w:lvl>
    <w:lvl w:ilvl="7" w:tplc="8DA22574">
      <w:numFmt w:val="bullet"/>
      <w:lvlText w:val="•"/>
      <w:lvlJc w:val="left"/>
      <w:pPr>
        <w:ind w:left="5388" w:hanging="166"/>
      </w:pPr>
      <w:rPr>
        <w:rFonts w:hint="default"/>
        <w:lang w:val="en-US" w:eastAsia="en-US" w:bidi="ar-SA"/>
      </w:rPr>
    </w:lvl>
    <w:lvl w:ilvl="8" w:tplc="26A6F188">
      <w:numFmt w:val="bullet"/>
      <w:lvlText w:val="•"/>
      <w:lvlJc w:val="left"/>
      <w:pPr>
        <w:ind w:left="6081" w:hanging="166"/>
      </w:pPr>
      <w:rPr>
        <w:rFonts w:hint="default"/>
        <w:lang w:val="en-US" w:eastAsia="en-US" w:bidi="ar-SA"/>
      </w:rPr>
    </w:lvl>
  </w:abstractNum>
  <w:abstractNum w:abstractNumId="1" w15:restartNumberingAfterBreak="0">
    <w:nsid w:val="101368C7"/>
    <w:multiLevelType w:val="hybridMultilevel"/>
    <w:tmpl w:val="E0A6D666"/>
    <w:lvl w:ilvl="0" w:tplc="08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1C9F3C7D"/>
    <w:multiLevelType w:val="hybridMultilevel"/>
    <w:tmpl w:val="424840CA"/>
    <w:lvl w:ilvl="0" w:tplc="51B4EEC2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2" w:hanging="360"/>
      </w:pPr>
    </w:lvl>
    <w:lvl w:ilvl="2" w:tplc="0809001B" w:tentative="1">
      <w:start w:val="1"/>
      <w:numFmt w:val="lowerRoman"/>
      <w:lvlText w:val="%3."/>
      <w:lvlJc w:val="right"/>
      <w:pPr>
        <w:ind w:left="1912" w:hanging="180"/>
      </w:pPr>
    </w:lvl>
    <w:lvl w:ilvl="3" w:tplc="0809000F" w:tentative="1">
      <w:start w:val="1"/>
      <w:numFmt w:val="decimal"/>
      <w:lvlText w:val="%4."/>
      <w:lvlJc w:val="left"/>
      <w:pPr>
        <w:ind w:left="2632" w:hanging="360"/>
      </w:pPr>
    </w:lvl>
    <w:lvl w:ilvl="4" w:tplc="08090019" w:tentative="1">
      <w:start w:val="1"/>
      <w:numFmt w:val="lowerLetter"/>
      <w:lvlText w:val="%5."/>
      <w:lvlJc w:val="left"/>
      <w:pPr>
        <w:ind w:left="3352" w:hanging="360"/>
      </w:pPr>
    </w:lvl>
    <w:lvl w:ilvl="5" w:tplc="0809001B" w:tentative="1">
      <w:start w:val="1"/>
      <w:numFmt w:val="lowerRoman"/>
      <w:lvlText w:val="%6."/>
      <w:lvlJc w:val="right"/>
      <w:pPr>
        <w:ind w:left="4072" w:hanging="180"/>
      </w:pPr>
    </w:lvl>
    <w:lvl w:ilvl="6" w:tplc="0809000F" w:tentative="1">
      <w:start w:val="1"/>
      <w:numFmt w:val="decimal"/>
      <w:lvlText w:val="%7."/>
      <w:lvlJc w:val="left"/>
      <w:pPr>
        <w:ind w:left="4792" w:hanging="360"/>
      </w:pPr>
    </w:lvl>
    <w:lvl w:ilvl="7" w:tplc="08090019" w:tentative="1">
      <w:start w:val="1"/>
      <w:numFmt w:val="lowerLetter"/>
      <w:lvlText w:val="%8."/>
      <w:lvlJc w:val="left"/>
      <w:pPr>
        <w:ind w:left="5512" w:hanging="360"/>
      </w:pPr>
    </w:lvl>
    <w:lvl w:ilvl="8" w:tplc="08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626C26D4"/>
    <w:multiLevelType w:val="hybridMultilevel"/>
    <w:tmpl w:val="04AA4488"/>
    <w:lvl w:ilvl="0" w:tplc="8018A0B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C742A91A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2" w:tplc="BFCA1DB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ar-SA"/>
      </w:rPr>
    </w:lvl>
    <w:lvl w:ilvl="3" w:tplc="7F9E410C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4" w:tplc="B5D64C04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5" w:tplc="867E1470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6" w:tplc="850A7142">
      <w:numFmt w:val="bullet"/>
      <w:lvlText w:val="•"/>
      <w:lvlJc w:val="left"/>
      <w:pPr>
        <w:ind w:left="4447" w:hanging="360"/>
      </w:pPr>
      <w:rPr>
        <w:rFonts w:hint="default"/>
        <w:lang w:val="en-US" w:eastAsia="en-US" w:bidi="ar-SA"/>
      </w:rPr>
    </w:lvl>
    <w:lvl w:ilvl="7" w:tplc="62A01346">
      <w:numFmt w:val="bullet"/>
      <w:lvlText w:val="•"/>
      <w:lvlJc w:val="left"/>
      <w:pPr>
        <w:ind w:left="5111" w:hanging="360"/>
      </w:pPr>
      <w:rPr>
        <w:rFonts w:hint="default"/>
        <w:lang w:val="en-US" w:eastAsia="en-US" w:bidi="ar-SA"/>
      </w:rPr>
    </w:lvl>
    <w:lvl w:ilvl="8" w:tplc="A8963486">
      <w:numFmt w:val="bullet"/>
      <w:lvlText w:val="•"/>
      <w:lvlJc w:val="left"/>
      <w:pPr>
        <w:ind w:left="577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87455D5"/>
    <w:multiLevelType w:val="hybridMultilevel"/>
    <w:tmpl w:val="0B1684A4"/>
    <w:lvl w:ilvl="0" w:tplc="2C3671F4">
      <w:start w:val="1"/>
      <w:numFmt w:val="decimal"/>
      <w:lvlText w:val="%1)"/>
      <w:lvlJc w:val="left"/>
      <w:pPr>
        <w:ind w:left="467" w:hanging="360"/>
      </w:pPr>
      <w:rPr>
        <w:rFonts w:ascii="Open Sans" w:eastAsia="Lucida Sans Unicode" w:hAnsi="Open Sans" w:cs="Open Sans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872302984">
    <w:abstractNumId w:val="3"/>
  </w:num>
  <w:num w:numId="2" w16cid:durableId="334113085">
    <w:abstractNumId w:val="0"/>
  </w:num>
  <w:num w:numId="3" w16cid:durableId="1360354830">
    <w:abstractNumId w:val="1"/>
  </w:num>
  <w:num w:numId="4" w16cid:durableId="79254789">
    <w:abstractNumId w:val="4"/>
  </w:num>
  <w:num w:numId="5" w16cid:durableId="689186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3"/>
    <w:rsid w:val="001931F5"/>
    <w:rsid w:val="001D62B7"/>
    <w:rsid w:val="00266886"/>
    <w:rsid w:val="002B42CE"/>
    <w:rsid w:val="00384C49"/>
    <w:rsid w:val="00616259"/>
    <w:rsid w:val="00684CC7"/>
    <w:rsid w:val="00726B83"/>
    <w:rsid w:val="00856040"/>
    <w:rsid w:val="009D6C07"/>
    <w:rsid w:val="00AE1E45"/>
    <w:rsid w:val="00B84651"/>
    <w:rsid w:val="00D22C71"/>
    <w:rsid w:val="00DA1527"/>
    <w:rsid w:val="00E3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C4A0E"/>
  <w15:docId w15:val="{8CFC916F-7E2B-4287-9F02-D82A753F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rFonts w:ascii="Calibri" w:eastAsia="Calibri" w:hAnsi="Calibri" w:cs="Calibri"/>
      <w:sz w:val="24"/>
      <w:szCs w:val="24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mo.ro/download/Rezumat%20proiect%20ROHU29%20R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quares.r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796</Words>
  <Characters>5496</Characters>
  <Application>Microsoft Office Word</Application>
  <DocSecurity>0</DocSecurity>
  <Lines>45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 Mihai</dc:creator>
  <cp:lastModifiedBy>Fekete Viktor</cp:lastModifiedBy>
  <cp:revision>2</cp:revision>
  <dcterms:created xsi:type="dcterms:W3CDTF">2026-02-03T11:15:00Z</dcterms:created>
  <dcterms:modified xsi:type="dcterms:W3CDTF">2026-02-03T11:15:00Z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dfc163fb-2759-4659-9d9a-bc60945223d9</vt:lpwstr>
  </property>
</Properties>
</file>