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7735"/>
      </w:tblGrid>
      <w:tr w:rsidR="008E020C" w14:paraId="3A0D0612" w14:textId="77777777">
        <w:trPr>
          <w:trHeight w:val="383"/>
        </w:trPr>
        <w:tc>
          <w:tcPr>
            <w:tcW w:w="9843" w:type="dxa"/>
            <w:gridSpan w:val="2"/>
            <w:shd w:val="clear" w:color="auto" w:fill="000099"/>
          </w:tcPr>
          <w:p w14:paraId="114C6009" w14:textId="0784157B" w:rsidR="008E020C" w:rsidRPr="00CD3E1A" w:rsidRDefault="00F07CB7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D3E1A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>3</w:t>
            </w:r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>.</w:t>
            </w:r>
            <w:r w:rsidRPr="00CD3E1A">
              <w:rPr>
                <w:rFonts w:ascii="Open Sans" w:hAnsi="Open Sans" w:cs="Open Sans"/>
                <w:b/>
                <w:bCs/>
                <w:color w:val="FFFFFF"/>
                <w:spacing w:val="54"/>
                <w:sz w:val="24"/>
                <w:szCs w:val="24"/>
                <w:shd w:val="clear" w:color="auto" w:fill="00008A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>Nyílt</w:t>
            </w:r>
            <w:proofErr w:type="spellEnd"/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>pályázati</w:t>
            </w:r>
            <w:proofErr w:type="spellEnd"/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FFFFFF"/>
                <w:w w:val="90"/>
                <w:sz w:val="24"/>
                <w:szCs w:val="24"/>
                <w:shd w:val="clear" w:color="auto" w:fill="00008A"/>
              </w:rPr>
              <w:t>felhívás</w:t>
            </w:r>
            <w:proofErr w:type="spellEnd"/>
          </w:p>
        </w:tc>
      </w:tr>
      <w:tr w:rsidR="008E020C" w14:paraId="0191F7DF" w14:textId="77777777">
        <w:trPr>
          <w:trHeight w:val="386"/>
        </w:trPr>
        <w:tc>
          <w:tcPr>
            <w:tcW w:w="2108" w:type="dxa"/>
          </w:tcPr>
          <w:p w14:paraId="20AEC159" w14:textId="206EA3E4" w:rsidR="008E020C" w:rsidRPr="00C3685A" w:rsidRDefault="00F07CB7">
            <w:pPr>
              <w:pStyle w:val="TableParagraph"/>
              <w:spacing w:line="303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</w:t>
            </w:r>
            <w:r w:rsidR="00032A79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k</w:t>
            </w:r>
            <w:r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t</w:t>
            </w:r>
            <w:r w:rsidRPr="00C3685A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kód</w:t>
            </w:r>
            <w:proofErr w:type="spellEnd"/>
          </w:p>
        </w:tc>
        <w:tc>
          <w:tcPr>
            <w:tcW w:w="7735" w:type="dxa"/>
          </w:tcPr>
          <w:p w14:paraId="6B3C40E1" w14:textId="77777777" w:rsidR="008E020C" w:rsidRPr="00C3685A" w:rsidRDefault="00F07CB7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C3685A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C3685A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331</w:t>
            </w:r>
          </w:p>
        </w:tc>
      </w:tr>
      <w:tr w:rsidR="008E020C" w14:paraId="67523038" w14:textId="77777777">
        <w:trPr>
          <w:trHeight w:val="933"/>
        </w:trPr>
        <w:tc>
          <w:tcPr>
            <w:tcW w:w="2108" w:type="dxa"/>
          </w:tcPr>
          <w:p w14:paraId="57DECA80" w14:textId="77777777" w:rsidR="008E020C" w:rsidRPr="00C3685A" w:rsidRDefault="008E020C">
            <w:pPr>
              <w:pStyle w:val="TableParagraph"/>
              <w:spacing w:before="15"/>
              <w:rPr>
                <w:rFonts w:ascii="Open Sans" w:hAnsi="Open Sans" w:cs="Open Sans"/>
                <w:b/>
                <w:bCs/>
              </w:rPr>
            </w:pPr>
          </w:p>
          <w:p w14:paraId="190B7BF3" w14:textId="7821AFC2" w:rsidR="008E020C" w:rsidRPr="00C3685A" w:rsidRDefault="00F07CB7">
            <w:pPr>
              <w:pStyle w:val="TableParagraph"/>
              <w:spacing w:before="1"/>
              <w:ind w:left="108"/>
              <w:rPr>
                <w:rFonts w:ascii="Open Sans" w:hAnsi="Open Sans" w:cs="Open Sans"/>
                <w:b/>
                <w:bCs/>
              </w:rPr>
            </w:pPr>
            <w:r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</w:t>
            </w:r>
            <w:r w:rsidR="00032A79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k</w:t>
            </w:r>
            <w:r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t</w:t>
            </w:r>
            <w:r w:rsidRPr="00C3685A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cím</w:t>
            </w:r>
            <w:proofErr w:type="spellEnd"/>
          </w:p>
        </w:tc>
        <w:tc>
          <w:tcPr>
            <w:tcW w:w="7735" w:type="dxa"/>
          </w:tcPr>
          <w:p w14:paraId="689EEA59" w14:textId="77777777" w:rsidR="008E020C" w:rsidRPr="00C3685A" w:rsidRDefault="00F07CB7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CAREER</w:t>
            </w:r>
          </w:p>
          <w:p w14:paraId="339146B4" w14:textId="325BF21D" w:rsidR="008E020C" w:rsidRPr="00C3685A" w:rsidRDefault="00032A79">
            <w:pPr>
              <w:pStyle w:val="TableParagraph"/>
              <w:spacing w:before="16" w:line="298" w:lineRule="exact"/>
              <w:ind w:left="107"/>
              <w:rPr>
                <w:rFonts w:ascii="Open Sans" w:hAnsi="Open Sans" w:cs="Open Sans"/>
              </w:rPr>
            </w:pP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Határon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átnyúló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hálózat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szakmai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karrierfejlesztés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támogatására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határmenti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régióban</w:t>
            </w:r>
            <w:proofErr w:type="spellEnd"/>
          </w:p>
        </w:tc>
      </w:tr>
      <w:tr w:rsidR="008E020C" w14:paraId="7EFB541A" w14:textId="77777777">
        <w:trPr>
          <w:trHeight w:val="611"/>
        </w:trPr>
        <w:tc>
          <w:tcPr>
            <w:tcW w:w="2108" w:type="dxa"/>
          </w:tcPr>
          <w:p w14:paraId="5710C376" w14:textId="531B53ED" w:rsidR="008E020C" w:rsidRPr="00C3685A" w:rsidRDefault="00F07CB7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 w:rsidRPr="00C3685A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</w:t>
            </w:r>
            <w:r w:rsidR="00032A79">
              <w:rPr>
                <w:rFonts w:ascii="Open Sans" w:hAnsi="Open Sans" w:cs="Open Sans"/>
                <w:b/>
                <w:bCs/>
                <w:color w:val="003399"/>
                <w:w w:val="90"/>
              </w:rPr>
              <w:t>tási</w:t>
            </w:r>
            <w:proofErr w:type="spellEnd"/>
            <w:r w:rsidRPr="00C3685A">
              <w:rPr>
                <w:rFonts w:ascii="Open Sans" w:hAnsi="Open Sans" w:cs="Open Sans"/>
                <w:b/>
                <w:bCs/>
                <w:color w:val="003399"/>
                <w:spacing w:val="14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735" w:type="dxa"/>
          </w:tcPr>
          <w:p w14:paraId="38B47BBA" w14:textId="18C5B314" w:rsidR="008E020C" w:rsidRPr="00C3685A" w:rsidRDefault="00F07CB7">
            <w:pPr>
              <w:pStyle w:val="TableParagraph"/>
              <w:spacing w:before="7" w:line="255" w:lineRule="exact"/>
              <w:ind w:left="107"/>
              <w:rPr>
                <w:rFonts w:ascii="Open Sans" w:hAnsi="Open Sans" w:cs="Open Sans"/>
              </w:rPr>
            </w:pPr>
            <w:r w:rsidRPr="00C3685A">
              <w:rPr>
                <w:rFonts w:ascii="Open Sans" w:hAnsi="Open Sans" w:cs="Open Sans"/>
                <w:color w:val="003399"/>
                <w:w w:val="95"/>
              </w:rPr>
              <w:t>3</w:t>
            </w:r>
            <w:r w:rsidRPr="00C3685A">
              <w:rPr>
                <w:rFonts w:ascii="Open Sans" w:hAnsi="Open Sans" w:cs="Open Sans"/>
                <w:color w:val="003399"/>
                <w:spacing w:val="63"/>
              </w:rPr>
              <w:t xml:space="preserve"> </w:t>
            </w:r>
            <w:r w:rsidRPr="00C3685A">
              <w:rPr>
                <w:rFonts w:ascii="Open Sans" w:hAnsi="Open Sans" w:cs="Open Sans"/>
                <w:color w:val="003399"/>
                <w:w w:val="95"/>
              </w:rPr>
              <w:t>-</w:t>
            </w:r>
            <w:r w:rsidRPr="00C3685A">
              <w:rPr>
                <w:rFonts w:ascii="Open Sans" w:hAnsi="Open Sans" w:cs="Open Sans"/>
                <w:color w:val="003399"/>
                <w:spacing w:val="64"/>
              </w:rPr>
              <w:t xml:space="preserve"> </w:t>
            </w:r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foglalkoztatás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javítása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és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határon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átnyúló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munkaerő-mobilitás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előmozdítása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(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Együttműködés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 xml:space="preserve"> 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foglalkoztatásban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w w:val="95"/>
              </w:rPr>
              <w:t>)</w:t>
            </w:r>
          </w:p>
        </w:tc>
      </w:tr>
      <w:tr w:rsidR="008E020C" w14:paraId="0C3236C6" w14:textId="77777777">
        <w:trPr>
          <w:trHeight w:val="1725"/>
        </w:trPr>
        <w:tc>
          <w:tcPr>
            <w:tcW w:w="2108" w:type="dxa"/>
          </w:tcPr>
          <w:p w14:paraId="0AD658DE" w14:textId="77777777" w:rsidR="008E020C" w:rsidRPr="00C3685A" w:rsidRDefault="008E020C">
            <w:pPr>
              <w:pStyle w:val="TableParagraph"/>
              <w:spacing w:before="227"/>
              <w:rPr>
                <w:rFonts w:ascii="Open Sans" w:hAnsi="Open Sans" w:cs="Open Sans"/>
                <w:b/>
                <w:bCs/>
              </w:rPr>
            </w:pPr>
          </w:p>
          <w:p w14:paraId="5C1BF405" w14:textId="53A7C44B" w:rsidR="008E020C" w:rsidRPr="00C3685A" w:rsidRDefault="00032A79">
            <w:pPr>
              <w:pStyle w:val="TableParagraph"/>
              <w:spacing w:line="266" w:lineRule="auto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Beruházási</w:t>
            </w:r>
            <w:proofErr w:type="spellEnd"/>
            <w:r w:rsidR="00F07CB7" w:rsidRPr="00C3685A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prioritás</w:t>
            </w:r>
            <w:proofErr w:type="spellEnd"/>
          </w:p>
        </w:tc>
        <w:tc>
          <w:tcPr>
            <w:tcW w:w="7735" w:type="dxa"/>
          </w:tcPr>
          <w:p w14:paraId="7639384F" w14:textId="51D496DB" w:rsidR="008E020C" w:rsidRPr="00C3685A" w:rsidRDefault="00F07CB7">
            <w:pPr>
              <w:pStyle w:val="TableParagraph"/>
              <w:spacing w:line="334" w:lineRule="exact"/>
              <w:ind w:left="107"/>
              <w:rPr>
                <w:rFonts w:ascii="Open Sans" w:hAnsi="Open Sans" w:cs="Open Sans"/>
              </w:rPr>
            </w:pPr>
            <w:r w:rsidRPr="00C3685A">
              <w:rPr>
                <w:rFonts w:ascii="Open Sans" w:hAnsi="Open Sans" w:cs="Open Sans"/>
                <w:color w:val="003399"/>
                <w:spacing w:val="-6"/>
              </w:rPr>
              <w:t>8/b,</w:t>
            </w:r>
            <w:r w:rsidRPr="00C3685A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foglalkoztatásbarát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növekedés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támogatása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belső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potenciál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fejlesztésével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,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egy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adott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területekre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vonatkozó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területi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stratégia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részeként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,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beleértve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hanyatló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ipari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régiók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átalakítását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,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valamint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a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specifikus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természeti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és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kulturális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erőforrások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elérhetőségének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javítását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és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fejlesztését</w:t>
            </w:r>
            <w:proofErr w:type="spellEnd"/>
            <w:r w:rsidR="00032A79" w:rsidRPr="00032A79">
              <w:rPr>
                <w:rFonts w:ascii="Open Sans" w:hAnsi="Open Sans" w:cs="Open Sans"/>
                <w:color w:val="003399"/>
                <w:spacing w:val="-6"/>
              </w:rPr>
              <w:t>.</w:t>
            </w:r>
          </w:p>
        </w:tc>
      </w:tr>
      <w:tr w:rsidR="008E020C" w14:paraId="76899FC5" w14:textId="77777777">
        <w:trPr>
          <w:trHeight w:val="611"/>
        </w:trPr>
        <w:tc>
          <w:tcPr>
            <w:tcW w:w="2108" w:type="dxa"/>
          </w:tcPr>
          <w:p w14:paraId="7D6BF802" w14:textId="6AE2AD94" w:rsidR="008E020C" w:rsidRPr="00C3685A" w:rsidRDefault="00032A79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Megvalósítás</w:t>
            </w:r>
            <w:proofErr w:type="spellEnd"/>
          </w:p>
          <w:p w14:paraId="321659C4" w14:textId="7E7561E4" w:rsidR="008E020C" w:rsidRPr="00C3685A" w:rsidRDefault="00032A79">
            <w:pPr>
              <w:pStyle w:val="TableParagraph"/>
              <w:spacing w:before="35" w:line="256" w:lineRule="exact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időtartama</w:t>
            </w:r>
            <w:proofErr w:type="spellEnd"/>
          </w:p>
        </w:tc>
        <w:tc>
          <w:tcPr>
            <w:tcW w:w="7735" w:type="dxa"/>
          </w:tcPr>
          <w:p w14:paraId="1E7E838E" w14:textId="234A6F87" w:rsidR="008E020C" w:rsidRPr="00C3685A" w:rsidRDefault="00F07CB7">
            <w:pPr>
              <w:pStyle w:val="TableParagraph"/>
              <w:spacing w:before="118"/>
              <w:ind w:left="107"/>
              <w:rPr>
                <w:rFonts w:ascii="Open Sans" w:hAnsi="Open Sans" w:cs="Open Sans"/>
              </w:rPr>
            </w:pPr>
            <w:r w:rsidRPr="00C3685A">
              <w:rPr>
                <w:rFonts w:ascii="Open Sans" w:hAnsi="Open Sans" w:cs="Open Sans"/>
                <w:color w:val="003399"/>
                <w:spacing w:val="-8"/>
              </w:rPr>
              <w:t>58</w:t>
            </w:r>
            <w:r w:rsidRPr="00C3685A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color w:val="003399"/>
                <w:spacing w:val="-8"/>
              </w:rPr>
              <w:t>hónap</w:t>
            </w:r>
            <w:proofErr w:type="spellEnd"/>
            <w:r w:rsidRPr="00C3685A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C3685A">
              <w:rPr>
                <w:rFonts w:ascii="Open Sans" w:hAnsi="Open Sans" w:cs="Open Sans"/>
                <w:color w:val="003399"/>
                <w:spacing w:val="-8"/>
              </w:rPr>
              <w:t>(2019</w:t>
            </w:r>
            <w:r w:rsidR="00032A79">
              <w:rPr>
                <w:rFonts w:ascii="Open Sans" w:hAnsi="Open Sans" w:cs="Open Sans"/>
                <w:color w:val="003399"/>
                <w:spacing w:val="-8"/>
              </w:rPr>
              <w:t xml:space="preserve">. </w:t>
            </w:r>
            <w:proofErr w:type="spellStart"/>
            <w:r w:rsidR="00032A79">
              <w:rPr>
                <w:rFonts w:ascii="Open Sans" w:hAnsi="Open Sans" w:cs="Open Sans"/>
                <w:color w:val="003399"/>
                <w:spacing w:val="-8"/>
              </w:rPr>
              <w:t>március</w:t>
            </w:r>
            <w:proofErr w:type="spellEnd"/>
            <w:r w:rsidR="00032A79">
              <w:rPr>
                <w:rFonts w:ascii="Open Sans" w:hAnsi="Open Sans" w:cs="Open Sans"/>
                <w:color w:val="003399"/>
                <w:spacing w:val="-8"/>
              </w:rPr>
              <w:t xml:space="preserve"> 1.</w:t>
            </w:r>
            <w:r w:rsidRPr="00C3685A">
              <w:rPr>
                <w:rFonts w:ascii="Open Sans" w:hAnsi="Open Sans" w:cs="Open Sans"/>
                <w:color w:val="003399"/>
                <w:spacing w:val="-8"/>
              </w:rPr>
              <w:t xml:space="preserve"> –2023</w:t>
            </w:r>
            <w:r w:rsidR="00032A79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="00032A79">
              <w:rPr>
                <w:rFonts w:ascii="Open Sans" w:hAnsi="Open Sans" w:cs="Open Sans"/>
                <w:color w:val="003399"/>
                <w:spacing w:val="-8"/>
              </w:rPr>
              <w:t>december</w:t>
            </w:r>
            <w:proofErr w:type="spellEnd"/>
            <w:r w:rsidR="00032A79">
              <w:rPr>
                <w:rFonts w:ascii="Open Sans" w:hAnsi="Open Sans" w:cs="Open Sans"/>
                <w:color w:val="003399"/>
                <w:spacing w:val="-8"/>
              </w:rPr>
              <w:t xml:space="preserve"> 31.</w:t>
            </w:r>
            <w:r w:rsidRPr="00C3685A">
              <w:rPr>
                <w:rFonts w:ascii="Open Sans" w:hAnsi="Open Sans" w:cs="Open Sans"/>
                <w:color w:val="003399"/>
                <w:spacing w:val="-8"/>
              </w:rPr>
              <w:t>)</w:t>
            </w:r>
          </w:p>
        </w:tc>
      </w:tr>
      <w:tr w:rsidR="008E020C" w14:paraId="35A95C2E" w14:textId="77777777">
        <w:trPr>
          <w:trHeight w:val="1257"/>
        </w:trPr>
        <w:tc>
          <w:tcPr>
            <w:tcW w:w="2108" w:type="dxa"/>
          </w:tcPr>
          <w:p w14:paraId="18C349D2" w14:textId="77777777" w:rsidR="008E020C" w:rsidRPr="00C3685A" w:rsidRDefault="008E020C">
            <w:pPr>
              <w:pStyle w:val="TableParagraph"/>
              <w:spacing w:before="133"/>
              <w:rPr>
                <w:rFonts w:ascii="Open Sans" w:hAnsi="Open Sans" w:cs="Open Sans"/>
                <w:b/>
                <w:bCs/>
              </w:rPr>
            </w:pPr>
          </w:p>
          <w:p w14:paraId="16F3BD81" w14:textId="5D1CDFFF" w:rsidR="008E020C" w:rsidRPr="00C3685A" w:rsidRDefault="00032A79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Célkitűzés</w:t>
            </w:r>
            <w:proofErr w:type="spellEnd"/>
          </w:p>
        </w:tc>
        <w:tc>
          <w:tcPr>
            <w:tcW w:w="7735" w:type="dxa"/>
          </w:tcPr>
          <w:p w14:paraId="1FB9CAE4" w14:textId="7FCED78D" w:rsidR="008E020C" w:rsidRPr="00C3685A" w:rsidRDefault="00032A79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célkitűzés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foglalkoztatási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ráta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növelése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volt Bihar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megyékben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tanácsadási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fejlesztésén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szemléletformáláson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tudatosságnövelésen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fiatalok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karrierépítését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támogató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kompetenciáinak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fejlesztésén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keresztül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8E020C" w14:paraId="5846E952" w14:textId="77777777">
        <w:trPr>
          <w:trHeight w:val="326"/>
        </w:trPr>
        <w:tc>
          <w:tcPr>
            <w:tcW w:w="2108" w:type="dxa"/>
            <w:vMerge w:val="restart"/>
          </w:tcPr>
          <w:p w14:paraId="3D4211E6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2AB57F72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FE6F88E" w14:textId="77777777" w:rsidR="008E020C" w:rsidRPr="00C3685A" w:rsidRDefault="008E020C">
            <w:pPr>
              <w:pStyle w:val="TableParagraph"/>
              <w:spacing w:before="81"/>
              <w:rPr>
                <w:rFonts w:ascii="Open Sans" w:hAnsi="Open Sans" w:cs="Open Sans"/>
                <w:b/>
                <w:bCs/>
              </w:rPr>
            </w:pPr>
          </w:p>
          <w:p w14:paraId="2ADA25A5" w14:textId="2DE7ABFE" w:rsidR="008E020C" w:rsidRPr="00C3685A" w:rsidRDefault="00032A79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Partnerség</w:t>
            </w:r>
            <w:proofErr w:type="spellEnd"/>
          </w:p>
        </w:tc>
        <w:tc>
          <w:tcPr>
            <w:tcW w:w="7735" w:type="dxa"/>
          </w:tcPr>
          <w:p w14:paraId="0DE2FE6A" w14:textId="484E444A" w:rsidR="008E020C" w:rsidRPr="00C3685A" w:rsidRDefault="00032A79">
            <w:pPr>
              <w:pStyle w:val="TableParagraph"/>
              <w:spacing w:line="306" w:lineRule="exact"/>
              <w:ind w:left="107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Vezető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kedvezményezett</w:t>
            </w:r>
            <w:proofErr w:type="spellEnd"/>
            <w:r w:rsidR="00F07CB7" w:rsidRPr="00C3685A">
              <w:rPr>
                <w:rFonts w:ascii="Open Sans" w:hAnsi="Open Sans" w:cs="Open Sans"/>
                <w:color w:val="003399"/>
                <w:spacing w:val="-8"/>
              </w:rPr>
              <w:t>:</w:t>
            </w:r>
            <w:r w:rsidR="00F07CB7" w:rsidRPr="00C3685A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032A79">
              <w:rPr>
                <w:rFonts w:ascii="Open Sans" w:hAnsi="Open Sans" w:cs="Open Sans"/>
                <w:color w:val="003399"/>
                <w:spacing w:val="-8"/>
              </w:rPr>
              <w:t xml:space="preserve">Don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8"/>
              </w:rPr>
              <w:t>Orione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8"/>
              </w:rPr>
              <w:t>Jótékonysági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8"/>
              </w:rPr>
              <w:t>Társaság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8"/>
              </w:rPr>
              <w:t xml:space="preserve">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8"/>
              </w:rPr>
              <w:t>Románia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8"/>
              </w:rPr>
              <w:t>)</w:t>
            </w:r>
          </w:p>
        </w:tc>
      </w:tr>
      <w:tr w:rsidR="008E020C" w14:paraId="0BD4DF5A" w14:textId="77777777">
        <w:trPr>
          <w:trHeight w:val="1797"/>
        </w:trPr>
        <w:tc>
          <w:tcPr>
            <w:tcW w:w="2108" w:type="dxa"/>
            <w:vMerge/>
            <w:tcBorders>
              <w:top w:val="nil"/>
            </w:tcBorders>
          </w:tcPr>
          <w:p w14:paraId="3371CD33" w14:textId="77777777" w:rsidR="008E020C" w:rsidRPr="00C3685A" w:rsidRDefault="008E020C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735" w:type="dxa"/>
          </w:tcPr>
          <w:p w14:paraId="2FD9F246" w14:textId="73777E40" w:rsidR="008E020C" w:rsidRPr="00C3685A" w:rsidRDefault="00032A79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Projekt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partnerek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:</w:t>
            </w:r>
          </w:p>
          <w:p w14:paraId="76D449C6" w14:textId="77777777" w:rsidR="00032A79" w:rsidRDefault="00032A79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  <w:spacing w:val="-4"/>
              </w:rPr>
            </w:pPr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PP2: Bihar Megyei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Foglalkoztatási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Ügynökség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Románia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>)</w:t>
            </w:r>
          </w:p>
          <w:p w14:paraId="5C11AABF" w14:textId="77777777" w:rsidR="00032A79" w:rsidRDefault="00032A79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  <w:spacing w:val="-4"/>
              </w:rPr>
            </w:pPr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PP3: Békés Megyei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Kereskedelmi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Iparkamara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Magyarország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>)</w:t>
            </w:r>
          </w:p>
          <w:p w14:paraId="06B263F7" w14:textId="77777777" w:rsidR="00032A79" w:rsidRDefault="00032A79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  <w:spacing w:val="-4"/>
              </w:rPr>
            </w:pPr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PP4: Békés Megyei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Kormányhivatal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Magyarország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>)</w:t>
            </w:r>
          </w:p>
          <w:p w14:paraId="78E532A5" w14:textId="505C799D" w:rsidR="008E020C" w:rsidRPr="00C3685A" w:rsidRDefault="00032A79">
            <w:pPr>
              <w:pStyle w:val="TableParagraph"/>
              <w:spacing w:before="1"/>
              <w:ind w:left="107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PP5: Békés Megyei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Vállalkozásfejlesztési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 xml:space="preserve"> Alapítvány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4"/>
              </w:rPr>
              <w:t>Magyarország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4"/>
              </w:rPr>
              <w:t>)</w:t>
            </w:r>
          </w:p>
        </w:tc>
      </w:tr>
      <w:tr w:rsidR="008E020C" w14:paraId="4543F53D" w14:textId="77777777">
        <w:trPr>
          <w:trHeight w:val="441"/>
        </w:trPr>
        <w:tc>
          <w:tcPr>
            <w:tcW w:w="2108" w:type="dxa"/>
          </w:tcPr>
          <w:p w14:paraId="00893978" w14:textId="46B681DA" w:rsidR="008E020C" w:rsidRPr="00C3685A" w:rsidRDefault="00032A79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w w:val="85"/>
              </w:rPr>
              <w:t>Teljes</w:t>
            </w:r>
            <w:proofErr w:type="spellEnd"/>
            <w:r w:rsidR="00F07CB7" w:rsidRPr="00C3685A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>k</w:t>
            </w:r>
            <w:r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öltségvetés</w:t>
            </w:r>
            <w:proofErr w:type="spellEnd"/>
          </w:p>
        </w:tc>
        <w:tc>
          <w:tcPr>
            <w:tcW w:w="7735" w:type="dxa"/>
          </w:tcPr>
          <w:p w14:paraId="52691A14" w14:textId="77777777" w:rsidR="00032A79" w:rsidRDefault="00032A79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w w:val="90"/>
              </w:rPr>
            </w:pPr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2 561 094,80 €,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amelyből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az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ERFA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Európai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Regionális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Fejlesztési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Alap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)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w w:val="90"/>
              </w:rPr>
              <w:t>támogatás</w:t>
            </w:r>
            <w:proofErr w:type="spellEnd"/>
            <w:r w:rsidRPr="00032A79">
              <w:rPr>
                <w:rFonts w:ascii="Open Sans" w:hAnsi="Open Sans" w:cs="Open Sans"/>
                <w:color w:val="003399"/>
                <w:w w:val="90"/>
              </w:rPr>
              <w:t xml:space="preserve"> </w:t>
            </w:r>
          </w:p>
          <w:p w14:paraId="2B6E65CB" w14:textId="2B14A776" w:rsidR="008E020C" w:rsidRPr="00C3685A" w:rsidRDefault="00032A79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  <w:w w:val="90"/>
              </w:rPr>
              <w:t>2 176 930,58 €.</w:t>
            </w:r>
          </w:p>
        </w:tc>
      </w:tr>
      <w:tr w:rsidR="008E020C" w14:paraId="386EF113" w14:textId="77777777">
        <w:trPr>
          <w:trHeight w:val="3638"/>
        </w:trPr>
        <w:tc>
          <w:tcPr>
            <w:tcW w:w="2108" w:type="dxa"/>
          </w:tcPr>
          <w:p w14:paraId="5B23F7FE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DEDB0BB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2A1A729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E96B6B2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6EBAC99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A492C92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43F9F5A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7D11006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A605EDD" w14:textId="77777777" w:rsidR="008E020C" w:rsidRPr="00C3685A" w:rsidRDefault="008E020C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5E243653" w14:textId="77777777" w:rsidR="008E020C" w:rsidRPr="00C3685A" w:rsidRDefault="008E020C">
            <w:pPr>
              <w:pStyle w:val="TableParagraph"/>
              <w:spacing w:before="60"/>
              <w:rPr>
                <w:rFonts w:ascii="Open Sans" w:hAnsi="Open Sans" w:cs="Open Sans"/>
                <w:b/>
                <w:bCs/>
              </w:rPr>
            </w:pPr>
          </w:p>
          <w:p w14:paraId="2E44F9AD" w14:textId="28CB3F57" w:rsidR="008E020C" w:rsidRPr="00C3685A" w:rsidRDefault="00032A79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Összefoglaló</w:t>
            </w:r>
            <w:proofErr w:type="spellEnd"/>
          </w:p>
        </w:tc>
        <w:tc>
          <w:tcPr>
            <w:tcW w:w="7735" w:type="dxa"/>
          </w:tcPr>
          <w:p w14:paraId="3EA0D780" w14:textId="2A2A26C8" w:rsidR="008E020C" w:rsidRDefault="00032A79">
            <w:pPr>
              <w:pStyle w:val="TableParagraph"/>
              <w:spacing w:before="55"/>
              <w:rPr>
                <w:rFonts w:ascii="Open Sans" w:hAnsi="Open Sans" w:cs="Open Sans"/>
                <w:color w:val="003399"/>
              </w:rPr>
            </w:pPr>
            <w:r w:rsidRPr="00032A79">
              <w:rPr>
                <w:rFonts w:ascii="Open Sans" w:hAnsi="Open Sans" w:cs="Open Sans"/>
                <w:color w:val="003399"/>
              </w:rPr>
              <w:t xml:space="preserve">A ROHU-331 projekt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volt,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hogy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megteremtse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tárgyi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hátteret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hatékonyabb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tanácsadási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szolgáltatásokhoz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Bihar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megyékben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Emellett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volt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láthatóságának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növelése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fontosságukkal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tudatosság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fokozása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fiatalok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karrierépítését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támogató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kompetenciák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>.</w:t>
            </w:r>
          </w:p>
          <w:p w14:paraId="6584B663" w14:textId="77777777" w:rsidR="00032A79" w:rsidRPr="00C3685A" w:rsidRDefault="00032A79">
            <w:pPr>
              <w:pStyle w:val="TableParagraph"/>
              <w:spacing w:before="55"/>
              <w:rPr>
                <w:rFonts w:ascii="Open Sans" w:hAnsi="Open Sans" w:cs="Open Sans"/>
              </w:rPr>
            </w:pPr>
          </w:p>
          <w:p w14:paraId="3593B132" w14:textId="77777777" w:rsidR="00032A79" w:rsidRPr="00032A79" w:rsidRDefault="00032A79" w:rsidP="00032A79">
            <w:pPr>
              <w:pStyle w:val="TableParagraph"/>
              <w:tabs>
                <w:tab w:val="left" w:pos="818"/>
                <w:tab w:val="left" w:pos="820"/>
              </w:tabs>
              <w:spacing w:before="34"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  <w:spacing w:val="-6"/>
              </w:rPr>
              <w:t xml:space="preserve">A projekt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6"/>
              </w:rPr>
              <w:t>keretében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6"/>
              </w:rPr>
              <w:t>megvalósított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6"/>
              </w:rPr>
              <w:t>főbb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6"/>
              </w:rPr>
              <w:t>tevékenységek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6"/>
              </w:rPr>
              <w:t>:</w:t>
            </w:r>
          </w:p>
          <w:p w14:paraId="0AF37227" w14:textId="6E8644DB" w:rsidR="008E020C" w:rsidRPr="00C3685A" w:rsidRDefault="00032A79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20"/>
              </w:tabs>
              <w:spacing w:before="34" w:line="213" w:lineRule="auto"/>
              <w:ind w:right="100"/>
              <w:jc w:val="both"/>
              <w:rPr>
                <w:rFonts w:ascii="Open Sans" w:hAnsi="Open Sans" w:cs="Open Sans"/>
              </w:rPr>
            </w:pP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Tanácsadó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Központ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építése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felszerelése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tanácsadói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elvégzéséhez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szükséges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bútorzattal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informatikai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eszközökkel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Nagyváradon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Bihar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megyében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(LB).</w:t>
            </w:r>
          </w:p>
        </w:tc>
      </w:tr>
    </w:tbl>
    <w:p w14:paraId="13233481" w14:textId="77777777" w:rsidR="008E020C" w:rsidRDefault="008E020C">
      <w:pPr>
        <w:pStyle w:val="TableParagraph"/>
        <w:spacing w:line="213" w:lineRule="auto"/>
        <w:jc w:val="both"/>
        <w:sectPr w:rsidR="008E020C">
          <w:headerReference w:type="default" r:id="rId7"/>
          <w:footerReference w:type="default" r:id="rId8"/>
          <w:type w:val="continuous"/>
          <w:pgSz w:w="11910" w:h="16840"/>
          <w:pgMar w:top="2000" w:right="708" w:bottom="860" w:left="1133" w:header="720" w:footer="667" w:gutter="0"/>
          <w:pgNumType w:start="1"/>
          <w:cols w:space="720"/>
        </w:sectPr>
      </w:pPr>
    </w:p>
    <w:p w14:paraId="48A20118" w14:textId="77777777" w:rsidR="008E020C" w:rsidRDefault="008E020C">
      <w:pPr>
        <w:pStyle w:val="Szvegtrzs"/>
        <w:spacing w:before="1"/>
        <w:rPr>
          <w:rFonts w:ascii="Times New Roman"/>
          <w:sz w:val="1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7735"/>
      </w:tblGrid>
      <w:tr w:rsidR="008E020C" w14:paraId="202DA9F7" w14:textId="77777777">
        <w:trPr>
          <w:trHeight w:val="12586"/>
        </w:trPr>
        <w:tc>
          <w:tcPr>
            <w:tcW w:w="2108" w:type="dxa"/>
          </w:tcPr>
          <w:p w14:paraId="0A10D375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5" w:type="dxa"/>
          </w:tcPr>
          <w:p w14:paraId="773BA242" w14:textId="77777777" w:rsidR="005F6573" w:rsidRPr="005F6573" w:rsidRDefault="005F6573" w:rsidP="005F6573">
            <w:pPr>
              <w:pStyle w:val="TableParagraph"/>
              <w:tabs>
                <w:tab w:val="left" w:pos="818"/>
                <w:tab w:val="left" w:pos="820"/>
              </w:tabs>
              <w:spacing w:before="18" w:line="213" w:lineRule="auto"/>
              <w:ind w:left="820" w:right="100"/>
              <w:jc w:val="both"/>
              <w:rPr>
                <w:rFonts w:ascii="Open Sans" w:hAnsi="Open Sans" w:cs="Open Sans"/>
              </w:rPr>
            </w:pPr>
          </w:p>
          <w:p w14:paraId="67173963" w14:textId="010166C2" w:rsidR="00032A79" w:rsidRPr="00032A79" w:rsidRDefault="00032A7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102"/>
              <w:jc w:val="both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</w:rPr>
              <w:t xml:space="preserve">Egy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békéscsabai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épület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felújítása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Tanácsadó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Módszertani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Központ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befogadása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céljából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annak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felszerelése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bútorzattal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informatikai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eszközökkel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(PP4)</w:t>
            </w:r>
            <w:r>
              <w:rPr>
                <w:rFonts w:ascii="Open Sans" w:hAnsi="Open Sans" w:cs="Open Sans"/>
                <w:color w:val="003399"/>
              </w:rPr>
              <w:t>.</w:t>
            </w:r>
          </w:p>
          <w:p w14:paraId="569B4D2B" w14:textId="77777777" w:rsidR="00032A79" w:rsidRPr="00032A79" w:rsidRDefault="00032A79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99"/>
              <w:jc w:val="both"/>
              <w:rPr>
                <w:rFonts w:ascii="Open Sans" w:hAnsi="Open Sans" w:cs="Open Sans"/>
              </w:rPr>
            </w:pPr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15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képzési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alkalom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szervezése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(5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típusú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tanfolyam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x 3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sorozat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) 300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fő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részére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számítástechnikai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készségek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idegennyelvi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képzések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(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angol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olasz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magyar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)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a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vállalkozói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ismeretek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  <w:spacing w:val="-2"/>
              </w:rPr>
              <w:t>területén</w:t>
            </w:r>
            <w:proofErr w:type="spellEnd"/>
            <w:r w:rsidRPr="00032A79">
              <w:rPr>
                <w:rFonts w:ascii="Open Sans" w:hAnsi="Open Sans" w:cs="Open Sans"/>
                <w:color w:val="003399"/>
                <w:spacing w:val="-2"/>
              </w:rPr>
              <w:t xml:space="preserve"> (LB).</w:t>
            </w:r>
          </w:p>
          <w:p w14:paraId="7B94ECA8" w14:textId="77777777" w:rsidR="00032A79" w:rsidRPr="00032A79" w:rsidRDefault="00032A79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89" w:lineRule="exact"/>
              <w:ind w:left="819" w:hanging="568"/>
              <w:jc w:val="both"/>
              <w:rPr>
                <w:rFonts w:ascii="Open Sans" w:hAnsi="Open Sans" w:cs="Open Sans"/>
              </w:rPr>
            </w:pP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Tanácsadási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orientációs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személyiség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fejlesztő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programok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biztosítása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középiskolát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szakiskolát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végzettek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munkanélküliek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munkahelyváltást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tervezők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hátrányos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helyzetű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csoportok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stb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Pr="00032A79">
              <w:rPr>
                <w:rFonts w:ascii="Open Sans" w:hAnsi="Open Sans" w:cs="Open Sans"/>
                <w:color w:val="003399"/>
              </w:rPr>
              <w:t>részére</w:t>
            </w:r>
            <w:proofErr w:type="spellEnd"/>
            <w:r w:rsidRPr="00032A79">
              <w:rPr>
                <w:rFonts w:ascii="Open Sans" w:hAnsi="Open Sans" w:cs="Open Sans"/>
                <w:color w:val="003399"/>
              </w:rPr>
              <w:t xml:space="preserve"> (LB).</w:t>
            </w:r>
          </w:p>
          <w:p w14:paraId="00FB5B25" w14:textId="105B80A0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before="2" w:line="211" w:lineRule="auto"/>
              <w:ind w:right="98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3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Állás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-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spacing w:val="-6"/>
              </w:rPr>
              <w:t>Börze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Nagyváradon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(PP2)</w:t>
            </w:r>
          </w:p>
          <w:p w14:paraId="4A5FB575" w14:textId="0DA5D92B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before="3"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Mobil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iroda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55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tájékoztató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tanácsadó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esemény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Bihar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szerte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1100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személy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részére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(PP2)</w:t>
            </w:r>
          </w:p>
          <w:p w14:paraId="4FA17F18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workshop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konferencia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tudásátadás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Cselekvési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Terv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integrált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munkaerőpiacért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román-magyar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határ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(PP2).</w:t>
            </w:r>
          </w:p>
          <w:p w14:paraId="5E7EB084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Roadshow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18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gimnáziumának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meglátogatása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),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tájékoztatás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tanácsadás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nyújtása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(15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éves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annál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idősebb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tanulók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végzés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utáni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munkaerőpiaci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elhelyezkedési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lehetőségekről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(PP3).</w:t>
            </w:r>
          </w:p>
          <w:p w14:paraId="6E7032DA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11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szakmai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konferencia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szerte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programok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nyújtotta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lehetőségekkel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duális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rendszerben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rejlő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potenciállal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egyéb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kapcsolódó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témákkal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szemléletformálás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(PP3).</w:t>
            </w:r>
          </w:p>
          <w:p w14:paraId="391FAE1F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1" w:lineRule="auto"/>
              <w:ind w:right="105"/>
              <w:jc w:val="both"/>
              <w:rPr>
                <w:rFonts w:ascii="Open Sans" w:hAnsi="Open Sans" w:cs="Open Sans"/>
              </w:rPr>
            </w:pP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szakképzési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rendszeréről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(PP3).</w:t>
            </w:r>
          </w:p>
          <w:p w14:paraId="210D5D3E" w14:textId="77777777" w:rsidR="002867BC" w:rsidRPr="002867BC" w:rsidRDefault="002867BC" w:rsidP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1" w:lineRule="auto"/>
              <w:ind w:right="105"/>
              <w:jc w:val="both"/>
              <w:rPr>
                <w:rFonts w:ascii="Open Sans" w:hAnsi="Open Sans" w:cs="Open Sans"/>
                <w:color w:val="003399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2 workshop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tudásátadás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partnerekkel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más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érdekelt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intézményekkel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szervezetekkel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(PP4</w:t>
            </w:r>
            <w:proofErr w:type="gramStart"/>
            <w:r w:rsidRPr="002867BC">
              <w:rPr>
                <w:rFonts w:ascii="Open Sans" w:hAnsi="Open Sans" w:cs="Open Sans"/>
                <w:color w:val="003399"/>
              </w:rPr>
              <w:t>);</w:t>
            </w:r>
            <w:proofErr w:type="gramEnd"/>
          </w:p>
          <w:p w14:paraId="2249826C" w14:textId="77777777" w:rsidR="002867BC" w:rsidRPr="002867BC" w:rsidRDefault="002867BC" w:rsidP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101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4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tanácsadó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pont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Szeghalmon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Mezőkovácsházán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Gyulán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Sarkadon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(PP4</w:t>
            </w:r>
            <w:proofErr w:type="gramStart"/>
            <w:r w:rsidRPr="002867BC">
              <w:rPr>
                <w:rFonts w:ascii="Open Sans" w:hAnsi="Open Sans" w:cs="Open Sans"/>
                <w:color w:val="003399"/>
              </w:rPr>
              <w:t>);</w:t>
            </w:r>
            <w:proofErr w:type="gramEnd"/>
          </w:p>
          <w:p w14:paraId="3A00F9C2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99"/>
              <w:jc w:val="both"/>
              <w:rPr>
                <w:rFonts w:ascii="Open Sans" w:hAnsi="Open Sans" w:cs="Open Sans"/>
              </w:rPr>
            </w:pP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Weboldal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mobilalkalmazás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fejlesztése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amelyek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gyakorlati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információkat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nyújtanak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foglalkoztatással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az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álláskereséssel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tanácsadással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kapcsolatban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(PP4).</w:t>
            </w:r>
          </w:p>
          <w:p w14:paraId="7CB84D63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line="291" w:lineRule="exact"/>
              <w:ind w:left="819" w:hanging="568"/>
              <w:jc w:val="both"/>
              <w:rPr>
                <w:rFonts w:ascii="Open Sans" w:hAnsi="Open Sans" w:cs="Open Sans"/>
              </w:rPr>
            </w:pPr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12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szakmai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esemény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tanácsadás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témakörben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420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résztvevő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8"/>
              </w:rPr>
              <w:t>számára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8"/>
              </w:rPr>
              <w:t xml:space="preserve"> (PP4).</w:t>
            </w:r>
          </w:p>
          <w:p w14:paraId="4A8AEF0E" w14:textId="77777777" w:rsidR="002867BC" w:rsidRPr="002867BC" w:rsidRDefault="002867BC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820"/>
              </w:tabs>
              <w:spacing w:line="213" w:lineRule="auto"/>
              <w:ind w:right="97"/>
              <w:jc w:val="both"/>
              <w:rPr>
                <w:rFonts w:ascii="Open Sans" w:hAnsi="Open Sans" w:cs="Open Sans"/>
              </w:rPr>
            </w:pP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spacing w:val="-6"/>
              </w:rPr>
              <w:t>Börze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6"/>
              </w:rPr>
              <w:t>megyében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6"/>
              </w:rPr>
              <w:t xml:space="preserve"> (PP4).</w:t>
            </w:r>
          </w:p>
          <w:p w14:paraId="3BA78413" w14:textId="77777777" w:rsidR="002867BC" w:rsidRPr="002867BC" w:rsidRDefault="002867BC" w:rsidP="002867BC">
            <w:pPr>
              <w:pStyle w:val="TableParagraph"/>
              <w:numPr>
                <w:ilvl w:val="0"/>
                <w:numId w:val="3"/>
              </w:numPr>
              <w:spacing w:line="260" w:lineRule="exact"/>
              <w:jc w:val="both"/>
              <w:rPr>
                <w:rFonts w:ascii="Open Sans" w:hAnsi="Open Sans" w:cs="Open Sans"/>
                <w:color w:val="003399"/>
                <w:spacing w:val="-2"/>
              </w:rPr>
            </w:pP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Vállalkozói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területet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érintő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szoftver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fejlesztése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amely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egy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vállalkozás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irányításával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kapcsolatos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helyzeteket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spacing w:val="-4"/>
              </w:rPr>
              <w:t>szimulál</w:t>
            </w:r>
            <w:proofErr w:type="spellEnd"/>
            <w:r w:rsidRPr="002867BC">
              <w:rPr>
                <w:rFonts w:ascii="Open Sans" w:hAnsi="Open Sans" w:cs="Open Sans"/>
                <w:color w:val="003399"/>
                <w:spacing w:val="-4"/>
              </w:rPr>
              <w:t xml:space="preserve"> (PP5).</w:t>
            </w:r>
          </w:p>
          <w:p w14:paraId="2B8B75A9" w14:textId="2A9C2DFC" w:rsidR="005F6573" w:rsidRPr="005F6573" w:rsidRDefault="002867BC" w:rsidP="002867BC">
            <w:pPr>
              <w:pStyle w:val="TableParagraph"/>
              <w:numPr>
                <w:ilvl w:val="0"/>
                <w:numId w:val="3"/>
              </w:numPr>
              <w:spacing w:line="260" w:lineRule="exact"/>
              <w:jc w:val="both"/>
              <w:rPr>
                <w:rFonts w:ascii="Open Sans" w:hAnsi="Open Sans" w:cs="Open Sans"/>
                <w:color w:val="003399"/>
                <w:spacing w:val="-2"/>
              </w:rPr>
            </w:pPr>
            <w:r w:rsidRPr="002867BC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szoftver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20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alkalommal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történő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bemutatása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10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középiskolájában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4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nyilvános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bemutató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nagyközönség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Békéscsabán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</w:rPr>
              <w:t>Gyulán</w:t>
            </w:r>
            <w:proofErr w:type="spellEnd"/>
            <w:r w:rsidRPr="002867BC">
              <w:rPr>
                <w:rFonts w:ascii="Open Sans" w:hAnsi="Open Sans" w:cs="Open Sans"/>
                <w:color w:val="003399"/>
              </w:rPr>
              <w:t xml:space="preserve"> (PP5).</w:t>
            </w:r>
          </w:p>
        </w:tc>
      </w:tr>
    </w:tbl>
    <w:p w14:paraId="12DE2CD8" w14:textId="77777777" w:rsidR="008E020C" w:rsidRDefault="008E020C">
      <w:pPr>
        <w:pStyle w:val="TableParagraph"/>
        <w:spacing w:line="260" w:lineRule="exact"/>
        <w:jc w:val="both"/>
        <w:sectPr w:rsidR="008E020C">
          <w:pgSz w:w="11910" w:h="16840"/>
          <w:pgMar w:top="2000" w:right="708" w:bottom="860" w:left="1133" w:header="720" w:footer="667" w:gutter="0"/>
          <w:cols w:space="720"/>
        </w:sectPr>
      </w:pPr>
    </w:p>
    <w:p w14:paraId="706B1236" w14:textId="77777777" w:rsidR="008E020C" w:rsidRDefault="008E020C">
      <w:pPr>
        <w:pStyle w:val="Szvegtrzs"/>
        <w:spacing w:before="1"/>
        <w:rPr>
          <w:rFonts w:ascii="Times New Roman"/>
          <w:sz w:val="1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7735"/>
      </w:tblGrid>
      <w:tr w:rsidR="008E020C" w14:paraId="46134757" w14:textId="77777777" w:rsidTr="00706C8A">
        <w:trPr>
          <w:trHeight w:val="7377"/>
        </w:trPr>
        <w:tc>
          <w:tcPr>
            <w:tcW w:w="2108" w:type="dxa"/>
          </w:tcPr>
          <w:p w14:paraId="2695A50E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5E9C3C8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0408A441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A9207DC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2F44703E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6F92D4E2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6EFDE48D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1D35D835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35B41AC8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97446F7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CD3698A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3584BDFB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407920C6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01EB1690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32CD427E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077CADC0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5225E4A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228817EC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5A0A86CF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60E29760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6FD63875" w14:textId="77777777" w:rsidR="008E020C" w:rsidRDefault="008E020C">
            <w:pPr>
              <w:pStyle w:val="TableParagraph"/>
              <w:rPr>
                <w:rFonts w:ascii="Times New Roman"/>
              </w:rPr>
            </w:pPr>
          </w:p>
          <w:p w14:paraId="0840C0A4" w14:textId="77777777" w:rsidR="008E020C" w:rsidRDefault="008E020C">
            <w:pPr>
              <w:pStyle w:val="TableParagraph"/>
              <w:spacing w:before="58"/>
              <w:rPr>
                <w:rFonts w:ascii="Times New Roman"/>
              </w:rPr>
            </w:pPr>
          </w:p>
          <w:p w14:paraId="372B08DA" w14:textId="18486925" w:rsidR="008E020C" w:rsidRPr="00C3685A" w:rsidRDefault="002867BC">
            <w:pPr>
              <w:pStyle w:val="TableParagraph"/>
              <w:ind w:left="369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Fő</w:t>
            </w:r>
            <w:proofErr w:type="spellEnd"/>
            <w:r w:rsidR="00F07CB7" w:rsidRPr="00C3685A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kimenetek</w:t>
            </w:r>
            <w:proofErr w:type="spellEnd"/>
          </w:p>
        </w:tc>
        <w:tc>
          <w:tcPr>
            <w:tcW w:w="7735" w:type="dxa"/>
          </w:tcPr>
          <w:p w14:paraId="08FF72A8" w14:textId="4A527CD0" w:rsidR="008E020C" w:rsidRDefault="002867BC" w:rsidP="00217DF8">
            <w:pPr>
              <w:pStyle w:val="TableParagraph"/>
              <w:spacing w:line="310" w:lineRule="exact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Eredmények</w:t>
            </w:r>
            <w:proofErr w:type="spellEnd"/>
            <w:r w:rsidR="00217DF8" w:rsidRPr="00217DF8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:</w:t>
            </w:r>
          </w:p>
          <w:p w14:paraId="286BD3D2" w14:textId="77777777" w:rsidR="002867BC" w:rsidRDefault="002867BC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1) 4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nagyszabású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Állás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Vásár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megrendezésre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Nagyváradon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Békés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megyében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mint 21 000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résztvevővel</w:t>
            </w:r>
            <w:proofErr w:type="spellEnd"/>
            <w:proofErr w:type="gramStart"/>
            <w:r w:rsidRPr="002867BC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323825E1" w14:textId="77777777" w:rsidR="002867BC" w:rsidRDefault="002867BC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Elkészült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Cselekvési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Terv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integrált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munkaerőpiacért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román-magyar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867BC">
              <w:rPr>
                <w:rFonts w:ascii="Open Sans" w:hAnsi="Open Sans" w:cs="Open Sans"/>
                <w:color w:val="003399"/>
                <w:lang w:val="en-GB"/>
              </w:rPr>
              <w:t>határ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2867BC">
              <w:rPr>
                <w:rFonts w:ascii="Open Sans" w:hAnsi="Open Sans" w:cs="Open Sans"/>
                <w:color w:val="003399"/>
                <w:lang w:val="en-GB"/>
              </w:rPr>
              <w:t>mentén</w:t>
            </w:r>
            <w:proofErr w:type="spellEnd"/>
            <w:r w:rsidRPr="002867BC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731E059C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workshop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megrendezésre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tapasztalatcsere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jó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gyakorlatok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átadása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érdekében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projekt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szempontjából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releváns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területeken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77726B88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4) Egy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országos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nemzetközi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részvétellel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zajló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konferencia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megrendezésre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45145793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5) Roadshow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megvalósítása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(63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Békés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18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általános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iskolájában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amelynek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tanulók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(15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éves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vagy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annál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idősebbek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tájékoztatást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tanácsadást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kaptak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végzés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utáni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munkaerőpiaci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lehetőségekről</w:t>
            </w:r>
            <w:proofErr w:type="spellEnd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7CEA34DC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6) 11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szakképzési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konferencia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12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megrendezésre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Békés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megyében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; 15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rövidfilm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készült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amelyek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szakképesítés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megszerzésének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előnyeit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mutatják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be;</w:t>
            </w:r>
            <w:proofErr w:type="gramEnd"/>
          </w:p>
          <w:p w14:paraId="5F65A153" w14:textId="42034E65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7)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Elkészült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nyomonkövetési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felmérés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Békés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szakképzési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rendszeréről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79A82D8D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8) 2 workshop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megrendezésre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határon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átnyúló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(CBC)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tudásátadás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érdekében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694C7C8D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9)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Elkészült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„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Munkaerőpiaci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szükségletfelmérés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”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című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tanulmány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41F60410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10) 5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új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ANC (Román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Nemzeti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Képesítési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Hatóság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által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tanúsított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program;</w:t>
            </w:r>
            <w:proofErr w:type="gramEnd"/>
          </w:p>
          <w:p w14:paraId="38AFF704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11) 4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információs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pont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jött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létre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Szeghalmon,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Mezőkovácsházán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Gyulán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Sarkadon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(1827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tanácsadás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valósult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meg</w:t>
            </w:r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2EF8466C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12)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Felújításra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békéscsabai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Tanácsadó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Módszertani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Központnak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otthont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adó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épület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(963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kedvezményezett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1996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szervezett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találkozóval</w:t>
            </w:r>
            <w:proofErr w:type="spellEnd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3BBEEC0E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13)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Nagyváradon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(Bihar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Románia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felépült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Szakképzési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beleértve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szükséges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informatikai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bútorok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beszerzését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is.</w:t>
            </w:r>
          </w:p>
          <w:p w14:paraId="314BEE51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14) 3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új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képzett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munkavállaló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nagyváradi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központban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470C2D00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15) 14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képzéssorozat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Nagyváradon 300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fő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részére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alábbi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területeken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informatikai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készségek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idegen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nyelvek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angol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olasz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magyar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vállalkozói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ismeretek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2B697E13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16)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orientációs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személyiség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készségfejlesztő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programok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14FFF235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17)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Tájékoztatási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Bihar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megyében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5813F605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18) Egy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weboldal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mobilalkalmazás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interkarrier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fejlesztése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hasznos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gyakorlati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információkat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nyújt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foglalkoztatással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álláskereséssel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pályaválasztással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kapcsolatban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5CEEEC51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19)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menedzsment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tevékenységeket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segítő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szoftver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fejlesztése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szoftver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bemutatása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Békés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20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kiválasztott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középiskolájában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ED311D2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20) 1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mobil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iroda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AJOFM (Bihar Megyei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Munkaerő-foglalkoztatási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Ügynökség)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által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Nagyváradon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; 62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látogatás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59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településen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összesen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1370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kedvezményezett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részére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32D581CA" w14:textId="250E369C" w:rsidR="008E020C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  <w:lang w:val="en-GB"/>
              </w:rPr>
            </w:pPr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21) 1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darab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mobil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pályaválasztási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tanácsadó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pont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a BMKH (Békés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Vármegyei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Kormányhivatal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által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Békéscsabán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(123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látogatás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680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egyéni</w:t>
            </w:r>
            <w:proofErr w:type="spellEnd"/>
            <w:r w:rsidRPr="00A26CA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  <w:lang w:val="en-GB"/>
              </w:rPr>
              <w:t>tanácsadás</w:t>
            </w:r>
            <w:proofErr w:type="spellEnd"/>
            <w:proofErr w:type="gramStart"/>
            <w:r w:rsidRPr="00A26CA8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32FBC705" w14:textId="23E4D851" w:rsidR="00217DF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Eredmények</w:t>
            </w:r>
            <w:proofErr w:type="spellEnd"/>
            <w:r w:rsidR="00217DF8" w:rsidRPr="00217DF8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:</w:t>
            </w:r>
          </w:p>
          <w:p w14:paraId="67C2EDE9" w14:textId="77777777" w:rsidR="00A26CA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color w:val="003399"/>
              </w:rPr>
            </w:pPr>
            <w:r w:rsidRPr="00A26CA8">
              <w:rPr>
                <w:rFonts w:ascii="Open Sans" w:hAnsi="Open Sans" w:cs="Open Sans"/>
                <w:color w:val="003399"/>
              </w:rPr>
              <w:t xml:space="preserve">1)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célcsoportok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biztosított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emelt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szintű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hozzáférés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foglalkoztatási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kezdeményezésekhez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képzésekhez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Bihar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Békés </w:t>
            </w:r>
            <w:proofErr w:type="spellStart"/>
            <w:proofErr w:type="gramStart"/>
            <w:r w:rsidRPr="00A26CA8">
              <w:rPr>
                <w:rFonts w:ascii="Open Sans" w:hAnsi="Open Sans" w:cs="Open Sans"/>
                <w:color w:val="003399"/>
              </w:rPr>
              <w:t>megyékben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4CC8B8C7" w14:textId="4FBD8601" w:rsidR="00217DF8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b/>
                <w:bCs/>
                <w:color w:val="003399"/>
              </w:rPr>
            </w:pPr>
            <w:r w:rsidRPr="00A26CA8">
              <w:rPr>
                <w:rFonts w:ascii="Open Sans" w:hAnsi="Open Sans" w:cs="Open Sans"/>
                <w:color w:val="003399"/>
              </w:rPr>
              <w:t xml:space="preserve">2)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célcsoport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önértékelési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önismereti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kapacitásának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saját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motivációs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rendszerük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azonosítása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kedvezményezettek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hatékony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pályorientációs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készségeinek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időgazdálkodási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mechanizmusok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stratégiák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meghatározása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kedvezményezettek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megismertetése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szorongást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keltő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stresszes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helyzetekkel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való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megküzdési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(coping)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mechanizmusokkal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>.</w:t>
            </w:r>
          </w:p>
          <w:p w14:paraId="5E50ECB2" w14:textId="52F8FD6E" w:rsidR="005F6573" w:rsidRDefault="00A26CA8" w:rsidP="00217DF8">
            <w:pPr>
              <w:pStyle w:val="TableParagraph"/>
              <w:tabs>
                <w:tab w:val="left" w:pos="827"/>
                <w:tab w:val="left" w:pos="1177"/>
                <w:tab w:val="left" w:pos="2622"/>
                <w:tab w:val="left" w:pos="3483"/>
                <w:tab w:val="left" w:pos="4006"/>
                <w:tab w:val="left" w:pos="4881"/>
                <w:tab w:val="left" w:pos="6035"/>
                <w:tab w:val="left" w:pos="6448"/>
              </w:tabs>
              <w:spacing w:line="244" w:lineRule="auto"/>
              <w:ind w:right="100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Indikátorok</w:t>
            </w:r>
            <w:proofErr w:type="spellEnd"/>
            <w:r w:rsidR="005F6573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97D563E" w14:textId="77777777" w:rsidR="005F6573" w:rsidRDefault="005F6573" w:rsidP="005F6573">
            <w:pPr>
              <w:ind w:firstLine="720"/>
            </w:pPr>
          </w:p>
          <w:p w14:paraId="2C6BC89B" w14:textId="77777777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  <w:r w:rsidRPr="00A26CA8">
              <w:rPr>
                <w:rFonts w:ascii="Open Sans" w:hAnsi="Open Sans" w:cs="Open Sans"/>
                <w:color w:val="003399"/>
              </w:rPr>
              <w:t xml:space="preserve">A Program Output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Indikátor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Mutató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megnevezése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: „CO44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Munkaerőpiac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képzés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: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foglalkoztatási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kezdeményezésekben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képzéseken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vevők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száma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>”.</w:t>
            </w:r>
          </w:p>
          <w:p w14:paraId="3DFB9BA1" w14:textId="77777777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</w:p>
          <w:p w14:paraId="788E479A" w14:textId="52E3DBFF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  <w:proofErr w:type="spellStart"/>
            <w:r w:rsidRPr="00A26CA8">
              <w:rPr>
                <w:rFonts w:ascii="Open Sans" w:hAnsi="Open Sans" w:cs="Open Sans"/>
                <w:color w:val="003399"/>
              </w:rPr>
              <w:t>Tervezett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célérték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: 9 010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résztvevő</w:t>
            </w:r>
            <w:proofErr w:type="spellEnd"/>
          </w:p>
          <w:p w14:paraId="055DD02A" w14:textId="77777777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</w:p>
          <w:p w14:paraId="7B07A06A" w14:textId="41F8CFEA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  <w:proofErr w:type="spellStart"/>
            <w:r w:rsidRPr="00A26CA8">
              <w:rPr>
                <w:rFonts w:ascii="Open Sans" w:hAnsi="Open Sans" w:cs="Open Sans"/>
                <w:color w:val="003399"/>
              </w:rPr>
              <w:t>Ténylegesen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elért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eredmény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: A ROHU–331 projekt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megvalósult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foglalkoztatási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kezdeményezéseken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képzéseken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összesen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15 950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vett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>.</w:t>
            </w:r>
          </w:p>
          <w:p w14:paraId="6EA1F572" w14:textId="77777777" w:rsidR="00A26CA8" w:rsidRPr="00A26CA8" w:rsidRDefault="00A26CA8" w:rsidP="00A26CA8">
            <w:pPr>
              <w:rPr>
                <w:rFonts w:ascii="Open Sans" w:hAnsi="Open Sans" w:cs="Open Sans"/>
                <w:color w:val="003399"/>
              </w:rPr>
            </w:pPr>
          </w:p>
          <w:p w14:paraId="1DDC5C9C" w14:textId="6F0CA525" w:rsidR="00706C8A" w:rsidRDefault="00A26CA8" w:rsidP="00A26CA8">
            <w:pPr>
              <w:rPr>
                <w:rFonts w:ascii="Open Sans" w:hAnsi="Open Sans" w:cs="Open Sans"/>
                <w:color w:val="003399"/>
                <w:spacing w:val="-2"/>
              </w:rPr>
            </w:pPr>
            <w:proofErr w:type="spellStart"/>
            <w:r w:rsidRPr="00A26CA8">
              <w:rPr>
                <w:rFonts w:ascii="Open Sans" w:hAnsi="Open Sans" w:cs="Open Sans"/>
                <w:color w:val="003399"/>
              </w:rPr>
              <w:t>Teljesítési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arány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: A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mutató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121,98%-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os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arányban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A26CA8">
              <w:rPr>
                <w:rFonts w:ascii="Open Sans" w:hAnsi="Open Sans" w:cs="Open Sans"/>
                <w:color w:val="003399"/>
              </w:rPr>
              <w:t>teljesült</w:t>
            </w:r>
            <w:proofErr w:type="spellEnd"/>
            <w:r w:rsidRPr="00A26CA8">
              <w:rPr>
                <w:rFonts w:ascii="Open Sans" w:hAnsi="Open Sans" w:cs="Open Sans"/>
                <w:color w:val="003399"/>
              </w:rPr>
              <w:t>.</w:t>
            </w:r>
          </w:p>
          <w:p w14:paraId="69142D1B" w14:textId="02CDEFF3" w:rsidR="00706C8A" w:rsidRPr="005F6573" w:rsidRDefault="00A26CA8" w:rsidP="005F6573">
            <w:r>
              <w:rPr>
                <w:color w:val="003399"/>
                <w:spacing w:val="-2"/>
              </w:rPr>
              <w:t>Weboldal</w:t>
            </w:r>
            <w:r w:rsidR="00706C8A">
              <w:rPr>
                <w:color w:val="003399"/>
                <w:spacing w:val="-2"/>
              </w:rPr>
              <w:t xml:space="preserve"> </w:t>
            </w:r>
            <w:hyperlink r:id="rId9">
              <w:r w:rsidR="00706C8A">
                <w:rPr>
                  <w:color w:val="0462C1"/>
                  <w:spacing w:val="-4"/>
                  <w:u w:val="single" w:color="0462C1"/>
                </w:rPr>
                <w:t>http://www.oradea.donorioneromania.ro/wp-</w:t>
              </w:r>
            </w:hyperlink>
            <w:r w:rsidR="00706C8A">
              <w:rPr>
                <w:color w:val="0462C1"/>
                <w:spacing w:val="-4"/>
              </w:rPr>
              <w:t xml:space="preserve"> </w:t>
            </w:r>
            <w:hyperlink r:id="rId10">
              <w:r w:rsidR="00706C8A">
                <w:rPr>
                  <w:color w:val="0462C1"/>
                  <w:spacing w:val="-2"/>
                  <w:w w:val="90"/>
                  <w:u w:val="single" w:color="0462C1"/>
                </w:rPr>
                <w:t>content/uploads/2022/03/Project_presentation.pdf</w:t>
              </w:r>
            </w:hyperlink>
          </w:p>
        </w:tc>
      </w:tr>
    </w:tbl>
    <w:p w14:paraId="03F34688" w14:textId="77777777" w:rsidR="008E020C" w:rsidRDefault="008E020C">
      <w:pPr>
        <w:pStyle w:val="Szvegtrzs"/>
        <w:spacing w:before="1"/>
        <w:rPr>
          <w:rFonts w:ascii="Times New Roman"/>
          <w:sz w:val="10"/>
        </w:rPr>
      </w:pPr>
    </w:p>
    <w:p w14:paraId="438C6894" w14:textId="77777777" w:rsidR="00CF5ACE" w:rsidRDefault="00CF5ACE"/>
    <w:sectPr w:rsidR="00CF5ACE">
      <w:pgSz w:w="11910" w:h="16840"/>
      <w:pgMar w:top="2000" w:right="708" w:bottom="860" w:left="1133" w:header="72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0432" w14:textId="77777777" w:rsidR="00CF5ACE" w:rsidRDefault="00CF5ACE">
      <w:r>
        <w:separator/>
      </w:r>
    </w:p>
  </w:endnote>
  <w:endnote w:type="continuationSeparator" w:id="0">
    <w:p w14:paraId="07DEBDF1" w14:textId="77777777" w:rsidR="00CF5ACE" w:rsidRDefault="00CF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2CC6" w14:textId="77777777" w:rsidR="008E020C" w:rsidRDefault="00F07CB7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752D453" wp14:editId="5FA844C6">
              <wp:simplePos x="0" y="0"/>
              <wp:positionH relativeFrom="page">
                <wp:posOffset>902004</wp:posOffset>
              </wp:positionH>
              <wp:positionV relativeFrom="page">
                <wp:posOffset>10129215</wp:posOffset>
              </wp:positionV>
              <wp:extent cx="190881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4A89F" w14:textId="77777777" w:rsidR="008E020C" w:rsidRDefault="00F07CB7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2D45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7.6pt;width:150.3pt;height:14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" filled="f" stroked="f">
              <v:textbox inset="0,0,0,0">
                <w:txbxContent>
                  <w:p w14:paraId="4C14A89F" w14:textId="77777777" w:rsidR="008E020C" w:rsidRDefault="00F07CB7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5634ADA" wp14:editId="5D3B6EC0">
              <wp:simplePos x="0" y="0"/>
              <wp:positionH relativeFrom="page">
                <wp:posOffset>5354192</wp:posOffset>
              </wp:positionH>
              <wp:positionV relativeFrom="page">
                <wp:posOffset>10138358</wp:posOffset>
              </wp:positionV>
              <wp:extent cx="13068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48BA9" w14:textId="77777777" w:rsidR="008E020C" w:rsidRDefault="008E020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34ADA" id="Textbox 7" o:spid="_x0000_s1027" type="#_x0000_t202" style="position:absolute;margin-left:421.6pt;margin-top:798.3pt;width:102.9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CPDxIM&#10;4gAAAA4BAAAPAAAAAAAAAAAAAAAAAPEDAABkcnMvZG93bnJldi54bWxQSwUGAAAAAAQABADzAAAA&#10;AAUAAAAA&#10;" filled="f" stroked="f">
              <v:textbox inset="0,0,0,0">
                <w:txbxContent>
                  <w:p w14:paraId="3CF48BA9" w14:textId="77777777" w:rsidR="008E020C" w:rsidRDefault="008E020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85C4" w14:textId="77777777" w:rsidR="00CF5ACE" w:rsidRDefault="00CF5ACE">
      <w:r>
        <w:separator/>
      </w:r>
    </w:p>
  </w:footnote>
  <w:footnote w:type="continuationSeparator" w:id="0">
    <w:p w14:paraId="25109AB4" w14:textId="77777777" w:rsidR="00CF5ACE" w:rsidRDefault="00CF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3078" w14:textId="77777777" w:rsidR="008E020C" w:rsidRDefault="00F07CB7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 wp14:anchorId="7193BD99" wp14:editId="4BDD9390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4448" behindDoc="1" locked="0" layoutInCell="1" allowOverlap="1" wp14:anchorId="0E72D441" wp14:editId="66458C64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4960" behindDoc="1" locked="0" layoutInCell="1" allowOverlap="1" wp14:anchorId="1527BCCF" wp14:editId="30831AEE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5472" behindDoc="1" locked="0" layoutInCell="1" allowOverlap="1" wp14:anchorId="30ACEC1C" wp14:editId="74EACB3B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5984" behindDoc="1" locked="0" layoutInCell="1" allowOverlap="1" wp14:anchorId="6E838733" wp14:editId="46E6979A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6AB"/>
    <w:multiLevelType w:val="hybridMultilevel"/>
    <w:tmpl w:val="FC90D8FA"/>
    <w:lvl w:ilvl="0" w:tplc="88247046">
      <w:numFmt w:val="bullet"/>
      <w:lvlText w:val=""/>
      <w:lvlJc w:val="left"/>
      <w:pPr>
        <w:ind w:left="820" w:hanging="57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B1A8278E">
      <w:numFmt w:val="bullet"/>
      <w:lvlText w:val="•"/>
      <w:lvlJc w:val="left"/>
      <w:pPr>
        <w:ind w:left="1510" w:hanging="570"/>
      </w:pPr>
      <w:rPr>
        <w:rFonts w:hint="default"/>
        <w:lang w:val="en-US" w:eastAsia="en-US" w:bidi="ar-SA"/>
      </w:rPr>
    </w:lvl>
    <w:lvl w:ilvl="2" w:tplc="FCEED836">
      <w:numFmt w:val="bullet"/>
      <w:lvlText w:val="•"/>
      <w:lvlJc w:val="left"/>
      <w:pPr>
        <w:ind w:left="2201" w:hanging="570"/>
      </w:pPr>
      <w:rPr>
        <w:rFonts w:hint="default"/>
        <w:lang w:val="en-US" w:eastAsia="en-US" w:bidi="ar-SA"/>
      </w:rPr>
    </w:lvl>
    <w:lvl w:ilvl="3" w:tplc="44F6283A">
      <w:numFmt w:val="bullet"/>
      <w:lvlText w:val="•"/>
      <w:lvlJc w:val="left"/>
      <w:pPr>
        <w:ind w:left="2891" w:hanging="570"/>
      </w:pPr>
      <w:rPr>
        <w:rFonts w:hint="default"/>
        <w:lang w:val="en-US" w:eastAsia="en-US" w:bidi="ar-SA"/>
      </w:rPr>
    </w:lvl>
    <w:lvl w:ilvl="4" w:tplc="A1189B6E">
      <w:numFmt w:val="bullet"/>
      <w:lvlText w:val="•"/>
      <w:lvlJc w:val="left"/>
      <w:pPr>
        <w:ind w:left="3582" w:hanging="570"/>
      </w:pPr>
      <w:rPr>
        <w:rFonts w:hint="default"/>
        <w:lang w:val="en-US" w:eastAsia="en-US" w:bidi="ar-SA"/>
      </w:rPr>
    </w:lvl>
    <w:lvl w:ilvl="5" w:tplc="679EA7C2">
      <w:numFmt w:val="bullet"/>
      <w:lvlText w:val="•"/>
      <w:lvlJc w:val="left"/>
      <w:pPr>
        <w:ind w:left="4272" w:hanging="570"/>
      </w:pPr>
      <w:rPr>
        <w:rFonts w:hint="default"/>
        <w:lang w:val="en-US" w:eastAsia="en-US" w:bidi="ar-SA"/>
      </w:rPr>
    </w:lvl>
    <w:lvl w:ilvl="6" w:tplc="33F840C8">
      <w:numFmt w:val="bullet"/>
      <w:lvlText w:val="•"/>
      <w:lvlJc w:val="left"/>
      <w:pPr>
        <w:ind w:left="4963" w:hanging="570"/>
      </w:pPr>
      <w:rPr>
        <w:rFonts w:hint="default"/>
        <w:lang w:val="en-US" w:eastAsia="en-US" w:bidi="ar-SA"/>
      </w:rPr>
    </w:lvl>
    <w:lvl w:ilvl="7" w:tplc="C0C6F102">
      <w:numFmt w:val="bullet"/>
      <w:lvlText w:val="•"/>
      <w:lvlJc w:val="left"/>
      <w:pPr>
        <w:ind w:left="5653" w:hanging="570"/>
      </w:pPr>
      <w:rPr>
        <w:rFonts w:hint="default"/>
        <w:lang w:val="en-US" w:eastAsia="en-US" w:bidi="ar-SA"/>
      </w:rPr>
    </w:lvl>
    <w:lvl w:ilvl="8" w:tplc="6CD6A520">
      <w:numFmt w:val="bullet"/>
      <w:lvlText w:val="•"/>
      <w:lvlJc w:val="left"/>
      <w:pPr>
        <w:ind w:left="6344" w:hanging="570"/>
      </w:pPr>
      <w:rPr>
        <w:rFonts w:hint="default"/>
        <w:lang w:val="en-US" w:eastAsia="en-US" w:bidi="ar-SA"/>
      </w:rPr>
    </w:lvl>
  </w:abstractNum>
  <w:abstractNum w:abstractNumId="1" w15:restartNumberingAfterBreak="0">
    <w:nsid w:val="535D5EF5"/>
    <w:multiLevelType w:val="hybridMultilevel"/>
    <w:tmpl w:val="72C2FB9A"/>
    <w:lvl w:ilvl="0" w:tplc="C7B61140">
      <w:numFmt w:val="bullet"/>
      <w:lvlText w:val=""/>
      <w:lvlJc w:val="left"/>
      <w:pPr>
        <w:ind w:left="820" w:hanging="57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2B85696">
      <w:numFmt w:val="bullet"/>
      <w:lvlText w:val="•"/>
      <w:lvlJc w:val="left"/>
      <w:pPr>
        <w:ind w:left="1510" w:hanging="570"/>
      </w:pPr>
      <w:rPr>
        <w:rFonts w:hint="default"/>
        <w:lang w:val="en-US" w:eastAsia="en-US" w:bidi="ar-SA"/>
      </w:rPr>
    </w:lvl>
    <w:lvl w:ilvl="2" w:tplc="0A1643F4">
      <w:numFmt w:val="bullet"/>
      <w:lvlText w:val="•"/>
      <w:lvlJc w:val="left"/>
      <w:pPr>
        <w:ind w:left="2201" w:hanging="570"/>
      </w:pPr>
      <w:rPr>
        <w:rFonts w:hint="default"/>
        <w:lang w:val="en-US" w:eastAsia="en-US" w:bidi="ar-SA"/>
      </w:rPr>
    </w:lvl>
    <w:lvl w:ilvl="3" w:tplc="69F69B60">
      <w:numFmt w:val="bullet"/>
      <w:lvlText w:val="•"/>
      <w:lvlJc w:val="left"/>
      <w:pPr>
        <w:ind w:left="2891" w:hanging="570"/>
      </w:pPr>
      <w:rPr>
        <w:rFonts w:hint="default"/>
        <w:lang w:val="en-US" w:eastAsia="en-US" w:bidi="ar-SA"/>
      </w:rPr>
    </w:lvl>
    <w:lvl w:ilvl="4" w:tplc="443AF638">
      <w:numFmt w:val="bullet"/>
      <w:lvlText w:val="•"/>
      <w:lvlJc w:val="left"/>
      <w:pPr>
        <w:ind w:left="3582" w:hanging="570"/>
      </w:pPr>
      <w:rPr>
        <w:rFonts w:hint="default"/>
        <w:lang w:val="en-US" w:eastAsia="en-US" w:bidi="ar-SA"/>
      </w:rPr>
    </w:lvl>
    <w:lvl w:ilvl="5" w:tplc="62D878FA">
      <w:numFmt w:val="bullet"/>
      <w:lvlText w:val="•"/>
      <w:lvlJc w:val="left"/>
      <w:pPr>
        <w:ind w:left="4272" w:hanging="570"/>
      </w:pPr>
      <w:rPr>
        <w:rFonts w:hint="default"/>
        <w:lang w:val="en-US" w:eastAsia="en-US" w:bidi="ar-SA"/>
      </w:rPr>
    </w:lvl>
    <w:lvl w:ilvl="6" w:tplc="7D42CD30">
      <w:numFmt w:val="bullet"/>
      <w:lvlText w:val="•"/>
      <w:lvlJc w:val="left"/>
      <w:pPr>
        <w:ind w:left="4963" w:hanging="570"/>
      </w:pPr>
      <w:rPr>
        <w:rFonts w:hint="default"/>
        <w:lang w:val="en-US" w:eastAsia="en-US" w:bidi="ar-SA"/>
      </w:rPr>
    </w:lvl>
    <w:lvl w:ilvl="7" w:tplc="4D5A01FC">
      <w:numFmt w:val="bullet"/>
      <w:lvlText w:val="•"/>
      <w:lvlJc w:val="left"/>
      <w:pPr>
        <w:ind w:left="5653" w:hanging="570"/>
      </w:pPr>
      <w:rPr>
        <w:rFonts w:hint="default"/>
        <w:lang w:val="en-US" w:eastAsia="en-US" w:bidi="ar-SA"/>
      </w:rPr>
    </w:lvl>
    <w:lvl w:ilvl="8" w:tplc="744638A8">
      <w:numFmt w:val="bullet"/>
      <w:lvlText w:val="•"/>
      <w:lvlJc w:val="left"/>
      <w:pPr>
        <w:ind w:left="6344" w:hanging="570"/>
      </w:pPr>
      <w:rPr>
        <w:rFonts w:hint="default"/>
        <w:lang w:val="en-US" w:eastAsia="en-US" w:bidi="ar-SA"/>
      </w:rPr>
    </w:lvl>
  </w:abstractNum>
  <w:abstractNum w:abstractNumId="2" w15:restartNumberingAfterBreak="0">
    <w:nsid w:val="5A067405"/>
    <w:multiLevelType w:val="hybridMultilevel"/>
    <w:tmpl w:val="4ED4854C"/>
    <w:lvl w:ilvl="0" w:tplc="5C720E54">
      <w:numFmt w:val="bullet"/>
      <w:lvlText w:val=""/>
      <w:lvlJc w:val="left"/>
      <w:pPr>
        <w:ind w:left="820" w:hanging="57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56A9A7C">
      <w:numFmt w:val="bullet"/>
      <w:lvlText w:val="•"/>
      <w:lvlJc w:val="left"/>
      <w:pPr>
        <w:ind w:left="1510" w:hanging="570"/>
      </w:pPr>
      <w:rPr>
        <w:rFonts w:hint="default"/>
        <w:lang w:val="en-US" w:eastAsia="en-US" w:bidi="ar-SA"/>
      </w:rPr>
    </w:lvl>
    <w:lvl w:ilvl="2" w:tplc="24401CD0">
      <w:numFmt w:val="bullet"/>
      <w:lvlText w:val="•"/>
      <w:lvlJc w:val="left"/>
      <w:pPr>
        <w:ind w:left="2201" w:hanging="570"/>
      </w:pPr>
      <w:rPr>
        <w:rFonts w:hint="default"/>
        <w:lang w:val="en-US" w:eastAsia="en-US" w:bidi="ar-SA"/>
      </w:rPr>
    </w:lvl>
    <w:lvl w:ilvl="3" w:tplc="A5D443DE">
      <w:numFmt w:val="bullet"/>
      <w:lvlText w:val="•"/>
      <w:lvlJc w:val="left"/>
      <w:pPr>
        <w:ind w:left="2891" w:hanging="570"/>
      </w:pPr>
      <w:rPr>
        <w:rFonts w:hint="default"/>
        <w:lang w:val="en-US" w:eastAsia="en-US" w:bidi="ar-SA"/>
      </w:rPr>
    </w:lvl>
    <w:lvl w:ilvl="4" w:tplc="15AAA3C2">
      <w:numFmt w:val="bullet"/>
      <w:lvlText w:val="•"/>
      <w:lvlJc w:val="left"/>
      <w:pPr>
        <w:ind w:left="3582" w:hanging="570"/>
      </w:pPr>
      <w:rPr>
        <w:rFonts w:hint="default"/>
        <w:lang w:val="en-US" w:eastAsia="en-US" w:bidi="ar-SA"/>
      </w:rPr>
    </w:lvl>
    <w:lvl w:ilvl="5" w:tplc="D9621554">
      <w:numFmt w:val="bullet"/>
      <w:lvlText w:val="•"/>
      <w:lvlJc w:val="left"/>
      <w:pPr>
        <w:ind w:left="4272" w:hanging="570"/>
      </w:pPr>
      <w:rPr>
        <w:rFonts w:hint="default"/>
        <w:lang w:val="en-US" w:eastAsia="en-US" w:bidi="ar-SA"/>
      </w:rPr>
    </w:lvl>
    <w:lvl w:ilvl="6" w:tplc="9496C654">
      <w:numFmt w:val="bullet"/>
      <w:lvlText w:val="•"/>
      <w:lvlJc w:val="left"/>
      <w:pPr>
        <w:ind w:left="4963" w:hanging="570"/>
      </w:pPr>
      <w:rPr>
        <w:rFonts w:hint="default"/>
        <w:lang w:val="en-US" w:eastAsia="en-US" w:bidi="ar-SA"/>
      </w:rPr>
    </w:lvl>
    <w:lvl w:ilvl="7" w:tplc="2E6C3008">
      <w:numFmt w:val="bullet"/>
      <w:lvlText w:val="•"/>
      <w:lvlJc w:val="left"/>
      <w:pPr>
        <w:ind w:left="5653" w:hanging="570"/>
      </w:pPr>
      <w:rPr>
        <w:rFonts w:hint="default"/>
        <w:lang w:val="en-US" w:eastAsia="en-US" w:bidi="ar-SA"/>
      </w:rPr>
    </w:lvl>
    <w:lvl w:ilvl="8" w:tplc="FCF6ED84">
      <w:numFmt w:val="bullet"/>
      <w:lvlText w:val="•"/>
      <w:lvlJc w:val="left"/>
      <w:pPr>
        <w:ind w:left="6344" w:hanging="570"/>
      </w:pPr>
      <w:rPr>
        <w:rFonts w:hint="default"/>
        <w:lang w:val="en-US" w:eastAsia="en-US" w:bidi="ar-SA"/>
      </w:rPr>
    </w:lvl>
  </w:abstractNum>
  <w:abstractNum w:abstractNumId="3" w15:restartNumberingAfterBreak="0">
    <w:nsid w:val="60887B7B"/>
    <w:multiLevelType w:val="hybridMultilevel"/>
    <w:tmpl w:val="71FC6800"/>
    <w:lvl w:ilvl="0" w:tplc="4A0AD35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7C6E98E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AF0AAEE4"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3" w:tplc="FB5C8D8E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4" w:tplc="24682400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5" w:tplc="6CCC3E10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6" w:tplc="7B60A656">
      <w:numFmt w:val="bullet"/>
      <w:lvlText w:val="•"/>
      <w:lvlJc w:val="left"/>
      <w:pPr>
        <w:ind w:left="4963" w:hanging="361"/>
      </w:pPr>
      <w:rPr>
        <w:rFonts w:hint="default"/>
        <w:lang w:val="en-US" w:eastAsia="en-US" w:bidi="ar-SA"/>
      </w:rPr>
    </w:lvl>
    <w:lvl w:ilvl="7" w:tplc="A9EAF298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4CACC118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CFC3F4C"/>
    <w:multiLevelType w:val="hybridMultilevel"/>
    <w:tmpl w:val="16B0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19697">
    <w:abstractNumId w:val="3"/>
  </w:num>
  <w:num w:numId="2" w16cid:durableId="1891073084">
    <w:abstractNumId w:val="2"/>
  </w:num>
  <w:num w:numId="3" w16cid:durableId="593904829">
    <w:abstractNumId w:val="1"/>
  </w:num>
  <w:num w:numId="4" w16cid:durableId="1165782290">
    <w:abstractNumId w:val="0"/>
  </w:num>
  <w:num w:numId="5" w16cid:durableId="1536962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0C"/>
    <w:rsid w:val="00032A79"/>
    <w:rsid w:val="00071616"/>
    <w:rsid w:val="00217DF8"/>
    <w:rsid w:val="002867BC"/>
    <w:rsid w:val="005F6573"/>
    <w:rsid w:val="00706C8A"/>
    <w:rsid w:val="007E5662"/>
    <w:rsid w:val="00846203"/>
    <w:rsid w:val="008E020C"/>
    <w:rsid w:val="00940C93"/>
    <w:rsid w:val="00A26CA8"/>
    <w:rsid w:val="00B6654E"/>
    <w:rsid w:val="00B9609A"/>
    <w:rsid w:val="00C3685A"/>
    <w:rsid w:val="00CD3E1A"/>
    <w:rsid w:val="00CF5ACE"/>
    <w:rsid w:val="00E407CF"/>
    <w:rsid w:val="00EC2482"/>
    <w:rsid w:val="00F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FB38"/>
  <w15:docId w15:val="{EAC1A0C8-33C8-463A-9ECB-9DE69AD1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radea.donorioneromania.ro/wp-content/uploads/2022/03/Project_present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dea.donorioneromania.ro/wp-content/uploads/2022/03/Project_presentation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chirila</dc:creator>
  <cp:lastModifiedBy>Fekete Viktor</cp:lastModifiedBy>
  <cp:revision>2</cp:revision>
  <dcterms:created xsi:type="dcterms:W3CDTF">2026-02-03T10:49:00Z</dcterms:created>
  <dcterms:modified xsi:type="dcterms:W3CDTF">2026-02-03T10:49:00Z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2db89af8-a763-4adb-8def-6908c81d1261</vt:lpwstr>
  </property>
</Properties>
</file>