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A50D16" w:rsidRDefault="007116AA" w:rsidP="00B51E51">
      <w:pPr>
        <w:spacing w:after="0"/>
        <w:rPr>
          <w:rFonts w:ascii="Open Sans" w:hAnsi="Open Sans" w:cs="Arial"/>
          <w:color w:val="003399"/>
          <w:lang w:val="ro-RO"/>
        </w:rPr>
      </w:pPr>
      <w:r w:rsidRPr="00A50D16">
        <w:rPr>
          <w:rFonts w:ascii="Open Sans" w:hAnsi="Open Sans" w:cs="Arial"/>
          <w:color w:val="003399"/>
          <w:lang w:val="ro-RO"/>
        </w:rPr>
        <w:t xml:space="preserve">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438BF" w:rsidRPr="00AA0D9F" w14:paraId="68C5D72E" w14:textId="77777777" w:rsidTr="0046675E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3D9A6FF5" w14:textId="028760BB" w:rsidR="00E438BF" w:rsidRPr="00A50D16" w:rsidRDefault="00E438BF" w:rsidP="00BE2EB1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A50D16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A50D16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Apel Deschis – Proiecte normale  </w:t>
            </w:r>
          </w:p>
        </w:tc>
      </w:tr>
      <w:tr w:rsidR="00555FC1" w:rsidRPr="00A50D16" w14:paraId="262D867A" w14:textId="77777777" w:rsidTr="00E438BF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0DB0162B" w:rsidR="00A84025" w:rsidRPr="00A50D16" w:rsidRDefault="0082048F" w:rsidP="00BE2EB1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5A4479F9" w:rsidR="00A84025" w:rsidRPr="00A50D16" w:rsidRDefault="00B64CA2" w:rsidP="00BE2EB1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ROHU-</w:t>
            </w:r>
            <w:r w:rsidR="00A958AC"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3</w:t>
            </w:r>
            <w:r w:rsidR="00A3189C"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74</w:t>
            </w:r>
          </w:p>
        </w:tc>
      </w:tr>
      <w:tr w:rsidR="00555FC1" w:rsidRPr="00AA0D9F" w14:paraId="64A2B68C" w14:textId="77777777" w:rsidTr="005D5339">
        <w:trPr>
          <w:trHeight w:val="48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571E40B6" w:rsidR="00A84025" w:rsidRPr="00A50D16" w:rsidRDefault="0082048F" w:rsidP="00BE2EB1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BDBB" w14:textId="77777777" w:rsidR="00A3189C" w:rsidRPr="00A50D16" w:rsidRDefault="00A3189C" w:rsidP="00BE2EB1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TwinS</w:t>
            </w:r>
          </w:p>
          <w:p w14:paraId="1EB6C4A5" w14:textId="1E96931E" w:rsidR="00A84025" w:rsidRPr="00A50D16" w:rsidRDefault="0082048F" w:rsidP="00BE2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Centre de formare comune transfrontaliere</w:t>
            </w:r>
          </w:p>
        </w:tc>
      </w:tr>
      <w:tr w:rsidR="00555FC1" w:rsidRPr="00AA0D9F" w14:paraId="0CB753E0" w14:textId="77777777" w:rsidTr="005D5339">
        <w:trPr>
          <w:trHeight w:val="6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1115E508" w:rsidR="00A84025" w:rsidRPr="00A50D16" w:rsidRDefault="0082048F" w:rsidP="00BE2EB1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Axă prioritară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6F7FD9F9" w:rsidR="00A84025" w:rsidRPr="00A50D16" w:rsidRDefault="0082048F" w:rsidP="00BE2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</w:tc>
      </w:tr>
      <w:tr w:rsidR="00555FC1" w:rsidRPr="00AA0D9F" w14:paraId="52DBEC7F" w14:textId="77777777" w:rsidTr="00E438BF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64E3DD84" w:rsidR="00A84025" w:rsidRPr="00A50D16" w:rsidRDefault="0082048F" w:rsidP="003224BB">
            <w:pPr>
              <w:spacing w:after="120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Prioritate de investiție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2739BCC8" w:rsidR="00A84025" w:rsidRPr="00A50D16" w:rsidRDefault="0082048F" w:rsidP="00BE2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8/b - </w:t>
            </w:r>
            <w:r w:rsidR="00D632F4" w:rsidRPr="00A50D16">
              <w:rPr>
                <w:rFonts w:ascii="Open Sans" w:hAnsi="Open Sans" w:cs="Calibri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</w:tc>
      </w:tr>
      <w:tr w:rsidR="00555FC1" w:rsidRPr="00A50D16" w14:paraId="21D8A19E" w14:textId="77777777" w:rsidTr="00E438B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3E6B2120" w:rsidR="001222DE" w:rsidRPr="00A50D16" w:rsidRDefault="0082048F" w:rsidP="003224BB">
            <w:pPr>
              <w:spacing w:after="120"/>
              <w:rPr>
                <w:rFonts w:ascii="Open Sans" w:hAnsi="Open Sans"/>
                <w:b/>
                <w:color w:val="003399"/>
                <w:lang w:val="ro-RO"/>
              </w:rPr>
            </w:pPr>
            <w:r w:rsidRPr="00A50D16">
              <w:rPr>
                <w:rFonts w:ascii="Open Sans" w:hAnsi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78FE95B7" w:rsidR="001222DE" w:rsidRPr="00A50D16" w:rsidRDefault="008C4237" w:rsidP="00BE2E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6</w:t>
            </w: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luni</w:t>
            </w:r>
            <w:r w:rsidR="001222DE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 (1</w:t>
            </w:r>
            <w:r w:rsidR="0082048F" w:rsidRPr="00A50D16">
              <w:rPr>
                <w:rFonts w:ascii="Open Sans" w:hAnsi="Open Sans" w:cs="Calibri"/>
                <w:color w:val="003399"/>
                <w:vertAlign w:val="superscript"/>
                <w:lang w:val="ro-RO" w:eastAsia="en-GB"/>
              </w:rPr>
              <w:t xml:space="preserve"> 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Martie</w:t>
            </w:r>
            <w:r w:rsidR="001222DE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 201</w:t>
            </w:r>
            <w:r w:rsidR="00245027" w:rsidRPr="00A50D16">
              <w:rPr>
                <w:rFonts w:ascii="Open Sans" w:hAnsi="Open Sans" w:cs="Calibri"/>
                <w:color w:val="003399"/>
                <w:lang w:val="ro-RO" w:eastAsia="en-GB"/>
              </w:rPr>
              <w:t>9</w:t>
            </w:r>
            <w:r w:rsidR="001222DE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 – </w:t>
            </w:r>
            <w:r w:rsidR="00B828C3" w:rsidRPr="00A50D16">
              <w:rPr>
                <w:rFonts w:ascii="Open Sans" w:hAnsi="Open Sans" w:cs="Calibri"/>
                <w:color w:val="003399"/>
                <w:lang w:val="ro-RO" w:eastAsia="en-GB"/>
              </w:rPr>
              <w:t>31</w:t>
            </w:r>
            <w:r w:rsidR="001222DE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Decembrie</w:t>
            </w:r>
            <w:r w:rsidR="002C60BE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2C60BE" w:rsidRPr="00A50D16">
              <w:rPr>
                <w:rFonts w:ascii="Open Sans" w:hAnsi="Open Sans" w:cs="Calibri"/>
                <w:color w:val="003399"/>
                <w:lang w:val="ro-RO" w:eastAsia="en-GB"/>
              </w:rPr>
              <w:t>202</w:t>
            </w:r>
            <w:r w:rsidR="002C60BE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1222DE" w:rsidRPr="00A50D16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</w:p>
        </w:tc>
      </w:tr>
      <w:tr w:rsidR="00555FC1" w:rsidRPr="00AA0D9F" w14:paraId="05A81C76" w14:textId="77777777" w:rsidTr="00E438B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514BA05E" w:rsidR="00CD3A86" w:rsidRPr="00A50D16" w:rsidRDefault="00CD3A86" w:rsidP="00BE2EB1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A50D16">
              <w:rPr>
                <w:rFonts w:ascii="Open Sans" w:hAnsi="Open Sans"/>
                <w:b/>
                <w:color w:val="003399"/>
                <w:lang w:val="ro-RO"/>
              </w:rPr>
              <w:t>Ob</w:t>
            </w:r>
            <w:r w:rsidR="0082048F" w:rsidRPr="00A50D16">
              <w:rPr>
                <w:rFonts w:ascii="Open Sans" w:hAnsi="Open Sans"/>
                <w:b/>
                <w:color w:val="003399"/>
                <w:lang w:val="ro-RO"/>
              </w:rPr>
              <w:t>iectiv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09FB44FB" w:rsidR="00CD3A86" w:rsidRPr="00A50D16" w:rsidRDefault="00063699" w:rsidP="00BE2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sz w:val="20"/>
                <w:szCs w:val="20"/>
                <w:lang w:val="ro-RO" w:eastAsia="en-GB"/>
              </w:rPr>
            </w:pPr>
            <w:r w:rsidRPr="00063699">
              <w:rPr>
                <w:rFonts w:ascii="Open Sans" w:hAnsi="Open Sans" w:cs="Calibri"/>
                <w:color w:val="003399"/>
                <w:lang w:val="ro-RO" w:eastAsia="en-GB"/>
              </w:rPr>
              <w:t>Obiectivul principal al proiectului a fost creșterea mobilității forței de muncă și a oportunităților de angajare în zona transfrontalieră prin intermediul a două module de formare organizate: Orientare și planificare transfrontalieră a carierei (HU)/ Formare în competențe civice și sociale (RO) și Cunoștințe antreprenoriale de bază (în ambele țări).</w:t>
            </w:r>
          </w:p>
        </w:tc>
      </w:tr>
      <w:tr w:rsidR="00555FC1" w:rsidRPr="00A50D16" w14:paraId="5CD19851" w14:textId="77777777" w:rsidTr="00E337F8">
        <w:trPr>
          <w:trHeight w:val="56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18E2CEBA" w:rsidR="00CD3A86" w:rsidRPr="00A50D16" w:rsidRDefault="00CD3A86" w:rsidP="00BE2EB1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Part</w:t>
            </w:r>
            <w:r w:rsidR="0082048F"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0F7E" w14:textId="77777777" w:rsidR="00660FEC" w:rsidRDefault="00CD3A86" w:rsidP="00BE2E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Beneficiar</w:t>
            </w:r>
            <w:r w:rsidR="0082048F" w:rsidRPr="00A50D16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 principal</w:t>
            </w:r>
            <w:r w:rsidRPr="00A50D16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: </w:t>
            </w:r>
          </w:p>
          <w:p w14:paraId="66A4D6CE" w14:textId="7FFFDEDF" w:rsidR="00CD3A86" w:rsidRPr="00A50D16" w:rsidRDefault="0082048F" w:rsidP="00BE2E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Liceul Teoretic “Bartók Béla” (România)</w:t>
            </w:r>
          </w:p>
        </w:tc>
      </w:tr>
      <w:tr w:rsidR="00555FC1" w:rsidRPr="00A50D16" w14:paraId="006B602D" w14:textId="77777777" w:rsidTr="00E438BF">
        <w:trPr>
          <w:trHeight w:val="109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A50D16" w:rsidRDefault="00CD3A86" w:rsidP="00BE2EB1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58409531" w:rsidR="00A5719D" w:rsidRPr="00A50D16" w:rsidRDefault="00D632F4" w:rsidP="00BE2EB1">
            <w:pPr>
              <w:spacing w:after="12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ro-RO"/>
              </w:rPr>
            </w:pPr>
            <w:r w:rsidRPr="00A50D16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Parteneri de proiect</w:t>
            </w:r>
            <w:r w:rsidR="00CD3A86" w:rsidRPr="00A50D16">
              <w:rPr>
                <w:rFonts w:ascii="Open Sans" w:hAnsi="Open Sans"/>
                <w:b/>
                <w:bCs/>
                <w:color w:val="003399"/>
                <w:lang w:val="ro-RO"/>
              </w:rPr>
              <w:t xml:space="preserve">: </w:t>
            </w:r>
          </w:p>
          <w:p w14:paraId="4DE79E4C" w14:textId="5E064C82" w:rsidR="0082048F" w:rsidRPr="00A50D16" w:rsidRDefault="00DA235A" w:rsidP="00BE2E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1222DE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P2: </w:t>
            </w:r>
            <w:r w:rsidR="00D6797A" w:rsidRPr="00D6797A">
              <w:rPr>
                <w:rFonts w:ascii="Open Sans" w:hAnsi="Open Sans" w:cs="Calibri"/>
                <w:color w:val="003399"/>
                <w:lang w:val="ro-RO" w:eastAsia="en-GB"/>
              </w:rPr>
              <w:t>Katház</w:t>
            </w:r>
            <w:r w:rsidR="009319EC" w:rsidRPr="009319EC">
              <w:rPr>
                <w:rFonts w:ascii="Open Sans" w:hAnsi="Open Sans" w:cs="Calibri"/>
                <w:color w:val="003399"/>
                <w:lang w:val="ro-RO" w:eastAsia="en-GB"/>
              </w:rPr>
              <w:t>, organizație non-profit de utilitate publică</w:t>
            </w:r>
            <w:r w:rsidR="009319EC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(Ungaria)</w:t>
            </w:r>
          </w:p>
          <w:p w14:paraId="307B2C9D" w14:textId="5A42FD5F" w:rsidR="00437624" w:rsidRPr="00A50D16" w:rsidRDefault="00DA235A" w:rsidP="00BE2E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437624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P3: 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Fundația Diaspora (România)</w:t>
            </w:r>
          </w:p>
        </w:tc>
      </w:tr>
      <w:tr w:rsidR="00555FC1" w:rsidRPr="00A50D16" w14:paraId="5692E066" w14:textId="77777777" w:rsidTr="00E438B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38587371" w:rsidR="00CD3A86" w:rsidRPr="00A50D16" w:rsidRDefault="00CD3A86" w:rsidP="00BE2EB1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Buget</w:t>
            </w:r>
            <w:r w:rsidR="0082048F"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 xml:space="preserve"> TOTAL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28FE" w14:textId="675D1FA0" w:rsidR="00744AC2" w:rsidRDefault="00437624" w:rsidP="00BE2EB1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1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269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162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83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 Euro,</w:t>
            </w:r>
            <w:r w:rsidR="0067777E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din care FEDR </w:t>
            </w: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1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078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788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A50D16">
              <w:rPr>
                <w:rFonts w:ascii="Open Sans" w:hAnsi="Open Sans" w:cs="Calibri"/>
                <w:color w:val="003399"/>
                <w:lang w:val="ro-RO" w:eastAsia="en-GB"/>
              </w:rPr>
              <w:t>40</w:t>
            </w:r>
            <w:r w:rsidR="0082048F" w:rsidRPr="00A50D16">
              <w:rPr>
                <w:rFonts w:ascii="Open Sans" w:hAnsi="Open Sans" w:cs="Calibri"/>
                <w:color w:val="003399"/>
                <w:lang w:val="ro-RO" w:eastAsia="en-GB"/>
              </w:rPr>
              <w:t xml:space="preserve"> Euro</w:t>
            </w:r>
          </w:p>
          <w:p w14:paraId="6D3A5A22" w14:textId="766A186A" w:rsidR="00437492" w:rsidRPr="00437492" w:rsidRDefault="00437492" w:rsidP="00BE2EB1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437492">
              <w:rPr>
                <w:rFonts w:ascii="Open Sans" w:hAnsi="Open Sans" w:cs="Calibri"/>
                <w:color w:val="003399"/>
                <w:lang w:val="ro-RO" w:eastAsia="en-GB"/>
              </w:rPr>
              <w:t xml:space="preserve">Totalul cheltuielilor </w:t>
            </w:r>
            <w:r w:rsidR="006C3264" w:rsidRPr="006C3264">
              <w:rPr>
                <w:rFonts w:ascii="Open Sans" w:hAnsi="Open Sans" w:cs="Calibri"/>
                <w:color w:val="003399"/>
                <w:lang w:val="ro-RO" w:eastAsia="en-GB"/>
              </w:rPr>
              <w:t>eligibile decontate prin proiect</w:t>
            </w:r>
            <w:r w:rsidRPr="00437492">
              <w:rPr>
                <w:rFonts w:ascii="Open Sans" w:hAnsi="Open Sans" w:cs="Calibri"/>
                <w:color w:val="003399"/>
                <w:lang w:val="ro-RO" w:eastAsia="en-GB"/>
              </w:rPr>
              <w:t xml:space="preserve">: </w:t>
            </w:r>
            <w:r w:rsidRPr="00AA0D9F">
              <w:rPr>
                <w:rFonts w:ascii="Open Sans" w:hAnsi="Open Sans" w:cs="Calibri"/>
                <w:color w:val="003399"/>
                <w:lang w:val="it-CH" w:eastAsia="en-GB"/>
              </w:rPr>
              <w:t>1.</w:t>
            </w:r>
            <w:r w:rsidR="006C3264" w:rsidRPr="00AA0D9F">
              <w:rPr>
                <w:rFonts w:ascii="Open Sans" w:hAnsi="Open Sans" w:cs="Calibri"/>
                <w:color w:val="003399"/>
                <w:lang w:val="it-CH" w:eastAsia="en-GB"/>
              </w:rPr>
              <w:t>250</w:t>
            </w:r>
            <w:r w:rsidRPr="00AA0D9F">
              <w:rPr>
                <w:rFonts w:ascii="Open Sans" w:hAnsi="Open Sans" w:cs="Calibri"/>
                <w:color w:val="003399"/>
                <w:lang w:val="it-CH" w:eastAsia="en-GB"/>
              </w:rPr>
              <w:t>.</w:t>
            </w:r>
            <w:r w:rsidR="006C3264" w:rsidRPr="00AA0D9F">
              <w:rPr>
                <w:rFonts w:ascii="Open Sans" w:hAnsi="Open Sans" w:cs="Calibri"/>
                <w:color w:val="003399"/>
                <w:lang w:val="it-CH" w:eastAsia="en-GB"/>
              </w:rPr>
              <w:t>016</w:t>
            </w:r>
            <w:r w:rsidRPr="00AA0D9F">
              <w:rPr>
                <w:rFonts w:ascii="Open Sans" w:hAnsi="Open Sans" w:cs="Calibri"/>
                <w:color w:val="003399"/>
                <w:lang w:val="it-CH" w:eastAsia="en-GB"/>
              </w:rPr>
              <w:t>,</w:t>
            </w:r>
            <w:r w:rsidR="006C3264" w:rsidRPr="00AA0D9F">
              <w:rPr>
                <w:rFonts w:ascii="Open Sans" w:hAnsi="Open Sans" w:cs="Calibri"/>
                <w:color w:val="003399"/>
                <w:lang w:val="it-CH" w:eastAsia="en-GB"/>
              </w:rPr>
              <w:t xml:space="preserve">63 </w:t>
            </w:r>
            <w:r w:rsidRPr="00437492">
              <w:rPr>
                <w:rFonts w:ascii="Open Sans" w:eastAsiaTheme="minorHAnsi" w:hAnsi="Open Sans" w:cs="Calibri"/>
                <w:color w:val="003399"/>
                <w:lang w:val="ro-RO" w:eastAsia="en-GB"/>
              </w:rPr>
              <w:t>Euro</w:t>
            </w:r>
          </w:p>
          <w:p w14:paraId="0CEC0BF1" w14:textId="34E58FE7" w:rsidR="00437492" w:rsidRPr="005D5339" w:rsidRDefault="00437492" w:rsidP="00BE2EB1">
            <w:pPr>
              <w:spacing w:after="160" w:line="259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</w:pPr>
            <w:r w:rsidRPr="0043749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Execuția bugetară: 9</w:t>
            </w:r>
            <w:r w:rsidR="006C3264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8</w:t>
            </w:r>
            <w:r w:rsidRPr="0043749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,</w:t>
            </w:r>
            <w:r w:rsidR="006C3264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49</w:t>
            </w:r>
            <w:r w:rsidRPr="0043749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%</w:t>
            </w:r>
            <w:r w:rsidRPr="0043749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ab/>
            </w:r>
          </w:p>
        </w:tc>
      </w:tr>
      <w:tr w:rsidR="00555FC1" w:rsidRPr="00A50D16" w14:paraId="4771AA54" w14:textId="77777777" w:rsidTr="00E438B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4A9D9065" w:rsidR="00CD3A86" w:rsidRPr="00A50D16" w:rsidRDefault="004540CA" w:rsidP="00BE2EB1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Sum</w:t>
            </w:r>
            <w:r w:rsidR="0082048F"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t>ar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8D65" w14:textId="1A825872" w:rsidR="00E061F3" w:rsidRDefault="00063699" w:rsidP="00BE2EB1">
            <w:pPr>
              <w:spacing w:after="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063699">
              <w:rPr>
                <w:rFonts w:ascii="Open Sans" w:hAnsi="Open Sans" w:cs="Open Sans"/>
                <w:color w:val="003399"/>
                <w:lang w:val="ro-RO"/>
              </w:rPr>
              <w:t>Proiectul ROHU-374 a avut ca scop creșterea mobilității transnaționale a forței de muncă prin intermediul materialelor și modulelor de formare</w:t>
            </w:r>
            <w:r w:rsidR="001E15D2">
              <w:rPr>
                <w:rFonts w:ascii="Open Sans" w:hAnsi="Open Sans" w:cs="Open Sans"/>
                <w:color w:val="003399"/>
                <w:lang w:val="ro-RO"/>
              </w:rPr>
              <w:t xml:space="preserve"> implementate</w:t>
            </w:r>
            <w:r w:rsidRPr="00063699">
              <w:rPr>
                <w:rFonts w:ascii="Open Sans" w:hAnsi="Open Sans" w:cs="Open Sans"/>
                <w:color w:val="003399"/>
                <w:lang w:val="ro-RO"/>
              </w:rPr>
              <w:t>. De asemenea, a urmărit îmbunătățirea accesului transfrontalier la piața muncii și creșterea oportunităților de angajare pentru persoanele de pe ambele părți ale frontierei.</w:t>
            </w:r>
          </w:p>
          <w:p w14:paraId="0FBA0740" w14:textId="77777777" w:rsidR="00437492" w:rsidRPr="00437492" w:rsidRDefault="00437492" w:rsidP="00BE2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iCs/>
                <w:color w:val="003399"/>
                <w:lang w:val="ro-RO"/>
              </w:rPr>
            </w:pPr>
            <w:r w:rsidRPr="00437492">
              <w:rPr>
                <w:rFonts w:ascii="Open Sans" w:hAnsi="Open Sans" w:cs="Open Sans"/>
                <w:iCs/>
                <w:color w:val="003399"/>
                <w:lang w:val="ro-RO"/>
              </w:rPr>
              <w:t xml:space="preserve">Activitățile principale implementate în cadrul proiectului: </w:t>
            </w:r>
          </w:p>
          <w:p w14:paraId="2D53B50F" w14:textId="4BCFE366" w:rsidR="00063699" w:rsidRPr="005D5339" w:rsidRDefault="00063699" w:rsidP="00BE2EB1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5D5339">
              <w:rPr>
                <w:rFonts w:ascii="Open Sans" w:hAnsi="Open Sans" w:cs="Open Sans"/>
                <w:color w:val="003399"/>
                <w:lang w:val="ro-RO"/>
              </w:rPr>
              <w:t xml:space="preserve">Elaborarea a 2 materiale de formare în limbile maghiară și română pentru orientarea în carieră (adecvat pentru 30 de ore </w:t>
            </w:r>
            <w:r w:rsidRPr="005D5339">
              <w:rPr>
                <w:rFonts w:ascii="Open Sans" w:hAnsi="Open Sans" w:cs="Open Sans"/>
                <w:color w:val="003399"/>
                <w:lang w:val="ro-RO"/>
              </w:rPr>
              <w:lastRenderedPageBreak/>
              <w:t>de formare) și pentru formare antreprenorială (adecvat pentru 40 de ore de formare);</w:t>
            </w:r>
          </w:p>
          <w:p w14:paraId="7F55DCD5" w14:textId="7A2689A5" w:rsidR="00063699" w:rsidRPr="005D5339" w:rsidRDefault="00063699" w:rsidP="00BE2EB1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5D5339">
              <w:rPr>
                <w:rFonts w:ascii="Open Sans" w:hAnsi="Open Sans" w:cs="Open Sans"/>
                <w:color w:val="003399"/>
                <w:lang w:val="ro-RO"/>
              </w:rPr>
              <w:t>Organizarea de cursuri de formare în domeniul competențelor sociale și civice în România pentru 153 de persoane unice (10 grup</w:t>
            </w:r>
            <w:r w:rsidR="001E15D2">
              <w:rPr>
                <w:rFonts w:ascii="Open Sans" w:hAnsi="Open Sans" w:cs="Open Sans"/>
                <w:color w:val="003399"/>
                <w:lang w:val="ro-RO"/>
              </w:rPr>
              <w:t>e</w:t>
            </w:r>
            <w:r w:rsidRPr="005D5339">
              <w:rPr>
                <w:rFonts w:ascii="Open Sans" w:hAnsi="Open Sans" w:cs="Open Sans"/>
                <w:color w:val="003399"/>
                <w:lang w:val="ro-RO"/>
              </w:rPr>
              <w:t>) și de formare în domeniul cunoștințelor de bază în domeniul antreprenorial pentru 79 de persoane unice (4 grup</w:t>
            </w:r>
            <w:r w:rsidR="001E15D2">
              <w:rPr>
                <w:rFonts w:ascii="Open Sans" w:hAnsi="Open Sans" w:cs="Open Sans"/>
                <w:color w:val="003399"/>
                <w:lang w:val="ro-RO"/>
              </w:rPr>
              <w:t>e</w:t>
            </w:r>
            <w:r w:rsidRPr="005D5339">
              <w:rPr>
                <w:rFonts w:ascii="Open Sans" w:hAnsi="Open Sans" w:cs="Open Sans"/>
                <w:color w:val="003399"/>
                <w:lang w:val="ro-RO"/>
              </w:rPr>
              <w:t>);</w:t>
            </w:r>
          </w:p>
          <w:p w14:paraId="1C05D629" w14:textId="3B4F7955" w:rsidR="00063699" w:rsidRPr="005D5339" w:rsidRDefault="00063699" w:rsidP="00BE2EB1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5D5339">
              <w:rPr>
                <w:rFonts w:ascii="Open Sans" w:hAnsi="Open Sans" w:cs="Open Sans"/>
                <w:color w:val="003399"/>
                <w:lang w:val="ro-RO"/>
              </w:rPr>
              <w:t xml:space="preserve">Organizarea de cursuri de formare transfrontalieră în domeniul orientării și planificării </w:t>
            </w:r>
            <w:r w:rsidR="009319EC">
              <w:rPr>
                <w:rFonts w:ascii="Open Sans" w:hAnsi="Open Sans" w:cs="Open Sans"/>
                <w:color w:val="003399"/>
                <w:lang w:val="ro-RO"/>
              </w:rPr>
              <w:t xml:space="preserve">în </w:t>
            </w:r>
            <w:r w:rsidRPr="005D5339">
              <w:rPr>
                <w:rFonts w:ascii="Open Sans" w:hAnsi="Open Sans" w:cs="Open Sans"/>
                <w:color w:val="003399"/>
                <w:lang w:val="ro-RO"/>
              </w:rPr>
              <w:t>carier</w:t>
            </w:r>
            <w:r w:rsidR="009319EC">
              <w:rPr>
                <w:rFonts w:ascii="Open Sans" w:hAnsi="Open Sans" w:cs="Open Sans"/>
                <w:color w:val="003399"/>
                <w:lang w:val="ro-RO"/>
              </w:rPr>
              <w:t>ă</w:t>
            </w:r>
            <w:r w:rsidRPr="005D5339">
              <w:rPr>
                <w:rFonts w:ascii="Open Sans" w:hAnsi="Open Sans" w:cs="Open Sans"/>
                <w:color w:val="003399"/>
                <w:lang w:val="ro-RO"/>
              </w:rPr>
              <w:t xml:space="preserve"> în Ungaria pentru 126 de persoane unice (8 grup</w:t>
            </w:r>
            <w:r w:rsidR="001E15D2">
              <w:rPr>
                <w:rFonts w:ascii="Open Sans" w:hAnsi="Open Sans" w:cs="Open Sans"/>
                <w:color w:val="003399"/>
                <w:lang w:val="ro-RO"/>
              </w:rPr>
              <w:t>e</w:t>
            </w:r>
            <w:r w:rsidRPr="005D5339">
              <w:rPr>
                <w:rFonts w:ascii="Open Sans" w:hAnsi="Open Sans" w:cs="Open Sans"/>
                <w:color w:val="003399"/>
                <w:lang w:val="ro-RO"/>
              </w:rPr>
              <w:t>) și cursuri de formare în domeniul cunoștințelor de bază antreprenoriale pentru 80 de persoane unice (4 grup</w:t>
            </w:r>
            <w:r w:rsidR="001E15D2">
              <w:rPr>
                <w:rFonts w:ascii="Open Sans" w:hAnsi="Open Sans" w:cs="Open Sans"/>
                <w:color w:val="003399"/>
                <w:lang w:val="ro-RO"/>
              </w:rPr>
              <w:t>e</w:t>
            </w:r>
            <w:r w:rsidRPr="005D5339">
              <w:rPr>
                <w:rFonts w:ascii="Open Sans" w:hAnsi="Open Sans" w:cs="Open Sans"/>
                <w:color w:val="003399"/>
                <w:lang w:val="ro-RO"/>
              </w:rPr>
              <w:t xml:space="preserve">); </w:t>
            </w:r>
          </w:p>
          <w:p w14:paraId="26F5A343" w14:textId="00095CED" w:rsidR="00063699" w:rsidRPr="005D5339" w:rsidRDefault="00063699" w:rsidP="00BE2EB1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5D5339">
              <w:rPr>
                <w:rFonts w:ascii="Open Sans" w:hAnsi="Open Sans" w:cs="Open Sans"/>
                <w:color w:val="003399"/>
                <w:lang w:val="ro-RO"/>
              </w:rPr>
              <w:t>Construirea/reabilitarea unui Centru de formare cu 3 etaje în Zolt, România, și dotarea centrului cu mobilier și echipamente;</w:t>
            </w:r>
          </w:p>
          <w:p w14:paraId="72DC56CF" w14:textId="77777777" w:rsidR="005D5339" w:rsidRDefault="00063699" w:rsidP="00BE2EB1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5D5339">
              <w:rPr>
                <w:rFonts w:ascii="Open Sans" w:hAnsi="Open Sans" w:cs="Open Sans"/>
                <w:color w:val="003399"/>
                <w:lang w:val="ro-RO"/>
              </w:rPr>
              <w:t>Construcția unui Centru de formare cu 2 etaje în Domaszek, Ungaria, și dotarea centrului cu mobilier și echipamente;</w:t>
            </w:r>
          </w:p>
          <w:p w14:paraId="7A990924" w14:textId="159AE8A9" w:rsidR="00437624" w:rsidRPr="005D5339" w:rsidRDefault="00063699" w:rsidP="00BE2EB1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5D5339">
              <w:rPr>
                <w:rFonts w:ascii="Open Sans" w:hAnsi="Open Sans" w:cs="Open Sans"/>
                <w:color w:val="003399"/>
                <w:lang w:val="ro-RO"/>
              </w:rPr>
              <w:t>Elaborarea unei pagini web: http://twinstraining.eu/.</w:t>
            </w:r>
          </w:p>
          <w:p w14:paraId="41C0298C" w14:textId="34CB0853" w:rsidR="00437492" w:rsidRPr="00437492" w:rsidRDefault="005D5339" w:rsidP="00BE2E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</w:pPr>
            <w:r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În</w:t>
            </w:r>
            <w:r w:rsidRPr="00437492"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 xml:space="preserve"> data de 31.</w:t>
            </w:r>
            <w:r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12</w:t>
            </w:r>
            <w:r w:rsidRPr="00437492"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.202</w:t>
            </w:r>
            <w:r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2, p</w:t>
            </w:r>
            <w:r w:rsidR="00437492" w:rsidRPr="00437492"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roiectul a fost finalizat cu succes.</w:t>
            </w:r>
          </w:p>
          <w:p w14:paraId="73D0F823" w14:textId="0CDC8762" w:rsidR="00437492" w:rsidRPr="005D5339" w:rsidRDefault="00437492" w:rsidP="00AA0D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437492"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T</w:t>
            </w:r>
            <w:r w:rsidRPr="00437492">
              <w:rPr>
                <w:rFonts w:ascii="Open Sans" w:eastAsia="Times New Roman" w:hAnsi="Open Sans" w:cs="Courier New"/>
                <w:b/>
                <w:i/>
                <w:iCs/>
                <w:color w:val="003399"/>
                <w:lang w:val="ro-RO" w:eastAsia="en-GB"/>
              </w:rPr>
              <w:t xml:space="preserve">oate activitățile prevăzute </w:t>
            </w:r>
            <w:r w:rsidR="005D5339">
              <w:rPr>
                <w:rFonts w:ascii="Open Sans" w:eastAsia="Times New Roman" w:hAnsi="Open Sans" w:cs="Courier New"/>
                <w:b/>
                <w:i/>
                <w:iCs/>
                <w:color w:val="003399"/>
                <w:lang w:val="ro-RO" w:eastAsia="en-GB"/>
              </w:rPr>
              <w:t>î</w:t>
            </w:r>
            <w:r w:rsidRPr="00437492">
              <w:rPr>
                <w:rFonts w:ascii="Open Sans" w:eastAsia="Times New Roman" w:hAnsi="Open Sans" w:cs="Courier New"/>
                <w:b/>
                <w:i/>
                <w:iCs/>
                <w:color w:val="003399"/>
                <w:lang w:val="ro-RO" w:eastAsia="en-GB"/>
              </w:rPr>
              <w:t>n proiect au fost realizate</w:t>
            </w:r>
            <w:r w:rsidR="001E15D2">
              <w:rPr>
                <w:rFonts w:ascii="Open Sans" w:eastAsia="Times New Roman" w:hAnsi="Open Sans" w:cs="Courier New"/>
                <w:b/>
                <w:i/>
                <w:iCs/>
                <w:color w:val="003399"/>
                <w:lang w:val="ro-RO" w:eastAsia="en-GB"/>
              </w:rPr>
              <w:t>.</w:t>
            </w:r>
          </w:p>
          <w:p w14:paraId="479C04D1" w14:textId="287E35A3" w:rsidR="00A5719D" w:rsidRPr="00A50D16" w:rsidRDefault="00A5719D" w:rsidP="00BE2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sz w:val="20"/>
                <w:szCs w:val="20"/>
                <w:lang w:val="ro-RO" w:eastAsia="en-GB"/>
              </w:rPr>
            </w:pPr>
          </w:p>
        </w:tc>
      </w:tr>
      <w:tr w:rsidR="00E97F05" w:rsidRPr="00A50D16" w14:paraId="29DB1113" w14:textId="77777777" w:rsidTr="00E438B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0552D90E" w:rsidR="00406660" w:rsidRPr="00A50D16" w:rsidRDefault="0082048F" w:rsidP="00BE2EB1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A50D16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75BC" w14:textId="682B9DA1" w:rsidR="00A50D16" w:rsidRPr="00A50D16" w:rsidRDefault="00AA0D9F" w:rsidP="00BE2EB1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 w:rsidRPr="00AA0D9F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ro-RO" w:eastAsia="en-US"/>
              </w:rPr>
              <w:t>Livrabile</w:t>
            </w:r>
            <w:r w:rsidR="00A50D16" w:rsidRPr="00A50D16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: </w:t>
            </w:r>
          </w:p>
          <w:p w14:paraId="37861D61" w14:textId="42074775" w:rsidR="007C7E43" w:rsidRPr="007C7E43" w:rsidRDefault="007C7E43" w:rsidP="00BE2EB1">
            <w:pPr>
              <w:pStyle w:val="HTMLPreformatted"/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 w:rsidRPr="005D5339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ro-RO" w:eastAsia="en-US"/>
              </w:rPr>
              <w:t>2 centre de formare</w:t>
            </w:r>
            <w:r w:rsidRPr="007C7E43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>, specializare și sprijin create în Zold, România, și Domaszek, Ungaria;</w:t>
            </w:r>
          </w:p>
          <w:p w14:paraId="2F21EBB4" w14:textId="319E0C4E" w:rsidR="007C7E43" w:rsidRPr="007C7E43" w:rsidRDefault="001E15D2" w:rsidP="00BE2EB1">
            <w:pPr>
              <w:pStyle w:val="HTMLPreformatted"/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>mai mult de</w:t>
            </w:r>
            <w:r w:rsidR="007C7E43" w:rsidRPr="007C7E43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="007C7E43" w:rsidRPr="005D5339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ro-RO" w:eastAsia="en-US"/>
              </w:rPr>
              <w:t>438 de persoane</w:t>
            </w:r>
            <w:r w:rsidR="007C7E43" w:rsidRPr="007C7E43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 instruite în zona transfrontalieră;</w:t>
            </w:r>
          </w:p>
          <w:p w14:paraId="16B078D1" w14:textId="7AA9E24F" w:rsidR="00E754D6" w:rsidRDefault="007C7E43" w:rsidP="00BE2EB1">
            <w:pPr>
              <w:pStyle w:val="HTMLPreformatted"/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 w:rsidRPr="005D5339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ro-RO" w:eastAsia="en-US"/>
              </w:rPr>
              <w:t>2 materiale de formare</w:t>
            </w:r>
            <w:r w:rsidRPr="007C7E43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="001E15D2" w:rsidRPr="007C7E43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>elaborate</w:t>
            </w:r>
            <w:r w:rsidR="001E15D2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Pr="007C7E43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>în limbile maghiară și română pentru orientare profesională și formare antreprenorială.</w:t>
            </w:r>
          </w:p>
          <w:p w14:paraId="17E4DB7F" w14:textId="1F001220" w:rsidR="00AA0D9F" w:rsidRDefault="00AA0D9F" w:rsidP="00AA0D9F">
            <w:pPr>
              <w:pStyle w:val="HTMLPreformatted"/>
              <w:jc w:val="both"/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ro-RO" w:eastAsia="en-US"/>
              </w:rPr>
            </w:pPr>
            <w:r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ro-RO" w:eastAsia="en-US"/>
              </w:rPr>
              <w:t>Rezultate:</w:t>
            </w:r>
          </w:p>
          <w:p w14:paraId="561669CC" w14:textId="77777777" w:rsidR="00AA0D9F" w:rsidRDefault="00AA0D9F" w:rsidP="00AA0D9F">
            <w:pPr>
              <w:pStyle w:val="HTMLPreformatted"/>
              <w:numPr>
                <w:ilvl w:val="0"/>
                <w:numId w:val="25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 w:rsidRPr="00AA0D9F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Creșterea oportunităților de angajare și stimularea creșterii incluzive a zonei de frontieră prin modulele de formare: orientare și planificare a carierei transfrontaliere, competențe sociale și civice, precum și cunoștințe de bază în </w:t>
            </w:r>
            <w:proofErr w:type="spellStart"/>
            <w:r w:rsidRPr="00AA0D9F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>antreprenoriat</w:t>
            </w:r>
            <w:proofErr w:type="spellEnd"/>
            <w:r w:rsidRPr="00AA0D9F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1120BFEE" w14:textId="4352AF28" w:rsidR="00AA0D9F" w:rsidRPr="00AA0D9F" w:rsidRDefault="00AA0D9F" w:rsidP="00AA0D9F">
            <w:pPr>
              <w:pStyle w:val="HTMLPreformatted"/>
              <w:numPr>
                <w:ilvl w:val="0"/>
                <w:numId w:val="25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 w:rsidRPr="00AA0D9F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>Îmbunătățirea accesului transfrontalier la piața muncii pentru peste 430 de persoane participante la sesiunile de formare: peste 230 de participanți români și peste 200 de participanți maghiari au obținut diplome.</w:t>
            </w:r>
          </w:p>
          <w:p w14:paraId="6A592B54" w14:textId="77777777" w:rsidR="00AA0D9F" w:rsidRPr="00AA0D9F" w:rsidRDefault="00AA0D9F" w:rsidP="00BE2EB1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</w:pPr>
            <w:r w:rsidRPr="00AA0D9F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 xml:space="preserve">Indicatori: </w:t>
            </w:r>
          </w:p>
          <w:p w14:paraId="424D9B20" w14:textId="34D4FF76" w:rsidR="007C7E43" w:rsidRPr="00AA0D9F" w:rsidRDefault="00AA0D9F" w:rsidP="00BE2EB1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 w:rsidRPr="00AA0D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Indicatorul de realizare (output) al programului este „</w:t>
            </w:r>
            <w:r w:rsidRPr="00AA0D9F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  <w:lang w:val="ro-RO"/>
              </w:rPr>
              <w:t>CO44 Piața muncii și instruirea: numărul de participanți la inițiativele comune de ocupare a forței de muncă locale și la formarea comună</w:t>
            </w:r>
            <w:r w:rsidRPr="00AA0D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”. Prin proiectul ROHU-374, </w:t>
            </w:r>
            <w:r w:rsidRPr="00AA0D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438</w:t>
            </w:r>
            <w:r w:rsidRPr="00AA0D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persoane au beneficiat de instruiri/ specializări/ inițiative comune locale de ocupare a forței de muncă.</w:t>
            </w:r>
          </w:p>
          <w:p w14:paraId="3689F833" w14:textId="77777777" w:rsidR="00AA0D9F" w:rsidRDefault="00AA0D9F" w:rsidP="00BE2EB1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</w:p>
          <w:p w14:paraId="6916C6F2" w14:textId="65CE4DC2" w:rsidR="0041774A" w:rsidRPr="005D5339" w:rsidRDefault="0041774A" w:rsidP="00BE2EB1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Website:  </w:t>
            </w:r>
            <w:hyperlink r:id="rId8" w:history="1">
              <w:r w:rsidRPr="00DD346D">
                <w:rPr>
                  <w:rStyle w:val="Hyperlink"/>
                  <w:rFonts w:ascii="Open Sans" w:eastAsia="Calibri" w:hAnsi="Open Sans" w:cs="Open Sans"/>
                  <w:sz w:val="22"/>
                  <w:szCs w:val="22"/>
                  <w:lang w:val="ro-RO" w:eastAsia="en-US"/>
                </w:rPr>
                <w:t>www.twinstraining.eu</w:t>
              </w:r>
            </w:hyperlink>
          </w:p>
        </w:tc>
      </w:tr>
    </w:tbl>
    <w:p w14:paraId="4D071DEF" w14:textId="25143A8F" w:rsidR="00CD5D21" w:rsidRPr="00A50D16" w:rsidRDefault="00CD5D21" w:rsidP="00CD5D21">
      <w:pPr>
        <w:rPr>
          <w:rFonts w:ascii="Open Sans" w:hAnsi="Open Sans"/>
          <w:lang w:val="ro-RO"/>
        </w:rPr>
      </w:pPr>
    </w:p>
    <w:sectPr w:rsidR="00CD5D21" w:rsidRPr="00A50D16" w:rsidSect="002D398F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33ED" w14:textId="77777777" w:rsidR="00B71FD9" w:rsidRDefault="00B71FD9" w:rsidP="00DE0A0A">
      <w:pPr>
        <w:spacing w:after="0" w:line="240" w:lineRule="auto"/>
      </w:pPr>
      <w:r>
        <w:separator/>
      </w:r>
    </w:p>
  </w:endnote>
  <w:endnote w:type="continuationSeparator" w:id="0">
    <w:p w14:paraId="02868973" w14:textId="77777777" w:rsidR="00B71FD9" w:rsidRDefault="00B71FD9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Calibri"/>
    <w:panose1 w:val="00000400000000000000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AA63A" w14:textId="77777777" w:rsidR="00CD5D21" w:rsidRPr="0032658E" w:rsidRDefault="00CD5D21" w:rsidP="00CD5D21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7F17E603" w:rsidR="007974A7" w:rsidRDefault="007974A7" w:rsidP="00CD5D2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5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8E8D" w14:textId="77777777" w:rsidR="00B71FD9" w:rsidRDefault="00B71FD9" w:rsidP="00DE0A0A">
      <w:pPr>
        <w:spacing w:after="0" w:line="240" w:lineRule="auto"/>
      </w:pPr>
      <w:r>
        <w:separator/>
      </w:r>
    </w:p>
  </w:footnote>
  <w:footnote w:type="continuationSeparator" w:id="0">
    <w:p w14:paraId="53BFD739" w14:textId="77777777" w:rsidR="00B71FD9" w:rsidRDefault="00B71FD9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0BB48944" w:rsidR="007116AA" w:rsidRDefault="00CD5D21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2802BC70" wp14:editId="0C03DA26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D00"/>
    <w:multiLevelType w:val="hybridMultilevel"/>
    <w:tmpl w:val="053ADE76"/>
    <w:lvl w:ilvl="0" w:tplc="9A2272F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CBC"/>
    <w:multiLevelType w:val="hybridMultilevel"/>
    <w:tmpl w:val="058AF2E0"/>
    <w:lvl w:ilvl="0" w:tplc="6002C738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7667382"/>
    <w:multiLevelType w:val="hybridMultilevel"/>
    <w:tmpl w:val="152C8FCC"/>
    <w:lvl w:ilvl="0" w:tplc="8B6E7B1A">
      <w:start w:val="2"/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416C"/>
    <w:multiLevelType w:val="hybridMultilevel"/>
    <w:tmpl w:val="128E55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7184F"/>
    <w:multiLevelType w:val="hybridMultilevel"/>
    <w:tmpl w:val="76C4B8FE"/>
    <w:lvl w:ilvl="0" w:tplc="6002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7DFF"/>
    <w:multiLevelType w:val="hybridMultilevel"/>
    <w:tmpl w:val="A01281FC"/>
    <w:lvl w:ilvl="0" w:tplc="041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AB1DFB"/>
    <w:multiLevelType w:val="hybridMultilevel"/>
    <w:tmpl w:val="CD942FA2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6301C"/>
    <w:multiLevelType w:val="hybridMultilevel"/>
    <w:tmpl w:val="D81C49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1657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812133">
    <w:abstractNumId w:val="20"/>
  </w:num>
  <w:num w:numId="3" w16cid:durableId="52237838">
    <w:abstractNumId w:val="24"/>
  </w:num>
  <w:num w:numId="4" w16cid:durableId="1470587363">
    <w:abstractNumId w:val="21"/>
  </w:num>
  <w:num w:numId="5" w16cid:durableId="321354477">
    <w:abstractNumId w:val="3"/>
  </w:num>
  <w:num w:numId="6" w16cid:durableId="760445875">
    <w:abstractNumId w:val="12"/>
  </w:num>
  <w:num w:numId="7" w16cid:durableId="589852142">
    <w:abstractNumId w:val="5"/>
  </w:num>
  <w:num w:numId="8" w16cid:durableId="1460608526">
    <w:abstractNumId w:val="14"/>
  </w:num>
  <w:num w:numId="9" w16cid:durableId="1043361297">
    <w:abstractNumId w:val="16"/>
  </w:num>
  <w:num w:numId="10" w16cid:durableId="2083212128">
    <w:abstractNumId w:val="10"/>
  </w:num>
  <w:num w:numId="11" w16cid:durableId="1209032696">
    <w:abstractNumId w:val="17"/>
  </w:num>
  <w:num w:numId="12" w16cid:durableId="1374379477">
    <w:abstractNumId w:val="1"/>
  </w:num>
  <w:num w:numId="13" w16cid:durableId="612178157">
    <w:abstractNumId w:val="11"/>
  </w:num>
  <w:num w:numId="14" w16cid:durableId="1962108562">
    <w:abstractNumId w:val="18"/>
  </w:num>
  <w:num w:numId="15" w16cid:durableId="1333147171">
    <w:abstractNumId w:val="6"/>
  </w:num>
  <w:num w:numId="16" w16cid:durableId="1466698159">
    <w:abstractNumId w:val="13"/>
  </w:num>
  <w:num w:numId="17" w16cid:durableId="218828172">
    <w:abstractNumId w:val="22"/>
  </w:num>
  <w:num w:numId="18" w16cid:durableId="1408919963">
    <w:abstractNumId w:val="25"/>
  </w:num>
  <w:num w:numId="19" w16cid:durableId="318198914">
    <w:abstractNumId w:val="7"/>
  </w:num>
  <w:num w:numId="20" w16cid:durableId="953907822">
    <w:abstractNumId w:val="0"/>
  </w:num>
  <w:num w:numId="21" w16cid:durableId="311907868">
    <w:abstractNumId w:val="9"/>
  </w:num>
  <w:num w:numId="22" w16cid:durableId="30112313">
    <w:abstractNumId w:val="19"/>
  </w:num>
  <w:num w:numId="23" w16cid:durableId="230507951">
    <w:abstractNumId w:val="8"/>
  </w:num>
  <w:num w:numId="24" w16cid:durableId="749734748">
    <w:abstractNumId w:val="2"/>
  </w:num>
  <w:num w:numId="25" w16cid:durableId="1488747339">
    <w:abstractNumId w:val="15"/>
  </w:num>
  <w:num w:numId="26" w16cid:durableId="1291397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DEwNTcwtTQxMrZQ0lEKTi0uzszPAykwqQUANjzKWCwAAAA="/>
  </w:docVars>
  <w:rsids>
    <w:rsidRoot w:val="00950FDB"/>
    <w:rsid w:val="00000B62"/>
    <w:rsid w:val="000020F5"/>
    <w:rsid w:val="0000302D"/>
    <w:rsid w:val="00006112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63699"/>
    <w:rsid w:val="0007778E"/>
    <w:rsid w:val="000778EB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3BE"/>
    <w:rsid w:val="001156A2"/>
    <w:rsid w:val="00117965"/>
    <w:rsid w:val="0012201F"/>
    <w:rsid w:val="001222DE"/>
    <w:rsid w:val="0013629B"/>
    <w:rsid w:val="00136DE9"/>
    <w:rsid w:val="0014702D"/>
    <w:rsid w:val="00154137"/>
    <w:rsid w:val="001628F5"/>
    <w:rsid w:val="001775D1"/>
    <w:rsid w:val="0017773A"/>
    <w:rsid w:val="00181B39"/>
    <w:rsid w:val="0018427F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C6C9D"/>
    <w:rsid w:val="001D0FCF"/>
    <w:rsid w:val="001D6552"/>
    <w:rsid w:val="001D72A4"/>
    <w:rsid w:val="001E03C6"/>
    <w:rsid w:val="001E15D2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60BE"/>
    <w:rsid w:val="002C75D1"/>
    <w:rsid w:val="002D0CB9"/>
    <w:rsid w:val="002D398F"/>
    <w:rsid w:val="002E3BF1"/>
    <w:rsid w:val="002E3EBE"/>
    <w:rsid w:val="002E5DCC"/>
    <w:rsid w:val="002F2ABA"/>
    <w:rsid w:val="002F3E1F"/>
    <w:rsid w:val="002F3F04"/>
    <w:rsid w:val="002F550A"/>
    <w:rsid w:val="002F7095"/>
    <w:rsid w:val="00307DE5"/>
    <w:rsid w:val="00312F62"/>
    <w:rsid w:val="00313EF3"/>
    <w:rsid w:val="003224BB"/>
    <w:rsid w:val="0032275E"/>
    <w:rsid w:val="00327251"/>
    <w:rsid w:val="00333479"/>
    <w:rsid w:val="00345F67"/>
    <w:rsid w:val="00356CF2"/>
    <w:rsid w:val="00361731"/>
    <w:rsid w:val="00364D1D"/>
    <w:rsid w:val="0036777B"/>
    <w:rsid w:val="00370E05"/>
    <w:rsid w:val="0037217B"/>
    <w:rsid w:val="0037472E"/>
    <w:rsid w:val="003748B2"/>
    <w:rsid w:val="00375407"/>
    <w:rsid w:val="00384C38"/>
    <w:rsid w:val="003874FF"/>
    <w:rsid w:val="00387D7B"/>
    <w:rsid w:val="003A046A"/>
    <w:rsid w:val="003A1ECB"/>
    <w:rsid w:val="003A3695"/>
    <w:rsid w:val="003B0F43"/>
    <w:rsid w:val="003B2201"/>
    <w:rsid w:val="003B4374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07F36"/>
    <w:rsid w:val="00410343"/>
    <w:rsid w:val="00413FC1"/>
    <w:rsid w:val="0041460E"/>
    <w:rsid w:val="0041690F"/>
    <w:rsid w:val="00416BBE"/>
    <w:rsid w:val="0041774A"/>
    <w:rsid w:val="00424B1B"/>
    <w:rsid w:val="00430336"/>
    <w:rsid w:val="00430B04"/>
    <w:rsid w:val="004321A4"/>
    <w:rsid w:val="00433CB4"/>
    <w:rsid w:val="004354CC"/>
    <w:rsid w:val="00437492"/>
    <w:rsid w:val="00437624"/>
    <w:rsid w:val="0044047D"/>
    <w:rsid w:val="0044308D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90DAF"/>
    <w:rsid w:val="004C0784"/>
    <w:rsid w:val="004C4FAF"/>
    <w:rsid w:val="004D1829"/>
    <w:rsid w:val="004E3E06"/>
    <w:rsid w:val="004E42B8"/>
    <w:rsid w:val="004E436A"/>
    <w:rsid w:val="004F7A11"/>
    <w:rsid w:val="0050017B"/>
    <w:rsid w:val="00500DD4"/>
    <w:rsid w:val="0050327B"/>
    <w:rsid w:val="00507B8E"/>
    <w:rsid w:val="00507F75"/>
    <w:rsid w:val="00512333"/>
    <w:rsid w:val="0052305A"/>
    <w:rsid w:val="00555FC1"/>
    <w:rsid w:val="005569FB"/>
    <w:rsid w:val="00574A76"/>
    <w:rsid w:val="00582E30"/>
    <w:rsid w:val="005843ED"/>
    <w:rsid w:val="005867CE"/>
    <w:rsid w:val="005871A1"/>
    <w:rsid w:val="00596723"/>
    <w:rsid w:val="005A2833"/>
    <w:rsid w:val="005B03B7"/>
    <w:rsid w:val="005B5367"/>
    <w:rsid w:val="005B6E37"/>
    <w:rsid w:val="005C2A5D"/>
    <w:rsid w:val="005D029C"/>
    <w:rsid w:val="005D102A"/>
    <w:rsid w:val="005D5339"/>
    <w:rsid w:val="005E1C53"/>
    <w:rsid w:val="005E2E0B"/>
    <w:rsid w:val="005E5B49"/>
    <w:rsid w:val="005F2B58"/>
    <w:rsid w:val="005F71F6"/>
    <w:rsid w:val="00603190"/>
    <w:rsid w:val="00616E9C"/>
    <w:rsid w:val="00623FCA"/>
    <w:rsid w:val="00634CAF"/>
    <w:rsid w:val="00641BC7"/>
    <w:rsid w:val="00642C0D"/>
    <w:rsid w:val="00645360"/>
    <w:rsid w:val="00653932"/>
    <w:rsid w:val="0065578E"/>
    <w:rsid w:val="00657A1B"/>
    <w:rsid w:val="00660FEC"/>
    <w:rsid w:val="00664F02"/>
    <w:rsid w:val="00664FF6"/>
    <w:rsid w:val="00670B7E"/>
    <w:rsid w:val="0067777E"/>
    <w:rsid w:val="00682C8B"/>
    <w:rsid w:val="00686C18"/>
    <w:rsid w:val="006969D9"/>
    <w:rsid w:val="0069759C"/>
    <w:rsid w:val="006A3931"/>
    <w:rsid w:val="006A47CD"/>
    <w:rsid w:val="006A7B4A"/>
    <w:rsid w:val="006B4891"/>
    <w:rsid w:val="006C3264"/>
    <w:rsid w:val="006D1DBD"/>
    <w:rsid w:val="006D3431"/>
    <w:rsid w:val="006E2581"/>
    <w:rsid w:val="006E56B5"/>
    <w:rsid w:val="006E6865"/>
    <w:rsid w:val="0070636B"/>
    <w:rsid w:val="007102DB"/>
    <w:rsid w:val="007116AA"/>
    <w:rsid w:val="0072317B"/>
    <w:rsid w:val="00737C61"/>
    <w:rsid w:val="00744888"/>
    <w:rsid w:val="00744AC2"/>
    <w:rsid w:val="0075136A"/>
    <w:rsid w:val="007540C9"/>
    <w:rsid w:val="00763717"/>
    <w:rsid w:val="00772F50"/>
    <w:rsid w:val="007741AF"/>
    <w:rsid w:val="00774340"/>
    <w:rsid w:val="00777F7A"/>
    <w:rsid w:val="0078246B"/>
    <w:rsid w:val="007853F2"/>
    <w:rsid w:val="0079573B"/>
    <w:rsid w:val="007974A7"/>
    <w:rsid w:val="007A0357"/>
    <w:rsid w:val="007A1DA0"/>
    <w:rsid w:val="007A28C9"/>
    <w:rsid w:val="007A71FA"/>
    <w:rsid w:val="007A7A2D"/>
    <w:rsid w:val="007B21C8"/>
    <w:rsid w:val="007B2D31"/>
    <w:rsid w:val="007B56FF"/>
    <w:rsid w:val="007B5F4C"/>
    <w:rsid w:val="007C020E"/>
    <w:rsid w:val="007C0F09"/>
    <w:rsid w:val="007C2163"/>
    <w:rsid w:val="007C7E43"/>
    <w:rsid w:val="007D2F2B"/>
    <w:rsid w:val="007D6793"/>
    <w:rsid w:val="007E0C46"/>
    <w:rsid w:val="007E5C94"/>
    <w:rsid w:val="007F066B"/>
    <w:rsid w:val="007F7E5F"/>
    <w:rsid w:val="00800342"/>
    <w:rsid w:val="00802413"/>
    <w:rsid w:val="008025DA"/>
    <w:rsid w:val="008028AF"/>
    <w:rsid w:val="0080382E"/>
    <w:rsid w:val="00807560"/>
    <w:rsid w:val="008101CC"/>
    <w:rsid w:val="0082048F"/>
    <w:rsid w:val="008255A9"/>
    <w:rsid w:val="008313C5"/>
    <w:rsid w:val="0083496B"/>
    <w:rsid w:val="00835FC5"/>
    <w:rsid w:val="00835FCF"/>
    <w:rsid w:val="008414C8"/>
    <w:rsid w:val="00843235"/>
    <w:rsid w:val="0085089C"/>
    <w:rsid w:val="008625C7"/>
    <w:rsid w:val="00864DD8"/>
    <w:rsid w:val="00865773"/>
    <w:rsid w:val="00880358"/>
    <w:rsid w:val="00890BF7"/>
    <w:rsid w:val="0089465E"/>
    <w:rsid w:val="00897956"/>
    <w:rsid w:val="00897C60"/>
    <w:rsid w:val="008A0924"/>
    <w:rsid w:val="008A11D9"/>
    <w:rsid w:val="008A4EE4"/>
    <w:rsid w:val="008A5182"/>
    <w:rsid w:val="008A59A9"/>
    <w:rsid w:val="008B067A"/>
    <w:rsid w:val="008B5BD4"/>
    <w:rsid w:val="008B6334"/>
    <w:rsid w:val="008B7B91"/>
    <w:rsid w:val="008C3C91"/>
    <w:rsid w:val="008C4237"/>
    <w:rsid w:val="008C6E30"/>
    <w:rsid w:val="008D0DBC"/>
    <w:rsid w:val="008D2D5D"/>
    <w:rsid w:val="008D4A01"/>
    <w:rsid w:val="008E00B4"/>
    <w:rsid w:val="008E38BF"/>
    <w:rsid w:val="008F1EA6"/>
    <w:rsid w:val="008F4A49"/>
    <w:rsid w:val="0090210C"/>
    <w:rsid w:val="00902511"/>
    <w:rsid w:val="00913336"/>
    <w:rsid w:val="00913AA4"/>
    <w:rsid w:val="00915F13"/>
    <w:rsid w:val="00924033"/>
    <w:rsid w:val="0092480E"/>
    <w:rsid w:val="00930471"/>
    <w:rsid w:val="009319EC"/>
    <w:rsid w:val="00940C68"/>
    <w:rsid w:val="00943299"/>
    <w:rsid w:val="00950EC1"/>
    <w:rsid w:val="00950FDB"/>
    <w:rsid w:val="00952D2C"/>
    <w:rsid w:val="00953A52"/>
    <w:rsid w:val="00960844"/>
    <w:rsid w:val="00966F1C"/>
    <w:rsid w:val="00970E01"/>
    <w:rsid w:val="00971120"/>
    <w:rsid w:val="00972517"/>
    <w:rsid w:val="00980930"/>
    <w:rsid w:val="00981666"/>
    <w:rsid w:val="00983199"/>
    <w:rsid w:val="009868E8"/>
    <w:rsid w:val="009916CB"/>
    <w:rsid w:val="00994980"/>
    <w:rsid w:val="00995318"/>
    <w:rsid w:val="009B49F1"/>
    <w:rsid w:val="009C049E"/>
    <w:rsid w:val="009C04EE"/>
    <w:rsid w:val="009D75C7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3741"/>
    <w:rsid w:val="00A15AC5"/>
    <w:rsid w:val="00A24715"/>
    <w:rsid w:val="00A25310"/>
    <w:rsid w:val="00A2596B"/>
    <w:rsid w:val="00A25CFB"/>
    <w:rsid w:val="00A26369"/>
    <w:rsid w:val="00A26BF8"/>
    <w:rsid w:val="00A3050D"/>
    <w:rsid w:val="00A3189C"/>
    <w:rsid w:val="00A33384"/>
    <w:rsid w:val="00A35EAE"/>
    <w:rsid w:val="00A473AC"/>
    <w:rsid w:val="00A478F6"/>
    <w:rsid w:val="00A50D16"/>
    <w:rsid w:val="00A50FDA"/>
    <w:rsid w:val="00A51AE4"/>
    <w:rsid w:val="00A521FE"/>
    <w:rsid w:val="00A5719D"/>
    <w:rsid w:val="00A62232"/>
    <w:rsid w:val="00A66332"/>
    <w:rsid w:val="00A6669B"/>
    <w:rsid w:val="00A811B3"/>
    <w:rsid w:val="00A81C1E"/>
    <w:rsid w:val="00A84025"/>
    <w:rsid w:val="00A92006"/>
    <w:rsid w:val="00A93A4C"/>
    <w:rsid w:val="00A94548"/>
    <w:rsid w:val="00A958AC"/>
    <w:rsid w:val="00A9664A"/>
    <w:rsid w:val="00AA0D9F"/>
    <w:rsid w:val="00AA54C4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3205"/>
    <w:rsid w:val="00AD658C"/>
    <w:rsid w:val="00AE3D1F"/>
    <w:rsid w:val="00B040EE"/>
    <w:rsid w:val="00B05DE4"/>
    <w:rsid w:val="00B128E6"/>
    <w:rsid w:val="00B16206"/>
    <w:rsid w:val="00B16DD0"/>
    <w:rsid w:val="00B27EAB"/>
    <w:rsid w:val="00B42489"/>
    <w:rsid w:val="00B47046"/>
    <w:rsid w:val="00B51E51"/>
    <w:rsid w:val="00B6241C"/>
    <w:rsid w:val="00B64CA2"/>
    <w:rsid w:val="00B66884"/>
    <w:rsid w:val="00B71FD9"/>
    <w:rsid w:val="00B770AF"/>
    <w:rsid w:val="00B80E4D"/>
    <w:rsid w:val="00B819F9"/>
    <w:rsid w:val="00B82817"/>
    <w:rsid w:val="00B828C3"/>
    <w:rsid w:val="00B8292E"/>
    <w:rsid w:val="00B83B72"/>
    <w:rsid w:val="00B83D51"/>
    <w:rsid w:val="00B925C7"/>
    <w:rsid w:val="00BA3729"/>
    <w:rsid w:val="00BA3E1B"/>
    <w:rsid w:val="00BB0A19"/>
    <w:rsid w:val="00BB6DFB"/>
    <w:rsid w:val="00BB6EAD"/>
    <w:rsid w:val="00BC2CA3"/>
    <w:rsid w:val="00BC5491"/>
    <w:rsid w:val="00BC7C12"/>
    <w:rsid w:val="00BD0127"/>
    <w:rsid w:val="00BD2491"/>
    <w:rsid w:val="00BE1ADF"/>
    <w:rsid w:val="00BE2EB1"/>
    <w:rsid w:val="00BE4D5A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3AC3"/>
    <w:rsid w:val="00C45EB4"/>
    <w:rsid w:val="00C46205"/>
    <w:rsid w:val="00C52970"/>
    <w:rsid w:val="00C556C9"/>
    <w:rsid w:val="00C57323"/>
    <w:rsid w:val="00C57BF1"/>
    <w:rsid w:val="00C67A7D"/>
    <w:rsid w:val="00C67DC8"/>
    <w:rsid w:val="00C70C41"/>
    <w:rsid w:val="00C71E02"/>
    <w:rsid w:val="00C734BF"/>
    <w:rsid w:val="00C7504B"/>
    <w:rsid w:val="00C76F27"/>
    <w:rsid w:val="00C820B5"/>
    <w:rsid w:val="00C83A85"/>
    <w:rsid w:val="00C86F0A"/>
    <w:rsid w:val="00C94AA2"/>
    <w:rsid w:val="00CA0393"/>
    <w:rsid w:val="00CA70ED"/>
    <w:rsid w:val="00CC0F91"/>
    <w:rsid w:val="00CD3A86"/>
    <w:rsid w:val="00CD5D21"/>
    <w:rsid w:val="00CD7803"/>
    <w:rsid w:val="00CE450A"/>
    <w:rsid w:val="00CE4B2C"/>
    <w:rsid w:val="00CE7740"/>
    <w:rsid w:val="00D03128"/>
    <w:rsid w:val="00D060BB"/>
    <w:rsid w:val="00D24FE5"/>
    <w:rsid w:val="00D30013"/>
    <w:rsid w:val="00D4569F"/>
    <w:rsid w:val="00D469A1"/>
    <w:rsid w:val="00D55478"/>
    <w:rsid w:val="00D60739"/>
    <w:rsid w:val="00D61AB2"/>
    <w:rsid w:val="00D632F4"/>
    <w:rsid w:val="00D642A0"/>
    <w:rsid w:val="00D6797A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97A1E"/>
    <w:rsid w:val="00D97DA5"/>
    <w:rsid w:val="00DA235A"/>
    <w:rsid w:val="00DA5281"/>
    <w:rsid w:val="00DB4364"/>
    <w:rsid w:val="00DB4A5E"/>
    <w:rsid w:val="00DD483A"/>
    <w:rsid w:val="00DE0A0A"/>
    <w:rsid w:val="00DE1AA2"/>
    <w:rsid w:val="00DE2F4C"/>
    <w:rsid w:val="00DE6366"/>
    <w:rsid w:val="00DE71CB"/>
    <w:rsid w:val="00DF5A9A"/>
    <w:rsid w:val="00E02457"/>
    <w:rsid w:val="00E03EE7"/>
    <w:rsid w:val="00E061F3"/>
    <w:rsid w:val="00E0695E"/>
    <w:rsid w:val="00E13A58"/>
    <w:rsid w:val="00E202B2"/>
    <w:rsid w:val="00E21009"/>
    <w:rsid w:val="00E24216"/>
    <w:rsid w:val="00E247C0"/>
    <w:rsid w:val="00E31B7C"/>
    <w:rsid w:val="00E32A60"/>
    <w:rsid w:val="00E335AE"/>
    <w:rsid w:val="00E337F8"/>
    <w:rsid w:val="00E33B12"/>
    <w:rsid w:val="00E3467D"/>
    <w:rsid w:val="00E36E2F"/>
    <w:rsid w:val="00E438BF"/>
    <w:rsid w:val="00E52C21"/>
    <w:rsid w:val="00E564B9"/>
    <w:rsid w:val="00E7524A"/>
    <w:rsid w:val="00E754D6"/>
    <w:rsid w:val="00E8348A"/>
    <w:rsid w:val="00E851A7"/>
    <w:rsid w:val="00E86281"/>
    <w:rsid w:val="00E90ED9"/>
    <w:rsid w:val="00E957E5"/>
    <w:rsid w:val="00E96FFF"/>
    <w:rsid w:val="00E97F05"/>
    <w:rsid w:val="00EA2464"/>
    <w:rsid w:val="00EA5F59"/>
    <w:rsid w:val="00EB25E5"/>
    <w:rsid w:val="00EC1E6A"/>
    <w:rsid w:val="00EC4AC1"/>
    <w:rsid w:val="00EC7882"/>
    <w:rsid w:val="00ED5D39"/>
    <w:rsid w:val="00EE48D4"/>
    <w:rsid w:val="00EF2280"/>
    <w:rsid w:val="00EF34E2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5737E"/>
    <w:rsid w:val="00F57B19"/>
    <w:rsid w:val="00F672E3"/>
    <w:rsid w:val="00F77FA7"/>
    <w:rsid w:val="00F839DE"/>
    <w:rsid w:val="00F94E4A"/>
    <w:rsid w:val="00FA3F8E"/>
    <w:rsid w:val="00FB4FD4"/>
    <w:rsid w:val="00FD25A7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paragraph" w:styleId="Revision">
    <w:name w:val="Revision"/>
    <w:hidden/>
    <w:uiPriority w:val="99"/>
    <w:semiHidden/>
    <w:rsid w:val="00F67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nstrainin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CEDB-921E-43F0-A5F9-1ECE5257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5</cp:revision>
  <cp:lastPrinted>2023-10-26T09:31:00Z</cp:lastPrinted>
  <dcterms:created xsi:type="dcterms:W3CDTF">2026-02-04T08:08:00Z</dcterms:created>
  <dcterms:modified xsi:type="dcterms:W3CDTF">2026-02-04T10:53:00Z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7372510e62ef5ac5fa6917e3ae235ed95258aa6e4fc464c201fad602e79377eb</vt:lpwstr>
  </property>
</Properties>
</file>