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FD0C" w14:textId="77777777" w:rsidR="000F0D69" w:rsidRPr="005A3F03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5A3F03" w14:paraId="08C25678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6E0674F9" w14:textId="77777777" w:rsidR="003A3C14" w:rsidRPr="005A3F03" w:rsidRDefault="00F40732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 w:rsidRPr="005A3F03">
              <w:rPr>
                <w:rFonts w:ascii="Open Sans" w:eastAsia="Microsoft Sans Serif" w:hAnsi="Open Sans" w:cs="Open Sans"/>
                <w:color w:val="FFFFFF"/>
                <w:w w:val="90"/>
                <w:shd w:val="clear" w:color="auto" w:fill="00008A"/>
                <w:lang w:val="hu-HU"/>
              </w:rPr>
              <w:t>3. n</w:t>
            </w:r>
            <w:r w:rsidR="007E66B2" w:rsidRPr="005A3F03">
              <w:rPr>
                <w:rFonts w:ascii="Open Sans" w:eastAsia="Microsoft Sans Serif" w:hAnsi="Open Sans" w:cs="Open Sans"/>
                <w:color w:val="FFFFFF"/>
                <w:w w:val="90"/>
                <w:shd w:val="clear" w:color="auto" w:fill="00008A"/>
                <w:lang w:val="hu-HU"/>
              </w:rPr>
              <w:t>yílt pályázati f</w:t>
            </w:r>
            <w:r w:rsidR="002D3E39" w:rsidRPr="005A3F03">
              <w:rPr>
                <w:rFonts w:ascii="Open Sans" w:eastAsia="Microsoft Sans Serif" w:hAnsi="Open Sans" w:cs="Open Sans"/>
                <w:color w:val="FFFFFF"/>
                <w:w w:val="90"/>
                <w:shd w:val="clear" w:color="auto" w:fill="00008A"/>
                <w:lang w:val="hu-HU"/>
              </w:rPr>
              <w:t>elhívás</w:t>
            </w:r>
            <w:r w:rsidR="003A3C14" w:rsidRPr="005A3F03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5A3F03" w14:paraId="4F46492F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BDD30" w14:textId="77777777" w:rsidR="00307D6D" w:rsidRPr="005A3F03" w:rsidRDefault="00307D6D" w:rsidP="00711C2C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Proje</w:t>
            </w:r>
            <w:r w:rsidR="002D3E39"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38A2" w14:textId="77777777" w:rsidR="00307D6D" w:rsidRPr="005A3F03" w:rsidRDefault="000B6101" w:rsidP="00711C2C">
            <w:pPr>
              <w:pStyle w:val="TableParagraph"/>
              <w:spacing w:line="301" w:lineRule="exact"/>
              <w:ind w:left="105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w w:val="90"/>
                <w:lang w:val="hu-HU"/>
              </w:rPr>
              <w:t>ROHU-386</w:t>
            </w:r>
          </w:p>
        </w:tc>
      </w:tr>
      <w:tr w:rsidR="00307D6D" w:rsidRPr="005A3F03" w14:paraId="4FB6AE43" w14:textId="77777777" w:rsidTr="00403850">
        <w:trPr>
          <w:trHeight w:hRule="exact" w:val="126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281F7" w14:textId="77777777" w:rsidR="00307D6D" w:rsidRPr="005A3F03" w:rsidRDefault="00307D6D" w:rsidP="00711C2C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Proje</w:t>
            </w:r>
            <w:r w:rsidR="002D3E39"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BE2C" w14:textId="77777777" w:rsidR="00403850" w:rsidRPr="005A3F03" w:rsidRDefault="00D13C8C" w:rsidP="00E614B5">
            <w:pPr>
              <w:spacing w:after="60" w:line="240" w:lineRule="auto"/>
              <w:jc w:val="both"/>
              <w:rPr>
                <w:rFonts w:ascii="Open Sans" w:eastAsia="Microsoft Sans Serif" w:hAnsi="Open Sans" w:cs="Open Sans"/>
                <w:b/>
                <w:bCs/>
                <w:color w:val="0E2A75"/>
                <w:w w:val="90"/>
                <w:lang w:val="hu-HU"/>
              </w:rPr>
            </w:pPr>
            <w:r w:rsidRPr="005A3F03">
              <w:rPr>
                <w:rFonts w:ascii="Open Sans" w:eastAsia="Microsoft Sans Serif" w:hAnsi="Open Sans" w:cs="Open Sans"/>
                <w:b/>
                <w:bCs/>
                <w:color w:val="0E2A75"/>
                <w:w w:val="90"/>
                <w:lang w:val="hu-HU"/>
              </w:rPr>
              <w:t>CBC-HOSPEQUIP</w:t>
            </w:r>
          </w:p>
          <w:p w14:paraId="0BBC3E82" w14:textId="77777777" w:rsidR="00D51FEB" w:rsidRPr="005A3F03" w:rsidRDefault="00403850" w:rsidP="001C3194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A </w:t>
            </w:r>
            <w:r w:rsidR="001C3194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határon átnyúló egészségügyi szolgáltatások fejlesztése a nagyváradi Dr. </w:t>
            </w:r>
            <w:proofErr w:type="spellStart"/>
            <w:r w:rsidR="001C3194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Gavril</w:t>
            </w:r>
            <w:proofErr w:type="spellEnd"/>
            <w:r w:rsidR="001C3194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 </w:t>
            </w:r>
            <w:proofErr w:type="spellStart"/>
            <w:r w:rsidR="001C3194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Curteanu</w:t>
            </w:r>
            <w:proofErr w:type="spellEnd"/>
            <w:r w:rsidR="001C3194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 és a Békés Megyei Központi </w:t>
            </w:r>
            <w:proofErr w:type="gramStart"/>
            <w:r w:rsidR="001C3194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Kórház  korszerű</w:t>
            </w:r>
            <w:proofErr w:type="gramEnd"/>
            <w:r w:rsidR="001C3194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 orvosi berendezésekkel történő ellátása által</w:t>
            </w:r>
          </w:p>
        </w:tc>
      </w:tr>
      <w:tr w:rsidR="00307D6D" w:rsidRPr="005A3F03" w14:paraId="174B8CED" w14:textId="77777777" w:rsidTr="00987E05">
        <w:trPr>
          <w:trHeight w:hRule="exact" w:val="706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112E" w14:textId="77777777" w:rsidR="00307D6D" w:rsidRPr="005A3F03" w:rsidRDefault="00C67718" w:rsidP="00711C2C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Prioritási tengely</w:t>
            </w:r>
            <w:r w:rsidRPr="005A3F03">
              <w:rPr>
                <w:rFonts w:ascii="Open Sans" w:hAnsi="Open Sans" w:cs="Open Sans"/>
                <w:b/>
                <w:color w:val="003399"/>
                <w:lang w:val="hu-HU"/>
              </w:rPr>
              <w:t xml:space="preserve">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DBE4" w14:textId="77777777" w:rsidR="00307D6D" w:rsidRPr="005A3F03" w:rsidRDefault="00987E05" w:rsidP="001B7577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4</w:t>
            </w:r>
            <w:r w:rsidR="006E75F7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 – </w:t>
            </w:r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Az egészségügyi szolgáltatások fejlesztése (Egészségügyi és megelőzést szolgáló együttműködés)</w:t>
            </w:r>
          </w:p>
        </w:tc>
      </w:tr>
      <w:tr w:rsidR="00307D6D" w:rsidRPr="005A3F03" w14:paraId="672183B0" w14:textId="77777777" w:rsidTr="00987E05">
        <w:trPr>
          <w:trHeight w:hRule="exact" w:val="208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A246F" w14:textId="77777777" w:rsidR="00307D6D" w:rsidRPr="005A3F03" w:rsidRDefault="00C67718" w:rsidP="00711C2C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82FA" w14:textId="77777777" w:rsidR="006E75F7" w:rsidRPr="005A3F03" w:rsidRDefault="00987E05" w:rsidP="001B7577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9/a – A nemzeti, regionális és helyi fejlődést szolgáló egészségügyi és szociális infrastruktúrába történő beruházás, az egészségi </w:t>
            </w:r>
            <w:proofErr w:type="spellStart"/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állapotbeli</w:t>
            </w:r>
            <w:proofErr w:type="spellEnd"/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 egyenlőtlenségek csökkentése, a társadalmi, kulturális és rekreációs szolgáltatásokhoz való jobb hozzáférés megteremtésével a társadalmi befogadás előmozdítása, valamint az intézményi szolgáltatásokról a közösségi alapú szolgáltatásokra történő átállás</w:t>
            </w:r>
            <w:r w:rsidR="00FC6036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.</w:t>
            </w:r>
          </w:p>
        </w:tc>
      </w:tr>
      <w:tr w:rsidR="00307D6D" w:rsidRPr="005A3F03" w14:paraId="10BAD60C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F319" w14:textId="77777777" w:rsidR="00307D6D" w:rsidRPr="005A3F03" w:rsidRDefault="00692E3C" w:rsidP="00711C2C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B8BC" w14:textId="28CF85F9" w:rsidR="00307D6D" w:rsidRPr="005A3F03" w:rsidRDefault="001C3194" w:rsidP="001C31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2</w:t>
            </w:r>
            <w:r w:rsidR="001B7577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4</w:t>
            </w:r>
            <w:r w:rsidR="00307D6D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 </w:t>
            </w:r>
            <w:r w:rsidR="009A7CA6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hónap</w:t>
            </w:r>
            <w:r w:rsidR="00307D6D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 (</w:t>
            </w:r>
            <w:r w:rsidR="00FC6036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2019</w:t>
            </w:r>
            <w:r w:rsidR="00987E05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. </w:t>
            </w:r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november 1- 2021</w:t>
            </w:r>
            <w:r w:rsidR="009A7CA6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. </w:t>
            </w:r>
            <w:r w:rsidR="001B7577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október</w:t>
            </w:r>
            <w:r w:rsidR="00FC6036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 xml:space="preserve"> 3</w:t>
            </w:r>
            <w:r w:rsidR="001B7577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1</w:t>
            </w:r>
            <w:r w:rsidR="00987E05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.</w:t>
            </w:r>
            <w:r w:rsidR="009A7CA6"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)</w:t>
            </w:r>
            <w:r w:rsidR="00307D6D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5A3F03" w14:paraId="7E061462" w14:textId="77777777" w:rsidTr="001B7577">
        <w:trPr>
          <w:trHeight w:hRule="exact" w:val="155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445A" w14:textId="77777777" w:rsidR="00307D6D" w:rsidRPr="005A3F03" w:rsidRDefault="00C67718" w:rsidP="00711C2C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2129" w14:textId="08AE58F8" w:rsidR="00307D6D" w:rsidRPr="005A3F03" w:rsidRDefault="001B7577" w:rsidP="001C31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</w:pPr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A fő cél a fenntartható egészségügyi szolgáltatások előmozdítása volt a határ mindkét oldalán, a legkorszerűbb orvostechnikai eszközök alkalmazásával, valamint a megelőzés, diagnózis és kezelés területén közös protokollok kialakításával a telemedicina rendszerén keresztül.</w:t>
            </w:r>
          </w:p>
        </w:tc>
      </w:tr>
      <w:tr w:rsidR="00307D6D" w:rsidRPr="005A3F03" w14:paraId="01FFF8DB" w14:textId="77777777" w:rsidTr="00495479">
        <w:trPr>
          <w:trHeight w:hRule="exact" w:val="615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8E26C" w14:textId="77777777" w:rsidR="00307D6D" w:rsidRPr="005A3F03" w:rsidRDefault="00C67718" w:rsidP="00711C2C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spacing w:val="-2"/>
                <w:w w:val="90"/>
                <w:lang w:val="hu-HU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1596" w14:textId="77777777" w:rsidR="00307D6D" w:rsidRPr="005A3F03" w:rsidRDefault="00DC2BA2" w:rsidP="0009627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Vezető Kedvezményezett: </w:t>
            </w:r>
            <w:r w:rsidR="00096279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Dr. </w:t>
            </w:r>
            <w:proofErr w:type="spellStart"/>
            <w:r w:rsidR="00096279" w:rsidRPr="005A3F03">
              <w:rPr>
                <w:rFonts w:ascii="Open Sans" w:hAnsi="Open Sans" w:cs="Open Sans"/>
                <w:color w:val="003399"/>
                <w:lang w:val="hu-HU" w:eastAsia="en-GB"/>
              </w:rPr>
              <w:t>Gavril</w:t>
            </w:r>
            <w:proofErr w:type="spellEnd"/>
            <w:r w:rsidR="00096279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proofErr w:type="spellStart"/>
            <w:r w:rsidR="00096279" w:rsidRPr="005A3F03">
              <w:rPr>
                <w:rFonts w:ascii="Open Sans" w:hAnsi="Open Sans" w:cs="Open Sans"/>
                <w:color w:val="003399"/>
                <w:lang w:val="hu-HU" w:eastAsia="en-GB"/>
              </w:rPr>
              <w:t>Curteanu</w:t>
            </w:r>
            <w:proofErr w:type="spellEnd"/>
            <w:r w:rsidR="00096279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Megyeszékhelyi Kórház Nagyvárad</w:t>
            </w:r>
            <w:r w:rsidR="00987E05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1B34B3" w:rsidRPr="005A3F03">
              <w:rPr>
                <w:rFonts w:ascii="Open Sans" w:hAnsi="Open Sans" w:cs="Open Sans"/>
                <w:color w:val="003399"/>
                <w:lang w:val="hu-HU" w:eastAsia="en-GB"/>
              </w:rPr>
              <w:t>Románia</w:t>
            </w:r>
            <w:r w:rsidR="00987E05" w:rsidRPr="005A3F03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</w:p>
        </w:tc>
      </w:tr>
      <w:tr w:rsidR="00307D6D" w:rsidRPr="005A3F03" w14:paraId="461ACEBB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AA979" w14:textId="77777777" w:rsidR="00307D6D" w:rsidRPr="005A3F03" w:rsidRDefault="00307D6D" w:rsidP="00000AA7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5E7A" w14:textId="2346DAE7" w:rsidR="008E3A08" w:rsidRPr="005A3F03" w:rsidRDefault="008E3A08" w:rsidP="005777AA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1B7577" w:rsidRPr="005A3F03">
              <w:rPr>
                <w:rFonts w:ascii="Open Sans" w:hAnsi="Open Sans" w:cs="Open Sans"/>
                <w:color w:val="003399"/>
                <w:lang w:val="hu-HU" w:eastAsia="en-GB"/>
              </w:rPr>
              <w:t>Partner</w:t>
            </w:r>
            <w:r w:rsidR="00DC2BA2" w:rsidRPr="005A3F03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23E93ECC" w14:textId="77777777" w:rsidR="00307D6D" w:rsidRPr="005A3F03" w:rsidRDefault="008E3A08" w:rsidP="00096279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PP2: </w:t>
            </w:r>
            <w:r w:rsidR="00096279" w:rsidRPr="005A3F03">
              <w:rPr>
                <w:rFonts w:ascii="Open Sans" w:hAnsi="Open Sans" w:cs="Open Sans"/>
                <w:color w:val="003399"/>
                <w:lang w:val="hu-HU" w:eastAsia="en-GB"/>
              </w:rPr>
              <w:t>Békés Megyei Központi Kórház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987E05" w:rsidRPr="005A3F03">
              <w:rPr>
                <w:rFonts w:ascii="Open Sans" w:hAnsi="Open Sans" w:cs="Open Sans"/>
                <w:color w:val="003399"/>
                <w:lang w:val="hu-HU" w:eastAsia="en-GB"/>
              </w:rPr>
              <w:t>Magyarország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)</w:t>
            </w:r>
          </w:p>
        </w:tc>
      </w:tr>
      <w:tr w:rsidR="00307D6D" w:rsidRPr="005A3F03" w14:paraId="02E78E0D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9C5BC" w14:textId="77777777" w:rsidR="00307D6D" w:rsidRPr="005A3F03" w:rsidRDefault="00C67718" w:rsidP="00711C2C">
            <w:pPr>
              <w:pStyle w:val="TableParagraph"/>
              <w:spacing w:line="301" w:lineRule="exact"/>
              <w:ind w:left="9" w:right="1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w w:val="85"/>
                <w:lang w:val="hu-HU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0137" w14:textId="77777777" w:rsidR="00307D6D" w:rsidRPr="005A3F03" w:rsidRDefault="00495479" w:rsidP="00096279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2.</w:t>
            </w:r>
            <w:r w:rsidR="00096279" w:rsidRPr="005A3F03">
              <w:rPr>
                <w:rFonts w:ascii="Open Sans" w:hAnsi="Open Sans" w:cs="Open Sans"/>
                <w:color w:val="003399"/>
                <w:lang w:val="hu-HU" w:eastAsia="en-GB"/>
              </w:rPr>
              <w:t>954.338</w:t>
            </w:r>
            <w:r w:rsidR="00DC2BA2" w:rsidRPr="005A3F03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096279" w:rsidRPr="005A3F03">
              <w:rPr>
                <w:rFonts w:ascii="Open Sans" w:hAnsi="Open Sans" w:cs="Open Sans"/>
                <w:color w:val="003399"/>
                <w:lang w:val="hu-HU" w:eastAsia="en-GB"/>
              </w:rPr>
              <w:t>00</w:t>
            </w:r>
            <w:r w:rsidR="00371F96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6CCA" w:rsidRPr="005A3F03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DC2BA2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 w:rsidRPr="005A3F0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2.</w:t>
            </w:r>
            <w:r w:rsidR="00370A19" w:rsidRPr="005A3F0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5</w:t>
            </w:r>
            <w:r w:rsidR="00096279" w:rsidRPr="005A3F0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11.187,3</w:t>
            </w:r>
            <w:r w:rsidR="00370A19" w:rsidRPr="005A3F0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0</w:t>
            </w:r>
            <w:r w:rsidR="00DC2BA2" w:rsidRPr="005A3F0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916CCA" w:rsidRPr="005A3F0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€</w:t>
            </w:r>
            <w:r w:rsidR="00DC2BA2" w:rsidRPr="005A3F03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ERFA</w:t>
            </w:r>
            <w:r w:rsidR="00DC2BA2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támogatás</w:t>
            </w:r>
          </w:p>
          <w:p w14:paraId="0719937F" w14:textId="26CD4120" w:rsidR="001B7577" w:rsidRPr="005A3F03" w:rsidRDefault="001B7577" w:rsidP="001B7577">
            <w:pPr>
              <w:spacing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Pr="005A3F03">
              <w:rPr>
                <w:rFonts w:cs="Open Sans"/>
                <w:color w:val="0F2A75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projektben hitelesített költségek értéke összesen: </w:t>
            </w:r>
            <w:r w:rsidRPr="005A3F03">
              <w:rPr>
                <w:rFonts w:ascii="Open Sans" w:hAnsi="Open Sans" w:cs="Open Sans"/>
                <w:color w:val="003399"/>
                <w:spacing w:val="-2"/>
                <w:lang w:val="hu-HU"/>
              </w:rPr>
              <w:t>2,878,493.21</w:t>
            </w:r>
            <w:r w:rsidRPr="005A3F03">
              <w:rPr>
                <w:rFonts w:ascii="Open Sans" w:hAnsi="Open Sans" w:cs="Open Sans"/>
                <w:color w:val="003399"/>
                <w:spacing w:val="-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/>
              </w:rPr>
              <w:t>€</w:t>
            </w:r>
          </w:p>
          <w:p w14:paraId="13A3830F" w14:textId="019B1A7D" w:rsidR="001B7577" w:rsidRPr="005A3F03" w:rsidRDefault="001B7577" w:rsidP="001B7577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cs="Calibri"/>
                <w:b/>
                <w:i/>
                <w:color w:val="003399"/>
                <w:lang w:val="hu-HU" w:eastAsia="en-GB"/>
              </w:rPr>
              <w:t xml:space="preserve">A költségvetés felhasználási aránya: </w:t>
            </w:r>
            <w:r w:rsidRPr="005A3F03">
              <w:rPr>
                <w:rFonts w:cs="Calibri"/>
                <w:b/>
                <w:i/>
                <w:color w:val="003399"/>
                <w:lang w:val="hu-HU" w:eastAsia="en-GB"/>
              </w:rPr>
              <w:t>97</w:t>
            </w:r>
            <w:r w:rsidRPr="005A3F03">
              <w:rPr>
                <w:rFonts w:cs="Calibri"/>
                <w:b/>
                <w:i/>
                <w:color w:val="003399"/>
                <w:lang w:val="hu-HU" w:eastAsia="en-GB"/>
              </w:rPr>
              <w:t>.</w:t>
            </w:r>
            <w:r w:rsidRPr="005A3F03">
              <w:rPr>
                <w:rFonts w:cs="Calibri"/>
                <w:b/>
                <w:i/>
                <w:color w:val="003399"/>
                <w:lang w:val="hu-HU" w:eastAsia="en-GB"/>
              </w:rPr>
              <w:t>43</w:t>
            </w:r>
            <w:r w:rsidRPr="005A3F03">
              <w:rPr>
                <w:rFonts w:cs="Calibri"/>
                <w:b/>
                <w:i/>
                <w:color w:val="003399"/>
                <w:lang w:val="hu-HU" w:eastAsia="en-GB"/>
              </w:rPr>
              <w:t xml:space="preserve"> %</w:t>
            </w:r>
          </w:p>
        </w:tc>
      </w:tr>
      <w:tr w:rsidR="00307D6D" w:rsidRPr="005A3F03" w14:paraId="1B69738E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9567" w14:textId="33507CAF" w:rsidR="00307D6D" w:rsidRPr="005A3F03" w:rsidRDefault="00C67718" w:rsidP="001B7577">
            <w:pPr>
              <w:pStyle w:val="TableParagraph"/>
              <w:spacing w:line="301" w:lineRule="exact"/>
              <w:ind w:right="1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b/>
                <w:bCs/>
                <w:color w:val="0E2A75"/>
                <w:w w:val="85"/>
                <w:lang w:val="hu-HU"/>
              </w:rPr>
              <w:t>Összefoglaló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FC83" w14:textId="1FD78956" w:rsidR="00370A19" w:rsidRPr="005A3F03" w:rsidRDefault="001B7577" w:rsidP="003D2705">
            <w:pPr>
              <w:spacing w:after="0" w:line="259" w:lineRule="auto"/>
              <w:jc w:val="both"/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</w:pPr>
            <w:r w:rsidRPr="005A3F03">
              <w:rPr>
                <w:rFonts w:ascii="Open Sans" w:eastAsia="Microsoft Sans Serif" w:hAnsi="Open Sans" w:cs="Open Sans"/>
                <w:color w:val="0E2A75"/>
                <w:w w:val="105"/>
                <w:lang w:val="hu-HU"/>
              </w:rPr>
              <w:t>A ROHU-386 projekt célja az volt, hogy összekapcsolt egészségügyi szolgáltatási rendszert hozzon létre a nagyváradi és a Békés vármegyei kórházak között, valamint javítsa a szolgáltatások minőségét, csökkentse a kórházi tartózkodás idejét, illetve lerövidítse a pontos és megfelelő diagnózishoz és kezeléshez szükséges időt. Mindez jelentős pozitív hatást eredményezett Nagyvárad és Békés vármegye szintjén.</w:t>
            </w:r>
          </w:p>
          <w:p w14:paraId="3A92D1DB" w14:textId="257D7E11" w:rsidR="001B3A54" w:rsidRPr="005A3F03" w:rsidRDefault="001B3A54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A főbb </w:t>
            </w:r>
            <w:r w:rsidR="00495479" w:rsidRPr="005A3F03">
              <w:rPr>
                <w:rFonts w:ascii="Open Sans" w:hAnsi="Open Sans" w:cs="Open Sans"/>
                <w:color w:val="003399"/>
                <w:lang w:val="hu-HU" w:eastAsia="en-GB"/>
              </w:rPr>
              <w:t>projekt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tevékenységek</w:t>
            </w:r>
            <w:r w:rsidR="00495479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az alábbiak</w:t>
            </w:r>
            <w:r w:rsidR="001B7577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voltak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253913F8" w14:textId="77777777" w:rsidR="001B7577" w:rsidRPr="005A3F03" w:rsidRDefault="001B7577" w:rsidP="001B7577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2 telemedicina-rendszer (hardver- és szoftverkomponensek) beszerzése és telepítése, partnerenként 1–1 rendszer, amelyek egymással összekapcsolásra kerül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ek;</w:t>
            </w:r>
          </w:p>
          <w:p w14:paraId="15732E69" w14:textId="77777777" w:rsidR="005733CB" w:rsidRPr="005A3F03" w:rsidRDefault="001B7577" w:rsidP="001B7577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20 darab orvosi berendezés beszerzése, az alábbiak szerint: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1 MRI (mágneses rezonancia képalkotó) készülék,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3 ultrahang készülék,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1 mobil digitális radiográfiai (RTG) berendezés,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5 nagy teljesítményű lélegeztetőgép,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1 digitális radiográfiai (RTG) berendezés,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1 vákuumos szállítórendszer laboratóriumi és gyógyszermintákhoz,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1 teljes 3D </w:t>
            </w:r>
            <w:proofErr w:type="spellStart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Full</w:t>
            </w:r>
            <w:proofErr w:type="spellEnd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HD torony </w:t>
            </w:r>
            <w:proofErr w:type="spellStart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laparoszkópos</w:t>
            </w:r>
            <w:proofErr w:type="spellEnd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–endoszkópos sebészethez,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36 nagy teljesítményű monitor,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23 infúziós pumpa (</w:t>
            </w:r>
            <w:proofErr w:type="spellStart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infuzomat</w:t>
            </w:r>
            <w:proofErr w:type="spellEnd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),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23 fecskendős pumpa (</w:t>
            </w:r>
            <w:proofErr w:type="spellStart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injectomat</w:t>
            </w:r>
            <w:proofErr w:type="spellEnd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),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4 </w:t>
            </w:r>
            <w:proofErr w:type="spellStart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defibrillátor</w:t>
            </w:r>
            <w:proofErr w:type="spellEnd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3 UPS berendezés,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1 ultrahangplatform 4 ultrahangmodullal (B-</w:t>
            </w:r>
            <w:proofErr w:type="spellStart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scan</w:t>
            </w:r>
            <w:proofErr w:type="spellEnd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, </w:t>
            </w:r>
            <w:proofErr w:type="spellStart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biométer</w:t>
            </w:r>
            <w:proofErr w:type="spellEnd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, UBM, </w:t>
            </w:r>
            <w:proofErr w:type="spellStart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pachiméter</w:t>
            </w:r>
            <w:proofErr w:type="spellEnd"/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) a vezető partner (LB) számára,</w:t>
            </w:r>
            <w:r w:rsidR="005733CB" w:rsidRPr="005A3F03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a PP2 számára: 1 közvetlen digitális RTG képalkotó, 1 közvetlen digitális munkaállomás és 4 DIVAS modalitás eszközlicenc;</w:t>
            </w:r>
          </w:p>
          <w:p w14:paraId="20133111" w14:textId="77777777" w:rsidR="005733CB" w:rsidRPr="005A3F03" w:rsidRDefault="001B7577" w:rsidP="001B7577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6 szakmai gyakorlat megszervezése a vezető partner (LP) által, a partnerek egészségügyi személyzete közötti tudástranszfer érdekében, 30 egészségügyi dolgozó részvételével;</w:t>
            </w:r>
          </w:p>
          <w:p w14:paraId="4468A48D" w14:textId="436BF7EE" w:rsidR="001B7577" w:rsidRPr="005A3F03" w:rsidRDefault="001B7577" w:rsidP="001B7577">
            <w:pPr>
              <w:pStyle w:val="Listaszerbekezds"/>
              <w:numPr>
                <w:ilvl w:val="0"/>
                <w:numId w:val="3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color w:val="003399"/>
                <w:lang w:val="hu-HU" w:eastAsia="en-GB"/>
              </w:rPr>
              <w:t>3 szakmai gyakorlat megszervezése a PP2 által a Békés Vármegyei Központi Kórház 15 belső egészségügyi dolgozója számára.</w:t>
            </w:r>
          </w:p>
          <w:p w14:paraId="0BE11CAD" w14:textId="697E667F" w:rsidR="00A10DD7" w:rsidRPr="005A3F03" w:rsidRDefault="00A10DD7" w:rsidP="001B7577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5615BFBC" w14:textId="737BB774" w:rsidR="00307D6D" w:rsidRPr="005A3F03" w:rsidRDefault="005A3F03" w:rsidP="005035DE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</w:pPr>
            <w:r w:rsidRPr="005A3F03">
              <w:rPr>
                <w:rFonts w:ascii="Open Sans" w:hAnsi="Open Sans" w:cs="Open Sans"/>
                <w:b/>
                <w:bCs/>
                <w:i/>
                <w:iCs/>
                <w:color w:val="003399"/>
                <w:lang w:val="hu-HU" w:eastAsia="en-GB"/>
              </w:rPr>
              <w:t>A projekt 2021. október 31-én sikeresen lezárult. A projektben tervezett valamennyi tevékenység maradéktalanul (100%-ban) megvalósult.</w:t>
            </w:r>
          </w:p>
        </w:tc>
      </w:tr>
      <w:tr w:rsidR="00307D6D" w:rsidRPr="005A3F03" w14:paraId="55FE1222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C369" w14:textId="77777777" w:rsidR="00307D6D" w:rsidRPr="005A3F03" w:rsidRDefault="00C67718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5A3F03">
              <w:rPr>
                <w:rFonts w:ascii="Open Sans" w:eastAsia="Microsoft Sans Serif" w:hAnsi="Open Sans" w:cs="Open Sans"/>
                <w:b/>
                <w:bCs/>
                <w:color w:val="0E2A75"/>
                <w:w w:val="85"/>
                <w:lang w:val="hu-HU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0DA3" w14:textId="64E9F7A1" w:rsidR="005A3F03" w:rsidRPr="005A3F03" w:rsidRDefault="005A3F03" w:rsidP="00DE01E9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5A3F03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Eredmények</w:t>
            </w:r>
          </w:p>
          <w:p w14:paraId="33CB7967" w14:textId="350B0C8B" w:rsidR="005A3F03" w:rsidRPr="005A3F03" w:rsidRDefault="005A3F03" w:rsidP="005A3F0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1)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 telemedicina-rendszer beszerzése;</w:t>
            </w:r>
          </w:p>
          <w:p w14:paraId="1FFD241C" w14:textId="13A8AA06" w:rsidR="005A3F03" w:rsidRPr="005A3F03" w:rsidRDefault="005A3F03" w:rsidP="005A3F03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2)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Beszerzett orvosi eszközök: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MRI (mágneses rezonancia képalkotó) készülék,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3 ultrahangkészülék,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C-karos röntgenberendezés (C-</w:t>
            </w:r>
            <w:proofErr w:type="spellStart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arm</w:t>
            </w:r>
            <w:proofErr w:type="spellEnd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digitális radiográfiai (RTG) berendezés,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1 teljes 3D </w:t>
            </w:r>
            <w:proofErr w:type="spellStart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Full</w:t>
            </w:r>
            <w:proofErr w:type="spellEnd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HD torony </w:t>
            </w:r>
            <w:proofErr w:type="spellStart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laparoszkópos</w:t>
            </w:r>
            <w:proofErr w:type="spellEnd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–endoszkópos sebészethez,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közvetlen digitális RTG képalkotó,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közvetlen digitális munkaállomás,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vákuumos szállítórendszer laboratóriumi és gyógyszermintákhoz,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5 nagy teljesítményű monitor,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5 nagy teljesítményű lélegeztetőgép,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31 nagy teljesítményű monitor,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23 infúziós pumpa (</w:t>
            </w:r>
            <w:proofErr w:type="spellStart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infuzomat</w:t>
            </w:r>
            <w:proofErr w:type="spellEnd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4 </w:t>
            </w:r>
            <w:proofErr w:type="spellStart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defibrillátor</w:t>
            </w:r>
            <w:proofErr w:type="spellEnd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3 UPS berendezés,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1 ultrahangplatform 4 ultrahangmodullal,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4 DIVAS állomás,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23 fecskendős pumpa (</w:t>
            </w:r>
            <w:proofErr w:type="spellStart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injectomat</w:t>
            </w:r>
            <w:proofErr w:type="spellEnd"/>
            <w:r w:rsidRPr="005A3F03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).</w:t>
            </w:r>
          </w:p>
          <w:p w14:paraId="49BA5695" w14:textId="77777777" w:rsidR="005A3F03" w:rsidRDefault="005A3F03" w:rsidP="00DE01E9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FC60B81" w14:textId="788F9EA3" w:rsidR="005A3F03" w:rsidRPr="005A3F03" w:rsidRDefault="005A3F03" w:rsidP="00DE01E9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5A3F03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Hatások</w:t>
            </w:r>
          </w:p>
          <w:p w14:paraId="0ECD3508" w14:textId="244C6F2F" w:rsidR="00465F38" w:rsidRPr="00465F38" w:rsidRDefault="00465F38" w:rsidP="00465F38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C147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1) </w:t>
            </w:r>
            <w:r w:rsidRPr="00465F3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telemedicina-rendszerek beszerzése és telepítése a nagyváradi és a békési kórházakban.</w:t>
            </w:r>
          </w:p>
          <w:p w14:paraId="717836AA" w14:textId="663B10C4" w:rsidR="00465F38" w:rsidRPr="00465F38" w:rsidRDefault="00465F38" w:rsidP="00465F38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C147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2) </w:t>
            </w:r>
            <w:r w:rsidRPr="00465F3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Orvosi eszközök beszerzése, amelyek 6 egészségügyi osztály felszereltségének fejlesztéséhez járultak hozzá.</w:t>
            </w:r>
          </w:p>
          <w:p w14:paraId="2BD611E4" w14:textId="454B6113" w:rsidR="00465F38" w:rsidRPr="008C1472" w:rsidRDefault="00465F38" w:rsidP="00465F38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8C1472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lastRenderedPageBreak/>
              <w:t xml:space="preserve">3) </w:t>
            </w:r>
            <w:r w:rsidRPr="00465F3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6 egészségügyi osztály korszerűsítése és felszerelése, amelynek eredményeként a betegek magas színvonalú szolgáltatásokban és beavatkozásokban részesülhetnek, csökkent gyógyulási idő mellett. </w:t>
            </w:r>
            <w:proofErr w:type="spellStart"/>
            <w:r w:rsidRPr="00465F3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Biztosítottá</w:t>
            </w:r>
            <w:proofErr w:type="spellEnd"/>
            <w:r w:rsidRPr="00465F3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vált a betegségek korai felismerése, megelőzése és minőségi kezelése, valamint javult az egészségügyi szolgáltatások könnyebb és gyorsabb elérhetősége a támogatható térségben. A telemedicina révén lehetővé vált a „második szakvélemény” igénybevétele is, amely hozzájárult a kiegyensúlyozottabb ellátórendszer kialakításához, és összességében pozitív hatást gyakorolt a diszkrimináció elleni fellépésre és a társadalmi befogadás erősítésére is.</w:t>
            </w:r>
          </w:p>
          <w:p w14:paraId="31CA610F" w14:textId="77777777" w:rsidR="00465F38" w:rsidRPr="008C1472" w:rsidRDefault="00465F38" w:rsidP="00465F38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0C8B350B" w14:textId="4F713E6F" w:rsidR="00465F38" w:rsidRPr="00465F38" w:rsidRDefault="00465F38" w:rsidP="00465F38">
            <w:pPr>
              <w:pStyle w:val="HTML-kntformzott"/>
              <w:jc w:val="both"/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</w:pPr>
            <w:r w:rsidRPr="008C1472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Indikátorok</w:t>
            </w:r>
          </w:p>
          <w:p w14:paraId="06FE1D9B" w14:textId="77777777" w:rsidR="008C1472" w:rsidRPr="0032005E" w:rsidRDefault="008C1472" w:rsidP="008C1472">
            <w:pPr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9/a 1 – J</w:t>
            </w:r>
            <w:r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obb</w:t>
            </w:r>
            <w:r w:rsidRPr="0032005E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egészségügyi szolgáltatásokhoz hozzáférő lakos</w:t>
            </w:r>
            <w:r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ok száma</w:t>
            </w:r>
          </w:p>
          <w:p w14:paraId="5DC27E93" w14:textId="160607D9" w:rsidR="008C1472" w:rsidRPr="0032005E" w:rsidRDefault="008C1472" w:rsidP="008C1472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32005E">
              <w:rPr>
                <w:rFonts w:ascii="Open Sans" w:hAnsi="Open Sans" w:cs="Open Sans"/>
                <w:color w:val="0F2A75"/>
                <w:lang w:val="hu-HU"/>
              </w:rPr>
              <w:t>Tervezett érték:</w:t>
            </w:r>
            <w:r w:rsidRPr="0032005E">
              <w:rPr>
                <w:rFonts w:ascii="Open Sans" w:hAnsi="Open Sans" w:cs="Open Sans"/>
                <w:bCs/>
                <w:color w:val="0F2A75"/>
                <w:lang w:val="hu-HU"/>
              </w:rPr>
              <w:br/>
              <w:t>Létszám: 1</w:t>
            </w:r>
            <w:r>
              <w:rPr>
                <w:rFonts w:ascii="Open Sans" w:hAnsi="Open Sans" w:cs="Open Sans"/>
                <w:bCs/>
                <w:color w:val="0F2A75"/>
                <w:lang w:val="hu-HU"/>
              </w:rPr>
              <w:t>80 000</w:t>
            </w:r>
            <w:r w:rsidRPr="0032005E">
              <w:rPr>
                <w:rFonts w:ascii="Open Sans" w:hAnsi="Open Sans" w:cs="Open Sans"/>
                <w:bCs/>
                <w:color w:val="0F2A75"/>
                <w:lang w:val="hu-HU"/>
              </w:rPr>
              <w:t xml:space="preserve"> fő</w:t>
            </w:r>
          </w:p>
          <w:p w14:paraId="5EC83A51" w14:textId="6559200E" w:rsidR="008C1472" w:rsidRPr="008C1472" w:rsidRDefault="008C1472" w:rsidP="008C1472">
            <w:pPr>
              <w:rPr>
                <w:rFonts w:ascii="Open Sans" w:hAnsi="Open Sans" w:cs="Open Sans"/>
                <w:color w:val="0F2A75"/>
                <w:lang w:val="hu-HU"/>
              </w:rPr>
            </w:pPr>
            <w:r w:rsidRPr="008C1472">
              <w:rPr>
                <w:rFonts w:ascii="Open Sans" w:hAnsi="Open Sans" w:cs="Open Sans"/>
                <w:color w:val="0F2A75"/>
                <w:lang w:val="hu-HU"/>
              </w:rPr>
              <w:t>Elért érték:</w:t>
            </w:r>
            <w:r w:rsidRPr="008C1472">
              <w:rPr>
                <w:rFonts w:ascii="Open Sans" w:hAnsi="Open Sans" w:cs="Open Sans"/>
                <w:color w:val="0F2A75"/>
                <w:lang w:val="hu-HU"/>
              </w:rPr>
              <w:br/>
              <w:t>Létszám: 1</w:t>
            </w:r>
            <w:r w:rsidRPr="008C1472">
              <w:rPr>
                <w:rFonts w:ascii="Open Sans" w:hAnsi="Open Sans" w:cs="Open Sans"/>
                <w:color w:val="0F2A75"/>
                <w:lang w:val="hu-HU"/>
              </w:rPr>
              <w:t>76 560</w:t>
            </w:r>
            <w:r w:rsidRPr="008C1472">
              <w:rPr>
                <w:rFonts w:ascii="Open Sans" w:hAnsi="Open Sans" w:cs="Open Sans"/>
                <w:color w:val="0F2A75"/>
                <w:lang w:val="hu-HU"/>
              </w:rPr>
              <w:t xml:space="preserve"> fő </w:t>
            </w:r>
            <w:r w:rsidRPr="008C1472">
              <w:rPr>
                <w:rFonts w:ascii="Open Sans" w:hAnsi="Open Sans" w:cs="Open Sans"/>
                <w:color w:val="0F2A75"/>
                <w:lang w:val="hu-HU"/>
              </w:rPr>
              <w:t>a megvalósítási időszak végéig</w:t>
            </w:r>
          </w:p>
          <w:p w14:paraId="42722A9D" w14:textId="77777777" w:rsidR="008C1472" w:rsidRPr="00A67412" w:rsidRDefault="008C1472" w:rsidP="008C1472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A67412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9/a 2 – Korszerű eszközökkel </w:t>
            </w:r>
            <w:r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>felszerelt</w:t>
            </w:r>
            <w:r w:rsidRPr="00A67412">
              <w:rPr>
                <w:rFonts w:ascii="Open Sans" w:hAnsi="Open Sans" w:cs="Open Sans"/>
                <w:b/>
                <w:bCs/>
                <w:color w:val="0F2A75"/>
                <w:lang w:val="hu-HU"/>
              </w:rPr>
              <w:t xml:space="preserve"> egészségügyi osztályok száma</w:t>
            </w:r>
          </w:p>
          <w:p w14:paraId="30D9A62C" w14:textId="58941675" w:rsidR="008C1472" w:rsidRPr="008C1472" w:rsidRDefault="008C1472" w:rsidP="008C1472">
            <w:pPr>
              <w:rPr>
                <w:rFonts w:ascii="Open Sans" w:hAnsi="Open Sans" w:cs="Open Sans"/>
                <w:color w:val="0F2A75"/>
                <w:lang w:val="hu-HU"/>
              </w:rPr>
            </w:pPr>
            <w:r w:rsidRPr="008C1472">
              <w:rPr>
                <w:rFonts w:ascii="Open Sans" w:hAnsi="Open Sans" w:cs="Open Sans"/>
                <w:color w:val="0F2A75"/>
                <w:lang w:val="hu-HU"/>
              </w:rPr>
              <w:t>Tervezett érték:</w:t>
            </w:r>
            <w:r w:rsidRPr="008C1472">
              <w:rPr>
                <w:rFonts w:ascii="Open Sans" w:hAnsi="Open Sans" w:cs="Open Sans"/>
                <w:color w:val="0F2A75"/>
                <w:lang w:val="hu-HU"/>
              </w:rPr>
              <w:t xml:space="preserve"> 6</w:t>
            </w:r>
            <w:r w:rsidRPr="008C1472">
              <w:rPr>
                <w:rFonts w:ascii="Open Sans" w:hAnsi="Open Sans" w:cs="Open Sans"/>
                <w:color w:val="0F2A75"/>
                <w:lang w:val="hu-HU"/>
              </w:rPr>
              <w:t xml:space="preserve"> egészségügyi osztály</w:t>
            </w:r>
          </w:p>
          <w:p w14:paraId="28C8B75C" w14:textId="1CAE2218" w:rsidR="008C1472" w:rsidRPr="008C1472" w:rsidRDefault="008C1472" w:rsidP="008C1472">
            <w:pPr>
              <w:rPr>
                <w:rFonts w:ascii="Open Sans" w:hAnsi="Open Sans" w:cs="Open Sans"/>
                <w:color w:val="0F2A75"/>
                <w:lang w:val="hu-HU"/>
              </w:rPr>
            </w:pPr>
            <w:r w:rsidRPr="008C1472">
              <w:rPr>
                <w:rFonts w:ascii="Open Sans" w:hAnsi="Open Sans" w:cs="Open Sans"/>
                <w:color w:val="0F2A75"/>
                <w:lang w:val="hu-HU"/>
              </w:rPr>
              <w:t>Elért érték</w:t>
            </w:r>
            <w:r w:rsidRPr="008C1472">
              <w:rPr>
                <w:rFonts w:ascii="Open Sans" w:hAnsi="Open Sans" w:cs="Open Sans"/>
                <w:color w:val="0F2A75"/>
                <w:lang w:val="hu-HU"/>
              </w:rPr>
              <w:t xml:space="preserve">: </w:t>
            </w:r>
            <w:r w:rsidRPr="008C1472">
              <w:rPr>
                <w:rFonts w:ascii="Open Sans" w:hAnsi="Open Sans" w:cs="Open Sans"/>
                <w:color w:val="0F2A75"/>
                <w:lang w:val="hu-HU"/>
              </w:rPr>
              <w:t>6 a megvalósítási időszak végéig</w:t>
            </w:r>
          </w:p>
          <w:p w14:paraId="372F01F0" w14:textId="77777777" w:rsidR="008C1472" w:rsidRPr="004B4675" w:rsidRDefault="008C1472" w:rsidP="008C1472">
            <w:pPr>
              <w:rPr>
                <w:rFonts w:ascii="Open Sans" w:hAnsi="Open Sans" w:cs="Open Sans"/>
                <w:bCs/>
                <w:color w:val="0F2A75"/>
                <w:lang w:val="hu-HU"/>
              </w:rPr>
            </w:pPr>
          </w:p>
          <w:p w14:paraId="216A32E6" w14:textId="77777777" w:rsidR="008C1472" w:rsidRPr="00112504" w:rsidRDefault="008C1472" w:rsidP="008C1472">
            <w:pPr>
              <w:spacing w:line="240" w:lineRule="exact"/>
              <w:jc w:val="both"/>
              <w:rPr>
                <w:rFonts w:ascii="Open Sans" w:hAnsi="Open Sans" w:cs="Open Sans"/>
                <w:bCs/>
                <w:color w:val="0F2A75"/>
                <w:lang w:val="hu-HU"/>
              </w:rPr>
            </w:pPr>
            <w:r w:rsidRPr="00112504">
              <w:rPr>
                <w:rFonts w:ascii="Open Sans" w:hAnsi="Open Sans" w:cs="Open Sans"/>
                <w:bCs/>
                <w:color w:val="0F2A75"/>
                <w:lang w:val="hu-HU"/>
              </w:rPr>
              <w:t>Honlap/web</w:t>
            </w:r>
            <w:r>
              <w:rPr>
                <w:rFonts w:ascii="Open Sans" w:hAnsi="Open Sans" w:cs="Open Sans"/>
                <w:bCs/>
                <w:color w:val="0F2A75"/>
                <w:lang w:val="hu-HU"/>
              </w:rPr>
              <w:t>oldal</w:t>
            </w:r>
            <w:r w:rsidRPr="00112504">
              <w:rPr>
                <w:rFonts w:ascii="Open Sans" w:hAnsi="Open Sans" w:cs="Open Sans"/>
                <w:bCs/>
                <w:color w:val="0F2A75"/>
                <w:lang w:val="hu-HU"/>
              </w:rPr>
              <w:t>:</w:t>
            </w:r>
          </w:p>
          <w:p w14:paraId="4F785267" w14:textId="63DC2FF5" w:rsidR="005733CB" w:rsidRPr="005A3F03" w:rsidRDefault="00561A32" w:rsidP="00561A32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hyperlink r:id="rId7">
              <w:r w:rsidRPr="008F0DF0">
                <w:rPr>
                  <w:rFonts w:ascii="Open Sans" w:hAnsi="Open Sans" w:cs="Open Sans"/>
                  <w:color w:val="0462C1"/>
                  <w:w w:val="110"/>
                  <w:u w:val="single" w:color="0462C1"/>
                </w:rPr>
                <w:t>https://bmkk.eu/korhazunkrol/eu-palyazatok/cbc-</w:t>
              </w:r>
            </w:hyperlink>
            <w:r w:rsidRPr="008F0DF0">
              <w:rPr>
                <w:rFonts w:ascii="Open Sans" w:hAnsi="Open Sans" w:cs="Open Sans"/>
                <w:color w:val="0462C1"/>
                <w:w w:val="110"/>
              </w:rPr>
              <w:t xml:space="preserve"> </w:t>
            </w:r>
            <w:hyperlink r:id="rId8">
              <w:proofErr w:type="spellStart"/>
              <w:r w:rsidRPr="008F0DF0">
                <w:rPr>
                  <w:rFonts w:ascii="Open Sans" w:hAnsi="Open Sans" w:cs="Open Sans"/>
                  <w:color w:val="0462C1"/>
                  <w:spacing w:val="-2"/>
                  <w:w w:val="110"/>
                  <w:u w:val="single" w:color="0462C1"/>
                </w:rPr>
                <w:t>hospequip</w:t>
              </w:r>
              <w:proofErr w:type="spellEnd"/>
              <w:r w:rsidRPr="008F0DF0">
                <w:rPr>
                  <w:rFonts w:ascii="Open Sans" w:hAnsi="Open Sans" w:cs="Open Sans"/>
                  <w:color w:val="0462C1"/>
                  <w:spacing w:val="-2"/>
                  <w:w w:val="110"/>
                  <w:u w:val="single" w:color="0462C1"/>
                </w:rPr>
                <w:t>/</w:t>
              </w:r>
            </w:hyperlink>
          </w:p>
        </w:tc>
      </w:tr>
    </w:tbl>
    <w:p w14:paraId="0F0A9598" w14:textId="77777777" w:rsidR="00307D6D" w:rsidRPr="005A3F03" w:rsidRDefault="00307D6D" w:rsidP="000F0D69">
      <w:pPr>
        <w:jc w:val="both"/>
        <w:rPr>
          <w:rFonts w:cs="Open Sans"/>
          <w:bCs/>
          <w:color w:val="003399"/>
          <w:lang w:val="hu-HU"/>
        </w:rPr>
      </w:pPr>
    </w:p>
    <w:p w14:paraId="2419A9A2" w14:textId="77777777" w:rsidR="0054292D" w:rsidRPr="005A3F03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5A3F03" w:rsidSect="000F0D69">
      <w:headerReference w:type="default" r:id="rId9"/>
      <w:footerReference w:type="default" r:id="rId10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AAB87" w14:textId="77777777" w:rsidR="00C24A23" w:rsidRDefault="00C24A23" w:rsidP="00C23211">
      <w:pPr>
        <w:spacing w:after="0" w:line="240" w:lineRule="auto"/>
      </w:pPr>
      <w:r>
        <w:separator/>
      </w:r>
    </w:p>
  </w:endnote>
  <w:endnote w:type="continuationSeparator" w:id="0">
    <w:p w14:paraId="0074C1D4" w14:textId="77777777" w:rsidR="00C24A23" w:rsidRDefault="00C24A23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6E7A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336E" w14:textId="77777777" w:rsidR="00C24A23" w:rsidRDefault="00C24A23" w:rsidP="00C23211">
      <w:pPr>
        <w:spacing w:after="0" w:line="240" w:lineRule="auto"/>
      </w:pPr>
      <w:r>
        <w:separator/>
      </w:r>
    </w:p>
  </w:footnote>
  <w:footnote w:type="continuationSeparator" w:id="0">
    <w:p w14:paraId="1B93A6E3" w14:textId="77777777" w:rsidR="00C24A23" w:rsidRDefault="00C24A23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C7FD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63EEFD75" wp14:editId="627E5874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C0FF17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892"/>
    <w:multiLevelType w:val="hybridMultilevel"/>
    <w:tmpl w:val="DDC8C8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17374"/>
    <w:multiLevelType w:val="hybridMultilevel"/>
    <w:tmpl w:val="7C1A6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E441D"/>
    <w:multiLevelType w:val="hybridMultilevel"/>
    <w:tmpl w:val="91B8C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3614A"/>
    <w:multiLevelType w:val="hybridMultilevel"/>
    <w:tmpl w:val="FAE24B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04905">
    <w:abstractNumId w:val="2"/>
  </w:num>
  <w:num w:numId="2" w16cid:durableId="494534959">
    <w:abstractNumId w:val="3"/>
  </w:num>
  <w:num w:numId="3" w16cid:durableId="1681351659">
    <w:abstractNumId w:val="4"/>
  </w:num>
  <w:num w:numId="4" w16cid:durableId="440564343">
    <w:abstractNumId w:val="5"/>
  </w:num>
  <w:num w:numId="5" w16cid:durableId="708454658">
    <w:abstractNumId w:val="0"/>
  </w:num>
  <w:num w:numId="6" w16cid:durableId="198157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75D49"/>
    <w:rsid w:val="00091ED3"/>
    <w:rsid w:val="00096279"/>
    <w:rsid w:val="000B6101"/>
    <w:rsid w:val="000D56E9"/>
    <w:rsid w:val="000F0D69"/>
    <w:rsid w:val="00111696"/>
    <w:rsid w:val="00190E0A"/>
    <w:rsid w:val="001B34B3"/>
    <w:rsid w:val="001B3A54"/>
    <w:rsid w:val="001B56B5"/>
    <w:rsid w:val="001B7577"/>
    <w:rsid w:val="001C3194"/>
    <w:rsid w:val="001D5A22"/>
    <w:rsid w:val="002225EC"/>
    <w:rsid w:val="002601E5"/>
    <w:rsid w:val="002635A4"/>
    <w:rsid w:val="002642B0"/>
    <w:rsid w:val="002A5B39"/>
    <w:rsid w:val="002D3E39"/>
    <w:rsid w:val="003000DD"/>
    <w:rsid w:val="00301584"/>
    <w:rsid w:val="00307A0F"/>
    <w:rsid w:val="00307D6D"/>
    <w:rsid w:val="003269AE"/>
    <w:rsid w:val="00367595"/>
    <w:rsid w:val="00370A19"/>
    <w:rsid w:val="00371F96"/>
    <w:rsid w:val="00394281"/>
    <w:rsid w:val="003A3C14"/>
    <w:rsid w:val="003B613C"/>
    <w:rsid w:val="003D2705"/>
    <w:rsid w:val="00403850"/>
    <w:rsid w:val="004212B9"/>
    <w:rsid w:val="004630E3"/>
    <w:rsid w:val="00465F38"/>
    <w:rsid w:val="00495479"/>
    <w:rsid w:val="004A1D00"/>
    <w:rsid w:val="004C57EB"/>
    <w:rsid w:val="004E62A1"/>
    <w:rsid w:val="005035DE"/>
    <w:rsid w:val="00506E49"/>
    <w:rsid w:val="0054292D"/>
    <w:rsid w:val="00561A32"/>
    <w:rsid w:val="005733CB"/>
    <w:rsid w:val="005777AA"/>
    <w:rsid w:val="005A3F03"/>
    <w:rsid w:val="005A58E8"/>
    <w:rsid w:val="006024AF"/>
    <w:rsid w:val="00604ED3"/>
    <w:rsid w:val="00614C99"/>
    <w:rsid w:val="0066574D"/>
    <w:rsid w:val="00692E3C"/>
    <w:rsid w:val="00696F25"/>
    <w:rsid w:val="006B30F3"/>
    <w:rsid w:val="006C3DA7"/>
    <w:rsid w:val="006D621A"/>
    <w:rsid w:val="006E75F7"/>
    <w:rsid w:val="006F4E22"/>
    <w:rsid w:val="0070732C"/>
    <w:rsid w:val="00711C2C"/>
    <w:rsid w:val="007230BD"/>
    <w:rsid w:val="007251CF"/>
    <w:rsid w:val="00732D28"/>
    <w:rsid w:val="0075611D"/>
    <w:rsid w:val="00761E91"/>
    <w:rsid w:val="007E66B2"/>
    <w:rsid w:val="00811FC6"/>
    <w:rsid w:val="00836321"/>
    <w:rsid w:val="00883238"/>
    <w:rsid w:val="008C1472"/>
    <w:rsid w:val="008E3A08"/>
    <w:rsid w:val="00901B7D"/>
    <w:rsid w:val="00912645"/>
    <w:rsid w:val="00916CCA"/>
    <w:rsid w:val="00921CE5"/>
    <w:rsid w:val="0097126B"/>
    <w:rsid w:val="00987E05"/>
    <w:rsid w:val="009A53DA"/>
    <w:rsid w:val="009A7CA6"/>
    <w:rsid w:val="009C2CD2"/>
    <w:rsid w:val="009D0623"/>
    <w:rsid w:val="00A10DD7"/>
    <w:rsid w:val="00A146EC"/>
    <w:rsid w:val="00A1628C"/>
    <w:rsid w:val="00A163DE"/>
    <w:rsid w:val="00A3598A"/>
    <w:rsid w:val="00A4443C"/>
    <w:rsid w:val="00A61756"/>
    <w:rsid w:val="00A64984"/>
    <w:rsid w:val="00AA0FD6"/>
    <w:rsid w:val="00AB7786"/>
    <w:rsid w:val="00AC4D57"/>
    <w:rsid w:val="00B86B24"/>
    <w:rsid w:val="00B92ED0"/>
    <w:rsid w:val="00BA4F2C"/>
    <w:rsid w:val="00BD5D52"/>
    <w:rsid w:val="00BD6DA8"/>
    <w:rsid w:val="00BE6121"/>
    <w:rsid w:val="00C00BC4"/>
    <w:rsid w:val="00C23211"/>
    <w:rsid w:val="00C23EAD"/>
    <w:rsid w:val="00C24A23"/>
    <w:rsid w:val="00C638FF"/>
    <w:rsid w:val="00C67718"/>
    <w:rsid w:val="00C766E1"/>
    <w:rsid w:val="00C873D4"/>
    <w:rsid w:val="00C957F4"/>
    <w:rsid w:val="00CD191F"/>
    <w:rsid w:val="00CF7544"/>
    <w:rsid w:val="00D13C8C"/>
    <w:rsid w:val="00D16C7D"/>
    <w:rsid w:val="00D206D1"/>
    <w:rsid w:val="00D35DD7"/>
    <w:rsid w:val="00D51FEB"/>
    <w:rsid w:val="00D736AC"/>
    <w:rsid w:val="00DB02CB"/>
    <w:rsid w:val="00DC2BA2"/>
    <w:rsid w:val="00DE01E9"/>
    <w:rsid w:val="00DE4738"/>
    <w:rsid w:val="00E255F7"/>
    <w:rsid w:val="00E550D2"/>
    <w:rsid w:val="00E614B5"/>
    <w:rsid w:val="00E91B08"/>
    <w:rsid w:val="00E9621F"/>
    <w:rsid w:val="00EB0D64"/>
    <w:rsid w:val="00EE63E9"/>
    <w:rsid w:val="00F0230A"/>
    <w:rsid w:val="00F21FD1"/>
    <w:rsid w:val="00F36785"/>
    <w:rsid w:val="00F40732"/>
    <w:rsid w:val="00F40ADD"/>
    <w:rsid w:val="00F4408F"/>
    <w:rsid w:val="00F50C37"/>
    <w:rsid w:val="00F7622A"/>
    <w:rsid w:val="00FB5250"/>
    <w:rsid w:val="00FB594F"/>
    <w:rsid w:val="00FC6036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80FD6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customStyle="1" w:styleId="TableParagraph">
    <w:name w:val="Table Paragraph"/>
    <w:basedOn w:val="Norml"/>
    <w:uiPriority w:val="1"/>
    <w:qFormat/>
    <w:rsid w:val="00711C2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jlqj4b">
    <w:name w:val="jlqj4b"/>
    <w:basedOn w:val="Bekezdsalapbettpusa"/>
    <w:rsid w:val="008C1472"/>
  </w:style>
  <w:style w:type="character" w:styleId="Hiperhivatkozs">
    <w:name w:val="Hyperlink"/>
    <w:basedOn w:val="Bekezdsalapbettpusa"/>
    <w:uiPriority w:val="99"/>
    <w:unhideWhenUsed/>
    <w:rsid w:val="008C1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kk.eu/korhazunkrol/eu-palyazatok/cbc-hospequ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mkk.eu/korhazunkrol/eu-palyazatok/cbc-hospequi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91</TotalTime>
  <Pages>3</Pages>
  <Words>690</Words>
  <Characters>4767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12</cp:revision>
  <cp:lastPrinted>2021-03-24T07:03:00Z</cp:lastPrinted>
  <dcterms:created xsi:type="dcterms:W3CDTF">2021-08-02T09:24:00Z</dcterms:created>
  <dcterms:modified xsi:type="dcterms:W3CDTF">2026-02-13T11:49:00Z</dcterms:modified>
</cp:coreProperties>
</file>