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780"/>
      </w:tblGrid>
      <w:tr w:rsidR="00CB322E" w:rsidRPr="00F42FEC" w14:paraId="0373320F" w14:textId="77777777" w:rsidTr="009C52F7">
        <w:trPr>
          <w:trHeight w:val="332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DBC7F7A" w14:textId="3C72F008" w:rsidR="00CB322E" w:rsidRPr="00004CDA" w:rsidRDefault="00CB322E" w:rsidP="00CB322E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7C3D0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004CDA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004CDA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6750E0" w:rsidRPr="00960F9A" w14:paraId="262D867A" w14:textId="77777777" w:rsidTr="00F42FEC">
        <w:trPr>
          <w:trHeight w:val="33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B9C59BA" w:rsidR="00A84025" w:rsidRPr="00960F9A" w:rsidRDefault="007116AA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Arial"/>
                <w:color w:val="003399"/>
                <w:lang w:val="ro-RO"/>
              </w:rPr>
              <w:t xml:space="preserve">  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190F16DE" w:rsidR="00A84025" w:rsidRPr="00960F9A" w:rsidRDefault="00B64CA2" w:rsidP="007D5FB1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C45EB4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98</w:t>
            </w:r>
          </w:p>
        </w:tc>
      </w:tr>
      <w:tr w:rsidR="006750E0" w:rsidRPr="00F42FEC" w14:paraId="64A2B68C" w14:textId="77777777" w:rsidTr="00F42FEC">
        <w:trPr>
          <w:trHeight w:val="77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672BFDAC" w:rsidR="00A84025" w:rsidRPr="00960F9A" w:rsidRDefault="002815A3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C251" w14:textId="77777777" w:rsidR="000760AF" w:rsidRDefault="00C45EB4" w:rsidP="000760AF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ForTour BHHB</w:t>
            </w:r>
          </w:p>
          <w:p w14:paraId="1EB6C4A5" w14:textId="79706507" w:rsidR="00A84025" w:rsidRPr="00960F9A" w:rsidRDefault="002815A3" w:rsidP="000760AF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Crearea și dezvoltarea unei rețele policentrice transfrontaliere de formare și sprijin, pentru a crește calitatea serviciilor transfrontaliere de turism și </w:t>
            </w:r>
            <w:r w:rsidR="00E56B6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meșteșuguri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județele Bihor și Hajdú-Bihar </w:t>
            </w:r>
          </w:p>
        </w:tc>
      </w:tr>
      <w:tr w:rsidR="006750E0" w:rsidRPr="00F42FEC" w14:paraId="0CB753E0" w14:textId="77777777" w:rsidTr="00F42FEC">
        <w:trPr>
          <w:trHeight w:val="9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BFE3D59" w:rsidR="00A84025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3A1DADAF" w:rsidR="00A84025" w:rsidRPr="00960F9A" w:rsidRDefault="002815A3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6750E0" w:rsidRPr="00F42FEC" w14:paraId="52DBEC7F" w14:textId="77777777" w:rsidTr="00F42FEC">
        <w:trPr>
          <w:trHeight w:val="70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1B378ABA" w:rsidR="00A84025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E345312" w:rsidR="00A84025" w:rsidRPr="00960F9A" w:rsidRDefault="002815A3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8/b - </w:t>
            </w:r>
            <w:r w:rsidR="006B12C2" w:rsidRPr="00960F9A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6750E0" w:rsidRPr="00F42FEC" w14:paraId="21D8A19E" w14:textId="77777777" w:rsidTr="00F42FEC">
        <w:trPr>
          <w:trHeight w:val="78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FC66B7D" w:rsidR="001222DE" w:rsidRPr="00960F9A" w:rsidRDefault="002815A3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5626" w14:textId="7720356D" w:rsidR="001222DE" w:rsidRDefault="008378AA" w:rsidP="00490C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64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(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1 Martie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201</w:t>
            </w:r>
            <w:r w:rsidR="00245027" w:rsidRPr="00960F9A">
              <w:rPr>
                <w:rFonts w:ascii="Open Sans" w:hAnsi="Open Sans" w:cs="Calibri"/>
                <w:color w:val="003399"/>
                <w:lang w:val="ro-RO" w:eastAsia="en-GB"/>
              </w:rPr>
              <w:t>9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30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Iunie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  <w:p w14:paraId="23AF944A" w14:textId="025BEF35" w:rsidR="008378AA" w:rsidRPr="00960F9A" w:rsidRDefault="008378AA" w:rsidP="00490C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Proiectul a fost clasificat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ca nefinalizat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271/05.12.2023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, prin urmare beneficiarii și-au asumat responsabilitatea 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 xml:space="preserve">și au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reali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>zat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integral indicatori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 xml:space="preserve">i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și obiectivel</w:t>
            </w:r>
            <w:r w:rsidR="00574506">
              <w:rPr>
                <w:rFonts w:ascii="Open Sans" w:hAnsi="Open Sans" w:cs="Calibri"/>
                <w:color w:val="003399"/>
                <w:lang w:val="ro-RO" w:eastAsia="en-GB"/>
              </w:rPr>
              <w:t>e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din resurse proprii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30.06.2024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6750E0" w:rsidRPr="00F42FEC" w14:paraId="05A81C76" w14:textId="77777777" w:rsidTr="00F42FEC">
        <w:trPr>
          <w:trHeight w:val="174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45C9199" w:rsidR="00CD3A86" w:rsidRPr="00960F9A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960F9A">
              <w:rPr>
                <w:rFonts w:ascii="Open Sans" w:hAnsi="Open Sans"/>
                <w:b/>
                <w:color w:val="003399"/>
                <w:lang w:val="ro-RO"/>
              </w:rPr>
              <w:t>Ob</w:t>
            </w:r>
            <w:r w:rsidR="002815A3" w:rsidRPr="00960F9A">
              <w:rPr>
                <w:rFonts w:ascii="Open Sans" w:hAnsi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63CF297" w:rsidR="00CD3A86" w:rsidRPr="00F42FEC" w:rsidRDefault="00511A52" w:rsidP="008378AA">
            <w:pPr>
              <w:pStyle w:val="HTMLPreformatted"/>
              <w:jc w:val="both"/>
              <w:rPr>
                <w:lang w:val="it-CH"/>
              </w:rPr>
            </w:pP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Obiectivul principal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l-a </w:t>
            </w:r>
            <w:r w:rsidR="00021CBA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reprez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entat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îmbunătăț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irea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ocup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ării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forței de muncă în zona eligibilă prin crearea de centre de instruire și sp</w:t>
            </w:r>
            <w:r w:rsidR="0009089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rijin în for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marea</w:t>
            </w:r>
            <w:r w:rsidR="0009089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și/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sau specializ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area</w:t>
            </w:r>
            <w:r w:rsidR="00021CBA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persoanelor în domeniul industriei turistice, 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ospitalității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</w:t>
            </w:r>
            <w:r w:rsidR="002815A3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și culturii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. De asemenea, prin organizarea de târguri de locuri de muncă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s-a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urmăr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it</w:t>
            </w:r>
            <w:r w:rsidR="00B75582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consolidarea cooperării dintre actorii locali de pe piața muncii, </w:t>
            </w:r>
            <w:r w:rsidR="00112A32" w:rsidRPr="00112A32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pentru a îmbunătăți corelația dintre oferta și cererea de forță de muncă și situația ocupării forței de muncă în zona eligibilă.</w:t>
            </w:r>
          </w:p>
        </w:tc>
      </w:tr>
      <w:tr w:rsidR="006750E0" w:rsidRPr="00960F9A" w14:paraId="5CD19851" w14:textId="77777777" w:rsidTr="00F42FEC">
        <w:trPr>
          <w:trHeight w:val="510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2EDD26EB" w:rsidR="00CD3A86" w:rsidRPr="00960F9A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245D" w14:textId="77777777" w:rsidR="001A3511" w:rsidRDefault="002815A3" w:rsidP="007D5F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Beneficiar principal</w:t>
            </w:r>
            <w:r w:rsidR="00CD3A86"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66A4D6CE" w14:textId="1F37EFE0" w:rsidR="00CD3A86" w:rsidRPr="00960F9A" w:rsidRDefault="002815A3" w:rsidP="007D5F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Agenția de Management al Destinației Bihor (România)</w:t>
            </w:r>
          </w:p>
        </w:tc>
      </w:tr>
      <w:tr w:rsidR="006750E0" w:rsidRPr="00960F9A" w14:paraId="006B602D" w14:textId="77777777" w:rsidTr="00F42FEC">
        <w:trPr>
          <w:trHeight w:val="1088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960F9A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399A3E35" w:rsidR="00A5719D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960F9A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1198772A" w14:textId="64F6E800" w:rsidR="002C6222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1222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P2: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Parohia Ortodoxă Körösszegapáti (Ungaria)</w:t>
            </w:r>
          </w:p>
          <w:p w14:paraId="5CBA5266" w14:textId="7F62B911" w:rsidR="0067777E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3: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Episcopia Romano-Catolică Oradea (România)</w:t>
            </w:r>
          </w:p>
          <w:p w14:paraId="76001C92" w14:textId="2A57125F" w:rsidR="0067777E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4: </w:t>
            </w:r>
            <w:r w:rsidR="002815A3" w:rsidRPr="00960F9A">
              <w:rPr>
                <w:rFonts w:ascii="Open Sans" w:hAnsi="Open Sans" w:cs="Calibri"/>
                <w:color w:val="003399"/>
                <w:lang w:val="ro-RO" w:eastAsia="en-GB"/>
              </w:rPr>
              <w:t>Parohia Reformată Episcopia Bihor (România)</w:t>
            </w:r>
          </w:p>
          <w:p w14:paraId="686B4CBD" w14:textId="13DBF3CA" w:rsidR="002C6222" w:rsidRPr="00960F9A" w:rsidRDefault="00090892" w:rsidP="007D5FB1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/>
              </w:rPr>
              <w:t>P</w:t>
            </w:r>
            <w:r w:rsidR="002C6222" w:rsidRPr="00960F9A">
              <w:rPr>
                <w:rFonts w:ascii="Open Sans" w:hAnsi="Open Sans" w:cs="Calibri"/>
                <w:color w:val="003399"/>
                <w:lang w:val="ro-RO"/>
              </w:rPr>
              <w:t xml:space="preserve">P5: </w:t>
            </w:r>
            <w:r w:rsidR="00776215" w:rsidRPr="00960F9A">
              <w:rPr>
                <w:rFonts w:ascii="Open Sans" w:hAnsi="Open Sans" w:cs="Calibri"/>
                <w:color w:val="003399"/>
                <w:lang w:val="ro-RO"/>
              </w:rPr>
              <w:t xml:space="preserve">Parohia Ortodoxă Română Oradea </w:t>
            </w:r>
            <w:r w:rsidR="00687C8A" w:rsidRPr="00960F9A">
              <w:rPr>
                <w:rFonts w:ascii="Open Sans" w:hAnsi="Open Sans" w:cs="Calibri"/>
                <w:color w:val="003399"/>
                <w:lang w:val="ro-RO"/>
              </w:rPr>
              <w:t>Io</w:t>
            </w:r>
            <w:r w:rsidR="00687C8A">
              <w:rPr>
                <w:rFonts w:ascii="Open Sans" w:hAnsi="Open Sans" w:cs="Calibri"/>
                <w:color w:val="003399"/>
                <w:lang w:val="ro-RO"/>
              </w:rPr>
              <w:t>ș</w:t>
            </w:r>
            <w:r w:rsidR="00687C8A" w:rsidRPr="00960F9A">
              <w:rPr>
                <w:rFonts w:ascii="Open Sans" w:hAnsi="Open Sans" w:cs="Calibri"/>
                <w:color w:val="003399"/>
                <w:lang w:val="ro-RO"/>
              </w:rPr>
              <w:t>ia</w:t>
            </w:r>
            <w:r w:rsidR="00776215" w:rsidRPr="00960F9A">
              <w:rPr>
                <w:rFonts w:ascii="Open Sans" w:hAnsi="Open Sans" w:cs="Calibri"/>
                <w:color w:val="003399"/>
                <w:lang w:val="ro-RO"/>
              </w:rPr>
              <w:t xml:space="preserve">-Nord </w:t>
            </w:r>
            <w:r w:rsidR="002C6222" w:rsidRPr="00960F9A">
              <w:rPr>
                <w:rFonts w:ascii="Open Sans" w:hAnsi="Open Sans" w:cs="Calibri"/>
                <w:color w:val="003399"/>
                <w:lang w:val="ro-RO"/>
              </w:rPr>
              <w:t>(România)</w:t>
            </w:r>
          </w:p>
          <w:p w14:paraId="307B2C9D" w14:textId="79DDBE42" w:rsidR="002C6222" w:rsidRPr="00960F9A" w:rsidRDefault="00090892" w:rsidP="007D5FB1">
            <w:pPr>
              <w:pStyle w:val="HTMLPreformatted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sz w:val="22"/>
                <w:szCs w:val="22"/>
                <w:lang w:val="ro-RO"/>
              </w:rPr>
              <w:t>P</w:t>
            </w:r>
            <w:r w:rsidR="002C6222" w:rsidRPr="00960F9A">
              <w:rPr>
                <w:rFonts w:ascii="Open Sans" w:hAnsi="Open Sans" w:cs="Calibri"/>
                <w:color w:val="003399"/>
                <w:sz w:val="22"/>
                <w:szCs w:val="22"/>
                <w:lang w:val="ro-RO"/>
              </w:rPr>
              <w:t>P6: Mânăstirea Izbuc (România)</w:t>
            </w:r>
          </w:p>
        </w:tc>
      </w:tr>
      <w:tr w:rsidR="006750E0" w:rsidRPr="00960F9A" w14:paraId="5692E066" w14:textId="77777777" w:rsidTr="00F42FEC">
        <w:trPr>
          <w:trHeight w:val="3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794C42BA" w:rsidR="00CD3A86" w:rsidRPr="00960F9A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C593" w14:textId="77777777" w:rsidR="00744AC2" w:rsidRDefault="008F2EAB" w:rsidP="007D5FB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2.718.105,80 Euro, din care FEDR, 2.310.389,91 Euro</w:t>
            </w:r>
          </w:p>
          <w:p w14:paraId="6451865B" w14:textId="37FE72B9" w:rsidR="002A7A61" w:rsidRPr="002A7A61" w:rsidRDefault="002A7A61" w:rsidP="002A7A61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Totalul cheltuielilor eligibile decontate prin proiect: 2.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609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320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EC0768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Pr="002A7A61">
              <w:rPr>
                <w:rFonts w:ascii="Open Sans" w:hAnsi="Open Sans" w:cs="Calibri"/>
                <w:color w:val="003399"/>
                <w:lang w:val="ro-RO" w:eastAsia="en-GB"/>
              </w:rPr>
              <w:t>9 Euro</w:t>
            </w:r>
          </w:p>
          <w:p w14:paraId="0CEC0BF1" w14:textId="763C06CA" w:rsidR="002A7A61" w:rsidRPr="001A3511" w:rsidRDefault="002A7A61" w:rsidP="002A7A61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</w:pP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lastRenderedPageBreak/>
              <w:t xml:space="preserve">Execuția bugetară: </w:t>
            </w:r>
            <w:r w:rsidR="00EC0768"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96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EC0768"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00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1A3511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6750E0" w:rsidRPr="00F42FEC" w14:paraId="4771AA54" w14:textId="77777777" w:rsidTr="00F42FEC">
        <w:trPr>
          <w:trHeight w:val="101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40365F76" w:rsidR="00CD3A86" w:rsidRPr="00960F9A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Sum</w:t>
            </w:r>
            <w:r w:rsidR="002815A3"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5065" w14:textId="042DF9CD" w:rsidR="00EC5E8C" w:rsidRDefault="008F2EAB" w:rsidP="00EC0768">
            <w:pPr>
              <w:pStyle w:val="HTMLPreformatted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</w:pP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Proiectul ROHU-398 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și-a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propu</w:t>
            </w:r>
            <w:r w:rsidR="00F84A2E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să crească ocuparea forței de muncă în zona eligibilă prin pregătirea și </w:t>
            </w:r>
            <w:r w:rsidR="000E2321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organizarea de cursuri de specializare ținând cont de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factorul endogen, natural, cultural și uman, astfel încât</w:t>
            </w:r>
            <w:r w:rsidR="00981EB5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să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crească mobilitatea transfrontalieră și să 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sprijine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dezvoltarea economiei</w:t>
            </w:r>
            <w:r w:rsidR="00EC0768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.</w:t>
            </w:r>
          </w:p>
          <w:p w14:paraId="199944D4" w14:textId="77777777" w:rsidR="00F84A2E" w:rsidRDefault="00F84A2E" w:rsidP="00F84A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F84A2E">
              <w:rPr>
                <w:rFonts w:ascii="Open Sans" w:hAnsi="Open Sans" w:cs="Calibri"/>
                <w:color w:val="003399"/>
                <w:lang w:val="ro-RO" w:eastAsia="en-GB"/>
              </w:rPr>
              <w:t>Principalele activități au fost:</w:t>
            </w:r>
          </w:p>
          <w:p w14:paraId="583CD691" w14:textId="4F80C1D7" w:rsidR="008F2EAB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• Crearea și funcționarea unei rețele policentrice transfrontaliere de centre de instruire și sprijin pentru ocuparea forței de muncă în turism și ospitalitate, și anume:</w:t>
            </w:r>
          </w:p>
          <w:p w14:paraId="048A959D" w14:textId="2C531DAB" w:rsidR="00477016" w:rsidRPr="00960F9A" w:rsidRDefault="008F2EAB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Centrul de pregătire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în domeniul turismului AMD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Bihor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(mobilat </w:t>
            </w:r>
            <w:r w:rsidR="0083254F">
              <w:rPr>
                <w:rFonts w:ascii="Open Sans" w:hAnsi="Open Sans" w:cs="Calibri"/>
                <w:color w:val="003399"/>
                <w:lang w:val="ro-RO" w:eastAsia="en-GB"/>
              </w:rPr>
              <w:t>ș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 echipat)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34530D0" w14:textId="316BC0F1" w:rsidR="008F2EAB" w:rsidRPr="00960F9A" w:rsidRDefault="003853D8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Un c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entru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nou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transfrontalier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„Renașterea”,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instruire și sprijin pentru micii meșteșugari și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angajații din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turism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>, creat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dotat,</w:t>
            </w:r>
            <w:r w:rsidR="0047701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>n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Körösszegapáti;</w:t>
            </w:r>
          </w:p>
          <w:p w14:paraId="406E99AB" w14:textId="1F2DB6DE" w:rsidR="008F2EAB" w:rsidRPr="00960F9A" w:rsidRDefault="008F2EAB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Centrul de instruire </w:t>
            </w:r>
            <w:r w:rsidR="00981EB5" w:rsidRPr="00960F9A">
              <w:rPr>
                <w:rFonts w:ascii="Open Sans" w:hAnsi="Open Sans" w:cs="Calibri"/>
                <w:color w:val="003399"/>
                <w:lang w:val="ro-RO" w:eastAsia="en-GB"/>
              </w:rPr>
              <w:t>pentru activități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</w:t>
            </w:r>
            <w:r w:rsidR="00981EB5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interior și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exterior </w:t>
            </w:r>
            <w:r w:rsidR="007C35B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din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"Episcopia Bihor"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 (reabilitare spa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E0A0392" w14:textId="54418279" w:rsidR="008F2EAB" w:rsidRPr="00960F9A" w:rsidRDefault="008F2EAB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Centrul de Instruire și Sprijin în Activități Turistice și Culturale „Bazilica Minor” Oradea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 (reabilitare orga bisericii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72A3A52" w14:textId="2D74F82E" w:rsidR="00477016" w:rsidRPr="00960F9A" w:rsidRDefault="00477016" w:rsidP="00960F9A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Centrul de Suport „Ars Ecumenica” pentru formare și specializare în Patrimoniu și Turism</w:t>
            </w:r>
            <w:r w:rsidR="0083254F">
              <w:rPr>
                <w:rFonts w:ascii="Open Sans" w:hAnsi="Open Sans" w:cs="Calibri"/>
                <w:color w:val="003399"/>
                <w:lang w:val="ro-RO" w:eastAsia="en-GB"/>
              </w:rPr>
              <w:t xml:space="preserve"> -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83254F" w:rsidRPr="00F42FEC">
              <w:rPr>
                <w:rFonts w:ascii="Open Sans" w:hAnsi="Open Sans" w:cs="Open Sans"/>
                <w:color w:val="003399"/>
                <w:lang w:val="it-CH"/>
              </w:rPr>
              <w:t xml:space="preserve">Ioșia, Oradea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(reabilitare spa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ii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 xml:space="preserve"> și dotare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26810ACB" w14:textId="086E557B" w:rsidR="008F2EAB" w:rsidRPr="00960F9A" w:rsidRDefault="003853D8" w:rsidP="00037DDC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Un c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entrul 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 xml:space="preserve">nou </w:t>
            </w:r>
            <w:r w:rsidR="008F2EAB" w:rsidRPr="00960F9A">
              <w:rPr>
                <w:rFonts w:ascii="Open Sans" w:hAnsi="Open Sans" w:cs="Calibri"/>
                <w:color w:val="003399"/>
                <w:lang w:val="ro-RO" w:eastAsia="en-GB"/>
              </w:rPr>
              <w:t>permanent de formare pentru meșteșuguri tradiționale și turism rural „Izbuc-Călugări”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, inclusiv dotarea acestuia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 xml:space="preserve"> - activitatea finalizată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până în 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F075D4">
              <w:rPr>
                <w:rFonts w:ascii="Open Sans" w:hAnsi="Open Sans" w:cs="Calibri"/>
                <w:color w:val="003399"/>
                <w:lang w:val="ro-RO" w:eastAsia="en-GB"/>
              </w:rPr>
              <w:t>0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06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.202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393A97C3" w14:textId="1F6EF739" w:rsidR="00004CDA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a 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 w:rsidR="003C4273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de instruiri și/sau specializări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pentru 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1.101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persoane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domeniul </w:t>
            </w:r>
            <w:r w:rsidR="007C3D0E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industriei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turis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>mului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precum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și</w:t>
            </w:r>
            <w:r w:rsidR="004B2127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în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domenii </w:t>
            </w:r>
            <w:r w:rsidR="004F671F" w:rsidRPr="00960F9A">
              <w:rPr>
                <w:rFonts w:ascii="Open Sans" w:hAnsi="Open Sans" w:cs="Calibri"/>
                <w:color w:val="003399"/>
                <w:lang w:val="ro-RO" w:eastAsia="en-GB"/>
              </w:rPr>
              <w:t>conexe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595C733A" w14:textId="37B45472" w:rsidR="008F2EAB" w:rsidRPr="00960F9A" w:rsidRDefault="008F2EAB" w:rsidP="00960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a </w:t>
            </w:r>
            <w:r w:rsidR="003853D8">
              <w:rPr>
                <w:rFonts w:ascii="Open Sans" w:hAnsi="Open Sans" w:cs="Calibri"/>
                <w:color w:val="003399"/>
                <w:lang w:val="ro-RO" w:eastAsia="en-GB"/>
              </w:rPr>
              <w:t>mai mult de 15</w:t>
            </w:r>
            <w:r w:rsidR="003C427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evenimente pentru promovarea oportunităților de muncă în turism, ospitalitate, meșteșuguri, produse locale și gastronomie,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ca de exemplu: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92162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ediții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„Vinul și pâinea”, 6 ediții de cicloturism, 1 târg transfrontalier pentru promovarea produselor gastronomice locale,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ârg de locuri de muncă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pentru populația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din zona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rural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>ă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, 2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f</w:t>
            </w:r>
            <w:r w:rsidR="000760AF" w:rsidRPr="00960F9A">
              <w:rPr>
                <w:rFonts w:ascii="Open Sans" w:hAnsi="Open Sans" w:cs="Calibri"/>
                <w:color w:val="003399"/>
                <w:lang w:val="ro-RO" w:eastAsia="en-GB"/>
              </w:rPr>
              <w:t>estival</w:t>
            </w:r>
            <w:r w:rsidR="000760AF">
              <w:rPr>
                <w:rFonts w:ascii="Open Sans" w:hAnsi="Open Sans" w:cs="Calibri"/>
                <w:color w:val="003399"/>
                <w:lang w:val="ro-RO" w:eastAsia="en-GB"/>
              </w:rPr>
              <w:t>uri</w:t>
            </w:r>
            <w:r w:rsidR="000760A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muzică clasică/ bisericească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Varadinum Nostra,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ârg de promovare a produselor meșteșugărești locale, 1 </w:t>
            </w:r>
            <w:r w:rsidR="00717FB9"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ârg </w:t>
            </w:r>
            <w:r w:rsidR="003E7C96" w:rsidRPr="00960F9A">
              <w:rPr>
                <w:rFonts w:ascii="Open Sans" w:hAnsi="Open Sans" w:cs="Calibri"/>
                <w:color w:val="003399"/>
                <w:lang w:val="ro-RO" w:eastAsia="en-GB"/>
              </w:rPr>
              <w:t>de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locuri de muncă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și promovare </w:t>
            </w:r>
            <w:r w:rsidR="00802C82" w:rsidRPr="00960F9A">
              <w:rPr>
                <w:rFonts w:ascii="Open Sans" w:hAnsi="Open Sans" w:cs="Calibri"/>
                <w:color w:val="003399"/>
                <w:lang w:val="ro-RO" w:eastAsia="en-GB"/>
              </w:rPr>
              <w:t>î</w:t>
            </w:r>
            <w:r w:rsidR="0062335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n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domeniul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peisagistic, 1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eveniment </w:t>
            </w:r>
            <w:r w:rsidR="00154336" w:rsidRPr="00960F9A">
              <w:rPr>
                <w:rFonts w:ascii="Open Sans" w:hAnsi="Open Sans" w:cs="Calibri"/>
                <w:color w:val="003399"/>
                <w:lang w:val="ro-RO" w:eastAsia="en-GB"/>
              </w:rPr>
              <w:t>Eco Food - Mâncarea locală gourmet,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 etc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1E2C2CAC" w14:textId="2D8FA888" w:rsidR="00154336" w:rsidRPr="00960F9A" w:rsidRDefault="00154336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• Organizarea a 2 ateliere, „Noile tehnologii și aplicabilitatea lor în marketingul turistic” și „Turismul transfrontalier la începutul celui de-al treilea mileniu - Actualitate, Tendințe, Perspective”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în Oradea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4ABD5D5F" w14:textId="5FE97F71" w:rsidR="008F2EAB" w:rsidRPr="00960F9A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• Crearea unei strategii integrate de gestionare a resurselor umane pentru o </w:t>
            </w:r>
            <w:r w:rsidR="00CB6663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angajare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mai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facilă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, forma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și specializa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a personalului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care implicit va 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conduce</w:t>
            </w:r>
            <w:r w:rsidR="006B4AA1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și la creșterea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7C3D0E" w:rsidRPr="00960F9A">
              <w:rPr>
                <w:rFonts w:ascii="Open Sans" w:hAnsi="Open Sans" w:cs="Calibri"/>
                <w:color w:val="003399"/>
                <w:lang w:val="ro-RO" w:eastAsia="en-GB"/>
              </w:rPr>
              <w:t>atractivității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destinațiilor turistice din Bihor și Hajdu-Bihar;</w:t>
            </w:r>
          </w:p>
          <w:p w14:paraId="5DB3F587" w14:textId="2688B8DF" w:rsidR="008F2EAB" w:rsidRDefault="008F2EAB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 xml:space="preserve">• Crearea unei baze online comune </w:t>
            </w:r>
            <w:r w:rsidR="00DB4D5B" w:rsidRPr="00960F9A">
              <w:rPr>
                <w:rFonts w:ascii="Open Sans" w:hAnsi="Open Sans" w:cs="Calibri"/>
                <w:color w:val="003399"/>
                <w:lang w:val="ro-RO" w:eastAsia="en-GB"/>
              </w:rPr>
              <w:t>privind cererea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resurse umane din turism și </w:t>
            </w:r>
            <w:r w:rsidR="0072258B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industria ospitalității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- portalul </w:t>
            </w:r>
            <w:hyperlink r:id="rId8" w:history="1">
              <w:r w:rsidR="008D73C2" w:rsidRPr="00AB42A5">
                <w:rPr>
                  <w:rStyle w:val="Hyperlink"/>
                  <w:rFonts w:ascii="Open Sans" w:hAnsi="Open Sans" w:cs="Calibri"/>
                  <w:lang w:val="ro-RO" w:eastAsia="en-GB"/>
                </w:rPr>
                <w:t>www.tourjob.com</w:t>
              </w:r>
            </w:hyperlink>
            <w:r w:rsidR="0056115F" w:rsidRPr="00F42FEC">
              <w:rPr>
                <w:color w:val="003399"/>
                <w:lang w:val="it-CH"/>
              </w:rPr>
              <w:t>;</w:t>
            </w:r>
          </w:p>
          <w:p w14:paraId="5A5AE492" w14:textId="39B2FEA5" w:rsidR="00CB6663" w:rsidRDefault="008D73C2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•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Identifica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>re</w:t>
            </w:r>
            <w:r w:rsidR="00E04349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FC43A0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="00FC43A0"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12 produse gastronomice locale </w:t>
            </w:r>
            <w:r w:rsidR="00FC43A0">
              <w:rPr>
                <w:rFonts w:ascii="Open Sans" w:hAnsi="Open Sans" w:cs="Calibri"/>
                <w:color w:val="003399"/>
                <w:lang w:val="ro-RO" w:eastAsia="en-GB"/>
              </w:rPr>
              <w:t xml:space="preserve">și propunerea acestora spre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certifica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re </w:t>
            </w:r>
            <w:r w:rsidR="00CB6663" w:rsidRPr="008D73C2">
              <w:rPr>
                <w:rFonts w:ascii="Open Sans" w:hAnsi="Open Sans" w:cs="Calibri"/>
                <w:color w:val="003399"/>
                <w:lang w:val="ro-RO" w:eastAsia="en-GB"/>
              </w:rPr>
              <w:t>ca produse locale tradiționale/de munte</w:t>
            </w:r>
            <w:r w:rsidR="00CB6663">
              <w:rPr>
                <w:rFonts w:ascii="Open Sans" w:hAnsi="Open Sans" w:cs="Calibri"/>
                <w:color w:val="003399"/>
                <w:lang w:val="ro-RO" w:eastAsia="en-GB"/>
              </w:rPr>
              <w:t xml:space="preserve"> și prezentarea acestor rețete în cadrul celor 12 filme scurte și în cadrul cărții de bucate elaborate;</w:t>
            </w:r>
          </w:p>
          <w:p w14:paraId="3209DE8F" w14:textId="50440AD8" w:rsidR="008D73C2" w:rsidRPr="00960F9A" w:rsidRDefault="008D73C2" w:rsidP="007D5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>• Elaborare</w:t>
            </w:r>
            <w:r w:rsidR="00F84A2E">
              <w:rPr>
                <w:rFonts w:ascii="Open Sans" w:hAnsi="Open Sans" w:cs="Calibri"/>
                <w:color w:val="003399"/>
                <w:lang w:val="ro-RO" w:eastAsia="en-GB"/>
              </w:rPr>
              <w:t>a unui</w:t>
            </w: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Ghid pentru certificare</w:t>
            </w:r>
            <w:r w:rsidR="00E31E6D">
              <w:rPr>
                <w:rFonts w:ascii="Open Sans" w:hAnsi="Open Sans" w:cs="Calibri"/>
                <w:color w:val="003399"/>
                <w:lang w:val="ro-RO" w:eastAsia="en-GB"/>
              </w:rPr>
              <w:t>a</w:t>
            </w:r>
            <w:r w:rsidRPr="008D73C2">
              <w:rPr>
                <w:rFonts w:ascii="Open Sans" w:hAnsi="Open Sans" w:cs="Calibri"/>
                <w:color w:val="003399"/>
                <w:lang w:val="ro-RO" w:eastAsia="en-GB"/>
              </w:rPr>
              <w:t xml:space="preserve"> ca punct local de gastronomie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479C04D1" w14:textId="7641A790" w:rsidR="00A5719D" w:rsidRPr="00960F9A" w:rsidRDefault="00A5719D" w:rsidP="003A0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</w:p>
        </w:tc>
      </w:tr>
      <w:tr w:rsidR="00EC5E8C" w:rsidRPr="00960F9A" w14:paraId="29DB1113" w14:textId="77777777" w:rsidTr="00F42FEC">
        <w:trPr>
          <w:trHeight w:val="12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14791D9E" w:rsidR="00406660" w:rsidRPr="00960F9A" w:rsidRDefault="002815A3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061F" w14:textId="3C6D5C77" w:rsidR="002C0FC7" w:rsidRPr="00F42FEC" w:rsidRDefault="00F42FEC" w:rsidP="002C0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F42FEC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Livrabile</w:t>
            </w:r>
            <w:r w:rsidR="002C0FC7" w:rsidRPr="00F42FEC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:</w:t>
            </w:r>
          </w:p>
          <w:p w14:paraId="5E5AB2D7" w14:textId="5DE316C3" w:rsidR="002C0FC7" w:rsidRPr="00F42FEC" w:rsidRDefault="008F2EAB" w:rsidP="0056115F">
            <w:pPr>
              <w:pStyle w:val="HTMLPreformatted"/>
              <w:numPr>
                <w:ilvl w:val="0"/>
                <w:numId w:val="22"/>
              </w:numPr>
              <w:jc w:val="both"/>
              <w:rPr>
                <w:lang w:val="it-CH"/>
              </w:rPr>
            </w:pPr>
            <w:r w:rsidRPr="00CB6663">
              <w:rPr>
                <w:rFonts w:ascii="Open Sans" w:eastAsia="Calibri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>6 centre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de instruire, specializare și sprijin în industria turismului și în domeniile 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conexe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(ospitalitate, cultură), 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din care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4 în mediul urban</w:t>
            </w:r>
            <w:r w:rsidR="00C70047"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 xml:space="preserve"> și </w:t>
            </w:r>
            <w:r w:rsidRPr="00960F9A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2 în mediul rural (1 în România, 1 în Ungaria)</w:t>
            </w:r>
            <w:r w:rsidR="00CB6663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;</w:t>
            </w:r>
          </w:p>
          <w:p w14:paraId="2CF0D4DF" w14:textId="19206CA5" w:rsidR="0010422F" w:rsidRPr="00960F9A" w:rsidRDefault="00CB6663" w:rsidP="0010422F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CB6663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1,101 </w:t>
            </w:r>
            <w:r w:rsidR="0010422F" w:rsidRPr="00CB6663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persoane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calificate, instruite și/sau specializate în industria turismului și domeniile conexe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0739CB9" w14:textId="6D3ED203" w:rsidR="002C0FC7" w:rsidRPr="00960F9A" w:rsidRDefault="002C0FC7" w:rsidP="002C0FC7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strategie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management integrat al resurselor umane pentru o mai bună 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integrare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a personalului format și specializat 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în </w:t>
            </w:r>
            <w:r w:rsidR="00ED34D3" w:rsidRPr="00960F9A">
              <w:rPr>
                <w:rFonts w:ascii="Open Sans" w:hAnsi="Open Sans" w:cs="Calibri"/>
                <w:color w:val="003399"/>
                <w:lang w:val="ro-RO" w:eastAsia="en-GB"/>
              </w:rPr>
              <w:t>industria</w:t>
            </w:r>
            <w:r w:rsidR="00140FDE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turismului 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>care va duce la</w:t>
            </w:r>
            <w:r w:rsidR="00ED34D3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crește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rea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atractivit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>ății</w:t>
            </w:r>
            <w:r w:rsidR="00ED34D3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destinațiilor turistice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din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Bihor și Hajdu-Bihar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72349C67" w14:textId="6354EC56" w:rsidR="002C0FC7" w:rsidRPr="00BB6012" w:rsidRDefault="002C0FC7" w:rsidP="002C0FC7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bază online comună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cu </w:t>
            </w:r>
            <w:r w:rsidR="0010422F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necesarul 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de resurse uma</w:t>
            </w:r>
            <w:r w:rsidR="008F52E7" w:rsidRPr="00960F9A">
              <w:rPr>
                <w:rFonts w:ascii="Open Sans" w:hAnsi="Open Sans" w:cs="Calibri"/>
                <w:color w:val="003399"/>
                <w:lang w:val="ro-RO" w:eastAsia="en-GB"/>
              </w:rPr>
              <w:t>ne din turism și ospitalitate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  <w:r w:rsidR="008F52E7"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4623B59F" w14:textId="5D4D9221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 Ghid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pentru certificarea ca punct local de gastronomie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2FB660F" w14:textId="08EE389D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12 produse gastronomice locale </w:t>
            </w:r>
            <w:r w:rsidR="00FC3682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identificate</w:t>
            </w:r>
            <w:r w:rsidR="00FC3682">
              <w:rPr>
                <w:rFonts w:ascii="Open Sans" w:hAnsi="Open Sans" w:cs="Calibri"/>
                <w:color w:val="003399"/>
                <w:lang w:val="ro-RO" w:eastAsia="en-GB"/>
              </w:rPr>
              <w:t xml:space="preserve"> și 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 xml:space="preserve">propuse spre 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>certifica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r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>e ca produse locale tradiționale/montane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1B3E85A5" w14:textId="6437CC6C" w:rsidR="00BB6012" w:rsidRPr="00BB6012" w:rsidRDefault="00BB6012" w:rsidP="00BB6012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1 </w:t>
            </w:r>
            <w:r w:rsidR="0056115F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carte</w:t>
            </w:r>
            <w:r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de </w:t>
            </w:r>
            <w:r w:rsidR="006A3001" w:rsidRPr="006A300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bucate</w:t>
            </w:r>
            <w:r w:rsidR="006A3001">
              <w:rPr>
                <w:rFonts w:ascii="Open Sans" w:hAnsi="Open Sans" w:cs="Calibri"/>
                <w:color w:val="003399"/>
                <w:lang w:val="ro-RO" w:eastAsia="en-GB"/>
              </w:rPr>
              <w:t xml:space="preserve">/ 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rețete 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conținând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produse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le</w:t>
            </w:r>
            <w:r w:rsidRPr="00BB6012">
              <w:rPr>
                <w:rFonts w:ascii="Open Sans" w:hAnsi="Open Sans" w:cs="Calibri"/>
                <w:color w:val="003399"/>
                <w:lang w:val="ro-RO" w:eastAsia="en-GB"/>
              </w:rPr>
              <w:t xml:space="preserve"> locale tradiționale/montane </w:t>
            </w:r>
            <w:r w:rsidR="00501B62">
              <w:rPr>
                <w:rFonts w:ascii="Open Sans" w:hAnsi="Open Sans" w:cs="Calibri"/>
                <w:color w:val="003399"/>
                <w:lang w:val="ro-RO" w:eastAsia="en-GB"/>
              </w:rPr>
              <w:t>identificate și alte rețete</w:t>
            </w:r>
            <w:r w:rsidR="0056115F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332D5002" w14:textId="74EE0100" w:rsidR="004F4F43" w:rsidRDefault="00F42FEC" w:rsidP="00F42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F42FEC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Rezultate:</w:t>
            </w:r>
          </w:p>
          <w:p w14:paraId="5C70090B" w14:textId="2B5C02FF" w:rsidR="00F42FEC" w:rsidRPr="00F42FEC" w:rsidRDefault="00F42FEC" w:rsidP="00F42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it-CH" w:eastAsia="en-GB"/>
              </w:rPr>
            </w:pPr>
            <w:r w:rsidRPr="00F42FEC">
              <w:rPr>
                <w:rFonts w:ascii="Open Sans" w:hAnsi="Open Sans" w:cs="Calibri"/>
                <w:color w:val="003399"/>
                <w:lang w:val="it-CH" w:eastAsia="en-GB"/>
              </w:rPr>
              <w:t>Îmbunătățirea ocupării forței de muncă în zona transfrontalieră prin formarea/specializarea resurselor umane, având ca obiectiv creșterea calității serviciilor din turism și ospitalitate;</w:t>
            </w:r>
            <w:r w:rsidRPr="00F42FEC">
              <w:rPr>
                <w:rFonts w:ascii="Open Sans" w:hAnsi="Open Sans" w:cs="Calibri"/>
                <w:color w:val="003399"/>
                <w:lang w:val="it-CH" w:eastAsia="en-GB"/>
              </w:rPr>
              <w:br/>
              <w:t>• Promovarea produselor locale și a ocupării forței de muncă în sectoarele turistic, cultural și al ospitalității, prin evenimentele organizate;</w:t>
            </w:r>
            <w:r w:rsidRPr="00F42FEC">
              <w:rPr>
                <w:rFonts w:ascii="Open Sans" w:hAnsi="Open Sans" w:cs="Calibri"/>
                <w:color w:val="003399"/>
                <w:lang w:val="it-CH" w:eastAsia="en-GB"/>
              </w:rPr>
              <w:br/>
              <w:t>• Creșterea sprijinului pentru ocupare, prin resurse umane bine calificate pregătite în domeniile turismului, culturii, meșteșugurilor tradiționale și ospitalității, precum și prin construirea/reabilitarea/dotarea centrelor</w:t>
            </w:r>
            <w:r w:rsidRPr="00F42FEC">
              <w:rPr>
                <w:rFonts w:ascii="Open Sans" w:hAnsi="Open Sans" w:cs="Calibri"/>
                <w:b/>
                <w:bCs/>
                <w:color w:val="003399"/>
                <w:lang w:val="it-CH" w:eastAsia="en-GB"/>
              </w:rPr>
              <w:t>.</w:t>
            </w:r>
          </w:p>
          <w:p w14:paraId="1D365602" w14:textId="0FC383E2" w:rsidR="00F42FEC" w:rsidRDefault="00F42FEC" w:rsidP="00F42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F42FEC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Indicatori:</w:t>
            </w:r>
          </w:p>
          <w:p w14:paraId="43EF915F" w14:textId="77777777" w:rsidR="00F42FEC" w:rsidRDefault="00F42FEC" w:rsidP="00F42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>Indicatorul de realizare (output) al programului este „</w:t>
            </w:r>
            <w:r w:rsidRPr="00960F9A">
              <w:rPr>
                <w:rFonts w:ascii="Open Sans" w:hAnsi="Open Sans" w:cs="Calibri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”. Prin proiectul ROHU-398, </w:t>
            </w:r>
            <w:r w:rsidRPr="00960F9A">
              <w:rPr>
                <w:rFonts w:ascii="Open Sans" w:hAnsi="Open Sans" w:cs="Calibri"/>
                <w:b/>
                <w:color w:val="003399"/>
                <w:lang w:val="ro-RO" w:eastAsia="en-GB"/>
              </w:rPr>
              <w:t>1</w:t>
            </w:r>
            <w:r>
              <w:rPr>
                <w:rFonts w:ascii="Open Sans" w:hAnsi="Open Sans" w:cs="Calibri"/>
                <w:b/>
                <w:color w:val="003399"/>
                <w:lang w:val="ro-RO" w:eastAsia="en-GB"/>
              </w:rPr>
              <w:t>.101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persoane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au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beneficia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t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de instruiri / specializări care îi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vor</w:t>
            </w:r>
            <w:r w:rsidRPr="00960F9A">
              <w:rPr>
                <w:rFonts w:ascii="Open Sans" w:hAnsi="Open Sans" w:cs="Calibri"/>
                <w:color w:val="003399"/>
                <w:lang w:val="ro-RO" w:eastAsia="en-GB"/>
              </w:rPr>
              <w:t xml:space="preserve"> ajuta să se integreze cu succes pe piața muncii.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6916C6F2" w14:textId="4F4FD01C" w:rsidR="00406660" w:rsidRPr="00F84A2E" w:rsidRDefault="004F4F43" w:rsidP="00F42F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960F9A">
              <w:rPr>
                <w:rFonts w:ascii="Open Sans" w:hAnsi="Open Sans" w:cs="Open Sans"/>
                <w:color w:val="003399"/>
                <w:lang w:val="ro-RO"/>
              </w:rPr>
              <w:t>Website/</w:t>
            </w:r>
            <w:proofErr w:type="spellStart"/>
            <w:r w:rsidRPr="00960F9A">
              <w:rPr>
                <w:rFonts w:ascii="Open Sans" w:hAnsi="Open Sans" w:cs="Open Sans"/>
                <w:color w:val="003399"/>
                <w:lang w:val="ro-RO"/>
              </w:rPr>
              <w:t>webpage</w:t>
            </w:r>
            <w:proofErr w:type="spellEnd"/>
            <w:r w:rsidRPr="00960F9A">
              <w:rPr>
                <w:rFonts w:ascii="Open Sans" w:hAnsi="Open Sans" w:cs="Open Sans"/>
                <w:color w:val="003399"/>
                <w:lang w:val="ro-RO"/>
              </w:rPr>
              <w:t xml:space="preserve">: </w:t>
            </w:r>
            <w:hyperlink r:id="rId9" w:history="1">
              <w:r w:rsidRPr="00960F9A">
                <w:rPr>
                  <w:rStyle w:val="Hyperlink"/>
                  <w:rFonts w:ascii="Open Sans" w:hAnsi="Open Sans" w:cs="Open Sans"/>
                  <w:lang w:val="ro-RO"/>
                </w:rPr>
                <w:t>https://fortourbhhb.ro/</w:t>
              </w:r>
            </w:hyperlink>
          </w:p>
        </w:tc>
      </w:tr>
    </w:tbl>
    <w:p w14:paraId="6C488934" w14:textId="77D58D94" w:rsidR="00B05DE4" w:rsidRPr="00960F9A" w:rsidRDefault="00B05DE4" w:rsidP="00F42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ro-RO"/>
        </w:rPr>
      </w:pPr>
    </w:p>
    <w:sectPr w:rsidR="00B05DE4" w:rsidRPr="00960F9A" w:rsidSect="004F5EB5">
      <w:headerReference w:type="default" r:id="rId10"/>
      <w:footerReference w:type="default" r:id="rId11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286B" w14:textId="77777777" w:rsidR="00140DE7" w:rsidRDefault="00140DE7" w:rsidP="00DE0A0A">
      <w:pPr>
        <w:spacing w:after="0" w:line="240" w:lineRule="auto"/>
      </w:pPr>
      <w:r>
        <w:separator/>
      </w:r>
    </w:p>
  </w:endnote>
  <w:endnote w:type="continuationSeparator" w:id="0">
    <w:p w14:paraId="662F2ADC" w14:textId="77777777" w:rsidR="00140DE7" w:rsidRDefault="00140DE7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Arial"/>
    <w:panose1 w:val="000004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23887" w14:textId="77777777" w:rsidR="00FD6891" w:rsidRPr="0032658E" w:rsidRDefault="00FD6891" w:rsidP="00FD6891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755F51AE" w:rsidR="007974A7" w:rsidRDefault="007974A7" w:rsidP="00FB3E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BC20" w14:textId="77777777" w:rsidR="00140DE7" w:rsidRDefault="00140DE7" w:rsidP="00DE0A0A">
      <w:pPr>
        <w:spacing w:after="0" w:line="240" w:lineRule="auto"/>
      </w:pPr>
      <w:r>
        <w:separator/>
      </w:r>
    </w:p>
  </w:footnote>
  <w:footnote w:type="continuationSeparator" w:id="0">
    <w:p w14:paraId="38115E52" w14:textId="77777777" w:rsidR="00140DE7" w:rsidRDefault="00140DE7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CC88D7A" w:rsidR="007116AA" w:rsidRDefault="00FD6891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7F1968F1" wp14:editId="0CDBDFFD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847D3" w14:textId="77777777" w:rsidR="00FD6891" w:rsidRDefault="00FD6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80953"/>
    <w:multiLevelType w:val="hybridMultilevel"/>
    <w:tmpl w:val="8E86132E"/>
    <w:lvl w:ilvl="0" w:tplc="79366866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30470"/>
    <w:multiLevelType w:val="hybridMultilevel"/>
    <w:tmpl w:val="07627368"/>
    <w:lvl w:ilvl="0" w:tplc="C12E9B1C">
      <w:numFmt w:val="bullet"/>
      <w:lvlText w:val="-"/>
      <w:lvlJc w:val="left"/>
      <w:pPr>
        <w:ind w:left="816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C3604"/>
    <w:multiLevelType w:val="hybridMultilevel"/>
    <w:tmpl w:val="C896E122"/>
    <w:lvl w:ilvl="0" w:tplc="0409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92280"/>
    <w:multiLevelType w:val="hybridMultilevel"/>
    <w:tmpl w:val="853A6946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00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2059">
    <w:abstractNumId w:val="12"/>
  </w:num>
  <w:num w:numId="3" w16cid:durableId="2013025301">
    <w:abstractNumId w:val="19"/>
  </w:num>
  <w:num w:numId="4" w16cid:durableId="1706633396">
    <w:abstractNumId w:val="13"/>
  </w:num>
  <w:num w:numId="5" w16cid:durableId="1999651109">
    <w:abstractNumId w:val="1"/>
  </w:num>
  <w:num w:numId="6" w16cid:durableId="1666398181">
    <w:abstractNumId w:val="6"/>
  </w:num>
  <w:num w:numId="7" w16cid:durableId="2136176256">
    <w:abstractNumId w:val="2"/>
  </w:num>
  <w:num w:numId="8" w16cid:durableId="1857885915">
    <w:abstractNumId w:val="8"/>
  </w:num>
  <w:num w:numId="9" w16cid:durableId="86735623">
    <w:abstractNumId w:val="9"/>
  </w:num>
  <w:num w:numId="10" w16cid:durableId="46727470">
    <w:abstractNumId w:val="4"/>
  </w:num>
  <w:num w:numId="11" w16cid:durableId="823860058">
    <w:abstractNumId w:val="10"/>
  </w:num>
  <w:num w:numId="12" w16cid:durableId="1734036565">
    <w:abstractNumId w:val="0"/>
  </w:num>
  <w:num w:numId="13" w16cid:durableId="608901443">
    <w:abstractNumId w:val="5"/>
  </w:num>
  <w:num w:numId="14" w16cid:durableId="458188796">
    <w:abstractNumId w:val="11"/>
  </w:num>
  <w:num w:numId="15" w16cid:durableId="1446995332">
    <w:abstractNumId w:val="3"/>
  </w:num>
  <w:num w:numId="16" w16cid:durableId="444886362">
    <w:abstractNumId w:val="7"/>
  </w:num>
  <w:num w:numId="17" w16cid:durableId="1190295542">
    <w:abstractNumId w:val="14"/>
  </w:num>
  <w:num w:numId="18" w16cid:durableId="2000647853">
    <w:abstractNumId w:val="21"/>
  </w:num>
  <w:num w:numId="19" w16cid:durableId="402947731">
    <w:abstractNumId w:val="18"/>
  </w:num>
  <w:num w:numId="20" w16cid:durableId="1931964936">
    <w:abstractNumId w:val="16"/>
  </w:num>
  <w:num w:numId="21" w16cid:durableId="2079087248">
    <w:abstractNumId w:val="15"/>
  </w:num>
  <w:num w:numId="22" w16cid:durableId="1585528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0NDQ2MjWxMDQysTBW0lEKTi0uzszPAymwqAUAvmfJbCwAAAA="/>
  </w:docVars>
  <w:rsids>
    <w:rsidRoot w:val="00950FDB"/>
    <w:rsid w:val="00000B62"/>
    <w:rsid w:val="0000302D"/>
    <w:rsid w:val="00004CDA"/>
    <w:rsid w:val="000109BC"/>
    <w:rsid w:val="00013A10"/>
    <w:rsid w:val="00013B09"/>
    <w:rsid w:val="0002115A"/>
    <w:rsid w:val="00021CBA"/>
    <w:rsid w:val="00032D38"/>
    <w:rsid w:val="00036257"/>
    <w:rsid w:val="00037DDC"/>
    <w:rsid w:val="0004193D"/>
    <w:rsid w:val="00050032"/>
    <w:rsid w:val="00051866"/>
    <w:rsid w:val="00055071"/>
    <w:rsid w:val="00056824"/>
    <w:rsid w:val="000760AF"/>
    <w:rsid w:val="0007778E"/>
    <w:rsid w:val="000805D1"/>
    <w:rsid w:val="0008294E"/>
    <w:rsid w:val="00082D6F"/>
    <w:rsid w:val="0008745D"/>
    <w:rsid w:val="00087699"/>
    <w:rsid w:val="00090892"/>
    <w:rsid w:val="000931AC"/>
    <w:rsid w:val="0009362F"/>
    <w:rsid w:val="0009562E"/>
    <w:rsid w:val="000A039E"/>
    <w:rsid w:val="000A1BE4"/>
    <w:rsid w:val="000A21DE"/>
    <w:rsid w:val="000A2859"/>
    <w:rsid w:val="000A5E1A"/>
    <w:rsid w:val="000B0AB3"/>
    <w:rsid w:val="000B318D"/>
    <w:rsid w:val="000B67FD"/>
    <w:rsid w:val="000C0DA5"/>
    <w:rsid w:val="000D01DE"/>
    <w:rsid w:val="000E0371"/>
    <w:rsid w:val="000E232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0422F"/>
    <w:rsid w:val="00112A32"/>
    <w:rsid w:val="001153BE"/>
    <w:rsid w:val="001156A2"/>
    <w:rsid w:val="0012201F"/>
    <w:rsid w:val="001222DE"/>
    <w:rsid w:val="0013629B"/>
    <w:rsid w:val="00136DE9"/>
    <w:rsid w:val="00140DE7"/>
    <w:rsid w:val="00140FDE"/>
    <w:rsid w:val="0014702D"/>
    <w:rsid w:val="00151A12"/>
    <w:rsid w:val="00154137"/>
    <w:rsid w:val="00154336"/>
    <w:rsid w:val="00154DF4"/>
    <w:rsid w:val="001628F5"/>
    <w:rsid w:val="001770D7"/>
    <w:rsid w:val="001775D1"/>
    <w:rsid w:val="0017773A"/>
    <w:rsid w:val="00181B39"/>
    <w:rsid w:val="00184EAD"/>
    <w:rsid w:val="0018609F"/>
    <w:rsid w:val="00192845"/>
    <w:rsid w:val="001955D5"/>
    <w:rsid w:val="001958CD"/>
    <w:rsid w:val="00195AD8"/>
    <w:rsid w:val="001A3475"/>
    <w:rsid w:val="001A3511"/>
    <w:rsid w:val="001B37C2"/>
    <w:rsid w:val="001C0B87"/>
    <w:rsid w:val="001C1F12"/>
    <w:rsid w:val="001C1F92"/>
    <w:rsid w:val="001C4DE1"/>
    <w:rsid w:val="001D060D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15A3"/>
    <w:rsid w:val="00283199"/>
    <w:rsid w:val="00294152"/>
    <w:rsid w:val="00295364"/>
    <w:rsid w:val="00295AB6"/>
    <w:rsid w:val="002A2EF6"/>
    <w:rsid w:val="002A4AD1"/>
    <w:rsid w:val="002A7A61"/>
    <w:rsid w:val="002C0FC7"/>
    <w:rsid w:val="002C1094"/>
    <w:rsid w:val="002C5129"/>
    <w:rsid w:val="002C6222"/>
    <w:rsid w:val="002C75D1"/>
    <w:rsid w:val="002D398F"/>
    <w:rsid w:val="002E3BF1"/>
    <w:rsid w:val="002E3EBE"/>
    <w:rsid w:val="002E5DCC"/>
    <w:rsid w:val="002F2ABA"/>
    <w:rsid w:val="002F3F04"/>
    <w:rsid w:val="002F550A"/>
    <w:rsid w:val="002F61BC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4D1D"/>
    <w:rsid w:val="0036777B"/>
    <w:rsid w:val="00367DC0"/>
    <w:rsid w:val="00370E05"/>
    <w:rsid w:val="0037217B"/>
    <w:rsid w:val="003748B2"/>
    <w:rsid w:val="00375407"/>
    <w:rsid w:val="00384C38"/>
    <w:rsid w:val="003853D8"/>
    <w:rsid w:val="003874FF"/>
    <w:rsid w:val="00387D7B"/>
    <w:rsid w:val="003A046A"/>
    <w:rsid w:val="003A0760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273"/>
    <w:rsid w:val="003C4D96"/>
    <w:rsid w:val="003D16DE"/>
    <w:rsid w:val="003D2B32"/>
    <w:rsid w:val="003E633C"/>
    <w:rsid w:val="003E6B5B"/>
    <w:rsid w:val="003E7C96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7A99"/>
    <w:rsid w:val="004707A7"/>
    <w:rsid w:val="00477016"/>
    <w:rsid w:val="00482317"/>
    <w:rsid w:val="00482AFA"/>
    <w:rsid w:val="00490C00"/>
    <w:rsid w:val="00496E66"/>
    <w:rsid w:val="004B2127"/>
    <w:rsid w:val="004C0784"/>
    <w:rsid w:val="004C4FAF"/>
    <w:rsid w:val="004D1829"/>
    <w:rsid w:val="004E3E06"/>
    <w:rsid w:val="004E42B8"/>
    <w:rsid w:val="004E436A"/>
    <w:rsid w:val="004F4F43"/>
    <w:rsid w:val="004F5EB5"/>
    <w:rsid w:val="004F671F"/>
    <w:rsid w:val="004F7A11"/>
    <w:rsid w:val="0050017B"/>
    <w:rsid w:val="00500DD4"/>
    <w:rsid w:val="00501B62"/>
    <w:rsid w:val="0050327B"/>
    <w:rsid w:val="00507B8E"/>
    <w:rsid w:val="00511A52"/>
    <w:rsid w:val="00512333"/>
    <w:rsid w:val="00542E30"/>
    <w:rsid w:val="005569FB"/>
    <w:rsid w:val="0056115F"/>
    <w:rsid w:val="00574506"/>
    <w:rsid w:val="00575AC0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E77CA"/>
    <w:rsid w:val="005F12EA"/>
    <w:rsid w:val="005F2B58"/>
    <w:rsid w:val="005F71F6"/>
    <w:rsid w:val="00603190"/>
    <w:rsid w:val="00616E9C"/>
    <w:rsid w:val="0062335F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50E0"/>
    <w:rsid w:val="0067777E"/>
    <w:rsid w:val="006868FF"/>
    <w:rsid w:val="00686C18"/>
    <w:rsid w:val="00687C8A"/>
    <w:rsid w:val="006969D9"/>
    <w:rsid w:val="0069759C"/>
    <w:rsid w:val="006A3001"/>
    <w:rsid w:val="006A3931"/>
    <w:rsid w:val="006A47CD"/>
    <w:rsid w:val="006A7B4A"/>
    <w:rsid w:val="006B12C2"/>
    <w:rsid w:val="006B4891"/>
    <w:rsid w:val="006B4AA1"/>
    <w:rsid w:val="006D3431"/>
    <w:rsid w:val="006E2581"/>
    <w:rsid w:val="006E56B5"/>
    <w:rsid w:val="006E6865"/>
    <w:rsid w:val="00700AEB"/>
    <w:rsid w:val="0070636B"/>
    <w:rsid w:val="007102DB"/>
    <w:rsid w:val="007116AA"/>
    <w:rsid w:val="0071342B"/>
    <w:rsid w:val="00717FB9"/>
    <w:rsid w:val="00721834"/>
    <w:rsid w:val="0072258B"/>
    <w:rsid w:val="00722E4E"/>
    <w:rsid w:val="0072317B"/>
    <w:rsid w:val="007234CA"/>
    <w:rsid w:val="00737C61"/>
    <w:rsid w:val="00744888"/>
    <w:rsid w:val="00744AC2"/>
    <w:rsid w:val="00746373"/>
    <w:rsid w:val="0075136A"/>
    <w:rsid w:val="007540C9"/>
    <w:rsid w:val="00756A38"/>
    <w:rsid w:val="00763717"/>
    <w:rsid w:val="00770857"/>
    <w:rsid w:val="00772F50"/>
    <w:rsid w:val="00774340"/>
    <w:rsid w:val="00776215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35BE"/>
    <w:rsid w:val="007C3D0E"/>
    <w:rsid w:val="007D2F2B"/>
    <w:rsid w:val="007D5FB1"/>
    <w:rsid w:val="007D6793"/>
    <w:rsid w:val="007D7B98"/>
    <w:rsid w:val="007E0C46"/>
    <w:rsid w:val="007F066B"/>
    <w:rsid w:val="007F7E5F"/>
    <w:rsid w:val="00800342"/>
    <w:rsid w:val="00802413"/>
    <w:rsid w:val="008025DA"/>
    <w:rsid w:val="008028AF"/>
    <w:rsid w:val="00802C82"/>
    <w:rsid w:val="0080382E"/>
    <w:rsid w:val="00807560"/>
    <w:rsid w:val="008101CC"/>
    <w:rsid w:val="008157FB"/>
    <w:rsid w:val="00816C84"/>
    <w:rsid w:val="008172FD"/>
    <w:rsid w:val="008255A9"/>
    <w:rsid w:val="008313C5"/>
    <w:rsid w:val="0083254F"/>
    <w:rsid w:val="0083496B"/>
    <w:rsid w:val="00835FC5"/>
    <w:rsid w:val="00835FCF"/>
    <w:rsid w:val="008378AA"/>
    <w:rsid w:val="008414C8"/>
    <w:rsid w:val="0085089C"/>
    <w:rsid w:val="00852B7B"/>
    <w:rsid w:val="00864DD8"/>
    <w:rsid w:val="00865773"/>
    <w:rsid w:val="00865844"/>
    <w:rsid w:val="00866774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D73C2"/>
    <w:rsid w:val="008E00B4"/>
    <w:rsid w:val="008E38BF"/>
    <w:rsid w:val="008F2EAB"/>
    <w:rsid w:val="008F4A49"/>
    <w:rsid w:val="008F52E7"/>
    <w:rsid w:val="00901FAF"/>
    <w:rsid w:val="0090210C"/>
    <w:rsid w:val="0090251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60F9A"/>
    <w:rsid w:val="00970E01"/>
    <w:rsid w:val="00971120"/>
    <w:rsid w:val="00972517"/>
    <w:rsid w:val="00980930"/>
    <w:rsid w:val="00981666"/>
    <w:rsid w:val="00981EB5"/>
    <w:rsid w:val="00983199"/>
    <w:rsid w:val="009868E8"/>
    <w:rsid w:val="009916CB"/>
    <w:rsid w:val="00995318"/>
    <w:rsid w:val="009A6581"/>
    <w:rsid w:val="009B1626"/>
    <w:rsid w:val="009B49F1"/>
    <w:rsid w:val="009C049E"/>
    <w:rsid w:val="009C04EE"/>
    <w:rsid w:val="009C1C78"/>
    <w:rsid w:val="009D681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159A4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05E1E"/>
    <w:rsid w:val="00B128E6"/>
    <w:rsid w:val="00B16206"/>
    <w:rsid w:val="00B16DD0"/>
    <w:rsid w:val="00B27EAB"/>
    <w:rsid w:val="00B35B04"/>
    <w:rsid w:val="00B42489"/>
    <w:rsid w:val="00B51E51"/>
    <w:rsid w:val="00B6241C"/>
    <w:rsid w:val="00B64CA2"/>
    <w:rsid w:val="00B65687"/>
    <w:rsid w:val="00B66884"/>
    <w:rsid w:val="00B75582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6012"/>
    <w:rsid w:val="00BB6DFB"/>
    <w:rsid w:val="00BB6EAD"/>
    <w:rsid w:val="00BC2CA3"/>
    <w:rsid w:val="00BC5491"/>
    <w:rsid w:val="00BC7C12"/>
    <w:rsid w:val="00BD0127"/>
    <w:rsid w:val="00BE4DC3"/>
    <w:rsid w:val="00BE7779"/>
    <w:rsid w:val="00BF30EA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0E14"/>
    <w:rsid w:val="00C348B6"/>
    <w:rsid w:val="00C36880"/>
    <w:rsid w:val="00C36CEC"/>
    <w:rsid w:val="00C45EB4"/>
    <w:rsid w:val="00C46205"/>
    <w:rsid w:val="00C52970"/>
    <w:rsid w:val="00C556C9"/>
    <w:rsid w:val="00C57323"/>
    <w:rsid w:val="00C57BF1"/>
    <w:rsid w:val="00C67A7D"/>
    <w:rsid w:val="00C67DC8"/>
    <w:rsid w:val="00C70047"/>
    <w:rsid w:val="00C70C41"/>
    <w:rsid w:val="00C71E02"/>
    <w:rsid w:val="00C734BF"/>
    <w:rsid w:val="00C76F27"/>
    <w:rsid w:val="00C820B5"/>
    <w:rsid w:val="00C86F0A"/>
    <w:rsid w:val="00C94AA2"/>
    <w:rsid w:val="00CA0393"/>
    <w:rsid w:val="00CB322E"/>
    <w:rsid w:val="00CB6663"/>
    <w:rsid w:val="00CC0F91"/>
    <w:rsid w:val="00CD3A86"/>
    <w:rsid w:val="00CD7803"/>
    <w:rsid w:val="00CE450A"/>
    <w:rsid w:val="00CE4B2C"/>
    <w:rsid w:val="00D03128"/>
    <w:rsid w:val="00D060BB"/>
    <w:rsid w:val="00D10810"/>
    <w:rsid w:val="00D24FE5"/>
    <w:rsid w:val="00D30013"/>
    <w:rsid w:val="00D3737A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2162"/>
    <w:rsid w:val="00D96461"/>
    <w:rsid w:val="00D96A72"/>
    <w:rsid w:val="00DB421C"/>
    <w:rsid w:val="00DB4364"/>
    <w:rsid w:val="00DB4A5E"/>
    <w:rsid w:val="00DB4D5B"/>
    <w:rsid w:val="00DC36FF"/>
    <w:rsid w:val="00DD483A"/>
    <w:rsid w:val="00DD6902"/>
    <w:rsid w:val="00DE0A0A"/>
    <w:rsid w:val="00DE1AA2"/>
    <w:rsid w:val="00DE2F4C"/>
    <w:rsid w:val="00DE6366"/>
    <w:rsid w:val="00DE71CB"/>
    <w:rsid w:val="00DF09B5"/>
    <w:rsid w:val="00DF76D2"/>
    <w:rsid w:val="00E02457"/>
    <w:rsid w:val="00E03EE7"/>
    <w:rsid w:val="00E04349"/>
    <w:rsid w:val="00E0695E"/>
    <w:rsid w:val="00E13A58"/>
    <w:rsid w:val="00E202B2"/>
    <w:rsid w:val="00E21009"/>
    <w:rsid w:val="00E24216"/>
    <w:rsid w:val="00E247C0"/>
    <w:rsid w:val="00E31B7C"/>
    <w:rsid w:val="00E31E6D"/>
    <w:rsid w:val="00E32A60"/>
    <w:rsid w:val="00E335AE"/>
    <w:rsid w:val="00E33B12"/>
    <w:rsid w:val="00E3467D"/>
    <w:rsid w:val="00E36E2F"/>
    <w:rsid w:val="00E52C21"/>
    <w:rsid w:val="00E564B9"/>
    <w:rsid w:val="00E56B61"/>
    <w:rsid w:val="00E851A7"/>
    <w:rsid w:val="00E86281"/>
    <w:rsid w:val="00E90ED9"/>
    <w:rsid w:val="00E96FFF"/>
    <w:rsid w:val="00E97F05"/>
    <w:rsid w:val="00EA2464"/>
    <w:rsid w:val="00EB25E5"/>
    <w:rsid w:val="00EC0768"/>
    <w:rsid w:val="00EC1E6A"/>
    <w:rsid w:val="00EC4AC1"/>
    <w:rsid w:val="00EC5E8C"/>
    <w:rsid w:val="00EC7882"/>
    <w:rsid w:val="00ED34D3"/>
    <w:rsid w:val="00ED5D39"/>
    <w:rsid w:val="00EF2280"/>
    <w:rsid w:val="00EF34E2"/>
    <w:rsid w:val="00EF7887"/>
    <w:rsid w:val="00F0486B"/>
    <w:rsid w:val="00F075D4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2FEC"/>
    <w:rsid w:val="00F4403C"/>
    <w:rsid w:val="00F45A1B"/>
    <w:rsid w:val="00F57007"/>
    <w:rsid w:val="00F77FA7"/>
    <w:rsid w:val="00F839DE"/>
    <w:rsid w:val="00F83F5E"/>
    <w:rsid w:val="00F84A2E"/>
    <w:rsid w:val="00F94E4A"/>
    <w:rsid w:val="00FB3ED8"/>
    <w:rsid w:val="00FB4FD4"/>
    <w:rsid w:val="00FC3682"/>
    <w:rsid w:val="00FC43A0"/>
    <w:rsid w:val="00FD66BB"/>
    <w:rsid w:val="00FD6891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jlqj4b">
    <w:name w:val="jlqj4b"/>
    <w:basedOn w:val="DefaultParagraphFont"/>
    <w:rsid w:val="00154336"/>
  </w:style>
  <w:style w:type="character" w:customStyle="1" w:styleId="viiyi">
    <w:name w:val="viiyi"/>
    <w:basedOn w:val="DefaultParagraphFont"/>
    <w:rsid w:val="002C0FC7"/>
  </w:style>
  <w:style w:type="character" w:customStyle="1" w:styleId="q4iawc">
    <w:name w:val="q4iawc"/>
    <w:basedOn w:val="DefaultParagraphFont"/>
    <w:rsid w:val="002C0FC7"/>
  </w:style>
  <w:style w:type="paragraph" w:styleId="Revision">
    <w:name w:val="Revision"/>
    <w:hidden/>
    <w:uiPriority w:val="99"/>
    <w:semiHidden/>
    <w:rsid w:val="00021C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DefaultParagraphFont"/>
    <w:rsid w:val="00B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jo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tourbhhb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1C27-A609-4C50-8BED-F1375570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3</cp:revision>
  <cp:lastPrinted>2018-01-26T13:19:00Z</cp:lastPrinted>
  <dcterms:created xsi:type="dcterms:W3CDTF">2026-02-03T12:54:00Z</dcterms:created>
  <dcterms:modified xsi:type="dcterms:W3CDTF">2026-02-03T13:34:00Z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5f53dfcd72d816f2539901fccd0ffa72bdc3465a2eed7aaba1a4391fea914be7</vt:lpwstr>
  </property>
</Properties>
</file>