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29F1" w14:textId="110671D1" w:rsidR="00D52ACE" w:rsidRPr="0038012B" w:rsidRDefault="00D52ACE" w:rsidP="00EF76B0">
      <w:pPr>
        <w:spacing w:after="0" w:line="240" w:lineRule="auto"/>
        <w:rPr>
          <w:color w:val="1F3864" w:themeColor="accent5" w:themeShade="80"/>
          <w:sz w:val="10"/>
          <w:szCs w:val="10"/>
        </w:rPr>
      </w:pPr>
    </w:p>
    <w:tbl>
      <w:tblPr>
        <w:tblStyle w:val="TableGrid"/>
        <w:tblpPr w:leftFromText="141" w:rightFromText="141" w:vertAnchor="text" w:horzAnchor="margin" w:tblpXSpec="center" w:tblpY="47"/>
        <w:tblW w:w="10033" w:type="dxa"/>
        <w:tblLook w:val="04A0" w:firstRow="1" w:lastRow="0" w:firstColumn="1" w:lastColumn="0" w:noHBand="0" w:noVBand="1"/>
      </w:tblPr>
      <w:tblGrid>
        <w:gridCol w:w="2004"/>
        <w:gridCol w:w="8029"/>
      </w:tblGrid>
      <w:tr w:rsidR="0038012B" w:rsidRPr="0038012B" w14:paraId="347DEC78" w14:textId="77777777" w:rsidTr="00E274A2">
        <w:trPr>
          <w:trHeight w:val="416"/>
        </w:trPr>
        <w:tc>
          <w:tcPr>
            <w:tcW w:w="10033" w:type="dxa"/>
            <w:gridSpan w:val="2"/>
            <w:shd w:val="clear" w:color="auto" w:fill="003399"/>
            <w:vAlign w:val="center"/>
          </w:tcPr>
          <w:p w14:paraId="7261FEEE" w14:textId="77777777" w:rsidR="0094743C" w:rsidRPr="0038012B" w:rsidRDefault="0094743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 xml:space="preserve">2nd Restricted Call for Proposals - Full Application Form </w:t>
            </w:r>
          </w:p>
        </w:tc>
      </w:tr>
      <w:tr w:rsidR="0038012B" w:rsidRPr="0038012B" w14:paraId="4A5A9D75" w14:textId="77777777" w:rsidTr="00E274A2">
        <w:trPr>
          <w:trHeight w:hRule="exact" w:val="454"/>
        </w:trPr>
        <w:tc>
          <w:tcPr>
            <w:tcW w:w="2004" w:type="dxa"/>
            <w:shd w:val="clear" w:color="auto" w:fill="E7E6E6" w:themeFill="background2"/>
            <w:vAlign w:val="center"/>
          </w:tcPr>
          <w:p w14:paraId="5DE582BF" w14:textId="77777777" w:rsidR="0094743C" w:rsidRPr="0038012B" w:rsidRDefault="0094743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Project code</w:t>
            </w:r>
          </w:p>
        </w:tc>
        <w:tc>
          <w:tcPr>
            <w:tcW w:w="8029" w:type="dxa"/>
            <w:vAlign w:val="center"/>
          </w:tcPr>
          <w:p w14:paraId="48D5BA58" w14:textId="321B2153" w:rsidR="0094743C" w:rsidRPr="0038012B" w:rsidRDefault="0094743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ROHU-</w:t>
            </w:r>
            <w:r w:rsidR="00325649" w:rsidRPr="0038012B">
              <w:rPr>
                <w:rFonts w:ascii="Open Sans" w:eastAsia="Calibri" w:hAnsi="Open Sans" w:cs="Calibri"/>
                <w:b/>
                <w:color w:val="1F3864" w:themeColor="accent5" w:themeShade="80"/>
                <w:lang w:eastAsia="en-GB"/>
              </w:rPr>
              <w:t>4</w:t>
            </w:r>
            <w:r w:rsidR="006D202C" w:rsidRPr="0038012B">
              <w:rPr>
                <w:rFonts w:ascii="Open Sans" w:eastAsia="Calibri" w:hAnsi="Open Sans" w:cs="Calibri"/>
                <w:b/>
                <w:color w:val="1F3864" w:themeColor="accent5" w:themeShade="80"/>
                <w:lang w:eastAsia="en-GB"/>
              </w:rPr>
              <w:t>43</w:t>
            </w:r>
            <w:r w:rsidRPr="0038012B">
              <w:rPr>
                <w:rFonts w:ascii="Open Sans" w:eastAsia="Calibri" w:hAnsi="Open Sans" w:cs="Calibri"/>
                <w:b/>
                <w:color w:val="1F3864" w:themeColor="accent5" w:themeShade="80"/>
                <w:lang w:eastAsia="en-GB"/>
              </w:rPr>
              <w:t xml:space="preserve"> FAF</w:t>
            </w:r>
          </w:p>
        </w:tc>
      </w:tr>
      <w:tr w:rsidR="0038012B" w:rsidRPr="0038012B" w14:paraId="7BD7E31A" w14:textId="77777777" w:rsidTr="00E274A2">
        <w:trPr>
          <w:trHeight w:hRule="exact" w:val="970"/>
        </w:trPr>
        <w:tc>
          <w:tcPr>
            <w:tcW w:w="2004" w:type="dxa"/>
            <w:shd w:val="clear" w:color="auto" w:fill="E7E6E6" w:themeFill="background2"/>
            <w:vAlign w:val="center"/>
          </w:tcPr>
          <w:p w14:paraId="11576307" w14:textId="77777777" w:rsidR="0094743C" w:rsidRPr="0038012B" w:rsidRDefault="0094743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Project Title</w:t>
            </w:r>
          </w:p>
        </w:tc>
        <w:tc>
          <w:tcPr>
            <w:tcW w:w="8029" w:type="dxa"/>
            <w:vAlign w:val="center"/>
          </w:tcPr>
          <w:p w14:paraId="607ECEFE" w14:textId="6401C33B" w:rsidR="0094743C" w:rsidRPr="0038012B" w:rsidRDefault="006D202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BABYROHU</w:t>
            </w:r>
            <w:r w:rsidR="0094743C" w:rsidRPr="0038012B">
              <w:rPr>
                <w:rFonts w:ascii="Open Sans" w:eastAsia="Calibri" w:hAnsi="Open Sans" w:cs="Calibri"/>
                <w:b/>
                <w:color w:val="1F3864" w:themeColor="accent5" w:themeShade="80"/>
                <w:lang w:eastAsia="en-GB"/>
              </w:rPr>
              <w:t xml:space="preserve"> -</w:t>
            </w:r>
            <w:r w:rsidR="00325649" w:rsidRPr="0038012B">
              <w:rPr>
                <w:rFonts w:ascii="Open Sans" w:eastAsia="Calibri" w:hAnsi="Open Sans" w:cs="Calibri"/>
                <w:b/>
                <w:color w:val="1F3864" w:themeColor="accent5" w:themeShade="80"/>
                <w:lang w:eastAsia="en-GB"/>
              </w:rPr>
              <w:t xml:space="preserve"> </w:t>
            </w:r>
            <w:r w:rsidRPr="0038012B">
              <w:rPr>
                <w:rFonts w:ascii="Open Sans" w:eastAsia="Calibri" w:hAnsi="Open Sans" w:cs="Calibri"/>
                <w:bCs/>
                <w:color w:val="1F3864" w:themeColor="accent5" w:themeShade="80"/>
                <w:lang w:eastAsia="en-GB"/>
              </w:rPr>
              <w:t xml:space="preserve">Babies across borders – connecting health services in the field of obstetrics-gynaecology and neonatal care between Emergency Clinical County Hospital Pius </w:t>
            </w:r>
            <w:proofErr w:type="spellStart"/>
            <w:r w:rsidRPr="0038012B">
              <w:rPr>
                <w:rFonts w:ascii="Open Sans" w:eastAsia="Calibri" w:hAnsi="Open Sans" w:cs="Calibri"/>
                <w:bCs/>
                <w:color w:val="1F3864" w:themeColor="accent5" w:themeShade="80"/>
                <w:lang w:eastAsia="en-GB"/>
              </w:rPr>
              <w:t>Brînzeu</w:t>
            </w:r>
            <w:proofErr w:type="spellEnd"/>
            <w:r w:rsidRPr="0038012B">
              <w:rPr>
                <w:rFonts w:ascii="Open Sans" w:eastAsia="Calibri" w:hAnsi="Open Sans" w:cs="Calibri"/>
                <w:bCs/>
                <w:color w:val="1F3864" w:themeColor="accent5" w:themeShade="80"/>
                <w:lang w:eastAsia="en-GB"/>
              </w:rPr>
              <w:t xml:space="preserve"> </w:t>
            </w:r>
            <w:proofErr w:type="spellStart"/>
            <w:r w:rsidRPr="0038012B">
              <w:rPr>
                <w:rFonts w:ascii="Open Sans" w:eastAsia="Calibri" w:hAnsi="Open Sans" w:cs="Calibri"/>
                <w:bCs/>
                <w:color w:val="1F3864" w:themeColor="accent5" w:themeShade="80"/>
                <w:lang w:eastAsia="en-GB"/>
              </w:rPr>
              <w:t>Timișoara</w:t>
            </w:r>
            <w:proofErr w:type="spellEnd"/>
            <w:r w:rsidRPr="0038012B">
              <w:rPr>
                <w:rFonts w:ascii="Open Sans" w:eastAsia="Calibri" w:hAnsi="Open Sans" w:cs="Calibri"/>
                <w:bCs/>
                <w:color w:val="1F3864" w:themeColor="accent5" w:themeShade="80"/>
                <w:lang w:eastAsia="en-GB"/>
              </w:rPr>
              <w:t xml:space="preserve"> and the </w:t>
            </w:r>
            <w:proofErr w:type="spellStart"/>
            <w:r w:rsidRPr="0038012B">
              <w:rPr>
                <w:rFonts w:ascii="Open Sans" w:eastAsia="Calibri" w:hAnsi="Open Sans" w:cs="Calibri"/>
                <w:bCs/>
                <w:color w:val="1F3864" w:themeColor="accent5" w:themeShade="80"/>
                <w:lang w:eastAsia="en-GB"/>
              </w:rPr>
              <w:t>Pediatric</w:t>
            </w:r>
            <w:proofErr w:type="spellEnd"/>
            <w:r w:rsidRPr="0038012B">
              <w:rPr>
                <w:rFonts w:ascii="Open Sans" w:eastAsia="Calibri" w:hAnsi="Open Sans" w:cs="Calibri"/>
                <w:bCs/>
                <w:color w:val="1F3864" w:themeColor="accent5" w:themeShade="80"/>
                <w:lang w:eastAsia="en-GB"/>
              </w:rPr>
              <w:t xml:space="preserve"> Clinic of Szeged</w:t>
            </w:r>
          </w:p>
        </w:tc>
      </w:tr>
      <w:tr w:rsidR="0038012B" w:rsidRPr="0038012B" w14:paraId="079AD2BC" w14:textId="77777777" w:rsidTr="00E274A2">
        <w:trPr>
          <w:trHeight w:val="410"/>
        </w:trPr>
        <w:tc>
          <w:tcPr>
            <w:tcW w:w="2004" w:type="dxa"/>
            <w:shd w:val="clear" w:color="auto" w:fill="E7E6E6" w:themeFill="background2"/>
            <w:vAlign w:val="center"/>
          </w:tcPr>
          <w:p w14:paraId="24304DD0" w14:textId="77777777" w:rsidR="0094743C" w:rsidRPr="0038012B" w:rsidRDefault="0094743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Priority Axis</w:t>
            </w:r>
          </w:p>
        </w:tc>
        <w:tc>
          <w:tcPr>
            <w:tcW w:w="8029" w:type="dxa"/>
            <w:vAlign w:val="center"/>
          </w:tcPr>
          <w:p w14:paraId="6C25F7A8" w14:textId="77777777" w:rsidR="0094743C" w:rsidRPr="0038012B" w:rsidRDefault="0094743C"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4 – Improving health care services (Cooperating on health care and prevention)</w:t>
            </w:r>
          </w:p>
        </w:tc>
      </w:tr>
      <w:tr w:rsidR="0038012B" w:rsidRPr="0038012B" w14:paraId="0888BA95" w14:textId="77777777" w:rsidTr="00E274A2">
        <w:trPr>
          <w:trHeight w:val="1409"/>
        </w:trPr>
        <w:tc>
          <w:tcPr>
            <w:tcW w:w="2004" w:type="dxa"/>
            <w:shd w:val="clear" w:color="auto" w:fill="E7E6E6" w:themeFill="background2"/>
            <w:vAlign w:val="center"/>
          </w:tcPr>
          <w:p w14:paraId="59931C96" w14:textId="77777777" w:rsidR="0094743C" w:rsidRPr="0038012B" w:rsidRDefault="0094743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Investment priority</w:t>
            </w:r>
          </w:p>
        </w:tc>
        <w:tc>
          <w:tcPr>
            <w:tcW w:w="8029" w:type="dxa"/>
            <w:vAlign w:val="center"/>
          </w:tcPr>
          <w:p w14:paraId="7BBC795C" w14:textId="77777777" w:rsidR="0094743C" w:rsidRPr="0038012B" w:rsidRDefault="0094743C"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9/a – Investment in health and social infrastructure which contributes to national, regional and local development, reducing inequalities in terms of health status, promoting social inclusion through improved access to social, cultural and recreational services and the transition from institutional to community-based services.</w:t>
            </w:r>
          </w:p>
        </w:tc>
      </w:tr>
      <w:tr w:rsidR="0038012B" w:rsidRPr="0038012B" w14:paraId="2FD373AB" w14:textId="77777777" w:rsidTr="00E274A2">
        <w:trPr>
          <w:trHeight w:val="438"/>
        </w:trPr>
        <w:tc>
          <w:tcPr>
            <w:tcW w:w="2004" w:type="dxa"/>
            <w:shd w:val="clear" w:color="auto" w:fill="E7E6E6" w:themeFill="background2"/>
            <w:vAlign w:val="center"/>
          </w:tcPr>
          <w:p w14:paraId="006A98DC" w14:textId="77777777" w:rsidR="0094743C" w:rsidRPr="0038012B" w:rsidRDefault="0094743C"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Implementation period</w:t>
            </w:r>
          </w:p>
        </w:tc>
        <w:tc>
          <w:tcPr>
            <w:tcW w:w="8029" w:type="dxa"/>
            <w:vAlign w:val="center"/>
          </w:tcPr>
          <w:p w14:paraId="7E0E689B" w14:textId="77777777" w:rsidR="0094743C" w:rsidRPr="0038012B" w:rsidRDefault="00331D77"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57</w:t>
            </w:r>
            <w:r w:rsidR="0094743C" w:rsidRPr="0038012B">
              <w:rPr>
                <w:rFonts w:ascii="Open Sans" w:eastAsia="Calibri" w:hAnsi="Open Sans" w:cs="Calibri"/>
                <w:bCs/>
                <w:color w:val="1F3864" w:themeColor="accent5" w:themeShade="80"/>
                <w:lang w:eastAsia="en-GB"/>
              </w:rPr>
              <w:t xml:space="preserve"> months (</w:t>
            </w:r>
            <w:r w:rsidR="006D202C" w:rsidRPr="0038012B">
              <w:rPr>
                <w:rFonts w:ascii="Open Sans" w:eastAsia="Calibri" w:hAnsi="Open Sans" w:cs="Calibri"/>
                <w:bCs/>
                <w:color w:val="1F3864" w:themeColor="accent5" w:themeShade="80"/>
                <w:lang w:eastAsia="en-GB"/>
              </w:rPr>
              <w:t>December</w:t>
            </w:r>
            <w:r w:rsidR="0094743C" w:rsidRPr="0038012B">
              <w:rPr>
                <w:rFonts w:ascii="Open Sans" w:eastAsia="Calibri" w:hAnsi="Open Sans" w:cs="Calibri"/>
                <w:bCs/>
                <w:color w:val="1F3864" w:themeColor="accent5" w:themeShade="80"/>
                <w:lang w:eastAsia="en-GB"/>
              </w:rPr>
              <w:t xml:space="preserve"> 01, 20</w:t>
            </w:r>
            <w:r w:rsidR="00325649" w:rsidRPr="0038012B">
              <w:rPr>
                <w:rFonts w:ascii="Open Sans" w:eastAsia="Calibri" w:hAnsi="Open Sans" w:cs="Calibri"/>
                <w:bCs/>
                <w:color w:val="1F3864" w:themeColor="accent5" w:themeShade="80"/>
                <w:lang w:eastAsia="en-GB"/>
              </w:rPr>
              <w:t>19</w:t>
            </w:r>
            <w:r w:rsidR="0094743C" w:rsidRPr="0038012B">
              <w:rPr>
                <w:rFonts w:ascii="Open Sans" w:eastAsia="Calibri" w:hAnsi="Open Sans" w:cs="Calibri"/>
                <w:bCs/>
                <w:color w:val="1F3864" w:themeColor="accent5" w:themeShade="80"/>
                <w:lang w:eastAsia="en-GB"/>
              </w:rPr>
              <w:t xml:space="preserve"> – </w:t>
            </w:r>
            <w:r w:rsidRPr="0038012B">
              <w:rPr>
                <w:rFonts w:ascii="Open Sans" w:eastAsia="Calibri" w:hAnsi="Open Sans" w:cs="Calibri"/>
                <w:bCs/>
                <w:color w:val="1F3864" w:themeColor="accent5" w:themeShade="80"/>
                <w:lang w:eastAsia="en-GB"/>
              </w:rPr>
              <w:t>August</w:t>
            </w:r>
            <w:r w:rsidR="008766AF" w:rsidRPr="0038012B">
              <w:rPr>
                <w:rFonts w:ascii="Open Sans" w:eastAsia="Calibri" w:hAnsi="Open Sans" w:cs="Calibri"/>
                <w:bCs/>
                <w:color w:val="1F3864" w:themeColor="accent5" w:themeShade="80"/>
                <w:lang w:eastAsia="en-GB"/>
              </w:rPr>
              <w:t xml:space="preserve"> </w:t>
            </w:r>
            <w:r w:rsidR="00BC29BD" w:rsidRPr="0038012B">
              <w:rPr>
                <w:rFonts w:ascii="Open Sans" w:eastAsia="Calibri" w:hAnsi="Open Sans" w:cs="Calibri"/>
                <w:bCs/>
                <w:color w:val="1F3864" w:themeColor="accent5" w:themeShade="80"/>
                <w:lang w:eastAsia="en-GB"/>
              </w:rPr>
              <w:t>3</w:t>
            </w:r>
            <w:r w:rsidR="006E138D" w:rsidRPr="0038012B">
              <w:rPr>
                <w:rFonts w:ascii="Open Sans" w:eastAsia="Calibri" w:hAnsi="Open Sans" w:cs="Calibri"/>
                <w:bCs/>
                <w:color w:val="1F3864" w:themeColor="accent5" w:themeShade="80"/>
                <w:lang w:eastAsia="en-GB"/>
              </w:rPr>
              <w:t>1</w:t>
            </w:r>
            <w:r w:rsidR="0094743C" w:rsidRPr="0038012B">
              <w:rPr>
                <w:rFonts w:ascii="Open Sans" w:eastAsia="Calibri" w:hAnsi="Open Sans" w:cs="Calibri"/>
                <w:bCs/>
                <w:color w:val="1F3864" w:themeColor="accent5" w:themeShade="80"/>
                <w:lang w:eastAsia="en-GB"/>
              </w:rPr>
              <w:t>, 202</w:t>
            </w:r>
            <w:r w:rsidRPr="0038012B">
              <w:rPr>
                <w:rFonts w:ascii="Open Sans" w:eastAsia="Calibri" w:hAnsi="Open Sans" w:cs="Calibri"/>
                <w:bCs/>
                <w:color w:val="1F3864" w:themeColor="accent5" w:themeShade="80"/>
                <w:lang w:eastAsia="en-GB"/>
              </w:rPr>
              <w:t>4</w:t>
            </w:r>
            <w:r w:rsidR="0094743C" w:rsidRPr="0038012B">
              <w:rPr>
                <w:rFonts w:ascii="Open Sans" w:eastAsia="Calibri" w:hAnsi="Open Sans" w:cs="Calibri"/>
                <w:bCs/>
                <w:color w:val="1F3864" w:themeColor="accent5" w:themeShade="80"/>
                <w:lang w:eastAsia="en-GB"/>
              </w:rPr>
              <w:t>)</w:t>
            </w:r>
          </w:p>
          <w:p w14:paraId="1476E247" w14:textId="79E5AF18" w:rsidR="00331D77" w:rsidRPr="0038012B" w:rsidRDefault="00AC3BD5"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hAnsi="Open Sans" w:cs="Calibri"/>
                <w:color w:val="1F3864" w:themeColor="accent5" w:themeShade="80"/>
                <w:lang w:eastAsia="en-GB"/>
              </w:rPr>
              <w:t>The project was classified as non-finalised according to CM decision No. 271/05.12.2023. The project was not physically completed by 31.12.2023; therefore, the beneficiaries assumed the responsibility and achieved the indicators and objectives, using their resources,</w:t>
            </w:r>
            <w:r w:rsidR="00331D77" w:rsidRPr="0038012B">
              <w:rPr>
                <w:rFonts w:ascii="Open Sans" w:eastAsia="Calibri" w:hAnsi="Open Sans" w:cs="Calibri"/>
                <w:bCs/>
                <w:color w:val="1F3864" w:themeColor="accent5" w:themeShade="80"/>
                <w:lang w:eastAsia="en-GB"/>
              </w:rPr>
              <w:t xml:space="preserve"> by 31.08.2024.</w:t>
            </w:r>
          </w:p>
        </w:tc>
      </w:tr>
      <w:tr w:rsidR="0038012B" w:rsidRPr="0038012B" w14:paraId="10F69208" w14:textId="77777777" w:rsidTr="00E274A2">
        <w:trPr>
          <w:trHeight w:val="438"/>
        </w:trPr>
        <w:tc>
          <w:tcPr>
            <w:tcW w:w="2004" w:type="dxa"/>
            <w:shd w:val="clear" w:color="auto" w:fill="E7E6E6" w:themeFill="background2"/>
            <w:vAlign w:val="center"/>
          </w:tcPr>
          <w:p w14:paraId="749F37B5" w14:textId="42D53A8F"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Objective</w:t>
            </w:r>
          </w:p>
        </w:tc>
        <w:tc>
          <w:tcPr>
            <w:tcW w:w="8029" w:type="dxa"/>
            <w:vAlign w:val="center"/>
          </w:tcPr>
          <w:p w14:paraId="1B290D79" w14:textId="2C819D0E"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 xml:space="preserve">The project aimed to improve prevention and health-care services in the obstetrics-gynaecology and neonatology field in the Hungarian-Romanian cross-border area through a strategic approach, by investing in medical infrastructure and purchasing medical equipment. </w:t>
            </w:r>
            <w:r w:rsidR="00AC3BD5" w:rsidRPr="0038012B">
              <w:rPr>
                <w:rFonts w:ascii="Open Sans" w:eastAsia="Calibri" w:hAnsi="Open Sans" w:cs="Calibri"/>
                <w:bCs/>
                <w:color w:val="1F3864" w:themeColor="accent5" w:themeShade="80"/>
                <w:lang w:eastAsia="en-GB"/>
              </w:rPr>
              <w:t xml:space="preserve">In order </w:t>
            </w:r>
            <w:r w:rsidRPr="0038012B">
              <w:rPr>
                <w:rFonts w:ascii="Open Sans" w:eastAsia="Calibri" w:hAnsi="Open Sans" w:cs="Calibri"/>
                <w:bCs/>
                <w:color w:val="1F3864" w:themeColor="accent5" w:themeShade="80"/>
                <w:lang w:eastAsia="en-GB"/>
              </w:rPr>
              <w:t xml:space="preserve">to reduce health inequalities among the population, </w:t>
            </w:r>
            <w:r w:rsidR="00AC3BD5" w:rsidRPr="0038012B">
              <w:rPr>
                <w:rFonts w:ascii="Open Sans" w:eastAsia="Calibri" w:hAnsi="Open Sans" w:cs="Calibri"/>
                <w:bCs/>
                <w:color w:val="1F3864" w:themeColor="accent5" w:themeShade="80"/>
                <w:lang w:eastAsia="en-GB"/>
              </w:rPr>
              <w:t xml:space="preserve">the project also focused on implementing </w:t>
            </w:r>
            <w:r w:rsidRPr="0038012B">
              <w:rPr>
                <w:rFonts w:ascii="Open Sans" w:eastAsia="Calibri" w:hAnsi="Open Sans" w:cs="Calibri"/>
                <w:bCs/>
                <w:color w:val="1F3864" w:themeColor="accent5" w:themeShade="80"/>
                <w:lang w:eastAsia="en-GB"/>
              </w:rPr>
              <w:t>soft activities</w:t>
            </w:r>
            <w:r w:rsidR="00AC3BD5" w:rsidRPr="0038012B">
              <w:rPr>
                <w:rFonts w:ascii="Open Sans" w:eastAsia="Calibri" w:hAnsi="Open Sans" w:cs="Calibri"/>
                <w:bCs/>
                <w:color w:val="1F3864" w:themeColor="accent5" w:themeShade="80"/>
                <w:lang w:eastAsia="en-GB"/>
              </w:rPr>
              <w:t xml:space="preserve"> </w:t>
            </w:r>
            <w:r w:rsidRPr="0038012B">
              <w:rPr>
                <w:rFonts w:ascii="Open Sans" w:eastAsia="Calibri" w:hAnsi="Open Sans" w:cs="Calibri"/>
                <w:bCs/>
                <w:color w:val="1F3864" w:themeColor="accent5" w:themeShade="80"/>
                <w:lang w:eastAsia="en-GB"/>
              </w:rPr>
              <w:t xml:space="preserve">and </w:t>
            </w:r>
            <w:r w:rsidR="00AC3BD5" w:rsidRPr="0038012B">
              <w:rPr>
                <w:rFonts w:ascii="Open Sans" w:eastAsia="Calibri" w:hAnsi="Open Sans" w:cs="Calibri"/>
                <w:bCs/>
                <w:color w:val="1F3864" w:themeColor="accent5" w:themeShade="80"/>
                <w:lang w:eastAsia="en-GB"/>
              </w:rPr>
              <w:t xml:space="preserve">exchanges of </w:t>
            </w:r>
            <w:r w:rsidRPr="0038012B">
              <w:rPr>
                <w:rFonts w:ascii="Open Sans" w:eastAsia="Calibri" w:hAnsi="Open Sans" w:cs="Calibri"/>
                <w:bCs/>
                <w:color w:val="1F3864" w:themeColor="accent5" w:themeShade="80"/>
                <w:lang w:eastAsia="en-GB"/>
              </w:rPr>
              <w:t>know-how.</w:t>
            </w:r>
          </w:p>
        </w:tc>
      </w:tr>
      <w:tr w:rsidR="0038012B" w:rsidRPr="0038012B" w14:paraId="05E9732C" w14:textId="77777777" w:rsidTr="00E274A2">
        <w:trPr>
          <w:trHeight w:val="371"/>
        </w:trPr>
        <w:tc>
          <w:tcPr>
            <w:tcW w:w="2004" w:type="dxa"/>
            <w:vMerge w:val="restart"/>
            <w:shd w:val="clear" w:color="auto" w:fill="E7E6E6" w:themeFill="background2"/>
            <w:vAlign w:val="center"/>
          </w:tcPr>
          <w:p w14:paraId="5E093D1A"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Partnership</w:t>
            </w:r>
          </w:p>
        </w:tc>
        <w:tc>
          <w:tcPr>
            <w:tcW w:w="8029" w:type="dxa"/>
            <w:vAlign w:val="center"/>
          </w:tcPr>
          <w:p w14:paraId="6C6CA765" w14:textId="77777777" w:rsidR="007F289D"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hAnsi="Open Sans" w:cs="Calibri"/>
                <w:b/>
                <w:bCs/>
                <w:color w:val="1F3864" w:themeColor="accent5" w:themeShade="80"/>
                <w:lang w:eastAsia="en-GB"/>
              </w:rPr>
              <w:t>Lead Beneficiary</w:t>
            </w:r>
            <w:r w:rsidRPr="0038012B">
              <w:rPr>
                <w:rFonts w:ascii="Open Sans" w:eastAsia="Calibri" w:hAnsi="Open Sans" w:cs="Calibri"/>
                <w:b/>
                <w:color w:val="1F3864" w:themeColor="accent5" w:themeShade="80"/>
                <w:lang w:eastAsia="en-GB"/>
              </w:rPr>
              <w:t xml:space="preserve">: </w:t>
            </w:r>
          </w:p>
          <w:p w14:paraId="2A8D32FA" w14:textId="1FFDF354"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Timiș County (Romania)</w:t>
            </w:r>
          </w:p>
        </w:tc>
      </w:tr>
      <w:tr w:rsidR="0038012B" w:rsidRPr="0038012B" w14:paraId="6F4600FC" w14:textId="77777777" w:rsidTr="00E274A2">
        <w:trPr>
          <w:trHeight w:val="1260"/>
        </w:trPr>
        <w:tc>
          <w:tcPr>
            <w:tcW w:w="2004" w:type="dxa"/>
            <w:vMerge/>
            <w:shd w:val="clear" w:color="auto" w:fill="E7E6E6" w:themeFill="background2"/>
            <w:vAlign w:val="center"/>
          </w:tcPr>
          <w:p w14:paraId="675589A0"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tc>
        <w:tc>
          <w:tcPr>
            <w:tcW w:w="8029" w:type="dxa"/>
            <w:vAlign w:val="center"/>
          </w:tcPr>
          <w:p w14:paraId="2EE4A8D7" w14:textId="77777777" w:rsidR="00E274A2" w:rsidRPr="0038012B" w:rsidRDefault="00E274A2" w:rsidP="00E274A2">
            <w:pPr>
              <w:spacing w:after="120"/>
              <w:jc w:val="both"/>
              <w:rPr>
                <w:rFonts w:ascii="Open Sans" w:hAnsi="Open Sans"/>
                <w:b/>
                <w:bCs/>
                <w:color w:val="1F3864" w:themeColor="accent5" w:themeShade="80"/>
              </w:rPr>
            </w:pPr>
            <w:r w:rsidRPr="0038012B">
              <w:rPr>
                <w:rFonts w:ascii="Open Sans" w:hAnsi="Open Sans" w:cs="Calibri"/>
                <w:b/>
                <w:bCs/>
                <w:color w:val="1F3864" w:themeColor="accent5" w:themeShade="80"/>
                <w:lang w:eastAsia="en-GB"/>
              </w:rPr>
              <w:t>Project Partners</w:t>
            </w:r>
            <w:r w:rsidRPr="0038012B">
              <w:rPr>
                <w:rFonts w:ascii="Open Sans" w:hAnsi="Open Sans"/>
                <w:b/>
                <w:bCs/>
                <w:color w:val="1F3864" w:themeColor="accent5" w:themeShade="80"/>
              </w:rPr>
              <w:t xml:space="preserve">: </w:t>
            </w:r>
          </w:p>
          <w:p w14:paraId="7FE4A6A1" w14:textId="77777777"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PP2: University Of Szeged (Hungary)</w:t>
            </w:r>
          </w:p>
          <w:p w14:paraId="578DA028"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Cs/>
                <w:color w:val="1F3864" w:themeColor="accent5" w:themeShade="80"/>
                <w:lang w:eastAsia="en-GB"/>
              </w:rPr>
              <w:t xml:space="preserve">PP3: Emergency Clinical County Hospital "Pius Brînzeu" </w:t>
            </w:r>
            <w:proofErr w:type="spellStart"/>
            <w:r w:rsidRPr="0038012B">
              <w:rPr>
                <w:rFonts w:ascii="Open Sans" w:eastAsia="Calibri" w:hAnsi="Open Sans" w:cs="Calibri"/>
                <w:bCs/>
                <w:color w:val="1F3864" w:themeColor="accent5" w:themeShade="80"/>
                <w:lang w:eastAsia="en-GB"/>
              </w:rPr>
              <w:t>Timișoara</w:t>
            </w:r>
            <w:proofErr w:type="spellEnd"/>
            <w:r w:rsidRPr="0038012B">
              <w:rPr>
                <w:rFonts w:ascii="Open Sans" w:eastAsia="Calibri" w:hAnsi="Open Sans" w:cs="Calibri"/>
                <w:bCs/>
                <w:color w:val="1F3864" w:themeColor="accent5" w:themeShade="80"/>
                <w:lang w:eastAsia="en-GB"/>
              </w:rPr>
              <w:t xml:space="preserve"> (Romania)</w:t>
            </w:r>
            <w:r w:rsidRPr="0038012B">
              <w:rPr>
                <w:rFonts w:ascii="Open Sans" w:eastAsia="Calibri" w:hAnsi="Open Sans" w:cs="Calibri"/>
                <w:b/>
                <w:color w:val="1F3864" w:themeColor="accent5" w:themeShade="80"/>
                <w:lang w:eastAsia="en-GB"/>
              </w:rPr>
              <w:t xml:space="preserve"> </w:t>
            </w:r>
          </w:p>
        </w:tc>
      </w:tr>
      <w:tr w:rsidR="0038012B" w:rsidRPr="0038012B" w14:paraId="7651D7F5" w14:textId="77777777" w:rsidTr="00E274A2">
        <w:trPr>
          <w:trHeight w:val="982"/>
        </w:trPr>
        <w:tc>
          <w:tcPr>
            <w:tcW w:w="2004" w:type="dxa"/>
            <w:shd w:val="clear" w:color="auto" w:fill="E7E6E6" w:themeFill="background2"/>
            <w:vAlign w:val="center"/>
          </w:tcPr>
          <w:p w14:paraId="67F403FF" w14:textId="37CE73BA"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hAnsi="Open Sans" w:cs="Calibri"/>
                <w:b/>
                <w:color w:val="1F3864" w:themeColor="accent5" w:themeShade="80"/>
                <w:lang w:eastAsia="en-GB"/>
              </w:rPr>
              <w:t xml:space="preserve">TOTAL </w:t>
            </w:r>
            <w:r w:rsidRPr="0038012B">
              <w:rPr>
                <w:rFonts w:ascii="Open Sans" w:eastAsia="Calibri" w:hAnsi="Open Sans" w:cs="Calibri"/>
                <w:b/>
                <w:color w:val="1F3864" w:themeColor="accent5" w:themeShade="80"/>
                <w:lang w:eastAsia="en-GB"/>
              </w:rPr>
              <w:t>budget</w:t>
            </w:r>
          </w:p>
        </w:tc>
        <w:tc>
          <w:tcPr>
            <w:tcW w:w="8029" w:type="dxa"/>
            <w:vAlign w:val="center"/>
          </w:tcPr>
          <w:p w14:paraId="174A4380" w14:textId="6EB1C45D"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€ 13,831,612.90 out of which EDRF € 11,756,870.95</w:t>
            </w:r>
          </w:p>
          <w:p w14:paraId="042E15F2" w14:textId="3DD08765"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Total eligible expenditure certified within the project: € 13,820,974.43</w:t>
            </w:r>
          </w:p>
          <w:p w14:paraId="44FB434E" w14:textId="38C65528" w:rsidR="00E274A2" w:rsidRPr="0038012B" w:rsidRDefault="00E274A2" w:rsidP="00E274A2">
            <w:pPr>
              <w:spacing w:after="120" w:line="257" w:lineRule="auto"/>
              <w:jc w:val="both"/>
              <w:rPr>
                <w:rFonts w:ascii="Open Sans" w:eastAsia="Calibri" w:hAnsi="Open Sans" w:cs="Calibri"/>
                <w:b/>
                <w:i/>
                <w:iCs/>
                <w:color w:val="1F3864" w:themeColor="accent5" w:themeShade="80"/>
                <w:lang w:eastAsia="en-GB"/>
              </w:rPr>
            </w:pPr>
            <w:r w:rsidRPr="0038012B">
              <w:rPr>
                <w:rFonts w:ascii="Open Sans" w:eastAsia="Calibri" w:hAnsi="Open Sans" w:cs="Calibri"/>
                <w:b/>
                <w:i/>
                <w:iCs/>
                <w:color w:val="1F3864" w:themeColor="accent5" w:themeShade="80"/>
                <w:lang w:eastAsia="en-GB"/>
              </w:rPr>
              <w:t>Budget execution: 99.92%</w:t>
            </w:r>
          </w:p>
        </w:tc>
      </w:tr>
      <w:tr w:rsidR="0038012B" w:rsidRPr="0038012B" w14:paraId="4AD3430F" w14:textId="77777777" w:rsidTr="00E274A2">
        <w:tc>
          <w:tcPr>
            <w:tcW w:w="2004" w:type="dxa"/>
            <w:shd w:val="clear" w:color="auto" w:fill="E7E6E6" w:themeFill="background2"/>
            <w:vAlign w:val="center"/>
          </w:tcPr>
          <w:p w14:paraId="51FD13B2"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38FB4C78"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7FD29295"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73358F44"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10545B62"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064CB658"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29D59E8E"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630C92B9" w14:textId="2DBC3F50"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Summary</w:t>
            </w:r>
          </w:p>
          <w:p w14:paraId="7BC4CA51"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5BEC39EC"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3FDF983C"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51F58FB0"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2132151B"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2126E485"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2D158161"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05BDC004"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p w14:paraId="6F9EB0E5" w14:textId="0254910F"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p>
        </w:tc>
        <w:tc>
          <w:tcPr>
            <w:tcW w:w="8029" w:type="dxa"/>
            <w:vAlign w:val="center"/>
          </w:tcPr>
          <w:p w14:paraId="3F916D42" w14:textId="77777777"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lastRenderedPageBreak/>
              <w:t>Common territorial challenges on the Romanian-Hungarian cross-border are:</w:t>
            </w:r>
          </w:p>
          <w:p w14:paraId="153903AB" w14:textId="05C01A37" w:rsidR="00E274A2" w:rsidRPr="0038012B" w:rsidRDefault="00E274A2" w:rsidP="00E274A2">
            <w:pPr>
              <w:pStyle w:val="ListParagraph"/>
              <w:numPr>
                <w:ilvl w:val="0"/>
                <w:numId w:val="10"/>
              </w:num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reduced healthcare spending (under the EU average of 8.5%) in both countries;</w:t>
            </w:r>
          </w:p>
          <w:p w14:paraId="277314B6" w14:textId="4CAE3858" w:rsidR="00E274A2" w:rsidRPr="0038012B" w:rsidRDefault="00E274A2" w:rsidP="00E274A2">
            <w:pPr>
              <w:pStyle w:val="ListParagraph"/>
              <w:numPr>
                <w:ilvl w:val="0"/>
                <w:numId w:val="10"/>
              </w:num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 xml:space="preserve">obsolete medical equipment, old and improper buildings; </w:t>
            </w:r>
          </w:p>
          <w:p w14:paraId="46023C42" w14:textId="15451B11" w:rsidR="00E274A2" w:rsidRPr="0038012B" w:rsidRDefault="00E274A2" w:rsidP="00E274A2">
            <w:pPr>
              <w:pStyle w:val="ListParagraph"/>
              <w:numPr>
                <w:ilvl w:val="0"/>
                <w:numId w:val="10"/>
              </w:num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lastRenderedPageBreak/>
              <w:t>lack of interconnected emergency response service;</w:t>
            </w:r>
          </w:p>
          <w:p w14:paraId="400618AF" w14:textId="0D8A97B9" w:rsidR="00E274A2" w:rsidRPr="0038012B" w:rsidRDefault="00E274A2" w:rsidP="00E274A2">
            <w:pPr>
              <w:pStyle w:val="ListParagraph"/>
              <w:numPr>
                <w:ilvl w:val="0"/>
                <w:numId w:val="10"/>
              </w:num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 xml:space="preserve">discrepancies between the quality of healthcare services from Hungary and Romania, resulting in </w:t>
            </w:r>
            <w:r w:rsidR="00AC3BD5" w:rsidRPr="0038012B">
              <w:rPr>
                <w:rFonts w:ascii="Open Sans" w:eastAsia="Calibri" w:hAnsi="Open Sans" w:cs="Calibri"/>
                <w:bCs/>
                <w:color w:val="1F3864" w:themeColor="accent5" w:themeShade="80"/>
                <w:lang w:eastAsia="en-GB"/>
              </w:rPr>
              <w:t>healthcare</w:t>
            </w:r>
            <w:r w:rsidRPr="0038012B">
              <w:rPr>
                <w:rFonts w:ascii="Open Sans" w:eastAsia="Calibri" w:hAnsi="Open Sans" w:cs="Calibri"/>
                <w:bCs/>
                <w:color w:val="1F3864" w:themeColor="accent5" w:themeShade="80"/>
                <w:lang w:eastAsia="en-GB"/>
              </w:rPr>
              <w:t xml:space="preserve"> migration.</w:t>
            </w:r>
          </w:p>
          <w:p w14:paraId="0F48F831" w14:textId="77777777" w:rsidR="00E274A2" w:rsidRPr="0038012B" w:rsidRDefault="00E274A2" w:rsidP="00E274A2">
            <w:pPr>
              <w:pStyle w:val="ListParagraph"/>
              <w:spacing w:after="120" w:line="257" w:lineRule="auto"/>
              <w:jc w:val="both"/>
              <w:rPr>
                <w:rFonts w:ascii="Open Sans" w:eastAsia="Calibri" w:hAnsi="Open Sans" w:cs="Calibri"/>
                <w:bCs/>
                <w:color w:val="1F3864" w:themeColor="accent5" w:themeShade="80"/>
                <w:lang w:eastAsia="en-GB"/>
              </w:rPr>
            </w:pPr>
          </w:p>
          <w:p w14:paraId="71429772" w14:textId="4398D3FD" w:rsidR="00E274A2" w:rsidRPr="0099382E" w:rsidRDefault="00901919" w:rsidP="00E274A2">
            <w:pPr>
              <w:spacing w:after="120" w:line="257" w:lineRule="auto"/>
              <w:jc w:val="both"/>
              <w:rPr>
                <w:rFonts w:ascii="Open Sans" w:eastAsia="Calibri" w:hAnsi="Open Sans" w:cs="Calibri"/>
                <w:b/>
                <w:color w:val="1F3864" w:themeColor="accent5" w:themeShade="80"/>
                <w:lang w:eastAsia="en-GB"/>
              </w:rPr>
            </w:pPr>
            <w:r w:rsidRPr="0099382E">
              <w:rPr>
                <w:rFonts w:ascii="Open Sans" w:eastAsia="Calibri" w:hAnsi="Open Sans" w:cs="Calibri"/>
                <w:b/>
                <w:color w:val="1F3864" w:themeColor="accent5" w:themeShade="80"/>
                <w:lang w:eastAsia="en-GB"/>
              </w:rPr>
              <w:t>Project's</w:t>
            </w:r>
            <w:r w:rsidR="00E274A2" w:rsidRPr="0099382E">
              <w:rPr>
                <w:rFonts w:ascii="Open Sans" w:eastAsia="Calibri" w:hAnsi="Open Sans" w:cs="Calibri"/>
                <w:b/>
                <w:color w:val="1F3864" w:themeColor="accent5" w:themeShade="80"/>
                <w:lang w:eastAsia="en-GB"/>
              </w:rPr>
              <w:t xml:space="preserve"> main activities were:</w:t>
            </w:r>
          </w:p>
          <w:p w14:paraId="5EBA8CD2" w14:textId="0E1742E8" w:rsidR="00E274A2" w:rsidRPr="0038012B" w:rsidRDefault="00E274A2" w:rsidP="00E274A2">
            <w:pPr>
              <w:pStyle w:val="ListParagraph"/>
              <w:numPr>
                <w:ilvl w:val="1"/>
                <w:numId w:val="6"/>
              </w:numPr>
              <w:spacing w:after="120" w:line="257" w:lineRule="auto"/>
              <w:ind w:left="1080"/>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 xml:space="preserve">LB+PP3: construction of a new Obstetrics-Gynaecology Clinic in Timisoara (6 floors), equipping it with medical equipment, as well as purchasing medical and non-medical furniture for the new Clinic – finalized by </w:t>
            </w:r>
            <w:proofErr w:type="gramStart"/>
            <w:r w:rsidRPr="0038012B">
              <w:rPr>
                <w:rFonts w:ascii="Open Sans" w:eastAsia="Calibri" w:hAnsi="Open Sans" w:cs="Calibri"/>
                <w:bCs/>
                <w:color w:val="1F3864" w:themeColor="accent5" w:themeShade="80"/>
                <w:lang w:eastAsia="en-GB"/>
              </w:rPr>
              <w:t>31.08.2024;</w:t>
            </w:r>
            <w:proofErr w:type="gramEnd"/>
          </w:p>
          <w:p w14:paraId="154642D6" w14:textId="09F92183" w:rsidR="00E274A2" w:rsidRPr="0038012B" w:rsidRDefault="00E274A2" w:rsidP="00E274A2">
            <w:pPr>
              <w:pStyle w:val="ListParagraph"/>
              <w:numPr>
                <w:ilvl w:val="1"/>
                <w:numId w:val="6"/>
              </w:numPr>
              <w:spacing w:after="120" w:line="257" w:lineRule="auto"/>
              <w:ind w:left="1080"/>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 xml:space="preserve">PP2: purchasing medical equipment for 2 departments (Department of Paediatrics and Paediatric Health </w:t>
            </w:r>
            <w:proofErr w:type="spellStart"/>
            <w:r w:rsidRPr="0038012B">
              <w:rPr>
                <w:rFonts w:ascii="Open Sans" w:eastAsia="Calibri" w:hAnsi="Open Sans" w:cs="Calibri"/>
                <w:bCs/>
                <w:color w:val="1F3864" w:themeColor="accent5" w:themeShade="80"/>
                <w:lang w:eastAsia="en-GB"/>
              </w:rPr>
              <w:t>Center</w:t>
            </w:r>
            <w:proofErr w:type="spellEnd"/>
            <w:r w:rsidRPr="0038012B">
              <w:rPr>
                <w:rFonts w:ascii="Open Sans" w:eastAsia="Calibri" w:hAnsi="Open Sans" w:cs="Calibri"/>
                <w:bCs/>
                <w:color w:val="1F3864" w:themeColor="accent5" w:themeShade="80"/>
                <w:lang w:eastAsia="en-GB"/>
              </w:rPr>
              <w:t xml:space="preserve"> and Department of Obstetrics and Gynaecology).</w:t>
            </w:r>
          </w:p>
          <w:p w14:paraId="454CCB72" w14:textId="77777777" w:rsidR="00E274A2" w:rsidRPr="0038012B" w:rsidRDefault="00E274A2" w:rsidP="00E274A2">
            <w:pPr>
              <w:pStyle w:val="ListParagraph"/>
              <w:spacing w:after="120" w:line="257" w:lineRule="auto"/>
              <w:ind w:left="655"/>
              <w:jc w:val="both"/>
              <w:rPr>
                <w:rFonts w:ascii="Open Sans" w:eastAsia="Calibri" w:hAnsi="Open Sans" w:cs="Calibri"/>
                <w:bCs/>
                <w:color w:val="1F3864" w:themeColor="accent5" w:themeShade="80"/>
                <w:lang w:eastAsia="en-GB"/>
              </w:rPr>
            </w:pPr>
          </w:p>
          <w:p w14:paraId="16A5AACC" w14:textId="08C39151"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 xml:space="preserve">In addition, the project partners implemented soft activities such as: </w:t>
            </w:r>
          </w:p>
          <w:p w14:paraId="3BD59909" w14:textId="6ED738CF" w:rsidR="00E274A2" w:rsidRPr="0038012B" w:rsidRDefault="007F289D" w:rsidP="00E274A2">
            <w:pPr>
              <w:pStyle w:val="ListParagraph"/>
              <w:numPr>
                <w:ilvl w:val="1"/>
                <w:numId w:val="6"/>
              </w:numPr>
              <w:spacing w:after="120" w:line="257" w:lineRule="auto"/>
              <w:ind w:left="1080"/>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O</w:t>
            </w:r>
            <w:r w:rsidR="00E274A2" w:rsidRPr="0038012B">
              <w:rPr>
                <w:rFonts w:ascii="Open Sans" w:eastAsia="Calibri" w:hAnsi="Open Sans" w:cs="Calibri"/>
                <w:bCs/>
                <w:color w:val="1F3864" w:themeColor="accent5" w:themeShade="80"/>
                <w:lang w:eastAsia="en-GB"/>
              </w:rPr>
              <w:t>rganizing exchanges of experiences (know-how) through specialized medical conferences (videoconferences</w:t>
            </w:r>
            <w:r w:rsidRPr="0038012B">
              <w:rPr>
                <w:rFonts w:ascii="Open Sans" w:eastAsia="Calibri" w:hAnsi="Open Sans" w:cs="Calibri"/>
                <w:bCs/>
                <w:color w:val="1F3864" w:themeColor="accent5" w:themeShade="80"/>
                <w:lang w:eastAsia="en-GB"/>
              </w:rPr>
              <w:t xml:space="preserve">/ </w:t>
            </w:r>
            <w:r w:rsidR="00E274A2" w:rsidRPr="0038012B">
              <w:rPr>
                <w:rFonts w:ascii="Open Sans" w:eastAsia="Calibri" w:hAnsi="Open Sans" w:cs="Calibri"/>
                <w:bCs/>
                <w:color w:val="1F3864" w:themeColor="accent5" w:themeShade="80"/>
                <w:lang w:eastAsia="en-GB"/>
              </w:rPr>
              <w:t>workshops);</w:t>
            </w:r>
          </w:p>
          <w:p w14:paraId="5828FF7E" w14:textId="33006EA3" w:rsidR="00DB1763" w:rsidRPr="0038012B" w:rsidRDefault="007F289D" w:rsidP="0087728A">
            <w:pPr>
              <w:pStyle w:val="ListParagraph"/>
              <w:numPr>
                <w:ilvl w:val="1"/>
                <w:numId w:val="6"/>
              </w:numPr>
              <w:spacing w:after="120" w:line="257" w:lineRule="auto"/>
              <w:ind w:left="1080"/>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O</w:t>
            </w:r>
            <w:r w:rsidR="00E274A2" w:rsidRPr="0038012B">
              <w:rPr>
                <w:rFonts w:ascii="Open Sans" w:eastAsia="Calibri" w:hAnsi="Open Sans" w:cs="Calibri"/>
                <w:bCs/>
                <w:color w:val="1F3864" w:themeColor="accent5" w:themeShade="80"/>
                <w:lang w:eastAsia="en-GB"/>
              </w:rPr>
              <w:t>rgani</w:t>
            </w:r>
            <w:r w:rsidR="00FB50A0" w:rsidRPr="0038012B">
              <w:rPr>
                <w:rFonts w:ascii="Open Sans" w:eastAsia="Calibri" w:hAnsi="Open Sans" w:cs="Calibri"/>
                <w:bCs/>
                <w:color w:val="1F3864" w:themeColor="accent5" w:themeShade="80"/>
                <w:lang w:eastAsia="en-GB"/>
              </w:rPr>
              <w:t>z</w:t>
            </w:r>
            <w:r w:rsidR="00E274A2" w:rsidRPr="0038012B">
              <w:rPr>
                <w:rFonts w:ascii="Open Sans" w:eastAsia="Calibri" w:hAnsi="Open Sans" w:cs="Calibri"/>
                <w:bCs/>
                <w:color w:val="1F3864" w:themeColor="accent5" w:themeShade="80"/>
                <w:lang w:eastAsia="en-GB"/>
              </w:rPr>
              <w:t xml:space="preserve">ation of awareness campaigns in Timiș, Arad, and </w:t>
            </w:r>
            <w:proofErr w:type="spellStart"/>
            <w:r w:rsidR="00E274A2" w:rsidRPr="0038012B">
              <w:rPr>
                <w:rFonts w:ascii="Open Sans" w:eastAsia="Calibri" w:hAnsi="Open Sans" w:cs="Calibri"/>
                <w:bCs/>
                <w:color w:val="1F3864" w:themeColor="accent5" w:themeShade="80"/>
                <w:lang w:eastAsia="en-GB"/>
              </w:rPr>
              <w:t>Csongrád</w:t>
            </w:r>
            <w:proofErr w:type="spellEnd"/>
            <w:r w:rsidR="00E274A2" w:rsidRPr="0038012B">
              <w:rPr>
                <w:rFonts w:ascii="Open Sans" w:eastAsia="Calibri" w:hAnsi="Open Sans" w:cs="Calibri"/>
                <w:bCs/>
                <w:color w:val="1F3864" w:themeColor="accent5" w:themeShade="80"/>
                <w:lang w:eastAsia="en-GB"/>
              </w:rPr>
              <w:t>-Csanád counties</w:t>
            </w:r>
            <w:r w:rsidR="00FB50A0" w:rsidRPr="0038012B">
              <w:rPr>
                <w:rFonts w:ascii="Open Sans" w:eastAsia="Calibri" w:hAnsi="Open Sans" w:cs="Calibri"/>
                <w:bCs/>
                <w:color w:val="1F3864" w:themeColor="accent5" w:themeShade="80"/>
                <w:lang w:eastAsia="en-GB"/>
              </w:rPr>
              <w:t>;</w:t>
            </w:r>
          </w:p>
          <w:p w14:paraId="2944ADFB" w14:textId="3F317984" w:rsidR="00E274A2" w:rsidRPr="00D7262D" w:rsidRDefault="007F289D" w:rsidP="00D7262D">
            <w:pPr>
              <w:pStyle w:val="ListParagraph"/>
              <w:numPr>
                <w:ilvl w:val="1"/>
                <w:numId w:val="6"/>
              </w:numPr>
              <w:spacing w:after="120" w:line="257" w:lineRule="auto"/>
              <w:ind w:left="1080"/>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C</w:t>
            </w:r>
            <w:r w:rsidR="00FB50A0" w:rsidRPr="0038012B">
              <w:rPr>
                <w:rFonts w:ascii="Open Sans" w:eastAsia="Calibri" w:hAnsi="Open Sans" w:cs="Calibri"/>
                <w:bCs/>
                <w:color w:val="1F3864" w:themeColor="accent5" w:themeShade="80"/>
                <w:lang w:eastAsia="en-GB"/>
              </w:rPr>
              <w:t>ommunication/ promotion activities for wide dissemination of the project results: events and press conferences, press releases, brochures and leaflets, posters, and other promotional materials (baby bracelets and bodies).</w:t>
            </w:r>
          </w:p>
        </w:tc>
      </w:tr>
      <w:tr w:rsidR="0038012B" w:rsidRPr="0099382E" w14:paraId="1FA261C5" w14:textId="77777777" w:rsidTr="00E274A2">
        <w:tc>
          <w:tcPr>
            <w:tcW w:w="2004" w:type="dxa"/>
            <w:shd w:val="clear" w:color="auto" w:fill="E7E6E6" w:themeFill="background2"/>
            <w:vAlign w:val="center"/>
          </w:tcPr>
          <w:p w14:paraId="25C07E3A" w14:textId="36212181"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hAnsi="Open Sans" w:cs="Calibri"/>
                <w:b/>
                <w:color w:val="1F3864" w:themeColor="accent5" w:themeShade="80"/>
                <w:lang w:eastAsia="en-GB"/>
              </w:rPr>
              <w:lastRenderedPageBreak/>
              <w:t xml:space="preserve">Main </w:t>
            </w:r>
            <w:r w:rsidR="00D7262D">
              <w:rPr>
                <w:rFonts w:ascii="Open Sans" w:hAnsi="Open Sans" w:cs="Calibri"/>
                <w:b/>
                <w:color w:val="1F3864" w:themeColor="accent5" w:themeShade="80"/>
                <w:lang w:eastAsia="en-GB"/>
              </w:rPr>
              <w:t>outcomes</w:t>
            </w:r>
          </w:p>
        </w:tc>
        <w:tc>
          <w:tcPr>
            <w:tcW w:w="8029" w:type="dxa"/>
            <w:vAlign w:val="center"/>
          </w:tcPr>
          <w:p w14:paraId="05E70B7A" w14:textId="7D46112D" w:rsidR="00D7262D" w:rsidRPr="00D7262D" w:rsidRDefault="00D7262D" w:rsidP="00E2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color w:val="1F3864" w:themeColor="accent5" w:themeShade="80"/>
                <w:lang w:eastAsia="en-GB"/>
              </w:rPr>
            </w:pPr>
            <w:r w:rsidRPr="00D7262D">
              <w:rPr>
                <w:rFonts w:ascii="Open Sans" w:eastAsia="Calibri" w:hAnsi="Open Sans" w:cs="Calibri"/>
                <w:b/>
                <w:color w:val="1F3864" w:themeColor="accent5" w:themeShade="80"/>
                <w:lang w:eastAsia="en-GB"/>
              </w:rPr>
              <w:t xml:space="preserve">Deliverables </w:t>
            </w:r>
          </w:p>
          <w:p w14:paraId="087C452F"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 xml:space="preserve">1) 6 joint obstetric and neonatal workshops organized online to exchange experiences, 3 hosted by the University of Szeged, Hungary, and 3 by the Clinic of Obstetrics, </w:t>
            </w:r>
            <w:proofErr w:type="gramStart"/>
            <w:r w:rsidRPr="00D7262D">
              <w:rPr>
                <w:rFonts w:ascii="Open Sans" w:eastAsia="Calibri" w:hAnsi="Open Sans" w:cs="Calibri"/>
                <w:bCs/>
                <w:color w:val="1F3864" w:themeColor="accent5" w:themeShade="80"/>
                <w:lang w:val="en-US" w:eastAsia="en-GB"/>
              </w:rPr>
              <w:t>Timisoara;</w:t>
            </w:r>
            <w:proofErr w:type="gramEnd"/>
          </w:p>
          <w:p w14:paraId="2276BFE4"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 xml:space="preserve">2) 2 common medical recommendations and guidance in obstetrics-gynecology and neonatology specialization </w:t>
            </w:r>
            <w:proofErr w:type="gramStart"/>
            <w:r w:rsidRPr="00D7262D">
              <w:rPr>
                <w:rFonts w:ascii="Open Sans" w:eastAsia="Calibri" w:hAnsi="Open Sans" w:cs="Calibri"/>
                <w:bCs/>
                <w:color w:val="1F3864" w:themeColor="accent5" w:themeShade="80"/>
                <w:lang w:val="en-US" w:eastAsia="en-GB"/>
              </w:rPr>
              <w:t>prepared;</w:t>
            </w:r>
            <w:proofErr w:type="gramEnd"/>
          </w:p>
          <w:p w14:paraId="40AC60ED"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 xml:space="preserve">3) 1 awareness-raising campaign was organized in </w:t>
            </w:r>
            <w:proofErr w:type="spellStart"/>
            <w:r w:rsidRPr="00D7262D">
              <w:rPr>
                <w:rFonts w:ascii="Open Sans" w:eastAsia="Calibri" w:hAnsi="Open Sans" w:cs="Calibri"/>
                <w:bCs/>
                <w:color w:val="1F3864" w:themeColor="accent5" w:themeShade="80"/>
                <w:lang w:val="en-US" w:eastAsia="en-GB"/>
              </w:rPr>
              <w:t>Csongrad</w:t>
            </w:r>
            <w:proofErr w:type="spellEnd"/>
            <w:r w:rsidRPr="00D7262D">
              <w:rPr>
                <w:rFonts w:ascii="Open Sans" w:eastAsia="Calibri" w:hAnsi="Open Sans" w:cs="Calibri"/>
                <w:bCs/>
                <w:color w:val="1F3864" w:themeColor="accent5" w:themeShade="80"/>
                <w:lang w:val="en-US" w:eastAsia="en-GB"/>
              </w:rPr>
              <w:t xml:space="preserve">-Csanad County (brochures and flyers disseminated) and 1 awareness-raising campaign in Timis and Arad Counties (printed posters and brochures disseminated) to educate parents and people about the care of pregnant women, the importance of a healthy lifestyle during pregnancy, the importance of vaccinations, and neonatal </w:t>
            </w:r>
            <w:proofErr w:type="gramStart"/>
            <w:r w:rsidRPr="00D7262D">
              <w:rPr>
                <w:rFonts w:ascii="Open Sans" w:eastAsia="Calibri" w:hAnsi="Open Sans" w:cs="Calibri"/>
                <w:bCs/>
                <w:color w:val="1F3864" w:themeColor="accent5" w:themeShade="80"/>
                <w:lang w:val="en-US" w:eastAsia="en-GB"/>
              </w:rPr>
              <w:t>screening;</w:t>
            </w:r>
            <w:proofErr w:type="gramEnd"/>
          </w:p>
          <w:p w14:paraId="300F286F" w14:textId="56162E36"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 xml:space="preserve">4) </w:t>
            </w:r>
            <w:r w:rsidR="00F32858">
              <w:rPr>
                <w:rFonts w:ascii="Open Sans" w:eastAsia="Calibri" w:hAnsi="Open Sans" w:cs="Calibri"/>
                <w:bCs/>
                <w:color w:val="1F3864" w:themeColor="accent5" w:themeShade="80"/>
                <w:lang w:val="en-US" w:eastAsia="en-GB"/>
              </w:rPr>
              <w:t>A</w:t>
            </w:r>
            <w:r w:rsidRPr="00D7262D">
              <w:rPr>
                <w:rFonts w:ascii="Open Sans" w:eastAsia="Calibri" w:hAnsi="Open Sans" w:cs="Calibri"/>
                <w:bCs/>
                <w:color w:val="1F3864" w:themeColor="accent5" w:themeShade="80"/>
                <w:lang w:val="en-US" w:eastAsia="en-GB"/>
              </w:rPr>
              <w:t xml:space="preserve"> new Obstetrics-Gynecology Clinic in Timisoara </w:t>
            </w:r>
            <w:r w:rsidR="00F32858">
              <w:rPr>
                <w:rFonts w:ascii="Open Sans" w:eastAsia="Calibri" w:hAnsi="Open Sans" w:cs="Calibri"/>
                <w:bCs/>
                <w:color w:val="1F3864" w:themeColor="accent5" w:themeShade="80"/>
                <w:lang w:val="en-US" w:eastAsia="en-GB"/>
              </w:rPr>
              <w:t xml:space="preserve">was constructed </w:t>
            </w:r>
            <w:r w:rsidRPr="00D7262D">
              <w:rPr>
                <w:rFonts w:ascii="Open Sans" w:eastAsia="Calibri" w:hAnsi="Open Sans" w:cs="Calibri"/>
                <w:bCs/>
                <w:color w:val="1F3864" w:themeColor="accent5" w:themeShade="80"/>
                <w:lang w:val="en-US" w:eastAsia="en-GB"/>
              </w:rPr>
              <w:t>and the specific medical equipment and furniture for the Clinic</w:t>
            </w:r>
            <w:r w:rsidR="00F32858">
              <w:rPr>
                <w:rFonts w:ascii="Open Sans" w:eastAsia="Calibri" w:hAnsi="Open Sans" w:cs="Calibri"/>
                <w:bCs/>
                <w:color w:val="1F3864" w:themeColor="accent5" w:themeShade="80"/>
                <w:lang w:val="en-US" w:eastAsia="en-GB"/>
              </w:rPr>
              <w:t xml:space="preserve"> was </w:t>
            </w:r>
            <w:proofErr w:type="gramStart"/>
            <w:r w:rsidR="00F32858">
              <w:rPr>
                <w:rFonts w:ascii="Open Sans" w:eastAsia="Calibri" w:hAnsi="Open Sans" w:cs="Calibri"/>
                <w:bCs/>
                <w:color w:val="1F3864" w:themeColor="accent5" w:themeShade="80"/>
                <w:lang w:val="en-US" w:eastAsia="en-GB"/>
              </w:rPr>
              <w:t>purchased</w:t>
            </w:r>
            <w:r w:rsidRPr="00D7262D">
              <w:rPr>
                <w:rFonts w:ascii="Open Sans" w:eastAsia="Calibri" w:hAnsi="Open Sans" w:cs="Calibri"/>
                <w:bCs/>
                <w:color w:val="1F3864" w:themeColor="accent5" w:themeShade="80"/>
                <w:lang w:val="en-US" w:eastAsia="en-GB"/>
              </w:rPr>
              <w:t>;</w:t>
            </w:r>
            <w:proofErr w:type="gramEnd"/>
            <w:r w:rsidRPr="00D7262D">
              <w:rPr>
                <w:rFonts w:ascii="Open Sans" w:eastAsia="Calibri" w:hAnsi="Open Sans" w:cs="Calibri"/>
                <w:bCs/>
                <w:color w:val="1F3864" w:themeColor="accent5" w:themeShade="80"/>
                <w:lang w:val="en-US" w:eastAsia="en-GB"/>
              </w:rPr>
              <w:t xml:space="preserve"> </w:t>
            </w:r>
          </w:p>
          <w:p w14:paraId="508EF6FA"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5) Purchasing medical equipment for the Department of Obstetrics-Gynecology and a Pediatric Clinic of the University of Szeged.</w:t>
            </w:r>
          </w:p>
          <w:p w14:paraId="2271B03C" w14:textId="77777777" w:rsidR="00D7262D" w:rsidRDefault="00D7262D" w:rsidP="00E2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eastAsia="en-GB"/>
              </w:rPr>
            </w:pPr>
          </w:p>
          <w:p w14:paraId="775AEB1E" w14:textId="39D51C1F" w:rsidR="00D7262D" w:rsidRPr="00D7262D" w:rsidRDefault="00D7262D" w:rsidP="00E2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color w:val="1F3864" w:themeColor="accent5" w:themeShade="80"/>
                <w:lang w:eastAsia="en-GB"/>
              </w:rPr>
            </w:pPr>
            <w:r w:rsidRPr="00D7262D">
              <w:rPr>
                <w:rFonts w:ascii="Open Sans" w:eastAsia="Calibri" w:hAnsi="Open Sans" w:cs="Calibri"/>
                <w:b/>
                <w:color w:val="1F3864" w:themeColor="accent5" w:themeShade="80"/>
                <w:lang w:eastAsia="en-GB"/>
              </w:rPr>
              <w:t>Results</w:t>
            </w:r>
          </w:p>
          <w:p w14:paraId="6FF88E17"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1) Improved health-care services and prevention in the obstetrics-gynecology and neonatology field from the Hungarian-Romanian cross-border area planned to be archived through the construction and endowment of the new Obstetrics-Gynecology Clinic in Timisoara, and purchasing of medical equipment for the Department of Pediatrics and Pediatric Health Center and the Department of Obstetrics and Gynecology and from Szeged.</w:t>
            </w:r>
          </w:p>
          <w:p w14:paraId="2D6FECB0"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2) Increased cooperation between Romanian and Hungarian medical experts in the obstetrics-gynecology and neonatology field.</w:t>
            </w:r>
          </w:p>
          <w:p w14:paraId="2C084D53" w14:textId="77777777" w:rsidR="00D7262D" w:rsidRPr="00D7262D" w:rsidRDefault="00D7262D" w:rsidP="00E2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p>
          <w:p w14:paraId="3280D021" w14:textId="350D81D5" w:rsidR="00D7262D" w:rsidRPr="00D7262D" w:rsidRDefault="00D7262D" w:rsidP="00E274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color w:val="1F3864" w:themeColor="accent5" w:themeShade="80"/>
                <w:lang w:eastAsia="en-GB"/>
              </w:rPr>
            </w:pPr>
            <w:r w:rsidRPr="00D7262D">
              <w:rPr>
                <w:rFonts w:ascii="Open Sans" w:eastAsia="Calibri" w:hAnsi="Open Sans" w:cs="Calibri"/>
                <w:b/>
                <w:color w:val="1F3864" w:themeColor="accent5" w:themeShade="80"/>
                <w:lang w:eastAsia="en-GB"/>
              </w:rPr>
              <w:t>Indicators</w:t>
            </w:r>
          </w:p>
          <w:p w14:paraId="6DE05C55" w14:textId="06343AC1"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color w:val="1F3864" w:themeColor="accent5" w:themeShade="80"/>
                <w:lang w:val="en-US" w:eastAsia="en-GB"/>
              </w:rPr>
            </w:pPr>
            <w:r w:rsidRPr="00D7262D">
              <w:rPr>
                <w:rFonts w:ascii="Open Sans" w:eastAsia="Calibri" w:hAnsi="Open Sans" w:cs="Calibri"/>
                <w:b/>
                <w:color w:val="1F3864" w:themeColor="accent5" w:themeShade="80"/>
                <w:lang w:val="en-US" w:eastAsia="en-GB"/>
              </w:rPr>
              <w:t xml:space="preserve">9/a 1 Population having access to </w:t>
            </w:r>
            <w:proofErr w:type="spellStart"/>
            <w:proofErr w:type="gramStart"/>
            <w:r w:rsidRPr="00D7262D">
              <w:rPr>
                <w:rFonts w:ascii="Open Sans" w:eastAsia="Calibri" w:hAnsi="Open Sans" w:cs="Calibri"/>
                <w:b/>
                <w:color w:val="1F3864" w:themeColor="accent5" w:themeShade="80"/>
                <w:lang w:val="en-US" w:eastAsia="en-GB"/>
              </w:rPr>
              <w:t>im</w:t>
            </w:r>
            <w:proofErr w:type="spellEnd"/>
            <w:r w:rsidR="002F3ACB">
              <w:rPr>
                <w:rFonts w:ascii="Open Sans" w:eastAsia="Calibri" w:hAnsi="Open Sans" w:cs="Calibri"/>
                <w:b/>
                <w:color w:val="1F3864" w:themeColor="accent5" w:themeShade="80"/>
                <w:lang w:val="en-US" w:eastAsia="en-GB"/>
              </w:rPr>
              <w:t xml:space="preserve"> </w:t>
            </w:r>
            <w:r w:rsidRPr="00D7262D">
              <w:rPr>
                <w:rFonts w:ascii="Open Sans" w:eastAsia="Calibri" w:hAnsi="Open Sans" w:cs="Calibri"/>
                <w:b/>
                <w:color w:val="1F3864" w:themeColor="accent5" w:themeShade="80"/>
                <w:lang w:val="en-US" w:eastAsia="en-GB"/>
              </w:rPr>
              <w:t>proved</w:t>
            </w:r>
            <w:proofErr w:type="gramEnd"/>
            <w:r w:rsidRPr="00D7262D">
              <w:rPr>
                <w:rFonts w:ascii="Open Sans" w:eastAsia="Calibri" w:hAnsi="Open Sans" w:cs="Calibri"/>
                <w:b/>
                <w:color w:val="1F3864" w:themeColor="accent5" w:themeShade="80"/>
                <w:lang w:val="en-US" w:eastAsia="en-GB"/>
              </w:rPr>
              <w:t xml:space="preserve"> health services</w:t>
            </w:r>
          </w:p>
          <w:p w14:paraId="534313CB"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color w:val="1F3864" w:themeColor="accent5" w:themeShade="80"/>
                <w:lang w:val="en-US" w:eastAsia="en-GB"/>
              </w:rPr>
            </w:pPr>
            <w:r w:rsidRPr="00D7262D">
              <w:rPr>
                <w:rFonts w:ascii="Open Sans" w:eastAsia="Calibri" w:hAnsi="Open Sans" w:cs="Calibri"/>
                <w:color w:val="1F3864" w:themeColor="accent5" w:themeShade="80"/>
                <w:lang w:val="en-US" w:eastAsia="en-GB"/>
              </w:rPr>
              <w:t>Planned to be reached:</w:t>
            </w:r>
          </w:p>
          <w:p w14:paraId="4F5B2517"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r w:rsidRPr="00D7262D">
              <w:rPr>
                <w:rFonts w:ascii="Open Sans" w:eastAsia="Calibri" w:hAnsi="Open Sans" w:cs="Calibri"/>
                <w:bCs/>
                <w:color w:val="1F3864" w:themeColor="accent5" w:themeShade="80"/>
                <w:lang w:val="en-US" w:eastAsia="en-GB"/>
              </w:rPr>
              <w:t xml:space="preserve">Number: 1,976,348 </w:t>
            </w:r>
            <w:proofErr w:type="gramStart"/>
            <w:r w:rsidRPr="00D7262D">
              <w:rPr>
                <w:rFonts w:ascii="Open Sans" w:eastAsia="Calibri" w:hAnsi="Open Sans" w:cs="Calibri"/>
                <w:bCs/>
                <w:color w:val="1F3864" w:themeColor="accent5" w:themeShade="80"/>
                <w:lang w:val="en-US" w:eastAsia="en-GB"/>
              </w:rPr>
              <w:t>persons</w:t>
            </w:r>
            <w:proofErr w:type="gramEnd"/>
          </w:p>
          <w:p w14:paraId="76AAD518" w14:textId="34CC59CC" w:rsidR="00D7262D" w:rsidRPr="0099382E"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bCs/>
                <w:color w:val="1F3864" w:themeColor="accent5" w:themeShade="80"/>
                <w:lang w:val="en-US" w:eastAsia="en-GB"/>
              </w:rPr>
            </w:pPr>
            <w:r w:rsidRPr="0099382E">
              <w:rPr>
                <w:rFonts w:ascii="Open Sans" w:eastAsia="Calibri" w:hAnsi="Open Sans" w:cs="Calibri"/>
                <w:b/>
                <w:bCs/>
                <w:color w:val="1F3864" w:themeColor="accent5" w:themeShade="80"/>
                <w:lang w:val="en-US" w:eastAsia="en-GB"/>
              </w:rPr>
              <w:t>Reached:</w:t>
            </w:r>
          </w:p>
          <w:p w14:paraId="12BDEF96" w14:textId="4593566B" w:rsidR="00D7262D" w:rsidRPr="0099382E"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bCs/>
                <w:color w:val="1F3864" w:themeColor="accent5" w:themeShade="80"/>
                <w:lang w:val="en-US" w:eastAsia="en-GB"/>
              </w:rPr>
            </w:pPr>
            <w:r w:rsidRPr="0099382E">
              <w:rPr>
                <w:rFonts w:ascii="Open Sans" w:eastAsia="Calibri" w:hAnsi="Open Sans" w:cs="Calibri"/>
                <w:b/>
                <w:bCs/>
                <w:color w:val="1F3864" w:themeColor="accent5" w:themeShade="80"/>
                <w:lang w:val="en-US" w:eastAsia="en-GB"/>
              </w:rPr>
              <w:t>Number</w:t>
            </w:r>
            <w:r w:rsidRPr="0099382E">
              <w:rPr>
                <w:rFonts w:ascii="Open Sans" w:eastAsia="Calibri" w:hAnsi="Open Sans" w:cs="Calibri"/>
                <w:color w:val="1F3864" w:themeColor="accent5" w:themeShade="80"/>
                <w:lang w:val="en-US" w:eastAsia="en-GB"/>
              </w:rPr>
              <w:t xml:space="preserve">: </w:t>
            </w:r>
            <w:r w:rsidR="0099382E" w:rsidRPr="0099382E">
              <w:rPr>
                <w:rFonts w:ascii="Open Sans" w:eastAsia="Calibri" w:hAnsi="Open Sans" w:cs="Calibri"/>
                <w:b/>
                <w:bCs/>
                <w:color w:val="1F3864" w:themeColor="accent5" w:themeShade="80"/>
                <w:lang w:val="en-US" w:eastAsia="en-GB"/>
              </w:rPr>
              <w:t xml:space="preserve">1,766,263 </w:t>
            </w:r>
            <w:proofErr w:type="gramStart"/>
            <w:r w:rsidR="0099382E" w:rsidRPr="0099382E">
              <w:rPr>
                <w:rFonts w:ascii="Open Sans" w:eastAsia="Calibri" w:hAnsi="Open Sans" w:cs="Calibri"/>
                <w:b/>
                <w:bCs/>
                <w:color w:val="1F3864" w:themeColor="accent5" w:themeShade="80"/>
                <w:lang w:val="en-US" w:eastAsia="en-GB"/>
              </w:rPr>
              <w:t>persons</w:t>
            </w:r>
            <w:proofErr w:type="gramEnd"/>
            <w:r w:rsidR="0099382E" w:rsidRPr="0099382E">
              <w:rPr>
                <w:rFonts w:ascii="Open Sans" w:eastAsia="Calibri" w:hAnsi="Open Sans" w:cs="Calibri"/>
                <w:b/>
                <w:bCs/>
                <w:color w:val="1F3864" w:themeColor="accent5" w:themeShade="80"/>
                <w:lang w:val="en-US" w:eastAsia="en-GB"/>
              </w:rPr>
              <w:t xml:space="preserve"> benefited from improved healthcare services</w:t>
            </w:r>
          </w:p>
          <w:p w14:paraId="211383BA"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val="en-US" w:eastAsia="en-GB"/>
              </w:rPr>
            </w:pPr>
          </w:p>
          <w:p w14:paraId="04B14AA5"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color w:val="1F3864" w:themeColor="accent5" w:themeShade="80"/>
                <w:lang w:val="en-US" w:eastAsia="en-GB"/>
              </w:rPr>
            </w:pPr>
            <w:r w:rsidRPr="00D7262D">
              <w:rPr>
                <w:rFonts w:ascii="Open Sans" w:eastAsia="Calibri" w:hAnsi="Open Sans" w:cs="Calibri"/>
                <w:b/>
                <w:color w:val="1F3864" w:themeColor="accent5" w:themeShade="80"/>
                <w:lang w:val="en-US" w:eastAsia="en-GB"/>
              </w:rPr>
              <w:t>9/a 2 Number of health-care departments affected by modernized equipment</w:t>
            </w:r>
          </w:p>
          <w:p w14:paraId="208947C7" w14:textId="77777777" w:rsidR="00D7262D" w:rsidRPr="00D7262D"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color w:val="1F3864" w:themeColor="accent5" w:themeShade="80"/>
                <w:lang w:val="en-US" w:eastAsia="en-GB"/>
              </w:rPr>
            </w:pPr>
            <w:r w:rsidRPr="00D7262D">
              <w:rPr>
                <w:rFonts w:ascii="Open Sans" w:eastAsia="Calibri" w:hAnsi="Open Sans" w:cs="Calibri"/>
                <w:color w:val="1F3864" w:themeColor="accent5" w:themeShade="80"/>
                <w:lang w:val="en-US" w:eastAsia="en-GB"/>
              </w:rPr>
              <w:t>Planned to be reached:</w:t>
            </w:r>
          </w:p>
          <w:p w14:paraId="4D935ABC" w14:textId="77777777" w:rsidR="00D7262D" w:rsidRPr="0099382E"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color w:val="1F3864" w:themeColor="accent5" w:themeShade="80"/>
                <w:lang w:val="en-US" w:eastAsia="en-GB"/>
              </w:rPr>
            </w:pPr>
            <w:r w:rsidRPr="0099382E">
              <w:rPr>
                <w:rFonts w:ascii="Open Sans" w:eastAsia="Calibri" w:hAnsi="Open Sans" w:cs="Calibri"/>
                <w:color w:val="1F3864" w:themeColor="accent5" w:themeShade="80"/>
                <w:lang w:val="en-US" w:eastAsia="en-GB"/>
              </w:rPr>
              <w:t xml:space="preserve">Number: 15 Health-care departments </w:t>
            </w:r>
          </w:p>
          <w:p w14:paraId="290CB60A" w14:textId="793A6BFE" w:rsidR="00D7262D" w:rsidRPr="0099382E" w:rsidRDefault="00D7262D" w:rsidP="00D726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color w:val="1F3864" w:themeColor="accent5" w:themeShade="80"/>
                <w:lang w:val="en-US" w:eastAsia="en-GB"/>
              </w:rPr>
            </w:pPr>
            <w:r w:rsidRPr="0099382E">
              <w:rPr>
                <w:rFonts w:ascii="Open Sans" w:eastAsia="Calibri" w:hAnsi="Open Sans" w:cs="Calibri"/>
                <w:b/>
                <w:bCs/>
                <w:color w:val="1F3864" w:themeColor="accent5" w:themeShade="80"/>
                <w:lang w:val="en-US" w:eastAsia="en-GB"/>
              </w:rPr>
              <w:t>Reached</w:t>
            </w:r>
            <w:r w:rsidRPr="0099382E">
              <w:rPr>
                <w:rFonts w:ascii="Open Sans" w:eastAsia="Calibri" w:hAnsi="Open Sans" w:cs="Calibri"/>
                <w:color w:val="1F3864" w:themeColor="accent5" w:themeShade="80"/>
                <w:lang w:val="en-US" w:eastAsia="en-GB"/>
              </w:rPr>
              <w:t>:</w:t>
            </w:r>
          </w:p>
          <w:p w14:paraId="441234F3" w14:textId="77777777" w:rsidR="0099382E" w:rsidRPr="0099382E" w:rsidRDefault="00D7262D" w:rsidP="0099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
                <w:bCs/>
                <w:color w:val="1F3864" w:themeColor="accent5" w:themeShade="80"/>
                <w:lang w:val="en-US" w:eastAsia="en-GB"/>
              </w:rPr>
            </w:pPr>
            <w:r w:rsidRPr="0099382E">
              <w:rPr>
                <w:rFonts w:ascii="Open Sans" w:eastAsia="Calibri" w:hAnsi="Open Sans" w:cs="Calibri"/>
                <w:b/>
                <w:bCs/>
                <w:color w:val="1F3864" w:themeColor="accent5" w:themeShade="80"/>
                <w:lang w:val="en-US" w:eastAsia="en-GB"/>
              </w:rPr>
              <w:t xml:space="preserve">Number: </w:t>
            </w:r>
            <w:r w:rsidR="0099382E" w:rsidRPr="0099382E">
              <w:rPr>
                <w:rFonts w:ascii="Open Sans" w:eastAsia="Calibri" w:hAnsi="Open Sans" w:cs="Calibri"/>
                <w:b/>
                <w:bCs/>
                <w:color w:val="1F3864" w:themeColor="accent5" w:themeShade="80"/>
                <w:lang w:val="en-US" w:eastAsia="en-GB"/>
              </w:rPr>
              <w:t>16 healthcare units were built/renovated/modernized and endowed with new equipment.</w:t>
            </w:r>
          </w:p>
          <w:p w14:paraId="7B9110FE" w14:textId="09861457" w:rsidR="00D7262D" w:rsidRDefault="00D7262D" w:rsidP="0099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eastAsia="en-GB"/>
              </w:rPr>
            </w:pPr>
          </w:p>
          <w:p w14:paraId="0E702AFD" w14:textId="5F14F087" w:rsidR="00E274A2" w:rsidRPr="0038012B" w:rsidRDefault="00E274A2" w:rsidP="00993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Website/webpage:</w:t>
            </w:r>
          </w:p>
          <w:p w14:paraId="500664DA" w14:textId="77777777" w:rsidR="00F524E7" w:rsidRPr="0038012B" w:rsidRDefault="00F524E7" w:rsidP="00F524E7">
            <w:pPr>
              <w:pStyle w:val="ListParagraph"/>
              <w:numPr>
                <w:ilvl w:val="0"/>
                <w:numId w:val="11"/>
              </w:numPr>
              <w:spacing w:before="120" w:after="120" w:line="257" w:lineRule="auto"/>
              <w:jc w:val="both"/>
              <w:rPr>
                <w:rFonts w:ascii="Open Sans" w:hAnsi="Open Sans" w:cs="Times New Roman"/>
                <w:bCs/>
                <w:color w:val="1F3864" w:themeColor="accent5" w:themeShade="80"/>
                <w:lang w:val="ro-RO" w:eastAsia="en-GB"/>
              </w:rPr>
            </w:pPr>
            <w:hyperlink r:id="rId7" w:history="1">
              <w:r w:rsidRPr="0038012B">
                <w:rPr>
                  <w:rStyle w:val="Hyperlink"/>
                  <w:rFonts w:ascii="Open Sans" w:hAnsi="Open Sans"/>
                  <w:bCs/>
                  <w:color w:val="1F3864" w:themeColor="accent5" w:themeShade="80"/>
                  <w:lang w:val="ro-RO" w:eastAsia="en-GB"/>
                </w:rPr>
                <w:t>https://www.cjtimis.ro/wp-content/uploads/2020/07/Fisa-proiect-BABYROHU-februarie-2025.pdf</w:t>
              </w:r>
            </w:hyperlink>
            <w:r w:rsidRPr="0038012B">
              <w:rPr>
                <w:rFonts w:ascii="Open Sans" w:hAnsi="Open Sans"/>
                <w:bCs/>
                <w:color w:val="1F3864" w:themeColor="accent5" w:themeShade="80"/>
                <w:lang w:val="ro-RO" w:eastAsia="en-GB"/>
              </w:rPr>
              <w:t xml:space="preserve"> </w:t>
            </w:r>
          </w:p>
          <w:p w14:paraId="2057E8D9" w14:textId="77777777" w:rsidR="00F524E7" w:rsidRPr="0038012B" w:rsidRDefault="00F524E7" w:rsidP="00F524E7">
            <w:pPr>
              <w:pStyle w:val="ListParagraph"/>
              <w:numPr>
                <w:ilvl w:val="0"/>
                <w:numId w:val="11"/>
              </w:numPr>
              <w:spacing w:before="120" w:after="120" w:line="257" w:lineRule="auto"/>
              <w:jc w:val="both"/>
              <w:rPr>
                <w:rFonts w:ascii="Open Sans" w:hAnsi="Open Sans" w:cs="Times New Roman"/>
                <w:bCs/>
                <w:color w:val="1F3864" w:themeColor="accent5" w:themeShade="80"/>
                <w:lang w:val="ro-RO" w:eastAsia="en-GB"/>
              </w:rPr>
            </w:pPr>
            <w:hyperlink r:id="rId8" w:history="1">
              <w:r w:rsidRPr="0038012B">
                <w:rPr>
                  <w:rStyle w:val="Hyperlink"/>
                  <w:rFonts w:ascii="Open Sans" w:hAnsi="Open Sans" w:cs="Calibri"/>
                  <w:bCs/>
                  <w:color w:val="1F3864" w:themeColor="accent5" w:themeShade="80"/>
                  <w:lang w:val="ro-RO" w:eastAsia="en-GB"/>
                </w:rPr>
                <w:t>https://u-szeged.hu/fejlesztesiprojektek/rohu-443/rohu443</w:t>
              </w:r>
            </w:hyperlink>
          </w:p>
          <w:p w14:paraId="1049470D" w14:textId="77777777" w:rsidR="00E274A2" w:rsidRPr="0099382E" w:rsidRDefault="00F524E7" w:rsidP="00F524E7">
            <w:pPr>
              <w:pStyle w:val="ListParagraph"/>
              <w:numPr>
                <w:ilvl w:val="0"/>
                <w:numId w:val="11"/>
              </w:numPr>
              <w:spacing w:before="120" w:after="120" w:line="257" w:lineRule="auto"/>
              <w:jc w:val="both"/>
              <w:rPr>
                <w:rFonts w:ascii="Open Sans" w:eastAsia="Calibri" w:hAnsi="Open Sans" w:cs="Calibri"/>
                <w:bCs/>
                <w:color w:val="1F3864" w:themeColor="accent5" w:themeShade="80"/>
                <w:lang w:val="ro-RO" w:eastAsia="en-GB"/>
              </w:rPr>
            </w:pPr>
            <w:hyperlink r:id="rId9" w:history="1">
              <w:r w:rsidRPr="0038012B">
                <w:rPr>
                  <w:rStyle w:val="Hyperlink"/>
                  <w:rFonts w:ascii="Open Sans" w:hAnsi="Open Sans" w:cs="Calibri"/>
                  <w:bCs/>
                  <w:color w:val="1F3864" w:themeColor="accent5" w:themeShade="80"/>
                  <w:lang w:val="ro-RO" w:eastAsia="en-GB"/>
                </w:rPr>
                <w:t>https://www.hosptm.ro/proiecte-europene/proiect-babyrohu-cod-ems-rohu-443/</w:t>
              </w:r>
            </w:hyperlink>
            <w:r w:rsidRPr="0038012B">
              <w:rPr>
                <w:rFonts w:ascii="Open Sans" w:hAnsi="Open Sans" w:cs="Calibri"/>
                <w:bCs/>
                <w:color w:val="1F3864" w:themeColor="accent5" w:themeShade="80"/>
                <w:lang w:val="ro-RO" w:eastAsia="en-GB"/>
              </w:rPr>
              <w:t xml:space="preserve"> </w:t>
            </w:r>
          </w:p>
          <w:p w14:paraId="67A77E3A" w14:textId="678C84A7" w:rsidR="0099382E" w:rsidRPr="0038012B" w:rsidRDefault="0099382E" w:rsidP="0099382E">
            <w:pPr>
              <w:pStyle w:val="ListParagraph"/>
              <w:spacing w:before="120" w:after="120" w:line="257" w:lineRule="auto"/>
              <w:jc w:val="both"/>
              <w:rPr>
                <w:rFonts w:ascii="Open Sans" w:eastAsia="Calibri" w:hAnsi="Open Sans" w:cs="Calibri"/>
                <w:bCs/>
                <w:color w:val="1F3864" w:themeColor="accent5" w:themeShade="80"/>
                <w:lang w:val="ro-RO" w:eastAsia="en-GB"/>
              </w:rPr>
            </w:pPr>
          </w:p>
        </w:tc>
      </w:tr>
      <w:tr w:rsidR="0038012B" w:rsidRPr="0038012B" w14:paraId="06B421D5" w14:textId="77777777" w:rsidTr="00E274A2">
        <w:tc>
          <w:tcPr>
            <w:tcW w:w="2004" w:type="dxa"/>
            <w:shd w:val="clear" w:color="auto" w:fill="E7E6E6" w:themeFill="background2"/>
            <w:vAlign w:val="center"/>
          </w:tcPr>
          <w:p w14:paraId="338D8F38" w14:textId="77777777"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lastRenderedPageBreak/>
              <w:t>Concept Note</w:t>
            </w:r>
          </w:p>
        </w:tc>
        <w:tc>
          <w:tcPr>
            <w:tcW w:w="8029" w:type="dxa"/>
            <w:vAlign w:val="center"/>
          </w:tcPr>
          <w:p w14:paraId="58BC2A37" w14:textId="512E787C" w:rsidR="00E274A2" w:rsidRPr="0038012B" w:rsidRDefault="00E274A2" w:rsidP="00E274A2">
            <w:pPr>
              <w:spacing w:after="120" w:line="257" w:lineRule="auto"/>
              <w:jc w:val="both"/>
              <w:rPr>
                <w:rFonts w:ascii="Open Sans" w:eastAsia="Calibri" w:hAnsi="Open Sans" w:cs="Calibri"/>
                <w:b/>
                <w:color w:val="1F3864" w:themeColor="accent5" w:themeShade="80"/>
                <w:lang w:eastAsia="en-GB"/>
              </w:rPr>
            </w:pPr>
            <w:r w:rsidRPr="0038012B">
              <w:rPr>
                <w:rFonts w:ascii="Open Sans" w:eastAsia="Calibri" w:hAnsi="Open Sans" w:cs="Calibri"/>
                <w:b/>
                <w:color w:val="1F3864" w:themeColor="accent5" w:themeShade="80"/>
                <w:lang w:eastAsia="en-GB"/>
              </w:rPr>
              <w:t>Project code: ROHU-138</w:t>
            </w:r>
          </w:p>
          <w:p w14:paraId="45AC55C6" w14:textId="47085F46"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Implementation period: October 01, 2018 – April 30, 2019</w:t>
            </w:r>
          </w:p>
          <w:p w14:paraId="25845054" w14:textId="33D3D272"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Total budget € 68,387.00 out of which ERDF € 58,128.95</w:t>
            </w:r>
          </w:p>
          <w:p w14:paraId="33D862C1" w14:textId="2E892D08"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Total eligible expenditure certified within the project: € 33,014</w:t>
            </w:r>
            <w:r w:rsidR="00FB50A0" w:rsidRPr="0038012B">
              <w:rPr>
                <w:rFonts w:ascii="Open Sans" w:eastAsia="Calibri" w:hAnsi="Open Sans" w:cs="Calibri"/>
                <w:bCs/>
                <w:color w:val="1F3864" w:themeColor="accent5" w:themeShade="80"/>
                <w:lang w:eastAsia="en-GB"/>
              </w:rPr>
              <w:t>.</w:t>
            </w:r>
            <w:r w:rsidRPr="0038012B">
              <w:rPr>
                <w:rFonts w:ascii="Open Sans" w:eastAsia="Calibri" w:hAnsi="Open Sans" w:cs="Calibri"/>
                <w:bCs/>
                <w:color w:val="1F3864" w:themeColor="accent5" w:themeShade="80"/>
                <w:lang w:eastAsia="en-GB"/>
              </w:rPr>
              <w:t>27</w:t>
            </w:r>
          </w:p>
          <w:p w14:paraId="443B8AAB" w14:textId="6CF6FE19"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Budget execution: 48.28%</w:t>
            </w:r>
          </w:p>
          <w:p w14:paraId="234AC6AA" w14:textId="77777777" w:rsidR="00E274A2" w:rsidRPr="0038012B" w:rsidRDefault="00E274A2" w:rsidP="00E274A2">
            <w:pPr>
              <w:spacing w:after="120" w:line="257" w:lineRule="auto"/>
              <w:jc w:val="both"/>
              <w:rPr>
                <w:rFonts w:ascii="Open Sans" w:eastAsia="Calibri" w:hAnsi="Open Sans" w:cs="Calibri"/>
                <w:bCs/>
                <w:color w:val="1F3864" w:themeColor="accent5" w:themeShade="80"/>
                <w:lang w:eastAsia="en-GB"/>
              </w:rPr>
            </w:pPr>
            <w:r w:rsidRPr="0038012B">
              <w:rPr>
                <w:rFonts w:ascii="Open Sans" w:eastAsia="Calibri" w:hAnsi="Open Sans" w:cs="Calibri"/>
                <w:bCs/>
                <w:color w:val="1F3864" w:themeColor="accent5" w:themeShade="80"/>
                <w:lang w:eastAsia="en-GB"/>
              </w:rPr>
              <w:t>Preparation activities for developing the Full Application Form.</w:t>
            </w:r>
          </w:p>
        </w:tc>
      </w:tr>
    </w:tbl>
    <w:p w14:paraId="3F491972" w14:textId="77777777" w:rsidR="0094743C" w:rsidRPr="0038012B" w:rsidRDefault="0094743C" w:rsidP="00EF76B0">
      <w:pPr>
        <w:rPr>
          <w:color w:val="1F3864" w:themeColor="accent5" w:themeShade="80"/>
        </w:rPr>
      </w:pPr>
    </w:p>
    <w:sectPr w:rsidR="0094743C" w:rsidRPr="0038012B" w:rsidSect="00E177D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43" w:right="1440" w:bottom="1276" w:left="1440"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970C" w14:textId="77777777" w:rsidR="008635CC" w:rsidRDefault="008635CC" w:rsidP="00C23211">
      <w:pPr>
        <w:spacing w:after="0" w:line="240" w:lineRule="auto"/>
      </w:pPr>
      <w:r>
        <w:separator/>
      </w:r>
    </w:p>
  </w:endnote>
  <w:endnote w:type="continuationSeparator" w:id="0">
    <w:p w14:paraId="357DC407" w14:textId="77777777" w:rsidR="008635CC" w:rsidRDefault="008635CC"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ontserrat-Light">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6B65" w14:textId="77777777" w:rsidR="00EF76B0" w:rsidRDefault="00EF7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152" w14:textId="77777777" w:rsidR="00E91B08" w:rsidRPr="005A58E8" w:rsidRDefault="00A64984" w:rsidP="00F7622A">
    <w:pPr>
      <w:pStyle w:val="Footer"/>
      <w:jc w:val="right"/>
      <w:rPr>
        <w:rFonts w:cs="Open Sans"/>
        <w:color w:val="003399"/>
      </w:rPr>
    </w:pPr>
    <w:r w:rsidRPr="005A58E8">
      <w:rPr>
        <w:rFonts w:ascii="Montserrat-Light" w:hAnsi="Montserrat-Light" w:cs="Montserrat-Light"/>
        <w:color w:val="003399"/>
        <w:sz w:val="24"/>
        <w:szCs w:val="24"/>
      </w:rPr>
      <w:t>Partnership for a better future</w:t>
    </w:r>
    <w:r w:rsidR="00EB0D64" w:rsidRPr="005A58E8">
      <w:rPr>
        <w:color w:val="003399"/>
      </w:rPr>
      <w:tab/>
    </w:r>
    <w:r w:rsidR="00EB0D64" w:rsidRPr="005A58E8">
      <w:rPr>
        <w:color w:val="003399"/>
      </w:rPr>
      <w:tab/>
    </w:r>
    <w:r w:rsidR="00EB0D64" w:rsidRPr="005A58E8">
      <w:rPr>
        <w:rFonts w:cs="Open Sans"/>
        <w:color w:val="003399"/>
      </w:rPr>
      <w:t>www.interreg-rohu.eu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3864" w14:textId="77777777" w:rsidR="00EF76B0" w:rsidRDefault="00EF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2844" w14:textId="77777777" w:rsidR="008635CC" w:rsidRDefault="008635CC" w:rsidP="00C23211">
      <w:pPr>
        <w:spacing w:after="0" w:line="240" w:lineRule="auto"/>
      </w:pPr>
      <w:r>
        <w:separator/>
      </w:r>
    </w:p>
  </w:footnote>
  <w:footnote w:type="continuationSeparator" w:id="0">
    <w:p w14:paraId="5489A7B8" w14:textId="77777777" w:rsidR="008635CC" w:rsidRDefault="008635CC"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715A" w14:textId="77777777" w:rsidR="00EF76B0" w:rsidRDefault="00EF7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638" w14:textId="77777777" w:rsidR="00E91B08" w:rsidRDefault="00D736AC">
    <w:pPr>
      <w:pStyle w:val="Header"/>
    </w:pPr>
    <w:r>
      <w:rPr>
        <w:noProof/>
        <w:lang w:val="ro-RO" w:eastAsia="ro-RO"/>
      </w:rPr>
      <w:drawing>
        <wp:inline distT="0" distB="0" distL="0" distR="0" wp14:anchorId="6904021B" wp14:editId="59D1C81C">
          <wp:extent cx="5731510" cy="6413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4D0F" w14:textId="77777777" w:rsidR="00EF76B0" w:rsidRDefault="00EF7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E8B"/>
    <w:multiLevelType w:val="hybridMultilevel"/>
    <w:tmpl w:val="554833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5C1849"/>
    <w:multiLevelType w:val="hybridMultilevel"/>
    <w:tmpl w:val="628058A2"/>
    <w:lvl w:ilvl="0" w:tplc="08090001">
      <w:start w:val="1"/>
      <w:numFmt w:val="bullet"/>
      <w:lvlText w:val=""/>
      <w:lvlJc w:val="left"/>
      <w:pPr>
        <w:ind w:left="720" w:hanging="360"/>
      </w:pPr>
      <w:rPr>
        <w:rFonts w:ascii="Symbol" w:hAnsi="Symbol" w:hint="default"/>
      </w:rPr>
    </w:lvl>
    <w:lvl w:ilvl="1" w:tplc="D31C8252">
      <w:numFmt w:val="bullet"/>
      <w:lvlText w:val="•"/>
      <w:lvlJc w:val="left"/>
      <w:pPr>
        <w:ind w:left="1440" w:hanging="36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43403"/>
    <w:multiLevelType w:val="hybridMultilevel"/>
    <w:tmpl w:val="279C1684"/>
    <w:lvl w:ilvl="0" w:tplc="08090001">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3" w15:restartNumberingAfterBreak="0">
    <w:nsid w:val="49186BB0"/>
    <w:multiLevelType w:val="hybridMultilevel"/>
    <w:tmpl w:val="1F80CB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1722123"/>
    <w:multiLevelType w:val="hybridMultilevel"/>
    <w:tmpl w:val="C38ED35C"/>
    <w:lvl w:ilvl="0" w:tplc="8E7464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E2DCC"/>
    <w:multiLevelType w:val="hybridMultilevel"/>
    <w:tmpl w:val="66D8E07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5F35EA2"/>
    <w:multiLevelType w:val="hybridMultilevel"/>
    <w:tmpl w:val="9480835C"/>
    <w:lvl w:ilvl="0" w:tplc="E65CDE66">
      <w:start w:val="1"/>
      <w:numFmt w:val="bullet"/>
      <w:lvlText w:val="•"/>
      <w:lvlJc w:val="left"/>
      <w:pPr>
        <w:ind w:left="363"/>
      </w:pPr>
      <w:rPr>
        <w:rFonts w:ascii="Arial" w:eastAsia="Arial" w:hAnsi="Arial" w:cs="Arial"/>
        <w:b w:val="0"/>
        <w:i w:val="0"/>
        <w:strike w:val="0"/>
        <w:dstrike w:val="0"/>
        <w:color w:val="0F2A75"/>
        <w:sz w:val="22"/>
        <w:szCs w:val="22"/>
        <w:u w:val="none" w:color="000000"/>
        <w:bdr w:val="none" w:sz="0" w:space="0" w:color="auto"/>
        <w:shd w:val="clear" w:color="auto" w:fill="auto"/>
        <w:vertAlign w:val="baseline"/>
      </w:rPr>
    </w:lvl>
    <w:lvl w:ilvl="1" w:tplc="79566202">
      <w:start w:val="1"/>
      <w:numFmt w:val="bullet"/>
      <w:lvlText w:val="o"/>
      <w:lvlJc w:val="left"/>
      <w:pPr>
        <w:ind w:left="190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2" w:tplc="73A2687C">
      <w:start w:val="1"/>
      <w:numFmt w:val="bullet"/>
      <w:lvlText w:val="▪"/>
      <w:lvlJc w:val="left"/>
      <w:pPr>
        <w:ind w:left="262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3" w:tplc="FD2AEE98">
      <w:start w:val="1"/>
      <w:numFmt w:val="bullet"/>
      <w:lvlText w:val="•"/>
      <w:lvlJc w:val="left"/>
      <w:pPr>
        <w:ind w:left="3347"/>
      </w:pPr>
      <w:rPr>
        <w:rFonts w:ascii="Arial" w:eastAsia="Arial" w:hAnsi="Arial" w:cs="Arial"/>
        <w:b w:val="0"/>
        <w:i w:val="0"/>
        <w:strike w:val="0"/>
        <w:dstrike w:val="0"/>
        <w:color w:val="0F2A75"/>
        <w:sz w:val="22"/>
        <w:szCs w:val="22"/>
        <w:u w:val="none" w:color="000000"/>
        <w:bdr w:val="none" w:sz="0" w:space="0" w:color="auto"/>
        <w:shd w:val="clear" w:color="auto" w:fill="auto"/>
        <w:vertAlign w:val="baseline"/>
      </w:rPr>
    </w:lvl>
    <w:lvl w:ilvl="4" w:tplc="FA14719C">
      <w:start w:val="1"/>
      <w:numFmt w:val="bullet"/>
      <w:lvlText w:val="o"/>
      <w:lvlJc w:val="left"/>
      <w:pPr>
        <w:ind w:left="406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5" w:tplc="F2C8676C">
      <w:start w:val="1"/>
      <w:numFmt w:val="bullet"/>
      <w:lvlText w:val="▪"/>
      <w:lvlJc w:val="left"/>
      <w:pPr>
        <w:ind w:left="478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6" w:tplc="381A8EF4">
      <w:start w:val="1"/>
      <w:numFmt w:val="bullet"/>
      <w:lvlText w:val="•"/>
      <w:lvlJc w:val="left"/>
      <w:pPr>
        <w:ind w:left="5507"/>
      </w:pPr>
      <w:rPr>
        <w:rFonts w:ascii="Arial" w:eastAsia="Arial" w:hAnsi="Arial" w:cs="Arial"/>
        <w:b w:val="0"/>
        <w:i w:val="0"/>
        <w:strike w:val="0"/>
        <w:dstrike w:val="0"/>
        <w:color w:val="0F2A75"/>
        <w:sz w:val="22"/>
        <w:szCs w:val="22"/>
        <w:u w:val="none" w:color="000000"/>
        <w:bdr w:val="none" w:sz="0" w:space="0" w:color="auto"/>
        <w:shd w:val="clear" w:color="auto" w:fill="auto"/>
        <w:vertAlign w:val="baseline"/>
      </w:rPr>
    </w:lvl>
    <w:lvl w:ilvl="7" w:tplc="C2803760">
      <w:start w:val="1"/>
      <w:numFmt w:val="bullet"/>
      <w:lvlText w:val="o"/>
      <w:lvlJc w:val="left"/>
      <w:pPr>
        <w:ind w:left="622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lvl w:ilvl="8" w:tplc="A9360162">
      <w:start w:val="1"/>
      <w:numFmt w:val="bullet"/>
      <w:lvlText w:val="▪"/>
      <w:lvlJc w:val="left"/>
      <w:pPr>
        <w:ind w:left="6947"/>
      </w:pPr>
      <w:rPr>
        <w:rFonts w:ascii="Segoe UI Symbol" w:eastAsia="Segoe UI Symbol" w:hAnsi="Segoe UI Symbol" w:cs="Segoe UI Symbol"/>
        <w:b w:val="0"/>
        <w:i w:val="0"/>
        <w:strike w:val="0"/>
        <w:dstrike w:val="0"/>
        <w:color w:val="0F2A75"/>
        <w:sz w:val="22"/>
        <w:szCs w:val="22"/>
        <w:u w:val="none" w:color="000000"/>
        <w:bdr w:val="none" w:sz="0" w:space="0" w:color="auto"/>
        <w:shd w:val="clear" w:color="auto" w:fill="auto"/>
        <w:vertAlign w:val="baseline"/>
      </w:rPr>
    </w:lvl>
  </w:abstractNum>
  <w:abstractNum w:abstractNumId="7" w15:restartNumberingAfterBreak="0">
    <w:nsid w:val="678530B3"/>
    <w:multiLevelType w:val="hybridMultilevel"/>
    <w:tmpl w:val="FFBA16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A0D4640"/>
    <w:multiLevelType w:val="hybridMultilevel"/>
    <w:tmpl w:val="A8205A88"/>
    <w:lvl w:ilvl="0" w:tplc="8E746440">
      <w:numFmt w:val="bullet"/>
      <w:lvlText w:val="-"/>
      <w:lvlJc w:val="left"/>
      <w:pPr>
        <w:ind w:left="1077" w:hanging="360"/>
      </w:pPr>
      <w:rPr>
        <w:rFonts w:ascii="Calibri" w:eastAsia="Times New Roman" w:hAnsi="Calibri" w:cs="Calibr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6AA1717B"/>
    <w:multiLevelType w:val="hybridMultilevel"/>
    <w:tmpl w:val="96EA1FB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BB42072"/>
    <w:multiLevelType w:val="hybridMultilevel"/>
    <w:tmpl w:val="FC96CB38"/>
    <w:lvl w:ilvl="0" w:tplc="8E7464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7158D"/>
    <w:multiLevelType w:val="hybridMultilevel"/>
    <w:tmpl w:val="12C0CD00"/>
    <w:lvl w:ilvl="0" w:tplc="8E7464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3280D"/>
    <w:multiLevelType w:val="hybridMultilevel"/>
    <w:tmpl w:val="5B5AFA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F03753E"/>
    <w:multiLevelType w:val="hybridMultilevel"/>
    <w:tmpl w:val="5296BC7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63156791">
    <w:abstractNumId w:val="11"/>
  </w:num>
  <w:num w:numId="2" w16cid:durableId="1596592083">
    <w:abstractNumId w:val="8"/>
  </w:num>
  <w:num w:numId="3" w16cid:durableId="1683164793">
    <w:abstractNumId w:val="4"/>
  </w:num>
  <w:num w:numId="4" w16cid:durableId="1197736190">
    <w:abstractNumId w:val="10"/>
  </w:num>
  <w:num w:numId="5" w16cid:durableId="1163350444">
    <w:abstractNumId w:val="1"/>
  </w:num>
  <w:num w:numId="6" w16cid:durableId="822088207">
    <w:abstractNumId w:val="7"/>
  </w:num>
  <w:num w:numId="7" w16cid:durableId="32387709">
    <w:abstractNumId w:val="2"/>
  </w:num>
  <w:num w:numId="8" w16cid:durableId="1016997733">
    <w:abstractNumId w:val="5"/>
  </w:num>
  <w:num w:numId="9" w16cid:durableId="1875456806">
    <w:abstractNumId w:val="3"/>
  </w:num>
  <w:num w:numId="10" w16cid:durableId="987514921">
    <w:abstractNumId w:val="9"/>
  </w:num>
  <w:num w:numId="11" w16cid:durableId="1595046278">
    <w:abstractNumId w:val="12"/>
  </w:num>
  <w:num w:numId="12" w16cid:durableId="1923106396">
    <w:abstractNumId w:val="6"/>
  </w:num>
  <w:num w:numId="13" w16cid:durableId="570769506">
    <w:abstractNumId w:val="0"/>
  </w:num>
  <w:num w:numId="14" w16cid:durableId="2092964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NDS0MDQ1sjAyNLJU0lEKTi0uzszPAykwNK4FAEliVmEtAAAA"/>
  </w:docVars>
  <w:rsids>
    <w:rsidRoot w:val="003C06AC"/>
    <w:rsid w:val="00016CA7"/>
    <w:rsid w:val="00032E5F"/>
    <w:rsid w:val="00054EB1"/>
    <w:rsid w:val="00062628"/>
    <w:rsid w:val="000850A5"/>
    <w:rsid w:val="000864B9"/>
    <w:rsid w:val="000E79A8"/>
    <w:rsid w:val="000F0D69"/>
    <w:rsid w:val="001309E3"/>
    <w:rsid w:val="001509A7"/>
    <w:rsid w:val="0016302B"/>
    <w:rsid w:val="001652CA"/>
    <w:rsid w:val="001745CB"/>
    <w:rsid w:val="00184557"/>
    <w:rsid w:val="00190E0A"/>
    <w:rsid w:val="001A3D0F"/>
    <w:rsid w:val="001A7EA3"/>
    <w:rsid w:val="00201242"/>
    <w:rsid w:val="00204AE0"/>
    <w:rsid w:val="00212F45"/>
    <w:rsid w:val="0021326D"/>
    <w:rsid w:val="00214884"/>
    <w:rsid w:val="00240A83"/>
    <w:rsid w:val="00247D38"/>
    <w:rsid w:val="002601E5"/>
    <w:rsid w:val="002642B0"/>
    <w:rsid w:val="002767BB"/>
    <w:rsid w:val="002978DA"/>
    <w:rsid w:val="002A5B39"/>
    <w:rsid w:val="002B0276"/>
    <w:rsid w:val="002C4695"/>
    <w:rsid w:val="002E098D"/>
    <w:rsid w:val="002F3ACB"/>
    <w:rsid w:val="003031E2"/>
    <w:rsid w:val="00325649"/>
    <w:rsid w:val="00326BCB"/>
    <w:rsid w:val="00331D77"/>
    <w:rsid w:val="0038012B"/>
    <w:rsid w:val="00386B42"/>
    <w:rsid w:val="00392C9E"/>
    <w:rsid w:val="00395863"/>
    <w:rsid w:val="003A0FB1"/>
    <w:rsid w:val="003A56F6"/>
    <w:rsid w:val="003C06AC"/>
    <w:rsid w:val="003E297C"/>
    <w:rsid w:val="003F08F1"/>
    <w:rsid w:val="003F3C86"/>
    <w:rsid w:val="00411405"/>
    <w:rsid w:val="004520D4"/>
    <w:rsid w:val="00470A0A"/>
    <w:rsid w:val="004769AC"/>
    <w:rsid w:val="0048205A"/>
    <w:rsid w:val="004A6FE7"/>
    <w:rsid w:val="004E5F17"/>
    <w:rsid w:val="004F5B2D"/>
    <w:rsid w:val="0050306D"/>
    <w:rsid w:val="0054292D"/>
    <w:rsid w:val="00595B51"/>
    <w:rsid w:val="005978F0"/>
    <w:rsid w:val="005A58E8"/>
    <w:rsid w:val="005C5CF0"/>
    <w:rsid w:val="005D0D83"/>
    <w:rsid w:val="005D6224"/>
    <w:rsid w:val="005E0386"/>
    <w:rsid w:val="005E536F"/>
    <w:rsid w:val="005F1F5D"/>
    <w:rsid w:val="006055CE"/>
    <w:rsid w:val="00610EF7"/>
    <w:rsid w:val="00612286"/>
    <w:rsid w:val="00614C99"/>
    <w:rsid w:val="00620577"/>
    <w:rsid w:val="00630258"/>
    <w:rsid w:val="006634C7"/>
    <w:rsid w:val="00664CC2"/>
    <w:rsid w:val="0067435A"/>
    <w:rsid w:val="00684162"/>
    <w:rsid w:val="006842F9"/>
    <w:rsid w:val="00691C28"/>
    <w:rsid w:val="006B30F3"/>
    <w:rsid w:val="006D202C"/>
    <w:rsid w:val="006E138D"/>
    <w:rsid w:val="00732D28"/>
    <w:rsid w:val="00753400"/>
    <w:rsid w:val="00761E91"/>
    <w:rsid w:val="007715BC"/>
    <w:rsid w:val="00782444"/>
    <w:rsid w:val="00794B39"/>
    <w:rsid w:val="007F289D"/>
    <w:rsid w:val="0082345E"/>
    <w:rsid w:val="008332FE"/>
    <w:rsid w:val="00835E4D"/>
    <w:rsid w:val="00837FDE"/>
    <w:rsid w:val="00845A3E"/>
    <w:rsid w:val="008635CC"/>
    <w:rsid w:val="008766AF"/>
    <w:rsid w:val="008863C7"/>
    <w:rsid w:val="008D7F70"/>
    <w:rsid w:val="00901919"/>
    <w:rsid w:val="0094743C"/>
    <w:rsid w:val="0097126B"/>
    <w:rsid w:val="0099382E"/>
    <w:rsid w:val="009938B3"/>
    <w:rsid w:val="009A3EEB"/>
    <w:rsid w:val="009B679A"/>
    <w:rsid w:val="009D0623"/>
    <w:rsid w:val="009D2D3A"/>
    <w:rsid w:val="009E5F70"/>
    <w:rsid w:val="009F35DD"/>
    <w:rsid w:val="00A06402"/>
    <w:rsid w:val="00A24DE4"/>
    <w:rsid w:val="00A2733E"/>
    <w:rsid w:val="00A47833"/>
    <w:rsid w:val="00A51486"/>
    <w:rsid w:val="00A534D5"/>
    <w:rsid w:val="00A63CFC"/>
    <w:rsid w:val="00A64984"/>
    <w:rsid w:val="00A748CC"/>
    <w:rsid w:val="00A82732"/>
    <w:rsid w:val="00A97573"/>
    <w:rsid w:val="00AB38B6"/>
    <w:rsid w:val="00AB724C"/>
    <w:rsid w:val="00AC3BD5"/>
    <w:rsid w:val="00B22B32"/>
    <w:rsid w:val="00B371DE"/>
    <w:rsid w:val="00B70CDD"/>
    <w:rsid w:val="00B82ED6"/>
    <w:rsid w:val="00B83F69"/>
    <w:rsid w:val="00B92ED0"/>
    <w:rsid w:val="00B95C3E"/>
    <w:rsid w:val="00BC29BD"/>
    <w:rsid w:val="00C23211"/>
    <w:rsid w:val="00C23EAD"/>
    <w:rsid w:val="00C30C7D"/>
    <w:rsid w:val="00C42648"/>
    <w:rsid w:val="00C5474C"/>
    <w:rsid w:val="00C72CE2"/>
    <w:rsid w:val="00C95B7A"/>
    <w:rsid w:val="00C977D5"/>
    <w:rsid w:val="00CD26CF"/>
    <w:rsid w:val="00CF2F5E"/>
    <w:rsid w:val="00D21FAC"/>
    <w:rsid w:val="00D37312"/>
    <w:rsid w:val="00D52ACE"/>
    <w:rsid w:val="00D61346"/>
    <w:rsid w:val="00D7262D"/>
    <w:rsid w:val="00D736AC"/>
    <w:rsid w:val="00DA4AAB"/>
    <w:rsid w:val="00DB14F6"/>
    <w:rsid w:val="00DB1763"/>
    <w:rsid w:val="00DB397E"/>
    <w:rsid w:val="00DB512D"/>
    <w:rsid w:val="00DD7278"/>
    <w:rsid w:val="00DD7F47"/>
    <w:rsid w:val="00DE4738"/>
    <w:rsid w:val="00E02902"/>
    <w:rsid w:val="00E02FD9"/>
    <w:rsid w:val="00E177D5"/>
    <w:rsid w:val="00E274A2"/>
    <w:rsid w:val="00E64075"/>
    <w:rsid w:val="00E80055"/>
    <w:rsid w:val="00E83429"/>
    <w:rsid w:val="00E91B08"/>
    <w:rsid w:val="00EA3FF1"/>
    <w:rsid w:val="00EB0D64"/>
    <w:rsid w:val="00EC43C2"/>
    <w:rsid w:val="00EE226D"/>
    <w:rsid w:val="00EF76B0"/>
    <w:rsid w:val="00F0230A"/>
    <w:rsid w:val="00F107FA"/>
    <w:rsid w:val="00F21CEC"/>
    <w:rsid w:val="00F32858"/>
    <w:rsid w:val="00F33C7B"/>
    <w:rsid w:val="00F524E7"/>
    <w:rsid w:val="00F62231"/>
    <w:rsid w:val="00F66947"/>
    <w:rsid w:val="00F7622A"/>
    <w:rsid w:val="00F82892"/>
    <w:rsid w:val="00F83F5E"/>
    <w:rsid w:val="00FA5538"/>
    <w:rsid w:val="00FB50A0"/>
    <w:rsid w:val="00FB5250"/>
    <w:rsid w:val="00FC373E"/>
    <w:rsid w:val="00FD5CDE"/>
    <w:rsid w:val="00FE1B6A"/>
    <w:rsid w:val="172D5D9B"/>
    <w:rsid w:val="454C57B4"/>
    <w:rsid w:val="5220C227"/>
    <w:rsid w:val="641E15CF"/>
    <w:rsid w:val="73D79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9D12C"/>
  <w15:chartTrackingRefBased/>
  <w15:docId w15:val="{2DA58460-9079-4C2D-AAFE-2C39C2E8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31"/>
    <w:rPr>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2231"/>
    <w:pPr>
      <w:spacing w:after="0" w:line="240" w:lineRule="auto"/>
    </w:pPr>
    <w:rPr>
      <w:lang w:val="en-GB"/>
    </w:rPr>
  </w:style>
  <w:style w:type="character" w:styleId="Strong">
    <w:name w:val="Strong"/>
    <w:basedOn w:val="DefaultParagraphFont"/>
    <w:uiPriority w:val="22"/>
    <w:qFormat/>
    <w:rsid w:val="00D52ACE"/>
    <w:rPr>
      <w:b/>
      <w:bCs/>
    </w:rPr>
  </w:style>
  <w:style w:type="paragraph" w:styleId="ListParagraph">
    <w:name w:val="List Paragraph"/>
    <w:basedOn w:val="Normal"/>
    <w:uiPriority w:val="34"/>
    <w:qFormat/>
    <w:rsid w:val="0094743C"/>
    <w:pPr>
      <w:ind w:left="720"/>
      <w:contextualSpacing/>
    </w:pPr>
  </w:style>
  <w:style w:type="character" w:styleId="CommentReference">
    <w:name w:val="annotation reference"/>
    <w:basedOn w:val="DefaultParagraphFont"/>
    <w:uiPriority w:val="99"/>
    <w:semiHidden/>
    <w:unhideWhenUsed/>
    <w:rsid w:val="00201242"/>
    <w:rPr>
      <w:sz w:val="16"/>
      <w:szCs w:val="16"/>
    </w:rPr>
  </w:style>
  <w:style w:type="paragraph" w:styleId="CommentText">
    <w:name w:val="annotation text"/>
    <w:basedOn w:val="Normal"/>
    <w:link w:val="CommentTextChar"/>
    <w:uiPriority w:val="99"/>
    <w:semiHidden/>
    <w:unhideWhenUsed/>
    <w:rsid w:val="00201242"/>
    <w:pPr>
      <w:spacing w:line="240" w:lineRule="auto"/>
    </w:pPr>
    <w:rPr>
      <w:sz w:val="20"/>
      <w:szCs w:val="20"/>
    </w:rPr>
  </w:style>
  <w:style w:type="character" w:customStyle="1" w:styleId="CommentTextChar">
    <w:name w:val="Comment Text Char"/>
    <w:basedOn w:val="DefaultParagraphFont"/>
    <w:link w:val="CommentText"/>
    <w:uiPriority w:val="99"/>
    <w:semiHidden/>
    <w:rsid w:val="00201242"/>
    <w:rPr>
      <w:sz w:val="20"/>
      <w:szCs w:val="20"/>
      <w:lang w:val="en-GB"/>
    </w:rPr>
  </w:style>
  <w:style w:type="paragraph" w:styleId="CommentSubject">
    <w:name w:val="annotation subject"/>
    <w:basedOn w:val="CommentText"/>
    <w:next w:val="CommentText"/>
    <w:link w:val="CommentSubjectChar"/>
    <w:uiPriority w:val="99"/>
    <w:semiHidden/>
    <w:unhideWhenUsed/>
    <w:rsid w:val="00201242"/>
    <w:rPr>
      <w:b/>
      <w:bCs/>
    </w:rPr>
  </w:style>
  <w:style w:type="character" w:customStyle="1" w:styleId="CommentSubjectChar">
    <w:name w:val="Comment Subject Char"/>
    <w:basedOn w:val="CommentTextChar"/>
    <w:link w:val="CommentSubject"/>
    <w:uiPriority w:val="99"/>
    <w:semiHidden/>
    <w:rsid w:val="00201242"/>
    <w:rPr>
      <w:b/>
      <w:bCs/>
      <w:sz w:val="20"/>
      <w:szCs w:val="20"/>
      <w:lang w:val="en-GB"/>
    </w:rPr>
  </w:style>
  <w:style w:type="paragraph" w:styleId="Revision">
    <w:name w:val="Revision"/>
    <w:hidden/>
    <w:uiPriority w:val="99"/>
    <w:semiHidden/>
    <w:rsid w:val="00201242"/>
    <w:pPr>
      <w:spacing w:after="0" w:line="240" w:lineRule="auto"/>
    </w:pPr>
    <w:rPr>
      <w:lang w:val="en-GB"/>
    </w:rPr>
  </w:style>
  <w:style w:type="paragraph" w:styleId="BalloonText">
    <w:name w:val="Balloon Text"/>
    <w:basedOn w:val="Normal"/>
    <w:link w:val="BalloonTextChar"/>
    <w:uiPriority w:val="99"/>
    <w:semiHidden/>
    <w:unhideWhenUsed/>
    <w:rsid w:val="00201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42"/>
    <w:rPr>
      <w:rFonts w:ascii="Segoe UI" w:hAnsi="Segoe UI" w:cs="Segoe UI"/>
      <w:sz w:val="18"/>
      <w:szCs w:val="18"/>
      <w:lang w:val="en-GB"/>
    </w:rPr>
  </w:style>
  <w:style w:type="character" w:styleId="Hyperlink">
    <w:name w:val="Hyperlink"/>
    <w:basedOn w:val="DefaultParagraphFont"/>
    <w:uiPriority w:val="99"/>
    <w:unhideWhenUsed/>
    <w:rsid w:val="001652CA"/>
    <w:rPr>
      <w:color w:val="0563C1" w:themeColor="hyperlink"/>
      <w:u w:val="single"/>
    </w:rPr>
  </w:style>
  <w:style w:type="character" w:styleId="FollowedHyperlink">
    <w:name w:val="FollowedHyperlink"/>
    <w:basedOn w:val="DefaultParagraphFont"/>
    <w:uiPriority w:val="99"/>
    <w:semiHidden/>
    <w:unhideWhenUsed/>
    <w:rsid w:val="00F52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8969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zeged.hu/fejlesztesiprojektek/rohu-443/rohu4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jtimis.ro/wp-content/uploads/2020/07/Fisa-proiect-BABYROHU-februarie-2025.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sptm.ro/proiecte-europene/proiect-babyrohu-cod-ems-rohu-44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LO_comunicare\Doc%20oficiale%20comm\Anexe%20VIM_corectate%202_10.08\7.%20Antete%20documente%20A4\EN\Antet%20A4_Interreg-ROHU_EN-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A4_Interreg-ROHU_EN-Portrait</Template>
  <TotalTime>71</TotalTime>
  <Pages>4</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livia.oprea</dc:creator>
  <cp:keywords/>
  <dc:description/>
  <cp:lastModifiedBy>Camerzan Orsolya</cp:lastModifiedBy>
  <cp:revision>12</cp:revision>
  <cp:lastPrinted>2023-07-24T08:54:00Z</cp:lastPrinted>
  <dcterms:created xsi:type="dcterms:W3CDTF">2025-03-27T15:07:00Z</dcterms:created>
  <dcterms:modified xsi:type="dcterms:W3CDTF">2026-02-06T09:26:00Z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7e2c0d93afbf4ddf0edca1936f68e1b254d9520f6f81b7e005f750d0fd5b435f</vt:lpwstr>
  </property>
</Properties>
</file>