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8049"/>
      </w:tblGrid>
      <w:tr w:rsidR="002846AC" w:rsidRPr="00393B7E" w14:paraId="0E276FF5" w14:textId="77777777" w:rsidTr="002235F3">
        <w:trPr>
          <w:trHeight w:val="417"/>
        </w:trPr>
        <w:tc>
          <w:tcPr>
            <w:tcW w:w="9893" w:type="dxa"/>
            <w:gridSpan w:val="2"/>
            <w:shd w:val="clear" w:color="auto" w:fill="17365D" w:themeFill="text2" w:themeFillShade="BF"/>
          </w:tcPr>
          <w:p w14:paraId="723FA199" w14:textId="77777777" w:rsidR="002846AC" w:rsidRPr="00393B7E" w:rsidRDefault="00000000">
            <w:pPr>
              <w:pStyle w:val="TableParagraph"/>
              <w:spacing w:before="76"/>
              <w:ind w:left="107"/>
              <w:rPr>
                <w:rFonts w:ascii="Open Sans" w:hAnsi="Open Sans" w:cs="Open Sans"/>
                <w:b/>
              </w:rPr>
            </w:pPr>
            <w:r w:rsidRPr="00393B7E">
              <w:rPr>
                <w:rFonts w:ascii="Open Sans" w:hAnsi="Open Sans" w:cs="Open Sans"/>
                <w:b/>
                <w:color w:val="FFFFFF"/>
              </w:rPr>
              <w:t>3rd Restricted Call for Proposals – Full Application Form</w:t>
            </w:r>
          </w:p>
        </w:tc>
      </w:tr>
      <w:tr w:rsidR="00012B74" w:rsidRPr="00012B74" w14:paraId="3B9BF784" w14:textId="77777777">
        <w:trPr>
          <w:trHeight w:val="436"/>
        </w:trPr>
        <w:tc>
          <w:tcPr>
            <w:tcW w:w="1844" w:type="dxa"/>
            <w:shd w:val="clear" w:color="auto" w:fill="E7E6E6"/>
          </w:tcPr>
          <w:p w14:paraId="19FEC9C5" w14:textId="77777777" w:rsidR="002846AC" w:rsidRPr="00012B74" w:rsidRDefault="00000000">
            <w:pPr>
              <w:pStyle w:val="TableParagraph"/>
              <w:spacing w:before="86"/>
              <w:ind w:left="107"/>
              <w:rPr>
                <w:rFonts w:ascii="Open Sans" w:hAnsi="Open Sans" w:cs="Open Sans"/>
                <w:b/>
                <w:color w:val="17365D" w:themeColor="text2" w:themeShade="BF"/>
              </w:rPr>
            </w:pPr>
            <w:r w:rsidRPr="00012B74">
              <w:rPr>
                <w:rFonts w:ascii="Open Sans" w:hAnsi="Open Sans" w:cs="Open Sans"/>
                <w:b/>
                <w:color w:val="17365D" w:themeColor="text2" w:themeShade="BF"/>
              </w:rPr>
              <w:t>Project code</w:t>
            </w:r>
          </w:p>
        </w:tc>
        <w:tc>
          <w:tcPr>
            <w:tcW w:w="8049" w:type="dxa"/>
          </w:tcPr>
          <w:p w14:paraId="5E8F5425" w14:textId="77777777" w:rsidR="002846AC" w:rsidRPr="00012B74" w:rsidRDefault="00000000">
            <w:pPr>
              <w:pStyle w:val="TableParagraph"/>
              <w:spacing w:before="86"/>
              <w:ind w:left="105"/>
              <w:rPr>
                <w:rFonts w:ascii="Open Sans" w:hAnsi="Open Sans" w:cs="Open Sans"/>
                <w:b/>
                <w:color w:val="17365D" w:themeColor="text2" w:themeShade="BF"/>
              </w:rPr>
            </w:pPr>
            <w:r w:rsidRPr="00012B74">
              <w:rPr>
                <w:rFonts w:ascii="Open Sans" w:hAnsi="Open Sans" w:cs="Open Sans"/>
                <w:b/>
                <w:color w:val="17365D" w:themeColor="text2" w:themeShade="BF"/>
              </w:rPr>
              <w:t>ROHU-446 FAF</w:t>
            </w:r>
          </w:p>
        </w:tc>
      </w:tr>
      <w:tr w:rsidR="00012B74" w:rsidRPr="00012B74" w14:paraId="1ED974E3" w14:textId="77777777">
        <w:trPr>
          <w:trHeight w:val="1021"/>
        </w:trPr>
        <w:tc>
          <w:tcPr>
            <w:tcW w:w="1844" w:type="dxa"/>
            <w:shd w:val="clear" w:color="auto" w:fill="E7E6E6"/>
          </w:tcPr>
          <w:p w14:paraId="69736841" w14:textId="77777777" w:rsidR="002846AC" w:rsidRPr="00012B74" w:rsidRDefault="002846AC">
            <w:pPr>
              <w:pStyle w:val="TableParagraph"/>
              <w:spacing w:before="68"/>
              <w:rPr>
                <w:rFonts w:ascii="Open Sans" w:hAnsi="Open Sans" w:cs="Open Sans"/>
                <w:color w:val="17365D" w:themeColor="text2" w:themeShade="BF"/>
              </w:rPr>
            </w:pPr>
          </w:p>
          <w:p w14:paraId="0B7375A2" w14:textId="77777777" w:rsidR="002846AC" w:rsidRPr="00012B74" w:rsidRDefault="00000000">
            <w:pPr>
              <w:pStyle w:val="TableParagraph"/>
              <w:ind w:left="107"/>
              <w:rPr>
                <w:rFonts w:ascii="Open Sans" w:hAnsi="Open Sans" w:cs="Open Sans"/>
                <w:b/>
                <w:color w:val="17365D" w:themeColor="text2" w:themeShade="BF"/>
              </w:rPr>
            </w:pPr>
            <w:r w:rsidRPr="00012B74">
              <w:rPr>
                <w:rFonts w:ascii="Open Sans" w:hAnsi="Open Sans" w:cs="Open Sans"/>
                <w:b/>
                <w:color w:val="17365D" w:themeColor="text2" w:themeShade="BF"/>
              </w:rPr>
              <w:t>Project title</w:t>
            </w:r>
          </w:p>
        </w:tc>
        <w:tc>
          <w:tcPr>
            <w:tcW w:w="8049" w:type="dxa"/>
          </w:tcPr>
          <w:p w14:paraId="67749088" w14:textId="77777777" w:rsidR="002846AC" w:rsidRPr="00012B74" w:rsidRDefault="00000000">
            <w:pPr>
              <w:pStyle w:val="TableParagraph"/>
              <w:spacing w:before="98"/>
              <w:ind w:left="105"/>
              <w:rPr>
                <w:rFonts w:ascii="Open Sans" w:hAnsi="Open Sans" w:cs="Open Sans"/>
                <w:b/>
                <w:color w:val="17365D" w:themeColor="text2" w:themeShade="BF"/>
              </w:rPr>
            </w:pPr>
            <w:proofErr w:type="spellStart"/>
            <w:r w:rsidRPr="00012B74">
              <w:rPr>
                <w:rFonts w:ascii="Open Sans" w:hAnsi="Open Sans" w:cs="Open Sans"/>
                <w:b/>
                <w:color w:val="17365D" w:themeColor="text2" w:themeShade="BF"/>
              </w:rPr>
              <w:t>EduCultCentre</w:t>
            </w:r>
            <w:proofErr w:type="spellEnd"/>
          </w:p>
          <w:p w14:paraId="7DD99296" w14:textId="77777777" w:rsidR="002846AC" w:rsidRPr="00012B74" w:rsidRDefault="00000000">
            <w:pPr>
              <w:pStyle w:val="TableParagraph"/>
              <w:spacing w:before="21" w:line="259" w:lineRule="auto"/>
              <w:ind w:left="105"/>
              <w:rPr>
                <w:rFonts w:ascii="Open Sans" w:hAnsi="Open Sans" w:cs="Open Sans"/>
                <w:color w:val="17365D" w:themeColor="text2" w:themeShade="BF"/>
              </w:rPr>
            </w:pPr>
            <w:r w:rsidRPr="00012B74">
              <w:rPr>
                <w:rFonts w:ascii="Open Sans" w:hAnsi="Open Sans" w:cs="Open Sans"/>
                <w:color w:val="17365D" w:themeColor="text2" w:themeShade="BF"/>
              </w:rPr>
              <w:t>Romanian-Hungarian Cross-Border Education Centre of Cultural and Historical Heritage</w:t>
            </w:r>
          </w:p>
        </w:tc>
      </w:tr>
      <w:tr w:rsidR="00012B74" w:rsidRPr="00012B74" w14:paraId="7CFBBF28" w14:textId="77777777">
        <w:trPr>
          <w:trHeight w:val="546"/>
        </w:trPr>
        <w:tc>
          <w:tcPr>
            <w:tcW w:w="1844" w:type="dxa"/>
            <w:shd w:val="clear" w:color="auto" w:fill="E7E6E6"/>
          </w:tcPr>
          <w:p w14:paraId="1765EDA0" w14:textId="77777777" w:rsidR="002846AC" w:rsidRPr="00012B74" w:rsidRDefault="00000000">
            <w:pPr>
              <w:pStyle w:val="TableParagraph"/>
              <w:spacing w:before="16"/>
              <w:ind w:left="107" w:right="580"/>
              <w:rPr>
                <w:rFonts w:ascii="Open Sans" w:hAnsi="Open Sans" w:cs="Open Sans"/>
                <w:b/>
                <w:color w:val="17365D" w:themeColor="text2" w:themeShade="BF"/>
              </w:rPr>
            </w:pPr>
            <w:r w:rsidRPr="00012B74">
              <w:rPr>
                <w:rFonts w:ascii="Open Sans" w:hAnsi="Open Sans" w:cs="Open Sans"/>
                <w:b/>
                <w:color w:val="17365D" w:themeColor="text2" w:themeShade="BF"/>
              </w:rPr>
              <w:t>Priority axis</w:t>
            </w:r>
          </w:p>
        </w:tc>
        <w:tc>
          <w:tcPr>
            <w:tcW w:w="8049" w:type="dxa"/>
          </w:tcPr>
          <w:p w14:paraId="3C59DFB4" w14:textId="77777777" w:rsidR="002846AC" w:rsidRPr="00012B74" w:rsidRDefault="00000000">
            <w:pPr>
              <w:pStyle w:val="TableParagraph"/>
              <w:ind w:left="105"/>
              <w:rPr>
                <w:rFonts w:ascii="Open Sans" w:hAnsi="Open Sans" w:cs="Open Sans"/>
                <w:color w:val="17365D" w:themeColor="text2" w:themeShade="BF"/>
              </w:rPr>
            </w:pPr>
            <w:r w:rsidRPr="00012B74">
              <w:rPr>
                <w:rFonts w:ascii="Open Sans" w:hAnsi="Open Sans" w:cs="Open Sans"/>
                <w:color w:val="17365D" w:themeColor="text2" w:themeShade="BF"/>
              </w:rPr>
              <w:t>PA1 - Joint protection and efficient use of common values and resources</w:t>
            </w:r>
          </w:p>
          <w:p w14:paraId="5EE7C84B" w14:textId="77777777" w:rsidR="002846AC" w:rsidRPr="00012B74" w:rsidRDefault="00000000">
            <w:pPr>
              <w:pStyle w:val="TableParagraph"/>
              <w:spacing w:before="18"/>
              <w:ind w:left="105"/>
              <w:rPr>
                <w:rFonts w:ascii="Open Sans" w:hAnsi="Open Sans" w:cs="Open Sans"/>
                <w:color w:val="17365D" w:themeColor="text2" w:themeShade="BF"/>
              </w:rPr>
            </w:pPr>
            <w:r w:rsidRPr="00012B74">
              <w:rPr>
                <w:rFonts w:ascii="Open Sans" w:hAnsi="Open Sans" w:cs="Open Sans"/>
                <w:color w:val="17365D" w:themeColor="text2" w:themeShade="BF"/>
              </w:rPr>
              <w:t>(Cooperating on common values and resources)</w:t>
            </w:r>
          </w:p>
        </w:tc>
      </w:tr>
      <w:tr w:rsidR="00012B74" w:rsidRPr="00012B74" w14:paraId="7ED2571A" w14:textId="77777777">
        <w:trPr>
          <w:trHeight w:val="652"/>
        </w:trPr>
        <w:tc>
          <w:tcPr>
            <w:tcW w:w="1844" w:type="dxa"/>
            <w:shd w:val="clear" w:color="auto" w:fill="E7E6E6"/>
          </w:tcPr>
          <w:p w14:paraId="60E16088" w14:textId="77777777" w:rsidR="002846AC" w:rsidRPr="00012B74" w:rsidRDefault="00000000">
            <w:pPr>
              <w:pStyle w:val="TableParagraph"/>
              <w:spacing w:before="69"/>
              <w:ind w:left="107"/>
              <w:rPr>
                <w:rFonts w:ascii="Open Sans" w:hAnsi="Open Sans" w:cs="Open Sans"/>
                <w:b/>
                <w:color w:val="17365D" w:themeColor="text2" w:themeShade="BF"/>
              </w:rPr>
            </w:pPr>
            <w:r w:rsidRPr="00012B74">
              <w:rPr>
                <w:rFonts w:ascii="Open Sans" w:hAnsi="Open Sans" w:cs="Open Sans"/>
                <w:b/>
                <w:color w:val="17365D" w:themeColor="text2" w:themeShade="BF"/>
              </w:rPr>
              <w:t>Investment priority</w:t>
            </w:r>
          </w:p>
        </w:tc>
        <w:tc>
          <w:tcPr>
            <w:tcW w:w="8049" w:type="dxa"/>
          </w:tcPr>
          <w:p w14:paraId="41413D1D" w14:textId="77777777" w:rsidR="002846AC" w:rsidRPr="00012B74" w:rsidRDefault="00000000">
            <w:pPr>
              <w:pStyle w:val="TableParagraph"/>
              <w:spacing w:before="50" w:line="259" w:lineRule="auto"/>
              <w:ind w:left="105"/>
              <w:rPr>
                <w:rFonts w:ascii="Open Sans" w:hAnsi="Open Sans" w:cs="Open Sans"/>
                <w:color w:val="17365D" w:themeColor="text2" w:themeShade="BF"/>
              </w:rPr>
            </w:pPr>
            <w:r w:rsidRPr="00012B74">
              <w:rPr>
                <w:rFonts w:ascii="Open Sans" w:hAnsi="Open Sans" w:cs="Open Sans"/>
                <w:color w:val="17365D" w:themeColor="text2" w:themeShade="BF"/>
              </w:rPr>
              <w:t>SO6/c - Sustainable use of natural, historic, and cultural heritage within the eligible area</w:t>
            </w:r>
          </w:p>
        </w:tc>
      </w:tr>
      <w:tr w:rsidR="00012B74" w:rsidRPr="00012B74" w14:paraId="3BD108CA" w14:textId="77777777">
        <w:trPr>
          <w:trHeight w:val="659"/>
        </w:trPr>
        <w:tc>
          <w:tcPr>
            <w:tcW w:w="1844" w:type="dxa"/>
            <w:shd w:val="clear" w:color="auto" w:fill="E7E6E6"/>
          </w:tcPr>
          <w:p w14:paraId="66646AEB" w14:textId="77777777" w:rsidR="002846AC" w:rsidRPr="00012B74" w:rsidRDefault="00000000">
            <w:pPr>
              <w:pStyle w:val="TableParagraph"/>
              <w:spacing w:before="74"/>
              <w:ind w:left="107"/>
              <w:rPr>
                <w:rFonts w:ascii="Open Sans" w:hAnsi="Open Sans" w:cs="Open Sans"/>
                <w:b/>
                <w:color w:val="17365D" w:themeColor="text2" w:themeShade="BF"/>
              </w:rPr>
            </w:pPr>
            <w:r w:rsidRPr="00012B74">
              <w:rPr>
                <w:rFonts w:ascii="Open Sans" w:hAnsi="Open Sans" w:cs="Open Sans"/>
                <w:b/>
                <w:color w:val="17365D" w:themeColor="text2" w:themeShade="BF"/>
              </w:rPr>
              <w:t>Implementation period</w:t>
            </w:r>
          </w:p>
        </w:tc>
        <w:tc>
          <w:tcPr>
            <w:tcW w:w="8049" w:type="dxa"/>
          </w:tcPr>
          <w:p w14:paraId="3566978F" w14:textId="77777777" w:rsidR="002846AC" w:rsidRPr="00012B74" w:rsidRDefault="00000000">
            <w:pPr>
              <w:pStyle w:val="TableParagraph"/>
              <w:spacing w:before="201"/>
              <w:ind w:left="105"/>
              <w:rPr>
                <w:rFonts w:ascii="Open Sans" w:hAnsi="Open Sans" w:cs="Open Sans"/>
                <w:color w:val="17365D" w:themeColor="text2" w:themeShade="BF"/>
              </w:rPr>
            </w:pPr>
            <w:r w:rsidRPr="00012B74">
              <w:rPr>
                <w:rFonts w:ascii="Open Sans" w:hAnsi="Open Sans" w:cs="Open Sans"/>
                <w:color w:val="17365D" w:themeColor="text2" w:themeShade="BF"/>
              </w:rPr>
              <w:t>55 months (June 01, 2019 – December 31, 2023)</w:t>
            </w:r>
          </w:p>
        </w:tc>
      </w:tr>
      <w:tr w:rsidR="00012B74" w:rsidRPr="00012B74" w14:paraId="4C94F9A9" w14:textId="77777777">
        <w:trPr>
          <w:trHeight w:val="1365"/>
        </w:trPr>
        <w:tc>
          <w:tcPr>
            <w:tcW w:w="1844" w:type="dxa"/>
            <w:shd w:val="clear" w:color="auto" w:fill="E7E6E6"/>
          </w:tcPr>
          <w:p w14:paraId="5D4AFDEE" w14:textId="77777777" w:rsidR="002846AC" w:rsidRPr="00012B74" w:rsidRDefault="002846AC">
            <w:pPr>
              <w:pStyle w:val="TableParagraph"/>
              <w:spacing w:before="238"/>
              <w:rPr>
                <w:rFonts w:ascii="Open Sans" w:hAnsi="Open Sans" w:cs="Open Sans"/>
                <w:color w:val="17365D" w:themeColor="text2" w:themeShade="BF"/>
              </w:rPr>
            </w:pPr>
          </w:p>
          <w:p w14:paraId="20FC776B" w14:textId="77777777" w:rsidR="002846AC" w:rsidRPr="00012B74" w:rsidRDefault="00000000">
            <w:pPr>
              <w:pStyle w:val="TableParagraph"/>
              <w:spacing w:before="1"/>
              <w:ind w:left="107"/>
              <w:rPr>
                <w:rFonts w:ascii="Open Sans" w:hAnsi="Open Sans" w:cs="Open Sans"/>
                <w:b/>
                <w:color w:val="17365D" w:themeColor="text2" w:themeShade="BF"/>
              </w:rPr>
            </w:pPr>
            <w:r w:rsidRPr="00012B74">
              <w:rPr>
                <w:rFonts w:ascii="Open Sans" w:hAnsi="Open Sans" w:cs="Open Sans"/>
                <w:b/>
                <w:color w:val="17365D" w:themeColor="text2" w:themeShade="BF"/>
              </w:rPr>
              <w:t>Partners</w:t>
            </w:r>
          </w:p>
        </w:tc>
        <w:tc>
          <w:tcPr>
            <w:tcW w:w="8049" w:type="dxa"/>
          </w:tcPr>
          <w:p w14:paraId="107E0330" w14:textId="77777777" w:rsidR="002846AC" w:rsidRPr="00012B74" w:rsidRDefault="00000000">
            <w:pPr>
              <w:pStyle w:val="TableParagraph"/>
              <w:spacing w:line="250" w:lineRule="exact"/>
              <w:ind w:left="105"/>
              <w:rPr>
                <w:rFonts w:ascii="Open Sans" w:hAnsi="Open Sans" w:cs="Open Sans"/>
                <w:b/>
                <w:color w:val="17365D" w:themeColor="text2" w:themeShade="BF"/>
              </w:rPr>
            </w:pPr>
            <w:r w:rsidRPr="00012B74">
              <w:rPr>
                <w:rFonts w:ascii="Open Sans" w:hAnsi="Open Sans" w:cs="Open Sans"/>
                <w:b/>
                <w:color w:val="17365D" w:themeColor="text2" w:themeShade="BF"/>
              </w:rPr>
              <w:t>BP: Municipality of Debrecen (Hungary)</w:t>
            </w:r>
          </w:p>
          <w:p w14:paraId="4D4D0E92" w14:textId="77777777" w:rsidR="002846AC" w:rsidRPr="00012B74" w:rsidRDefault="00000000">
            <w:pPr>
              <w:pStyle w:val="TableParagraph"/>
              <w:spacing w:before="20"/>
              <w:ind w:left="105"/>
              <w:rPr>
                <w:rFonts w:ascii="Open Sans" w:hAnsi="Open Sans" w:cs="Open Sans"/>
                <w:color w:val="17365D" w:themeColor="text2" w:themeShade="BF"/>
              </w:rPr>
            </w:pPr>
            <w:r w:rsidRPr="00012B74">
              <w:rPr>
                <w:rFonts w:ascii="Open Sans" w:hAnsi="Open Sans" w:cs="Open Sans"/>
                <w:color w:val="17365D" w:themeColor="text2" w:themeShade="BF"/>
              </w:rPr>
              <w:t>PP2: Csokonai Theatre (Hungary)</w:t>
            </w:r>
          </w:p>
          <w:p w14:paraId="2034D17B" w14:textId="77777777" w:rsidR="002846AC" w:rsidRPr="00012B74" w:rsidRDefault="00000000">
            <w:pPr>
              <w:pStyle w:val="TableParagraph"/>
              <w:spacing w:before="21"/>
              <w:ind w:left="105"/>
              <w:rPr>
                <w:rFonts w:ascii="Open Sans" w:hAnsi="Open Sans" w:cs="Open Sans"/>
                <w:color w:val="17365D" w:themeColor="text2" w:themeShade="BF"/>
              </w:rPr>
            </w:pPr>
            <w:r w:rsidRPr="00012B74">
              <w:rPr>
                <w:rFonts w:ascii="Open Sans" w:hAnsi="Open Sans" w:cs="Open Sans"/>
                <w:color w:val="17365D" w:themeColor="text2" w:themeShade="BF"/>
              </w:rPr>
              <w:t xml:space="preserve">PP3: Tarii </w:t>
            </w:r>
            <w:proofErr w:type="spellStart"/>
            <w:r w:rsidRPr="00012B74">
              <w:rPr>
                <w:rFonts w:ascii="Open Sans" w:hAnsi="Open Sans" w:cs="Open Sans"/>
                <w:color w:val="17365D" w:themeColor="text2" w:themeShade="BF"/>
              </w:rPr>
              <w:t>Crisurilor</w:t>
            </w:r>
            <w:proofErr w:type="spellEnd"/>
            <w:r w:rsidRPr="00012B74">
              <w:rPr>
                <w:rFonts w:ascii="Open Sans" w:hAnsi="Open Sans" w:cs="Open Sans"/>
                <w:color w:val="17365D" w:themeColor="text2" w:themeShade="BF"/>
              </w:rPr>
              <w:t xml:space="preserve"> Museum (Romania)</w:t>
            </w:r>
          </w:p>
          <w:p w14:paraId="25551861" w14:textId="77777777" w:rsidR="002846AC" w:rsidRPr="00012B74" w:rsidRDefault="00000000">
            <w:pPr>
              <w:pStyle w:val="TableParagraph"/>
              <w:tabs>
                <w:tab w:val="left" w:pos="805"/>
              </w:tabs>
              <w:spacing w:before="4" w:line="270" w:lineRule="atLeast"/>
              <w:ind w:left="105" w:right="102"/>
              <w:rPr>
                <w:rFonts w:ascii="Open Sans" w:hAnsi="Open Sans" w:cs="Open Sans"/>
                <w:color w:val="17365D" w:themeColor="text2" w:themeShade="BF"/>
              </w:rPr>
            </w:pPr>
            <w:r w:rsidRPr="00012B74">
              <w:rPr>
                <w:rFonts w:ascii="Open Sans" w:hAnsi="Open Sans" w:cs="Open Sans"/>
                <w:color w:val="17365D" w:themeColor="text2" w:themeShade="BF"/>
              </w:rPr>
              <w:t>PP4:</w:t>
            </w:r>
            <w:r w:rsidRPr="00012B74">
              <w:rPr>
                <w:rFonts w:ascii="Open Sans" w:hAnsi="Open Sans" w:cs="Open Sans"/>
                <w:color w:val="17365D" w:themeColor="text2" w:themeShade="BF"/>
              </w:rPr>
              <w:tab/>
              <w:t>"Gheorghe Șincai" County Library, successor in rights and obligations of Varad Magazine (Romania)</w:t>
            </w:r>
          </w:p>
        </w:tc>
      </w:tr>
      <w:tr w:rsidR="00012B74" w:rsidRPr="00012B74" w14:paraId="1CB82640" w14:textId="77777777">
        <w:trPr>
          <w:trHeight w:val="1365"/>
        </w:trPr>
        <w:tc>
          <w:tcPr>
            <w:tcW w:w="1844" w:type="dxa"/>
            <w:shd w:val="clear" w:color="auto" w:fill="E7E6E6"/>
          </w:tcPr>
          <w:p w14:paraId="0A3A999F" w14:textId="77777777" w:rsidR="002846AC" w:rsidRPr="00012B74" w:rsidRDefault="002846AC">
            <w:pPr>
              <w:pStyle w:val="TableParagraph"/>
              <w:spacing w:before="238"/>
              <w:rPr>
                <w:rFonts w:ascii="Open Sans" w:hAnsi="Open Sans" w:cs="Open Sans"/>
                <w:color w:val="17365D" w:themeColor="text2" w:themeShade="BF"/>
              </w:rPr>
            </w:pPr>
          </w:p>
          <w:p w14:paraId="05241858" w14:textId="77777777" w:rsidR="002846AC" w:rsidRPr="00012B74" w:rsidRDefault="00000000">
            <w:pPr>
              <w:pStyle w:val="TableParagraph"/>
              <w:spacing w:before="1"/>
              <w:ind w:left="107"/>
              <w:rPr>
                <w:rFonts w:ascii="Open Sans" w:hAnsi="Open Sans" w:cs="Open Sans"/>
                <w:b/>
                <w:color w:val="17365D" w:themeColor="text2" w:themeShade="BF"/>
              </w:rPr>
            </w:pPr>
            <w:r w:rsidRPr="00012B74">
              <w:rPr>
                <w:rFonts w:ascii="Open Sans" w:hAnsi="Open Sans" w:cs="Open Sans"/>
                <w:b/>
                <w:color w:val="17365D" w:themeColor="text2" w:themeShade="BF"/>
              </w:rPr>
              <w:t>TOTAL Budget</w:t>
            </w:r>
          </w:p>
        </w:tc>
        <w:tc>
          <w:tcPr>
            <w:tcW w:w="8049" w:type="dxa"/>
          </w:tcPr>
          <w:p w14:paraId="54C6A88E" w14:textId="77777777" w:rsidR="002846AC" w:rsidRPr="00012B74" w:rsidRDefault="00000000">
            <w:pPr>
              <w:pStyle w:val="TableParagraph"/>
              <w:spacing w:line="250" w:lineRule="exact"/>
              <w:ind w:left="105"/>
              <w:rPr>
                <w:rFonts w:ascii="Open Sans" w:hAnsi="Open Sans" w:cs="Open Sans"/>
                <w:b/>
                <w:color w:val="17365D" w:themeColor="text2" w:themeShade="BF"/>
              </w:rPr>
            </w:pPr>
            <w:r w:rsidRPr="00012B74">
              <w:rPr>
                <w:rFonts w:ascii="Open Sans" w:hAnsi="Open Sans" w:cs="Open Sans"/>
                <w:color w:val="17365D" w:themeColor="text2" w:themeShade="BF"/>
              </w:rPr>
              <w:t xml:space="preserve">Total </w:t>
            </w:r>
            <w:r w:rsidRPr="00012B74">
              <w:rPr>
                <w:rFonts w:ascii="Open Sans" w:hAnsi="Open Sans" w:cs="Open Sans"/>
                <w:b/>
                <w:color w:val="17365D" w:themeColor="text2" w:themeShade="BF"/>
              </w:rPr>
              <w:t>10,172,739.24 EUR, out of which ERDF 8,398,518.43 EUR</w:t>
            </w:r>
          </w:p>
          <w:p w14:paraId="643D3F74" w14:textId="77777777" w:rsidR="002846AC" w:rsidRPr="00012B74" w:rsidRDefault="00000000">
            <w:pPr>
              <w:pStyle w:val="TableParagraph"/>
              <w:spacing w:before="3" w:line="270" w:lineRule="atLeast"/>
              <w:ind w:left="105" w:right="946"/>
              <w:rPr>
                <w:rFonts w:ascii="Open Sans" w:hAnsi="Open Sans" w:cs="Open Sans"/>
                <w:color w:val="17365D" w:themeColor="text2" w:themeShade="BF"/>
              </w:rPr>
            </w:pPr>
            <w:r w:rsidRPr="00012B74">
              <w:rPr>
                <w:rFonts w:ascii="Open Sans" w:hAnsi="Open Sans" w:cs="Open Sans"/>
                <w:color w:val="17365D" w:themeColor="text2" w:themeShade="BF"/>
              </w:rPr>
              <w:t>LB: 5,001,223.88 EUR ERDF, 588,320.45 EUR national co-financing PP2: 475,615.97 EUR ERDF, 55,949.23 EUR national co-financing PP3: 2,349,761.42 EUR ERDF, 359,315.84 EUR national co-financing PP4: 571,917.16 EUR ERDF, 87,461.55 EUR national co-financing</w:t>
            </w:r>
          </w:p>
        </w:tc>
      </w:tr>
      <w:tr w:rsidR="00012B74" w:rsidRPr="00012B74" w14:paraId="0EEE3169" w14:textId="77777777">
        <w:trPr>
          <w:trHeight w:val="547"/>
        </w:trPr>
        <w:tc>
          <w:tcPr>
            <w:tcW w:w="1844" w:type="dxa"/>
            <w:shd w:val="clear" w:color="auto" w:fill="E7E6E6"/>
          </w:tcPr>
          <w:p w14:paraId="5FA0284F" w14:textId="77777777" w:rsidR="002846AC" w:rsidRPr="00012B74" w:rsidRDefault="00000000">
            <w:pPr>
              <w:pStyle w:val="TableParagraph"/>
              <w:spacing w:before="84"/>
              <w:ind w:left="107"/>
              <w:rPr>
                <w:rFonts w:ascii="Open Sans" w:hAnsi="Open Sans" w:cs="Open Sans"/>
                <w:b/>
                <w:color w:val="17365D" w:themeColor="text2" w:themeShade="BF"/>
              </w:rPr>
            </w:pPr>
            <w:r w:rsidRPr="00012B74">
              <w:rPr>
                <w:rFonts w:ascii="Open Sans" w:hAnsi="Open Sans" w:cs="Open Sans"/>
                <w:b/>
                <w:color w:val="17365D" w:themeColor="text2" w:themeShade="BF"/>
              </w:rPr>
              <w:t>Objective</w:t>
            </w:r>
          </w:p>
        </w:tc>
        <w:tc>
          <w:tcPr>
            <w:tcW w:w="8049" w:type="dxa"/>
          </w:tcPr>
          <w:p w14:paraId="1E374E58" w14:textId="06D35938" w:rsidR="002846AC" w:rsidRPr="00012B74" w:rsidRDefault="00000000">
            <w:pPr>
              <w:pStyle w:val="TableParagraph"/>
              <w:spacing w:line="250" w:lineRule="exact"/>
              <w:ind w:left="105"/>
              <w:rPr>
                <w:rFonts w:ascii="Open Sans" w:hAnsi="Open Sans" w:cs="Open Sans"/>
                <w:color w:val="17365D" w:themeColor="text2" w:themeShade="BF"/>
              </w:rPr>
            </w:pPr>
            <w:r w:rsidRPr="00012B74">
              <w:rPr>
                <w:rFonts w:ascii="Open Sans" w:hAnsi="Open Sans" w:cs="Open Sans"/>
                <w:color w:val="17365D" w:themeColor="text2" w:themeShade="BF"/>
              </w:rPr>
              <w:t>The project aim</w:t>
            </w:r>
            <w:r w:rsidR="00393B7E" w:rsidRPr="00012B74">
              <w:rPr>
                <w:rFonts w:ascii="Open Sans" w:hAnsi="Open Sans" w:cs="Open Sans"/>
                <w:color w:val="17365D" w:themeColor="text2" w:themeShade="BF"/>
              </w:rPr>
              <w:t>ed</w:t>
            </w:r>
            <w:r w:rsidRPr="00012B74">
              <w:rPr>
                <w:rFonts w:ascii="Open Sans" w:hAnsi="Open Sans" w:cs="Open Sans"/>
                <w:color w:val="17365D" w:themeColor="text2" w:themeShade="BF"/>
              </w:rPr>
              <w:t xml:space="preserve"> at the sustainable use, protection and transfer of common</w:t>
            </w:r>
          </w:p>
          <w:p w14:paraId="4AC5522C" w14:textId="77777777" w:rsidR="002846AC" w:rsidRPr="00012B74" w:rsidRDefault="00000000">
            <w:pPr>
              <w:pStyle w:val="TableParagraph"/>
              <w:spacing w:before="21"/>
              <w:ind w:left="105"/>
              <w:rPr>
                <w:rFonts w:ascii="Open Sans" w:hAnsi="Open Sans" w:cs="Open Sans"/>
                <w:color w:val="17365D" w:themeColor="text2" w:themeShade="BF"/>
              </w:rPr>
            </w:pPr>
            <w:r w:rsidRPr="00012B74">
              <w:rPr>
                <w:rFonts w:ascii="Open Sans" w:hAnsi="Open Sans" w:cs="Open Sans"/>
                <w:color w:val="17365D" w:themeColor="text2" w:themeShade="BF"/>
              </w:rPr>
              <w:t>Romanian-Hungarian cultural values and heritage.</w:t>
            </w:r>
          </w:p>
        </w:tc>
      </w:tr>
      <w:tr w:rsidR="00012B74" w:rsidRPr="00012B74" w14:paraId="0EDCBC27" w14:textId="77777777">
        <w:trPr>
          <w:trHeight w:val="4879"/>
        </w:trPr>
        <w:tc>
          <w:tcPr>
            <w:tcW w:w="1844" w:type="dxa"/>
            <w:shd w:val="clear" w:color="auto" w:fill="E7E6E6"/>
          </w:tcPr>
          <w:p w14:paraId="10BBF75A" w14:textId="77777777" w:rsidR="002846AC" w:rsidRPr="00012B74" w:rsidRDefault="002846AC">
            <w:pPr>
              <w:pStyle w:val="TableParagraph"/>
              <w:rPr>
                <w:rFonts w:ascii="Open Sans" w:hAnsi="Open Sans" w:cs="Open Sans"/>
                <w:color w:val="17365D" w:themeColor="text2" w:themeShade="BF"/>
              </w:rPr>
            </w:pPr>
          </w:p>
          <w:p w14:paraId="160CFA62" w14:textId="77777777" w:rsidR="002846AC" w:rsidRPr="00012B74" w:rsidRDefault="002846AC">
            <w:pPr>
              <w:pStyle w:val="TableParagraph"/>
              <w:rPr>
                <w:rFonts w:ascii="Open Sans" w:hAnsi="Open Sans" w:cs="Open Sans"/>
                <w:color w:val="17365D" w:themeColor="text2" w:themeShade="BF"/>
              </w:rPr>
            </w:pPr>
          </w:p>
          <w:p w14:paraId="0AEE4E68" w14:textId="77777777" w:rsidR="002846AC" w:rsidRPr="00012B74" w:rsidRDefault="002846AC">
            <w:pPr>
              <w:pStyle w:val="TableParagraph"/>
              <w:rPr>
                <w:rFonts w:ascii="Open Sans" w:hAnsi="Open Sans" w:cs="Open Sans"/>
                <w:color w:val="17365D" w:themeColor="text2" w:themeShade="BF"/>
              </w:rPr>
            </w:pPr>
          </w:p>
          <w:p w14:paraId="7342A639" w14:textId="77777777" w:rsidR="002846AC" w:rsidRPr="00012B74" w:rsidRDefault="002846AC">
            <w:pPr>
              <w:pStyle w:val="TableParagraph"/>
              <w:rPr>
                <w:rFonts w:ascii="Open Sans" w:hAnsi="Open Sans" w:cs="Open Sans"/>
                <w:color w:val="17365D" w:themeColor="text2" w:themeShade="BF"/>
              </w:rPr>
            </w:pPr>
          </w:p>
          <w:p w14:paraId="5EEFCC9F" w14:textId="77777777" w:rsidR="002846AC" w:rsidRPr="00012B74" w:rsidRDefault="002846AC">
            <w:pPr>
              <w:pStyle w:val="TableParagraph"/>
              <w:rPr>
                <w:rFonts w:ascii="Open Sans" w:hAnsi="Open Sans" w:cs="Open Sans"/>
                <w:color w:val="17365D" w:themeColor="text2" w:themeShade="BF"/>
              </w:rPr>
            </w:pPr>
          </w:p>
          <w:p w14:paraId="3089C99A" w14:textId="77777777" w:rsidR="002846AC" w:rsidRPr="00012B74" w:rsidRDefault="002846AC">
            <w:pPr>
              <w:pStyle w:val="TableParagraph"/>
              <w:rPr>
                <w:rFonts w:ascii="Open Sans" w:hAnsi="Open Sans" w:cs="Open Sans"/>
                <w:color w:val="17365D" w:themeColor="text2" w:themeShade="BF"/>
              </w:rPr>
            </w:pPr>
          </w:p>
          <w:p w14:paraId="3107EA9E" w14:textId="77777777" w:rsidR="002846AC" w:rsidRPr="00012B74" w:rsidRDefault="002846AC">
            <w:pPr>
              <w:pStyle w:val="TableParagraph"/>
              <w:rPr>
                <w:rFonts w:ascii="Open Sans" w:hAnsi="Open Sans" w:cs="Open Sans"/>
                <w:color w:val="17365D" w:themeColor="text2" w:themeShade="BF"/>
              </w:rPr>
            </w:pPr>
          </w:p>
          <w:p w14:paraId="17C088CA" w14:textId="77777777" w:rsidR="002846AC" w:rsidRPr="00012B74" w:rsidRDefault="002846AC">
            <w:pPr>
              <w:pStyle w:val="TableParagraph"/>
              <w:rPr>
                <w:rFonts w:ascii="Open Sans" w:hAnsi="Open Sans" w:cs="Open Sans"/>
                <w:color w:val="17365D" w:themeColor="text2" w:themeShade="BF"/>
              </w:rPr>
            </w:pPr>
          </w:p>
          <w:p w14:paraId="504C7B9B" w14:textId="77777777" w:rsidR="002846AC" w:rsidRPr="00012B74" w:rsidRDefault="002846AC">
            <w:pPr>
              <w:pStyle w:val="TableParagraph"/>
              <w:spacing w:before="31"/>
              <w:rPr>
                <w:rFonts w:ascii="Open Sans" w:hAnsi="Open Sans" w:cs="Open Sans"/>
                <w:color w:val="17365D" w:themeColor="text2" w:themeShade="BF"/>
              </w:rPr>
            </w:pPr>
          </w:p>
          <w:p w14:paraId="212EDB6D" w14:textId="77777777" w:rsidR="002846AC" w:rsidRPr="00012B74" w:rsidRDefault="00000000">
            <w:pPr>
              <w:pStyle w:val="TableParagraph"/>
              <w:spacing w:before="1"/>
              <w:ind w:left="107"/>
              <w:rPr>
                <w:rFonts w:ascii="Open Sans" w:hAnsi="Open Sans" w:cs="Open Sans"/>
                <w:b/>
                <w:color w:val="17365D" w:themeColor="text2" w:themeShade="BF"/>
              </w:rPr>
            </w:pPr>
            <w:r w:rsidRPr="00012B74">
              <w:rPr>
                <w:rFonts w:ascii="Open Sans" w:hAnsi="Open Sans" w:cs="Open Sans"/>
                <w:b/>
                <w:color w:val="17365D" w:themeColor="text2" w:themeShade="BF"/>
              </w:rPr>
              <w:t>Summary</w:t>
            </w:r>
          </w:p>
        </w:tc>
        <w:tc>
          <w:tcPr>
            <w:tcW w:w="8049" w:type="dxa"/>
          </w:tcPr>
          <w:p w14:paraId="1DA4B094" w14:textId="476C789F" w:rsidR="002846AC" w:rsidRPr="00012B74" w:rsidRDefault="00000000">
            <w:pPr>
              <w:pStyle w:val="TableParagraph"/>
              <w:spacing w:line="248" w:lineRule="exact"/>
              <w:ind w:left="105"/>
              <w:rPr>
                <w:rFonts w:ascii="Open Sans" w:hAnsi="Open Sans" w:cs="Open Sans"/>
                <w:b/>
                <w:color w:val="17365D" w:themeColor="text2" w:themeShade="BF"/>
              </w:rPr>
            </w:pPr>
            <w:r w:rsidRPr="00012B74">
              <w:rPr>
                <w:rFonts w:ascii="Open Sans" w:hAnsi="Open Sans" w:cs="Open Sans"/>
                <w:b/>
                <w:color w:val="17365D" w:themeColor="text2" w:themeShade="BF"/>
              </w:rPr>
              <w:t>The main challenge</w:t>
            </w:r>
            <w:r w:rsidR="00B17972" w:rsidRPr="00012B74">
              <w:rPr>
                <w:rFonts w:ascii="Open Sans" w:hAnsi="Open Sans" w:cs="Open Sans"/>
                <w:b/>
                <w:color w:val="17365D" w:themeColor="text2" w:themeShade="BF"/>
              </w:rPr>
              <w:t>s</w:t>
            </w:r>
            <w:r w:rsidRPr="00012B74">
              <w:rPr>
                <w:rFonts w:ascii="Open Sans" w:hAnsi="Open Sans" w:cs="Open Sans"/>
                <w:b/>
                <w:color w:val="17365D" w:themeColor="text2" w:themeShade="BF"/>
              </w:rPr>
              <w:t xml:space="preserve"> addressed by the project:</w:t>
            </w:r>
          </w:p>
          <w:p w14:paraId="5216D849" w14:textId="77777777" w:rsidR="002846AC" w:rsidRPr="00012B74" w:rsidRDefault="00000000" w:rsidP="00393B7E">
            <w:pPr>
              <w:pStyle w:val="TableParagraph"/>
              <w:numPr>
                <w:ilvl w:val="0"/>
                <w:numId w:val="2"/>
              </w:numPr>
              <w:tabs>
                <w:tab w:val="left" w:pos="390"/>
              </w:tabs>
              <w:spacing w:before="58" w:line="218" w:lineRule="auto"/>
              <w:ind w:left="390" w:right="99" w:hanging="270"/>
              <w:jc w:val="both"/>
              <w:rPr>
                <w:rFonts w:ascii="Open Sans" w:hAnsi="Open Sans" w:cs="Open Sans"/>
                <w:color w:val="17365D" w:themeColor="text2" w:themeShade="BF"/>
              </w:rPr>
            </w:pPr>
            <w:r w:rsidRPr="00012B74">
              <w:rPr>
                <w:rFonts w:ascii="Open Sans" w:hAnsi="Open Sans" w:cs="Open Sans"/>
                <w:color w:val="17365D" w:themeColor="text2" w:themeShade="BF"/>
              </w:rPr>
              <w:t>lack of cultivation, processing and presentation of the common historical and cultural heritage in the cross-border area</w:t>
            </w:r>
          </w:p>
          <w:p w14:paraId="51743D0A" w14:textId="77777777" w:rsidR="002846AC" w:rsidRPr="00012B74" w:rsidRDefault="00000000" w:rsidP="00393B7E">
            <w:pPr>
              <w:pStyle w:val="TableParagraph"/>
              <w:numPr>
                <w:ilvl w:val="0"/>
                <w:numId w:val="2"/>
              </w:numPr>
              <w:tabs>
                <w:tab w:val="left" w:pos="390"/>
              </w:tabs>
              <w:spacing w:before="52" w:line="223" w:lineRule="auto"/>
              <w:ind w:left="390" w:right="103" w:hanging="270"/>
              <w:jc w:val="both"/>
              <w:rPr>
                <w:rFonts w:ascii="Open Sans" w:hAnsi="Open Sans" w:cs="Open Sans"/>
                <w:color w:val="17365D" w:themeColor="text2" w:themeShade="BF"/>
              </w:rPr>
            </w:pPr>
            <w:r w:rsidRPr="00012B74">
              <w:rPr>
                <w:rFonts w:ascii="Open Sans" w:hAnsi="Open Sans" w:cs="Open Sans"/>
                <w:color w:val="17365D" w:themeColor="text2" w:themeShade="BF"/>
              </w:rPr>
              <w:t>insufficient infrastructural and institutional background of artistic training courses, master classes and practical learning opportunities</w:t>
            </w:r>
          </w:p>
          <w:p w14:paraId="73567E46" w14:textId="77777777" w:rsidR="002846AC" w:rsidRPr="00012B74" w:rsidRDefault="002846AC">
            <w:pPr>
              <w:pStyle w:val="TableParagraph"/>
              <w:spacing w:before="42"/>
              <w:rPr>
                <w:rFonts w:ascii="Open Sans" w:hAnsi="Open Sans" w:cs="Open Sans"/>
                <w:color w:val="17365D" w:themeColor="text2" w:themeShade="BF"/>
              </w:rPr>
            </w:pPr>
          </w:p>
          <w:p w14:paraId="583734DF" w14:textId="0CEAFD03" w:rsidR="002846AC" w:rsidRPr="00012B74" w:rsidRDefault="00B17972">
            <w:pPr>
              <w:pStyle w:val="TableParagraph"/>
              <w:ind w:left="105"/>
              <w:rPr>
                <w:rFonts w:ascii="Open Sans" w:hAnsi="Open Sans" w:cs="Open Sans"/>
                <w:color w:val="17365D" w:themeColor="text2" w:themeShade="BF"/>
              </w:rPr>
            </w:pPr>
            <w:r w:rsidRPr="00012B74">
              <w:rPr>
                <w:rFonts w:ascii="Open Sans" w:hAnsi="Open Sans" w:cs="Open Sans"/>
                <w:b/>
                <w:color w:val="17365D" w:themeColor="text2" w:themeShade="BF"/>
              </w:rPr>
              <w:t>The main activities</w:t>
            </w:r>
            <w:r w:rsidR="00393B7E" w:rsidRPr="00012B74">
              <w:rPr>
                <w:rFonts w:ascii="Open Sans" w:hAnsi="Open Sans" w:cs="Open Sans"/>
                <w:b/>
                <w:color w:val="17365D" w:themeColor="text2" w:themeShade="BF"/>
              </w:rPr>
              <w:t xml:space="preserve"> implemented</w:t>
            </w:r>
            <w:r w:rsidRPr="00012B74">
              <w:rPr>
                <w:rFonts w:ascii="Open Sans" w:hAnsi="Open Sans" w:cs="Open Sans"/>
                <w:color w:val="17365D" w:themeColor="text2" w:themeShade="BF"/>
              </w:rPr>
              <w:t>:</w:t>
            </w:r>
          </w:p>
          <w:p w14:paraId="58F42926" w14:textId="77777777" w:rsidR="002846AC" w:rsidRPr="00012B74" w:rsidRDefault="00000000" w:rsidP="00393B7E">
            <w:pPr>
              <w:pStyle w:val="TableParagraph"/>
              <w:numPr>
                <w:ilvl w:val="0"/>
                <w:numId w:val="2"/>
              </w:numPr>
              <w:spacing w:before="51" w:line="223" w:lineRule="auto"/>
              <w:ind w:left="390" w:right="99" w:hanging="180"/>
              <w:jc w:val="both"/>
              <w:rPr>
                <w:rFonts w:ascii="Open Sans" w:hAnsi="Open Sans" w:cs="Open Sans"/>
                <w:color w:val="17365D" w:themeColor="text2" w:themeShade="BF"/>
              </w:rPr>
            </w:pPr>
            <w:r w:rsidRPr="00012B74">
              <w:rPr>
                <w:rFonts w:ascii="Open Sans" w:hAnsi="Open Sans" w:cs="Open Sans"/>
                <w:color w:val="17365D" w:themeColor="text2" w:themeShade="BF"/>
              </w:rPr>
              <w:t>establishing multifunctional Romanian-Hungarian CB Education Centre of Cultural and Historical Heritage in Debrecen (e.g. training space with variable auditorium, black room, training rooms, floor for dance classes);</w:t>
            </w:r>
          </w:p>
          <w:p w14:paraId="29DB845A" w14:textId="77777777" w:rsidR="002846AC" w:rsidRPr="00012B74" w:rsidRDefault="00000000" w:rsidP="00393B7E">
            <w:pPr>
              <w:pStyle w:val="TableParagraph"/>
              <w:numPr>
                <w:ilvl w:val="0"/>
                <w:numId w:val="2"/>
              </w:numPr>
              <w:spacing w:before="49" w:line="206" w:lineRule="auto"/>
              <w:ind w:left="390" w:right="100" w:hanging="180"/>
              <w:jc w:val="both"/>
              <w:rPr>
                <w:rFonts w:ascii="Open Sans" w:hAnsi="Open Sans" w:cs="Open Sans"/>
                <w:color w:val="17365D" w:themeColor="text2" w:themeShade="BF"/>
              </w:rPr>
            </w:pPr>
            <w:r w:rsidRPr="00012B74">
              <w:rPr>
                <w:rFonts w:ascii="Open Sans" w:hAnsi="Open Sans" w:cs="Open Sans"/>
                <w:color w:val="17365D" w:themeColor="text2" w:themeShade="BF"/>
              </w:rPr>
              <w:t xml:space="preserve">infrastructural development of </w:t>
            </w:r>
            <w:proofErr w:type="spellStart"/>
            <w:r w:rsidRPr="00012B74">
              <w:rPr>
                <w:rFonts w:ascii="Open Sans" w:hAnsi="Open Sans" w:cs="Open Sans"/>
                <w:color w:val="17365D" w:themeColor="text2" w:themeShade="BF"/>
              </w:rPr>
              <w:t>Țării</w:t>
            </w:r>
            <w:proofErr w:type="spellEnd"/>
            <w:r w:rsidRPr="00012B74">
              <w:rPr>
                <w:rFonts w:ascii="Open Sans" w:hAnsi="Open Sans" w:cs="Open Sans"/>
                <w:color w:val="17365D" w:themeColor="text2" w:themeShade="BF"/>
              </w:rPr>
              <w:t xml:space="preserve"> </w:t>
            </w:r>
            <w:proofErr w:type="spellStart"/>
            <w:r w:rsidRPr="00012B74">
              <w:rPr>
                <w:rFonts w:ascii="Open Sans" w:hAnsi="Open Sans" w:cs="Open Sans"/>
                <w:color w:val="17365D" w:themeColor="text2" w:themeShade="BF"/>
              </w:rPr>
              <w:t>Crișurilor</w:t>
            </w:r>
            <w:proofErr w:type="spellEnd"/>
            <w:r w:rsidRPr="00012B74">
              <w:rPr>
                <w:rFonts w:ascii="Open Sans" w:hAnsi="Open Sans" w:cs="Open Sans"/>
                <w:color w:val="17365D" w:themeColor="text2" w:themeShade="BF"/>
              </w:rPr>
              <w:t xml:space="preserve"> Museum in Oradea (e.g. establishing new exhibition, holograms, multimedia information system);</w:t>
            </w:r>
          </w:p>
          <w:p w14:paraId="65713999" w14:textId="77777777" w:rsidR="002846AC" w:rsidRPr="00012B74" w:rsidRDefault="00000000" w:rsidP="00393B7E">
            <w:pPr>
              <w:pStyle w:val="TableParagraph"/>
              <w:numPr>
                <w:ilvl w:val="0"/>
                <w:numId w:val="2"/>
              </w:numPr>
              <w:spacing w:before="35" w:line="223" w:lineRule="auto"/>
              <w:ind w:left="390" w:right="100" w:hanging="180"/>
              <w:jc w:val="both"/>
              <w:rPr>
                <w:rFonts w:ascii="Open Sans" w:hAnsi="Open Sans" w:cs="Open Sans"/>
                <w:color w:val="17365D" w:themeColor="text2" w:themeShade="BF"/>
              </w:rPr>
            </w:pPr>
            <w:r w:rsidRPr="00012B74">
              <w:rPr>
                <w:rFonts w:ascii="Open Sans" w:hAnsi="Open Sans" w:cs="Open Sans"/>
                <w:color w:val="17365D" w:themeColor="text2" w:themeShade="BF"/>
              </w:rPr>
              <w:t>infrastructural development of Cultural Centre in Oradea (e.g. establishing the infrastructural and technical conditions necessary for providing cultural trainings and events);</w:t>
            </w:r>
          </w:p>
          <w:p w14:paraId="43BB98AB" w14:textId="77777777" w:rsidR="002846AC" w:rsidRPr="00012B74" w:rsidRDefault="00000000" w:rsidP="00393B7E">
            <w:pPr>
              <w:pStyle w:val="TableParagraph"/>
              <w:numPr>
                <w:ilvl w:val="0"/>
                <w:numId w:val="2"/>
              </w:numPr>
              <w:spacing w:before="48" w:line="206" w:lineRule="auto"/>
              <w:ind w:left="390" w:right="97" w:hanging="180"/>
              <w:jc w:val="both"/>
              <w:rPr>
                <w:rFonts w:ascii="Open Sans" w:hAnsi="Open Sans" w:cs="Open Sans"/>
                <w:color w:val="17365D" w:themeColor="text2" w:themeShade="BF"/>
              </w:rPr>
            </w:pPr>
            <w:r w:rsidRPr="00012B74">
              <w:rPr>
                <w:rFonts w:ascii="Open Sans" w:hAnsi="Open Sans" w:cs="Open Sans"/>
                <w:color w:val="17365D" w:themeColor="text2" w:themeShade="BF"/>
              </w:rPr>
              <w:t>implementing common CB cultural activities coordinated by the Csokonai Theatre.</w:t>
            </w:r>
          </w:p>
        </w:tc>
      </w:tr>
    </w:tbl>
    <w:p w14:paraId="452AEA73" w14:textId="77777777" w:rsidR="002846AC" w:rsidRPr="00012B74" w:rsidRDefault="002846AC">
      <w:pPr>
        <w:pStyle w:val="TableParagraph"/>
        <w:spacing w:line="206" w:lineRule="auto"/>
        <w:jc w:val="both"/>
        <w:rPr>
          <w:rFonts w:ascii="PMingLiU-ExtB" w:hAnsi="PMingLiU-ExtB"/>
          <w:color w:val="17365D" w:themeColor="text2" w:themeShade="BF"/>
        </w:rPr>
        <w:sectPr w:rsidR="002846AC" w:rsidRPr="00012B74">
          <w:headerReference w:type="default" r:id="rId7"/>
          <w:footerReference w:type="default" r:id="rId8"/>
          <w:type w:val="continuous"/>
          <w:pgSz w:w="11910" w:h="16840"/>
          <w:pgMar w:top="2000" w:right="992" w:bottom="840" w:left="992" w:header="720" w:footer="650" w:gutter="0"/>
          <w:pgNumType w:start="1"/>
          <w:cols w:space="720"/>
        </w:sectPr>
      </w:pPr>
    </w:p>
    <w:p w14:paraId="1A712628" w14:textId="77777777" w:rsidR="002846AC" w:rsidRPr="00012B74" w:rsidRDefault="002846AC">
      <w:pPr>
        <w:pStyle w:val="BodyText"/>
        <w:spacing w:before="1"/>
        <w:rPr>
          <w:rFonts w:ascii="Times New Roman"/>
          <w:color w:val="17365D" w:themeColor="text2" w:themeShade="BF"/>
          <w:sz w:val="1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8049"/>
      </w:tblGrid>
      <w:tr w:rsidR="00012B74" w:rsidRPr="00012B74" w14:paraId="772B99DD" w14:textId="77777777" w:rsidTr="00AD3325">
        <w:trPr>
          <w:trHeight w:val="3048"/>
        </w:trPr>
        <w:tc>
          <w:tcPr>
            <w:tcW w:w="1844" w:type="dxa"/>
            <w:shd w:val="clear" w:color="auto" w:fill="E7E6E6"/>
          </w:tcPr>
          <w:p w14:paraId="71BC066C" w14:textId="77777777" w:rsidR="002846AC" w:rsidRPr="00012B74" w:rsidRDefault="002846AC">
            <w:pPr>
              <w:pStyle w:val="TableParagraph"/>
              <w:rPr>
                <w:rFonts w:ascii="Open Sans" w:hAnsi="Open Sans" w:cs="Open Sans"/>
                <w:color w:val="17365D" w:themeColor="text2" w:themeShade="BF"/>
              </w:rPr>
            </w:pPr>
          </w:p>
          <w:p w14:paraId="554F5113" w14:textId="77777777" w:rsidR="002846AC" w:rsidRPr="00012B74" w:rsidRDefault="002846AC">
            <w:pPr>
              <w:pStyle w:val="TableParagraph"/>
              <w:rPr>
                <w:rFonts w:ascii="Open Sans" w:hAnsi="Open Sans" w:cs="Open Sans"/>
                <w:color w:val="17365D" w:themeColor="text2" w:themeShade="BF"/>
              </w:rPr>
            </w:pPr>
          </w:p>
          <w:p w14:paraId="5EE618D9" w14:textId="77777777" w:rsidR="002846AC" w:rsidRPr="00012B74" w:rsidRDefault="002846AC">
            <w:pPr>
              <w:pStyle w:val="TableParagraph"/>
              <w:rPr>
                <w:rFonts w:ascii="Open Sans" w:hAnsi="Open Sans" w:cs="Open Sans"/>
                <w:color w:val="17365D" w:themeColor="text2" w:themeShade="BF"/>
              </w:rPr>
            </w:pPr>
          </w:p>
          <w:p w14:paraId="3C541998" w14:textId="77777777" w:rsidR="002846AC" w:rsidRPr="00012B74" w:rsidRDefault="002846AC">
            <w:pPr>
              <w:pStyle w:val="TableParagraph"/>
              <w:rPr>
                <w:rFonts w:ascii="Open Sans" w:hAnsi="Open Sans" w:cs="Open Sans"/>
                <w:color w:val="17365D" w:themeColor="text2" w:themeShade="BF"/>
              </w:rPr>
            </w:pPr>
          </w:p>
          <w:p w14:paraId="0166B11E" w14:textId="77777777" w:rsidR="002846AC" w:rsidRPr="00012B74" w:rsidRDefault="002846AC">
            <w:pPr>
              <w:pStyle w:val="TableParagraph"/>
              <w:rPr>
                <w:rFonts w:ascii="Open Sans" w:hAnsi="Open Sans" w:cs="Open Sans"/>
                <w:color w:val="17365D" w:themeColor="text2" w:themeShade="BF"/>
              </w:rPr>
            </w:pPr>
          </w:p>
          <w:p w14:paraId="5BA577A8" w14:textId="77777777" w:rsidR="002846AC" w:rsidRPr="00012B74" w:rsidRDefault="002846AC">
            <w:pPr>
              <w:pStyle w:val="TableParagraph"/>
              <w:rPr>
                <w:rFonts w:ascii="Open Sans" w:hAnsi="Open Sans" w:cs="Open Sans"/>
                <w:color w:val="17365D" w:themeColor="text2" w:themeShade="BF"/>
              </w:rPr>
            </w:pPr>
          </w:p>
          <w:p w14:paraId="75EC44DE" w14:textId="77777777" w:rsidR="002846AC" w:rsidRPr="00012B74" w:rsidRDefault="002846AC">
            <w:pPr>
              <w:pStyle w:val="TableParagraph"/>
              <w:rPr>
                <w:rFonts w:ascii="Open Sans" w:hAnsi="Open Sans" w:cs="Open Sans"/>
                <w:color w:val="17365D" w:themeColor="text2" w:themeShade="BF"/>
              </w:rPr>
            </w:pPr>
          </w:p>
          <w:p w14:paraId="041ADFFB" w14:textId="77777777" w:rsidR="002846AC" w:rsidRPr="00012B74" w:rsidRDefault="002846AC">
            <w:pPr>
              <w:pStyle w:val="TableParagraph"/>
              <w:rPr>
                <w:rFonts w:ascii="Open Sans" w:hAnsi="Open Sans" w:cs="Open Sans"/>
                <w:color w:val="17365D" w:themeColor="text2" w:themeShade="BF"/>
              </w:rPr>
            </w:pPr>
          </w:p>
          <w:p w14:paraId="160F3FE2" w14:textId="77777777" w:rsidR="002846AC" w:rsidRPr="00012B74" w:rsidRDefault="002846AC">
            <w:pPr>
              <w:pStyle w:val="TableParagraph"/>
              <w:rPr>
                <w:rFonts w:ascii="Open Sans" w:hAnsi="Open Sans" w:cs="Open Sans"/>
                <w:color w:val="17365D" w:themeColor="text2" w:themeShade="BF"/>
              </w:rPr>
            </w:pPr>
          </w:p>
          <w:p w14:paraId="62126E35" w14:textId="77777777" w:rsidR="002846AC" w:rsidRPr="00012B74" w:rsidRDefault="002846AC">
            <w:pPr>
              <w:pStyle w:val="TableParagraph"/>
              <w:rPr>
                <w:rFonts w:ascii="Open Sans" w:hAnsi="Open Sans" w:cs="Open Sans"/>
                <w:color w:val="17365D" w:themeColor="text2" w:themeShade="BF"/>
              </w:rPr>
            </w:pPr>
          </w:p>
          <w:p w14:paraId="781ACE6D" w14:textId="77777777" w:rsidR="002846AC" w:rsidRPr="00012B74" w:rsidRDefault="002846AC">
            <w:pPr>
              <w:pStyle w:val="TableParagraph"/>
              <w:rPr>
                <w:rFonts w:ascii="Open Sans" w:hAnsi="Open Sans" w:cs="Open Sans"/>
                <w:color w:val="17365D" w:themeColor="text2" w:themeShade="BF"/>
              </w:rPr>
            </w:pPr>
          </w:p>
          <w:p w14:paraId="376E305F" w14:textId="77777777" w:rsidR="002846AC" w:rsidRPr="00012B74" w:rsidRDefault="002846AC">
            <w:pPr>
              <w:pStyle w:val="TableParagraph"/>
              <w:rPr>
                <w:rFonts w:ascii="Open Sans" w:hAnsi="Open Sans" w:cs="Open Sans"/>
                <w:color w:val="17365D" w:themeColor="text2" w:themeShade="BF"/>
              </w:rPr>
            </w:pPr>
          </w:p>
          <w:p w14:paraId="19428142" w14:textId="77777777" w:rsidR="002846AC" w:rsidRPr="00012B74" w:rsidRDefault="002846AC">
            <w:pPr>
              <w:pStyle w:val="TableParagraph"/>
              <w:rPr>
                <w:rFonts w:ascii="Open Sans" w:hAnsi="Open Sans" w:cs="Open Sans"/>
                <w:color w:val="17365D" w:themeColor="text2" w:themeShade="BF"/>
              </w:rPr>
            </w:pPr>
          </w:p>
          <w:p w14:paraId="2765852A" w14:textId="77777777" w:rsidR="002846AC" w:rsidRPr="00012B74" w:rsidRDefault="002846AC">
            <w:pPr>
              <w:pStyle w:val="TableParagraph"/>
              <w:rPr>
                <w:rFonts w:ascii="Open Sans" w:hAnsi="Open Sans" w:cs="Open Sans"/>
                <w:color w:val="17365D" w:themeColor="text2" w:themeShade="BF"/>
              </w:rPr>
            </w:pPr>
          </w:p>
          <w:p w14:paraId="7CB25AF8" w14:textId="77777777" w:rsidR="002846AC" w:rsidRPr="00012B74" w:rsidRDefault="002846AC">
            <w:pPr>
              <w:pStyle w:val="TableParagraph"/>
              <w:rPr>
                <w:rFonts w:ascii="Open Sans" w:hAnsi="Open Sans" w:cs="Open Sans"/>
                <w:color w:val="17365D" w:themeColor="text2" w:themeShade="BF"/>
              </w:rPr>
            </w:pPr>
          </w:p>
          <w:p w14:paraId="6158DD91" w14:textId="77777777" w:rsidR="002846AC" w:rsidRPr="00012B74" w:rsidRDefault="002846AC">
            <w:pPr>
              <w:pStyle w:val="TableParagraph"/>
              <w:spacing w:before="145"/>
              <w:rPr>
                <w:rFonts w:ascii="Open Sans" w:hAnsi="Open Sans" w:cs="Open Sans"/>
                <w:color w:val="17365D" w:themeColor="text2" w:themeShade="BF"/>
              </w:rPr>
            </w:pPr>
          </w:p>
          <w:p w14:paraId="2938FF16" w14:textId="3354A6C6" w:rsidR="002846AC" w:rsidRPr="00012B74" w:rsidRDefault="00000000">
            <w:pPr>
              <w:pStyle w:val="TableParagraph"/>
              <w:ind w:left="107"/>
              <w:rPr>
                <w:rFonts w:ascii="Open Sans" w:hAnsi="Open Sans" w:cs="Open Sans"/>
                <w:b/>
                <w:color w:val="17365D" w:themeColor="text2" w:themeShade="BF"/>
              </w:rPr>
            </w:pPr>
            <w:r w:rsidRPr="00012B74">
              <w:rPr>
                <w:rFonts w:ascii="Open Sans" w:hAnsi="Open Sans" w:cs="Open Sans"/>
                <w:b/>
                <w:color w:val="17365D" w:themeColor="text2" w:themeShade="BF"/>
              </w:rPr>
              <w:t xml:space="preserve">Main </w:t>
            </w:r>
            <w:r w:rsidR="00393B7E" w:rsidRPr="00012B74">
              <w:rPr>
                <w:rFonts w:ascii="Open Sans" w:hAnsi="Open Sans" w:cs="Open Sans"/>
                <w:b/>
                <w:color w:val="17365D" w:themeColor="text2" w:themeShade="BF"/>
              </w:rPr>
              <w:t>outcomes</w:t>
            </w:r>
          </w:p>
        </w:tc>
        <w:tc>
          <w:tcPr>
            <w:tcW w:w="8049" w:type="dxa"/>
          </w:tcPr>
          <w:p w14:paraId="5779E8B9" w14:textId="53A06C61" w:rsidR="00393B7E" w:rsidRPr="00012B74" w:rsidRDefault="00393B7E" w:rsidP="00884B17">
            <w:pPr>
              <w:pStyle w:val="TableParagraph"/>
              <w:spacing w:before="1"/>
              <w:ind w:left="101"/>
              <w:rPr>
                <w:rFonts w:ascii="Open Sans" w:hAnsi="Open Sans" w:cs="Open Sans"/>
                <w:b/>
                <w:color w:val="17365D" w:themeColor="text2" w:themeShade="BF"/>
              </w:rPr>
            </w:pPr>
            <w:r w:rsidRPr="00012B74">
              <w:rPr>
                <w:rFonts w:ascii="Open Sans" w:hAnsi="Open Sans" w:cs="Open Sans"/>
                <w:b/>
                <w:color w:val="17365D" w:themeColor="text2" w:themeShade="BF"/>
              </w:rPr>
              <w:t>Deliverables:</w:t>
            </w:r>
          </w:p>
          <w:p w14:paraId="41B53489" w14:textId="25A7766B" w:rsidR="00393B7E" w:rsidRPr="00012B74" w:rsidRDefault="00EC0821" w:rsidP="00884B17">
            <w:pPr>
              <w:pStyle w:val="TableParagraph"/>
              <w:spacing w:before="1"/>
              <w:ind w:left="101"/>
              <w:rPr>
                <w:rFonts w:ascii="Open Sans" w:hAnsi="Open Sans" w:cs="Open Sans"/>
                <w:color w:val="17365D" w:themeColor="text2" w:themeShade="BF"/>
                <w:lang w:val="en-GB"/>
              </w:rPr>
            </w:pPr>
            <w:r w:rsidRPr="00012B74">
              <w:rPr>
                <w:rFonts w:ascii="Open Sans" w:hAnsi="Open Sans" w:cs="Open Sans"/>
                <w:color w:val="17365D" w:themeColor="text2" w:themeShade="BF"/>
                <w:lang w:val="en-GB"/>
              </w:rPr>
              <w:t>1</w:t>
            </w:r>
            <w:r w:rsidR="00393B7E" w:rsidRPr="00012B74">
              <w:rPr>
                <w:rFonts w:ascii="Open Sans" w:hAnsi="Open Sans" w:cs="Open Sans"/>
                <w:color w:val="17365D" w:themeColor="text2" w:themeShade="BF"/>
                <w:lang w:val="en-GB"/>
              </w:rPr>
              <w:t xml:space="preserve">) Several cultural and artistic </w:t>
            </w:r>
            <w:r w:rsidRPr="00012B74">
              <w:rPr>
                <w:rFonts w:ascii="Open Sans" w:hAnsi="Open Sans" w:cs="Open Sans"/>
                <w:color w:val="17365D" w:themeColor="text2" w:themeShade="BF"/>
                <w:lang w:val="en-GB"/>
              </w:rPr>
              <w:t>events</w:t>
            </w:r>
            <w:r w:rsidR="00393B7E" w:rsidRPr="00012B74">
              <w:rPr>
                <w:rFonts w:ascii="Open Sans" w:hAnsi="Open Sans" w:cs="Open Sans"/>
                <w:color w:val="17365D" w:themeColor="text2" w:themeShade="BF"/>
                <w:lang w:val="en-GB"/>
              </w:rPr>
              <w:t xml:space="preserve"> </w:t>
            </w:r>
            <w:r w:rsidRPr="00012B74">
              <w:rPr>
                <w:rFonts w:ascii="Open Sans" w:hAnsi="Open Sans" w:cs="Open Sans"/>
                <w:color w:val="17365D" w:themeColor="text2" w:themeShade="BF"/>
                <w:lang w:val="en-GB"/>
              </w:rPr>
              <w:t>successfully</w:t>
            </w:r>
            <w:r w:rsidR="00393B7E" w:rsidRPr="00012B74">
              <w:rPr>
                <w:rFonts w:ascii="Open Sans" w:hAnsi="Open Sans" w:cs="Open Sans"/>
                <w:color w:val="17365D" w:themeColor="text2" w:themeShade="BF"/>
                <w:lang w:val="en-GB"/>
              </w:rPr>
              <w:t xml:space="preserve"> carried out; a new dance methodology developed, and young, aspiring actors supported through the project activities; conferences on artistic and cultural subjects organised, as well as youth and children international camps, meetings, </w:t>
            </w:r>
            <w:r w:rsidRPr="00012B74">
              <w:rPr>
                <w:rFonts w:ascii="Open Sans" w:hAnsi="Open Sans" w:cs="Open Sans"/>
                <w:color w:val="17365D" w:themeColor="text2" w:themeShade="BF"/>
                <w:lang w:val="en-GB"/>
              </w:rPr>
              <w:t xml:space="preserve">and </w:t>
            </w:r>
            <w:r w:rsidR="00393B7E" w:rsidRPr="00012B74">
              <w:rPr>
                <w:rFonts w:ascii="Open Sans" w:hAnsi="Open Sans" w:cs="Open Sans"/>
                <w:color w:val="17365D" w:themeColor="text2" w:themeShade="BF"/>
                <w:lang w:val="en-GB"/>
              </w:rPr>
              <w:t xml:space="preserve">educational programmes. </w:t>
            </w:r>
          </w:p>
          <w:p w14:paraId="5FAD4AB4" w14:textId="7856541C" w:rsidR="00393B7E" w:rsidRPr="00012B74" w:rsidRDefault="00EC0821" w:rsidP="00884B17">
            <w:pPr>
              <w:pStyle w:val="TableParagraph"/>
              <w:spacing w:before="1"/>
              <w:ind w:left="101"/>
              <w:rPr>
                <w:rFonts w:ascii="Open Sans" w:hAnsi="Open Sans" w:cs="Open Sans"/>
                <w:color w:val="17365D" w:themeColor="text2" w:themeShade="BF"/>
                <w:lang w:val="en-GB"/>
              </w:rPr>
            </w:pPr>
            <w:r w:rsidRPr="00012B74">
              <w:rPr>
                <w:rFonts w:ascii="Open Sans" w:hAnsi="Open Sans" w:cs="Open Sans"/>
                <w:color w:val="17365D" w:themeColor="text2" w:themeShade="BF"/>
                <w:lang w:val="en-GB"/>
              </w:rPr>
              <w:t>2</w:t>
            </w:r>
            <w:r w:rsidR="00393B7E" w:rsidRPr="00012B74">
              <w:rPr>
                <w:rFonts w:ascii="Open Sans" w:hAnsi="Open Sans" w:cs="Open Sans"/>
                <w:color w:val="17365D" w:themeColor="text2" w:themeShade="BF"/>
                <w:lang w:val="en-GB"/>
              </w:rPr>
              <w:t>) Common cross-border cultural activities organised:15 theoretical and practical training programmes, 3 conferences of drama pedagogy, 4 art camps, 2 art meetings for youths, 2 conferences and training sessions, 10 major cultural events recorded from the Romanian-Hungarian border, 3 international conferences of dance anthropology.</w:t>
            </w:r>
          </w:p>
          <w:p w14:paraId="30CD3ACB" w14:textId="77777777" w:rsidR="00393B7E" w:rsidRPr="00012B74" w:rsidRDefault="00393B7E">
            <w:pPr>
              <w:pStyle w:val="TableParagraph"/>
              <w:spacing w:line="248" w:lineRule="exact"/>
              <w:ind w:left="105"/>
              <w:rPr>
                <w:rFonts w:ascii="Open Sans" w:hAnsi="Open Sans" w:cs="Open Sans"/>
                <w:b/>
                <w:color w:val="17365D" w:themeColor="text2" w:themeShade="BF"/>
              </w:rPr>
            </w:pPr>
          </w:p>
          <w:p w14:paraId="0A9EA8B1" w14:textId="3C71092D" w:rsidR="002846AC" w:rsidRPr="00012B74" w:rsidRDefault="00000000">
            <w:pPr>
              <w:pStyle w:val="TableParagraph"/>
              <w:spacing w:line="248" w:lineRule="exact"/>
              <w:ind w:left="105"/>
              <w:rPr>
                <w:rFonts w:ascii="Open Sans" w:hAnsi="Open Sans" w:cs="Open Sans"/>
                <w:b/>
                <w:color w:val="17365D" w:themeColor="text2" w:themeShade="BF"/>
              </w:rPr>
            </w:pPr>
            <w:r w:rsidRPr="00012B74">
              <w:rPr>
                <w:rFonts w:ascii="Open Sans" w:hAnsi="Open Sans" w:cs="Open Sans"/>
                <w:b/>
                <w:color w:val="17365D" w:themeColor="text2" w:themeShade="BF"/>
              </w:rPr>
              <w:t>Investments:</w:t>
            </w:r>
          </w:p>
          <w:p w14:paraId="03BA3C89" w14:textId="73979CC4" w:rsidR="002846AC" w:rsidRPr="00012B74" w:rsidRDefault="00000000" w:rsidP="00B26146">
            <w:pPr>
              <w:pStyle w:val="TableParagraph"/>
              <w:numPr>
                <w:ilvl w:val="0"/>
                <w:numId w:val="3"/>
              </w:numPr>
              <w:tabs>
                <w:tab w:val="left" w:pos="825"/>
              </w:tabs>
              <w:spacing w:before="1"/>
              <w:ind w:right="86"/>
              <w:jc w:val="both"/>
              <w:rPr>
                <w:rFonts w:ascii="Open Sans" w:hAnsi="Open Sans" w:cs="Open Sans"/>
                <w:b/>
                <w:color w:val="17365D" w:themeColor="text2" w:themeShade="BF"/>
              </w:rPr>
            </w:pPr>
            <w:r w:rsidRPr="00012B74">
              <w:rPr>
                <w:rFonts w:ascii="Open Sans" w:hAnsi="Open Sans" w:cs="Open Sans"/>
                <w:b/>
                <w:color w:val="17365D" w:themeColor="text2" w:themeShade="BF"/>
              </w:rPr>
              <w:t xml:space="preserve">LB: a new multifunctional and equipped cultural institution </w:t>
            </w:r>
            <w:r w:rsidRPr="00012B74">
              <w:rPr>
                <w:rFonts w:ascii="Open Sans" w:hAnsi="Open Sans" w:cs="Open Sans"/>
                <w:color w:val="17365D" w:themeColor="text2" w:themeShade="BF"/>
              </w:rPr>
              <w:t xml:space="preserve">- The Romanian-Hungarian Cross-Border Education Centre of Cultural and Historical Heritage. The investment </w:t>
            </w:r>
            <w:r w:rsidR="00393B7E" w:rsidRPr="00012B74">
              <w:rPr>
                <w:rFonts w:ascii="Open Sans" w:hAnsi="Open Sans" w:cs="Open Sans"/>
                <w:color w:val="17365D" w:themeColor="text2" w:themeShade="BF"/>
              </w:rPr>
              <w:t>wa</w:t>
            </w:r>
            <w:r w:rsidRPr="00012B74">
              <w:rPr>
                <w:rFonts w:ascii="Open Sans" w:hAnsi="Open Sans" w:cs="Open Sans"/>
                <w:color w:val="17365D" w:themeColor="text2" w:themeShade="BF"/>
              </w:rPr>
              <w:t xml:space="preserve">s based on 2 pillars complementing each other: protection of existing and creation of new common cultural values. The key rooms (event hall with a variable stage space, </w:t>
            </w:r>
            <w:proofErr w:type="spellStart"/>
            <w:r w:rsidRPr="00012B74">
              <w:rPr>
                <w:rFonts w:ascii="Open Sans" w:hAnsi="Open Sans" w:cs="Open Sans"/>
                <w:color w:val="17365D" w:themeColor="text2" w:themeShade="BF"/>
              </w:rPr>
              <w:t>orpheum</w:t>
            </w:r>
            <w:proofErr w:type="spellEnd"/>
            <w:r w:rsidRPr="00012B74">
              <w:rPr>
                <w:rFonts w:ascii="Open Sans" w:hAnsi="Open Sans" w:cs="Open Sans"/>
                <w:color w:val="17365D" w:themeColor="text2" w:themeShade="BF"/>
              </w:rPr>
              <w:t>, ballet room, training rooms) we</w:t>
            </w:r>
            <w:r w:rsidR="00EC0821" w:rsidRPr="00012B74">
              <w:rPr>
                <w:rFonts w:ascii="Open Sans" w:hAnsi="Open Sans" w:cs="Open Sans"/>
                <w:color w:val="17365D" w:themeColor="text2" w:themeShade="BF"/>
              </w:rPr>
              <w:t>re</w:t>
            </w:r>
            <w:r w:rsidRPr="00012B74">
              <w:rPr>
                <w:rFonts w:ascii="Open Sans" w:hAnsi="Open Sans" w:cs="Open Sans"/>
                <w:color w:val="17365D" w:themeColor="text2" w:themeShade="BF"/>
              </w:rPr>
              <w:t xml:space="preserve"> designed to be suitable for multiple uses. This multifunctionality require</w:t>
            </w:r>
            <w:r w:rsidR="00EC0821" w:rsidRPr="00012B74">
              <w:rPr>
                <w:rFonts w:ascii="Open Sans" w:hAnsi="Open Sans" w:cs="Open Sans"/>
                <w:color w:val="17365D" w:themeColor="text2" w:themeShade="BF"/>
              </w:rPr>
              <w:t>d</w:t>
            </w:r>
            <w:r w:rsidRPr="00012B74">
              <w:rPr>
                <w:rFonts w:ascii="Open Sans" w:hAnsi="Open Sans" w:cs="Open Sans"/>
                <w:color w:val="17365D" w:themeColor="text2" w:themeShade="BF"/>
              </w:rPr>
              <w:t xml:space="preserve"> variable and flexible features. Investment value: </w:t>
            </w:r>
            <w:r w:rsidRPr="00012B74">
              <w:rPr>
                <w:rFonts w:ascii="Open Sans" w:hAnsi="Open Sans" w:cs="Open Sans"/>
                <w:b/>
                <w:color w:val="17365D" w:themeColor="text2" w:themeShade="BF"/>
              </w:rPr>
              <w:t>5.0 mil. EUR.</w:t>
            </w:r>
          </w:p>
          <w:p w14:paraId="1AB10A05" w14:textId="3146E0E3" w:rsidR="002846AC" w:rsidRPr="00012B74" w:rsidRDefault="00000000" w:rsidP="00EC0821">
            <w:pPr>
              <w:pStyle w:val="TableParagraph"/>
              <w:numPr>
                <w:ilvl w:val="0"/>
                <w:numId w:val="3"/>
              </w:numPr>
              <w:tabs>
                <w:tab w:val="left" w:pos="825"/>
              </w:tabs>
              <w:ind w:right="93"/>
              <w:jc w:val="both"/>
              <w:rPr>
                <w:rFonts w:ascii="Open Sans" w:hAnsi="Open Sans" w:cs="Open Sans"/>
                <w:b/>
                <w:color w:val="17365D" w:themeColor="text2" w:themeShade="BF"/>
              </w:rPr>
            </w:pPr>
            <w:r w:rsidRPr="00012B74">
              <w:rPr>
                <w:rFonts w:ascii="Open Sans" w:hAnsi="Open Sans" w:cs="Open Sans"/>
                <w:b/>
                <w:color w:val="17365D" w:themeColor="text2" w:themeShade="BF"/>
              </w:rPr>
              <w:t xml:space="preserve">PP3: modernizations consisting in interior design works and equipment for establishing exhibition rooms </w:t>
            </w:r>
            <w:r w:rsidRPr="00012B74">
              <w:rPr>
                <w:rFonts w:ascii="Open Sans" w:hAnsi="Open Sans" w:cs="Open Sans"/>
                <w:color w:val="17365D" w:themeColor="text2" w:themeShade="BF"/>
              </w:rPr>
              <w:t xml:space="preserve">(total surface of 3168 sqm) at the </w:t>
            </w:r>
            <w:proofErr w:type="spellStart"/>
            <w:r w:rsidR="00EC0821" w:rsidRPr="00012B74">
              <w:rPr>
                <w:rFonts w:ascii="Open Sans" w:hAnsi="Open Sans" w:cs="Open Sans"/>
                <w:color w:val="17365D" w:themeColor="text2" w:themeShade="BF"/>
              </w:rPr>
              <w:t>Ță</w:t>
            </w:r>
            <w:r w:rsidRPr="00012B74">
              <w:rPr>
                <w:rFonts w:ascii="Open Sans" w:hAnsi="Open Sans" w:cs="Open Sans"/>
                <w:color w:val="17365D" w:themeColor="text2" w:themeShade="BF"/>
              </w:rPr>
              <w:t>rii</w:t>
            </w:r>
            <w:proofErr w:type="spellEnd"/>
            <w:r w:rsidRPr="00012B74">
              <w:rPr>
                <w:rFonts w:ascii="Open Sans" w:hAnsi="Open Sans" w:cs="Open Sans"/>
                <w:color w:val="17365D" w:themeColor="text2" w:themeShade="BF"/>
              </w:rPr>
              <w:t xml:space="preserve"> </w:t>
            </w:r>
            <w:proofErr w:type="spellStart"/>
            <w:r w:rsidRPr="00012B74">
              <w:rPr>
                <w:rFonts w:ascii="Open Sans" w:hAnsi="Open Sans" w:cs="Open Sans"/>
                <w:color w:val="17365D" w:themeColor="text2" w:themeShade="BF"/>
              </w:rPr>
              <w:t>Cri</w:t>
            </w:r>
            <w:r w:rsidR="00EC0821" w:rsidRPr="00012B74">
              <w:rPr>
                <w:rFonts w:ascii="Open Sans" w:hAnsi="Open Sans" w:cs="Open Sans"/>
                <w:color w:val="17365D" w:themeColor="text2" w:themeShade="BF"/>
              </w:rPr>
              <w:t>ș</w:t>
            </w:r>
            <w:r w:rsidRPr="00012B74">
              <w:rPr>
                <w:rFonts w:ascii="Open Sans" w:hAnsi="Open Sans" w:cs="Open Sans"/>
                <w:color w:val="17365D" w:themeColor="text2" w:themeShade="BF"/>
              </w:rPr>
              <w:t>urilor</w:t>
            </w:r>
            <w:proofErr w:type="spellEnd"/>
            <w:r w:rsidRPr="00012B74">
              <w:rPr>
                <w:rFonts w:ascii="Open Sans" w:hAnsi="Open Sans" w:cs="Open Sans"/>
                <w:color w:val="17365D" w:themeColor="text2" w:themeShade="BF"/>
              </w:rPr>
              <w:t xml:space="preserve"> Museum. </w:t>
            </w:r>
            <w:r w:rsidR="00EC0821" w:rsidRPr="00012B74">
              <w:rPr>
                <w:rFonts w:ascii="Open Sans" w:hAnsi="Open Sans" w:cs="Open Sans"/>
                <w:color w:val="17365D" w:themeColor="text2" w:themeShade="BF"/>
                <w:lang w:val="en-GB"/>
              </w:rPr>
              <w:t>The new art, ethnography, and history sections set up through the project are fully operational and included in the visitor's circuits.</w:t>
            </w:r>
            <w:r w:rsidR="00EC0821" w:rsidRPr="00012B74">
              <w:rPr>
                <w:rFonts w:ascii="Open Sans" w:hAnsi="Open Sans" w:cs="Open Sans"/>
                <w:color w:val="17365D" w:themeColor="text2" w:themeShade="BF"/>
              </w:rPr>
              <w:t xml:space="preserve"> </w:t>
            </w:r>
            <w:r w:rsidRPr="00012B74">
              <w:rPr>
                <w:rFonts w:ascii="Open Sans" w:hAnsi="Open Sans" w:cs="Open Sans"/>
                <w:color w:val="17365D" w:themeColor="text2" w:themeShade="BF"/>
              </w:rPr>
              <w:t xml:space="preserve">Investment value: </w:t>
            </w:r>
            <w:r w:rsidRPr="00012B74">
              <w:rPr>
                <w:rFonts w:ascii="Open Sans" w:hAnsi="Open Sans" w:cs="Open Sans"/>
                <w:b/>
                <w:color w:val="17365D" w:themeColor="text2" w:themeShade="BF"/>
              </w:rPr>
              <w:t>1.3 mil. EUR.</w:t>
            </w:r>
          </w:p>
          <w:p w14:paraId="14DA28C7" w14:textId="56372923" w:rsidR="002846AC" w:rsidRPr="00012B74" w:rsidRDefault="00000000" w:rsidP="00475BE2">
            <w:pPr>
              <w:pStyle w:val="TableParagraph"/>
              <w:numPr>
                <w:ilvl w:val="0"/>
                <w:numId w:val="3"/>
              </w:numPr>
              <w:tabs>
                <w:tab w:val="left" w:pos="468"/>
              </w:tabs>
              <w:ind w:left="738" w:right="96"/>
              <w:jc w:val="both"/>
              <w:rPr>
                <w:rFonts w:ascii="Open Sans" w:hAnsi="Open Sans" w:cs="Open Sans"/>
                <w:b/>
                <w:color w:val="17365D" w:themeColor="text2" w:themeShade="BF"/>
              </w:rPr>
            </w:pPr>
            <w:r w:rsidRPr="00012B74">
              <w:rPr>
                <w:rFonts w:ascii="Open Sans" w:hAnsi="Open Sans" w:cs="Open Sans"/>
                <w:b/>
                <w:color w:val="17365D" w:themeColor="text2" w:themeShade="BF"/>
              </w:rPr>
              <w:t>PP4: development and equipment of the building functioning as Cultural House</w:t>
            </w:r>
            <w:r w:rsidRPr="00012B74">
              <w:rPr>
                <w:rFonts w:ascii="Open Sans" w:hAnsi="Open Sans" w:cs="Open Sans"/>
                <w:color w:val="17365D" w:themeColor="text2" w:themeShade="BF"/>
              </w:rPr>
              <w:t xml:space="preserve">. </w:t>
            </w:r>
            <w:r w:rsidR="00EC0821" w:rsidRPr="00012B74">
              <w:rPr>
                <w:rFonts w:ascii="Open Sans" w:hAnsi="Open Sans" w:cs="Open Sans"/>
                <w:color w:val="17365D" w:themeColor="text2" w:themeShade="BF"/>
                <w:lang w:val="en-GB"/>
              </w:rPr>
              <w:t>The Cultural Centre is operational and hosting cultural events</w:t>
            </w:r>
            <w:r w:rsidRPr="00012B74">
              <w:rPr>
                <w:rFonts w:ascii="Open Sans" w:hAnsi="Open Sans" w:cs="Open Sans"/>
                <w:color w:val="17365D" w:themeColor="text2" w:themeShade="BF"/>
              </w:rPr>
              <w:t xml:space="preserve">. Investment value: </w:t>
            </w:r>
            <w:r w:rsidRPr="00012B74">
              <w:rPr>
                <w:rFonts w:ascii="Open Sans" w:hAnsi="Open Sans" w:cs="Open Sans"/>
                <w:b/>
                <w:color w:val="17365D" w:themeColor="text2" w:themeShade="BF"/>
              </w:rPr>
              <w:t>0.6 mil. EUR.</w:t>
            </w:r>
          </w:p>
          <w:p w14:paraId="246360A7" w14:textId="77777777" w:rsidR="00393B7E" w:rsidRPr="00012B74" w:rsidRDefault="00393B7E">
            <w:pPr>
              <w:pStyle w:val="TableParagraph"/>
              <w:ind w:left="105"/>
              <w:rPr>
                <w:rFonts w:ascii="Open Sans" w:hAnsi="Open Sans" w:cs="Open Sans"/>
                <w:b/>
                <w:color w:val="17365D" w:themeColor="text2" w:themeShade="BF"/>
              </w:rPr>
            </w:pPr>
          </w:p>
          <w:p w14:paraId="105B0E4C" w14:textId="4340B4C2" w:rsidR="002846AC" w:rsidRPr="00012B74" w:rsidRDefault="00000000">
            <w:pPr>
              <w:pStyle w:val="TableParagraph"/>
              <w:ind w:left="105"/>
              <w:rPr>
                <w:rFonts w:ascii="Open Sans" w:hAnsi="Open Sans" w:cs="Open Sans"/>
                <w:b/>
                <w:color w:val="17365D" w:themeColor="text2" w:themeShade="BF"/>
              </w:rPr>
            </w:pPr>
            <w:r w:rsidRPr="00012B74">
              <w:rPr>
                <w:rFonts w:ascii="Open Sans" w:hAnsi="Open Sans" w:cs="Open Sans"/>
                <w:b/>
                <w:color w:val="17365D" w:themeColor="text2" w:themeShade="BF"/>
              </w:rPr>
              <w:t>Soft elements:</w:t>
            </w:r>
          </w:p>
          <w:p w14:paraId="10402F56" w14:textId="5AAE2438" w:rsidR="002846AC" w:rsidRPr="00012B74" w:rsidRDefault="00000000">
            <w:pPr>
              <w:pStyle w:val="TableParagraph"/>
              <w:ind w:left="105" w:right="95"/>
              <w:jc w:val="both"/>
              <w:rPr>
                <w:rFonts w:ascii="Open Sans" w:hAnsi="Open Sans" w:cs="Open Sans"/>
                <w:color w:val="17365D" w:themeColor="text2" w:themeShade="BF"/>
              </w:rPr>
            </w:pPr>
            <w:r w:rsidRPr="00012B74">
              <w:rPr>
                <w:rFonts w:ascii="Open Sans" w:hAnsi="Open Sans" w:cs="Open Sans"/>
                <w:color w:val="17365D" w:themeColor="text2" w:themeShade="BF"/>
              </w:rPr>
              <w:t>Partners aim</w:t>
            </w:r>
            <w:r w:rsidR="00136452">
              <w:rPr>
                <w:rFonts w:ascii="Open Sans" w:hAnsi="Open Sans" w:cs="Open Sans"/>
                <w:color w:val="17365D" w:themeColor="text2" w:themeShade="BF"/>
              </w:rPr>
              <w:t>ed</w:t>
            </w:r>
            <w:r w:rsidRPr="00012B74">
              <w:rPr>
                <w:rFonts w:ascii="Open Sans" w:hAnsi="Open Sans" w:cs="Open Sans"/>
                <w:color w:val="17365D" w:themeColor="text2" w:themeShade="BF"/>
              </w:rPr>
              <w:t xml:space="preserve"> to catalyze cultural education and training with common cultural activities. They mainly intend</w:t>
            </w:r>
            <w:r w:rsidR="00136452">
              <w:rPr>
                <w:rFonts w:ascii="Open Sans" w:hAnsi="Open Sans" w:cs="Open Sans"/>
                <w:color w:val="17365D" w:themeColor="text2" w:themeShade="BF"/>
              </w:rPr>
              <w:t xml:space="preserve"> was</w:t>
            </w:r>
            <w:r w:rsidRPr="00012B74">
              <w:rPr>
                <w:rFonts w:ascii="Open Sans" w:hAnsi="Open Sans" w:cs="Open Sans"/>
                <w:color w:val="17365D" w:themeColor="text2" w:themeShade="BF"/>
              </w:rPr>
              <w:t xml:space="preserve"> to reach and involve youth living and studying in the region. Some activities focus</w:t>
            </w:r>
            <w:r w:rsidR="00136452">
              <w:rPr>
                <w:rFonts w:ascii="Open Sans" w:hAnsi="Open Sans" w:cs="Open Sans"/>
                <w:color w:val="17365D" w:themeColor="text2" w:themeShade="BF"/>
              </w:rPr>
              <w:t>ed</w:t>
            </w:r>
            <w:r w:rsidRPr="00012B74">
              <w:rPr>
                <w:rFonts w:ascii="Open Sans" w:hAnsi="Open Sans" w:cs="Open Sans"/>
                <w:color w:val="17365D" w:themeColor="text2" w:themeShade="BF"/>
              </w:rPr>
              <w:t xml:space="preserve"> on the art of dance and movement: they improve</w:t>
            </w:r>
            <w:r w:rsidR="00136452">
              <w:rPr>
                <w:rFonts w:ascii="Open Sans" w:hAnsi="Open Sans" w:cs="Open Sans"/>
                <w:color w:val="17365D" w:themeColor="text2" w:themeShade="BF"/>
              </w:rPr>
              <w:t>d</w:t>
            </w:r>
            <w:r w:rsidRPr="00012B74">
              <w:rPr>
                <w:rFonts w:ascii="Open Sans" w:hAnsi="Open Sans" w:cs="Open Sans"/>
                <w:color w:val="17365D" w:themeColor="text2" w:themeShade="BF"/>
              </w:rPr>
              <w:t xml:space="preserve"> the process of learning as well as </w:t>
            </w:r>
            <w:r w:rsidR="00136452">
              <w:rPr>
                <w:rFonts w:ascii="Open Sans" w:hAnsi="Open Sans" w:cs="Open Sans"/>
                <w:color w:val="17365D" w:themeColor="text2" w:themeShade="BF"/>
              </w:rPr>
              <w:t>analyzed</w:t>
            </w:r>
            <w:r w:rsidRPr="00012B74">
              <w:rPr>
                <w:rFonts w:ascii="Open Sans" w:hAnsi="Open Sans" w:cs="Open Sans"/>
                <w:color w:val="17365D" w:themeColor="text2" w:themeShade="BF"/>
              </w:rPr>
              <w:t xml:space="preserve"> the usability and impacts of dance and movement in education (dance methodology workshop, “movement as a language” educational </w:t>
            </w:r>
            <w:proofErr w:type="spellStart"/>
            <w:r w:rsidRPr="00012B74">
              <w:rPr>
                <w:rFonts w:ascii="Open Sans" w:hAnsi="Open Sans" w:cs="Open Sans"/>
                <w:color w:val="17365D" w:themeColor="text2" w:themeShade="BF"/>
              </w:rPr>
              <w:t>programme</w:t>
            </w:r>
            <w:proofErr w:type="spellEnd"/>
            <w:r w:rsidRPr="00012B74">
              <w:rPr>
                <w:rFonts w:ascii="Open Sans" w:hAnsi="Open Sans" w:cs="Open Sans"/>
                <w:color w:val="17365D" w:themeColor="text2" w:themeShade="BF"/>
              </w:rPr>
              <w:t>, conference of dance anthropology). Other activities integrate</w:t>
            </w:r>
            <w:r w:rsidR="00136452">
              <w:rPr>
                <w:rFonts w:ascii="Open Sans" w:hAnsi="Open Sans" w:cs="Open Sans"/>
                <w:color w:val="17365D" w:themeColor="text2" w:themeShade="BF"/>
              </w:rPr>
              <w:t>d</w:t>
            </w:r>
            <w:r w:rsidRPr="00012B74">
              <w:rPr>
                <w:rFonts w:ascii="Open Sans" w:hAnsi="Open Sans" w:cs="Open Sans"/>
                <w:color w:val="17365D" w:themeColor="text2" w:themeShade="BF"/>
              </w:rPr>
              <w:t xml:space="preserve"> arts and creative processes, theatrical education and drama pedagogy into the region’s everyday life (conference of drama pedagogy, international youth art camps, art meeting for youths). All activities improve</w:t>
            </w:r>
            <w:r w:rsidR="00136452">
              <w:rPr>
                <w:rFonts w:ascii="Open Sans" w:hAnsi="Open Sans" w:cs="Open Sans"/>
                <w:color w:val="17365D" w:themeColor="text2" w:themeShade="BF"/>
              </w:rPr>
              <w:t>d</w:t>
            </w:r>
            <w:r w:rsidRPr="00012B74">
              <w:rPr>
                <w:rFonts w:ascii="Open Sans" w:hAnsi="Open Sans" w:cs="Open Sans"/>
                <w:color w:val="17365D" w:themeColor="text2" w:themeShade="BF"/>
              </w:rPr>
              <w:t xml:space="preserve"> the accessibility of common cultural heritage, increase</w:t>
            </w:r>
            <w:r w:rsidR="00136452">
              <w:rPr>
                <w:rFonts w:ascii="Open Sans" w:hAnsi="Open Sans" w:cs="Open Sans"/>
                <w:color w:val="17365D" w:themeColor="text2" w:themeShade="BF"/>
              </w:rPr>
              <w:t>d</w:t>
            </w:r>
            <w:r w:rsidRPr="00012B74">
              <w:rPr>
                <w:rFonts w:ascii="Open Sans" w:hAnsi="Open Sans" w:cs="Open Sans"/>
                <w:color w:val="17365D" w:themeColor="text2" w:themeShade="BF"/>
              </w:rPr>
              <w:t xml:space="preserve"> awareness of cultural values (e.g. cultural archive) as well as enhance</w:t>
            </w:r>
            <w:r w:rsidR="00136452">
              <w:rPr>
                <w:rFonts w:ascii="Open Sans" w:hAnsi="Open Sans" w:cs="Open Sans"/>
                <w:color w:val="17365D" w:themeColor="text2" w:themeShade="BF"/>
              </w:rPr>
              <w:t>d</w:t>
            </w:r>
            <w:r w:rsidRPr="00012B74">
              <w:rPr>
                <w:rFonts w:ascii="Open Sans" w:hAnsi="Open Sans" w:cs="Open Sans"/>
                <w:color w:val="17365D" w:themeColor="text2" w:themeShade="BF"/>
              </w:rPr>
              <w:t xml:space="preserve"> artistic creativity and knowledge transfer in the RO-HU border region</w:t>
            </w:r>
            <w:r w:rsidR="00136452">
              <w:rPr>
                <w:rFonts w:ascii="Open Sans" w:hAnsi="Open Sans" w:cs="Open Sans"/>
                <w:color w:val="17365D" w:themeColor="text2" w:themeShade="BF"/>
              </w:rPr>
              <w:t>.</w:t>
            </w:r>
          </w:p>
          <w:p w14:paraId="06CF1762" w14:textId="77777777" w:rsidR="002235F3" w:rsidRDefault="002235F3" w:rsidP="00475BE2">
            <w:pPr>
              <w:pStyle w:val="TableParagraph"/>
              <w:ind w:right="95"/>
              <w:jc w:val="both"/>
              <w:rPr>
                <w:rFonts w:ascii="Open Sans" w:hAnsi="Open Sans" w:cs="Open Sans"/>
                <w:b/>
                <w:color w:val="17365D" w:themeColor="text2" w:themeShade="BF"/>
              </w:rPr>
            </w:pPr>
          </w:p>
          <w:p w14:paraId="1A2931D8" w14:textId="420CF991" w:rsidR="00AD3325" w:rsidRPr="00012B74" w:rsidRDefault="00AD3325" w:rsidP="00AD3325">
            <w:pPr>
              <w:pStyle w:val="TableParagraph"/>
              <w:ind w:left="105" w:right="95"/>
              <w:jc w:val="both"/>
              <w:rPr>
                <w:rFonts w:ascii="Open Sans" w:hAnsi="Open Sans" w:cs="Open Sans"/>
                <w:b/>
                <w:color w:val="17365D" w:themeColor="text2" w:themeShade="BF"/>
              </w:rPr>
            </w:pPr>
            <w:r w:rsidRPr="00012B74">
              <w:rPr>
                <w:rFonts w:ascii="Open Sans" w:hAnsi="Open Sans" w:cs="Open Sans"/>
                <w:b/>
                <w:color w:val="17365D" w:themeColor="text2" w:themeShade="BF"/>
              </w:rPr>
              <w:t>The main results achieved:</w:t>
            </w:r>
          </w:p>
          <w:p w14:paraId="3969F952" w14:textId="355193A4" w:rsidR="00AD3325" w:rsidRPr="00012B74" w:rsidRDefault="00AD3325" w:rsidP="00AD3325">
            <w:pPr>
              <w:pStyle w:val="TableParagraph"/>
              <w:ind w:left="105" w:right="95"/>
              <w:jc w:val="both"/>
              <w:rPr>
                <w:rFonts w:ascii="Open Sans" w:hAnsi="Open Sans" w:cs="Open Sans"/>
                <w:color w:val="17365D" w:themeColor="text2" w:themeShade="BF"/>
              </w:rPr>
            </w:pPr>
            <w:r w:rsidRPr="00012B74">
              <w:rPr>
                <w:rFonts w:ascii="Open Sans" w:hAnsi="Open Sans" w:cs="Open Sans"/>
                <w:color w:val="17365D" w:themeColor="text2" w:themeShade="BF"/>
              </w:rPr>
              <w:lastRenderedPageBreak/>
              <w:t xml:space="preserve">1)The conditions for sharing, creating, protecting and promoting the common cultural values </w:t>
            </w:r>
            <w:r w:rsidR="0040287E" w:rsidRPr="00012B74">
              <w:rPr>
                <w:rFonts w:ascii="Open Sans" w:hAnsi="Open Sans" w:cs="Open Sans"/>
                <w:color w:val="17365D" w:themeColor="text2" w:themeShade="BF"/>
              </w:rPr>
              <w:t>we</w:t>
            </w:r>
            <w:r w:rsidRPr="00012B74">
              <w:rPr>
                <w:rFonts w:ascii="Open Sans" w:hAnsi="Open Sans" w:cs="Open Sans"/>
                <w:color w:val="17365D" w:themeColor="text2" w:themeShade="BF"/>
              </w:rPr>
              <w:t xml:space="preserve">re improved through the construction of the CBC Cultural Centre in Debrecen. Exchange of experiences and knowledge </w:t>
            </w:r>
            <w:r w:rsidR="0040287E" w:rsidRPr="00012B74">
              <w:rPr>
                <w:rFonts w:ascii="Open Sans" w:hAnsi="Open Sans" w:cs="Open Sans"/>
                <w:color w:val="17365D" w:themeColor="text2" w:themeShade="BF"/>
              </w:rPr>
              <w:t>is</w:t>
            </w:r>
            <w:r w:rsidRPr="00012B74">
              <w:rPr>
                <w:rFonts w:ascii="Open Sans" w:hAnsi="Open Sans" w:cs="Open Sans"/>
                <w:color w:val="17365D" w:themeColor="text2" w:themeShade="BF"/>
              </w:rPr>
              <w:t xml:space="preserve"> ensured at a large scale.</w:t>
            </w:r>
          </w:p>
          <w:p w14:paraId="318E8E10" w14:textId="125E4CED" w:rsidR="00AD3325" w:rsidRPr="00012B74" w:rsidRDefault="00AD3325" w:rsidP="00AD3325">
            <w:pPr>
              <w:pStyle w:val="TableParagraph"/>
              <w:ind w:left="105" w:right="95"/>
              <w:jc w:val="both"/>
              <w:rPr>
                <w:rFonts w:ascii="Open Sans" w:hAnsi="Open Sans" w:cs="Open Sans"/>
                <w:color w:val="17365D" w:themeColor="text2" w:themeShade="BF"/>
              </w:rPr>
            </w:pPr>
            <w:r w:rsidRPr="00012B74">
              <w:rPr>
                <w:rFonts w:ascii="Open Sans" w:hAnsi="Open Sans" w:cs="Open Sans"/>
                <w:color w:val="17365D" w:themeColor="text2" w:themeShade="BF"/>
              </w:rPr>
              <w:t>2) The cultural mobility in the eligible area is increased: the public from both sides of the borders participates in the events organised in the CBC Cultural Centre in Debrecen, in large numbers. The events organized by Csokonai Theatre are also a success, and multinational participation is ensured.</w:t>
            </w:r>
          </w:p>
          <w:p w14:paraId="44ECDC65" w14:textId="77777777" w:rsidR="00AD3325" w:rsidRPr="00012B74" w:rsidRDefault="00AD3325" w:rsidP="00AD3325">
            <w:pPr>
              <w:pStyle w:val="TableParagraph"/>
              <w:ind w:left="105" w:right="95"/>
              <w:jc w:val="both"/>
              <w:rPr>
                <w:rFonts w:ascii="Open Sans" w:hAnsi="Open Sans" w:cs="Open Sans"/>
                <w:color w:val="17365D" w:themeColor="text2" w:themeShade="BF"/>
              </w:rPr>
            </w:pPr>
            <w:r w:rsidRPr="00012B74">
              <w:rPr>
                <w:rFonts w:ascii="Open Sans" w:hAnsi="Open Sans" w:cs="Open Sans"/>
                <w:color w:val="17365D" w:themeColor="text2" w:themeShade="BF"/>
              </w:rPr>
              <w:t>3) Greater flexibility for cultural performances.</w:t>
            </w:r>
          </w:p>
          <w:p w14:paraId="4DCFEDB3" w14:textId="6DC2E2A8" w:rsidR="00AD3325" w:rsidRPr="00012B74" w:rsidRDefault="00AD3325" w:rsidP="00AD3325">
            <w:pPr>
              <w:pStyle w:val="TableParagraph"/>
              <w:ind w:left="105" w:right="95"/>
              <w:jc w:val="both"/>
              <w:rPr>
                <w:rFonts w:ascii="Open Sans" w:hAnsi="Open Sans" w:cs="Open Sans"/>
                <w:color w:val="17365D" w:themeColor="text2" w:themeShade="BF"/>
              </w:rPr>
            </w:pPr>
            <w:r w:rsidRPr="00012B74">
              <w:rPr>
                <w:rFonts w:ascii="Open Sans" w:hAnsi="Open Sans" w:cs="Open Sans"/>
                <w:color w:val="17365D" w:themeColor="text2" w:themeShade="BF"/>
              </w:rPr>
              <w:t>4) A significant increase in tourism has been registered in the cross-border area, with an emphasis on the increased number of visitors to "</w:t>
            </w:r>
            <w:proofErr w:type="spellStart"/>
            <w:r w:rsidRPr="00012B74">
              <w:rPr>
                <w:rFonts w:ascii="Open Sans" w:hAnsi="Open Sans" w:cs="Open Sans"/>
                <w:color w:val="17365D" w:themeColor="text2" w:themeShade="BF"/>
              </w:rPr>
              <w:t>Țării</w:t>
            </w:r>
            <w:proofErr w:type="spellEnd"/>
            <w:r w:rsidRPr="00012B74">
              <w:rPr>
                <w:rFonts w:ascii="Open Sans" w:hAnsi="Open Sans" w:cs="Open Sans"/>
                <w:color w:val="17365D" w:themeColor="text2" w:themeShade="BF"/>
              </w:rPr>
              <w:t xml:space="preserve"> </w:t>
            </w:r>
            <w:proofErr w:type="spellStart"/>
            <w:r w:rsidRPr="00012B74">
              <w:rPr>
                <w:rFonts w:ascii="Open Sans" w:hAnsi="Open Sans" w:cs="Open Sans"/>
                <w:color w:val="17365D" w:themeColor="text2" w:themeShade="BF"/>
              </w:rPr>
              <w:t>Crișurilor</w:t>
            </w:r>
            <w:proofErr w:type="spellEnd"/>
            <w:r w:rsidRPr="00012B74">
              <w:rPr>
                <w:rFonts w:ascii="Open Sans" w:hAnsi="Open Sans" w:cs="Open Sans"/>
                <w:color w:val="17365D" w:themeColor="text2" w:themeShade="BF"/>
              </w:rPr>
              <w:t xml:space="preserve"> Museum", as well as the Debrecen Forum.</w:t>
            </w:r>
          </w:p>
          <w:p w14:paraId="3CDED228" w14:textId="744AD068" w:rsidR="00AD3325" w:rsidRPr="00012B74" w:rsidRDefault="00AD3325" w:rsidP="00AD3325">
            <w:pPr>
              <w:pStyle w:val="TableParagraph"/>
              <w:ind w:left="105" w:right="95"/>
              <w:jc w:val="both"/>
              <w:rPr>
                <w:rFonts w:ascii="Open Sans" w:hAnsi="Open Sans" w:cs="Open Sans"/>
                <w:color w:val="17365D" w:themeColor="text2" w:themeShade="BF"/>
              </w:rPr>
            </w:pPr>
            <w:r w:rsidRPr="00012B74">
              <w:rPr>
                <w:rFonts w:ascii="Open Sans" w:hAnsi="Open Sans" w:cs="Open Sans"/>
                <w:color w:val="17365D" w:themeColor="text2" w:themeShade="BF"/>
              </w:rPr>
              <w:t xml:space="preserve">5) Common theater performances, as well as intense collaboration in other cultural areas (including museal and artefact restoration activities) contributed to the protection of the existing cultural values, successfully promoting the creation of new, common, modern values. </w:t>
            </w:r>
          </w:p>
          <w:p w14:paraId="296CC436" w14:textId="77777777" w:rsidR="00AD3325" w:rsidRPr="00012B74" w:rsidRDefault="00AD3325" w:rsidP="00AD3325">
            <w:pPr>
              <w:pStyle w:val="TableParagraph"/>
              <w:ind w:left="101" w:right="95"/>
              <w:jc w:val="both"/>
              <w:rPr>
                <w:rFonts w:ascii="Open Sans" w:hAnsi="Open Sans" w:cs="Open Sans"/>
                <w:color w:val="17365D" w:themeColor="text2" w:themeShade="BF"/>
              </w:rPr>
            </w:pPr>
          </w:p>
          <w:p w14:paraId="181EDEC8" w14:textId="44105867" w:rsidR="00AD3325" w:rsidRPr="00012B74" w:rsidRDefault="00AD3325" w:rsidP="00AD3325">
            <w:pPr>
              <w:pStyle w:val="TableParagraph"/>
              <w:ind w:left="101" w:right="95"/>
              <w:jc w:val="both"/>
              <w:rPr>
                <w:rFonts w:ascii="Open Sans" w:hAnsi="Open Sans" w:cs="Open Sans"/>
                <w:b/>
                <w:bCs/>
                <w:color w:val="17365D" w:themeColor="text2" w:themeShade="BF"/>
              </w:rPr>
            </w:pPr>
            <w:r w:rsidRPr="00012B74">
              <w:rPr>
                <w:rFonts w:ascii="Open Sans" w:hAnsi="Open Sans" w:cs="Open Sans"/>
                <w:b/>
                <w:bCs/>
                <w:color w:val="17365D" w:themeColor="text2" w:themeShade="BF"/>
              </w:rPr>
              <w:t>The main output indicator</w:t>
            </w:r>
          </w:p>
          <w:p w14:paraId="640BC253" w14:textId="4CB0078F" w:rsidR="00AD3325" w:rsidRPr="00012B74" w:rsidRDefault="00AD3325" w:rsidP="00AD3325">
            <w:pPr>
              <w:pStyle w:val="TableParagraph"/>
              <w:ind w:left="101" w:right="95"/>
              <w:jc w:val="both"/>
              <w:rPr>
                <w:rFonts w:ascii="Open Sans" w:hAnsi="Open Sans" w:cs="Open Sans"/>
                <w:color w:val="17365D" w:themeColor="text2" w:themeShade="BF"/>
              </w:rPr>
            </w:pPr>
            <w:r w:rsidRPr="00012B74">
              <w:rPr>
                <w:rFonts w:ascii="Open Sans" w:hAnsi="Open Sans" w:cs="Open Sans"/>
                <w:color w:val="17365D" w:themeColor="text2" w:themeShade="BF"/>
              </w:rPr>
              <w:t xml:space="preserve">The Programme Output Indicator is </w:t>
            </w:r>
            <w:r w:rsidRPr="00012B74">
              <w:rPr>
                <w:rFonts w:ascii="Open Sans" w:hAnsi="Open Sans" w:cs="Open Sans"/>
                <w:i/>
                <w:color w:val="17365D" w:themeColor="text2" w:themeShade="BF"/>
              </w:rPr>
              <w:t>CO09 Sustainable Tourism: Increase in expected number of visits to supported sites of cultural and natural heritage and attractions</w:t>
            </w:r>
            <w:r w:rsidRPr="00012B74">
              <w:rPr>
                <w:rFonts w:ascii="Open Sans" w:hAnsi="Open Sans" w:cs="Open Sans"/>
                <w:color w:val="17365D" w:themeColor="text2" w:themeShade="BF"/>
              </w:rPr>
              <w:t>. Project ROHU-446 contribution increased the number of visitors in the supported sites by 25,056.</w:t>
            </w:r>
          </w:p>
          <w:p w14:paraId="42CEBA51" w14:textId="77777777" w:rsidR="00AD3325" w:rsidRPr="00012B74" w:rsidRDefault="00AD3325" w:rsidP="00AD3325">
            <w:pPr>
              <w:pStyle w:val="TableParagraph"/>
              <w:ind w:left="101" w:right="95"/>
              <w:jc w:val="both"/>
              <w:rPr>
                <w:rFonts w:ascii="Open Sans" w:hAnsi="Open Sans" w:cs="Open Sans"/>
                <w:color w:val="17365D" w:themeColor="text2" w:themeShade="BF"/>
              </w:rPr>
            </w:pPr>
          </w:p>
          <w:p w14:paraId="0964B2CA" w14:textId="77777777" w:rsidR="002846AC" w:rsidRPr="00012B74" w:rsidRDefault="00000000" w:rsidP="00AD3325">
            <w:pPr>
              <w:pStyle w:val="TableParagraph"/>
              <w:ind w:left="101"/>
              <w:jc w:val="both"/>
              <w:rPr>
                <w:rFonts w:ascii="Open Sans" w:hAnsi="Open Sans" w:cs="Open Sans"/>
                <w:color w:val="17365D" w:themeColor="text2" w:themeShade="BF"/>
              </w:rPr>
            </w:pPr>
            <w:r w:rsidRPr="00012B74">
              <w:rPr>
                <w:rFonts w:ascii="Open Sans" w:hAnsi="Open Sans" w:cs="Open Sans"/>
                <w:b/>
                <w:bCs/>
                <w:color w:val="17365D" w:themeColor="text2" w:themeShade="BF"/>
              </w:rPr>
              <w:t>Project website</w:t>
            </w:r>
            <w:r w:rsidRPr="00012B74">
              <w:rPr>
                <w:rFonts w:ascii="Open Sans" w:hAnsi="Open Sans" w:cs="Open Sans"/>
                <w:color w:val="17365D" w:themeColor="text2" w:themeShade="BF"/>
              </w:rPr>
              <w:t xml:space="preserve">: </w:t>
            </w:r>
            <w:hyperlink r:id="rId9">
              <w:r w:rsidR="002846AC" w:rsidRPr="00012B74">
                <w:rPr>
                  <w:rFonts w:ascii="Open Sans" w:hAnsi="Open Sans" w:cs="Open Sans"/>
                  <w:color w:val="17365D" w:themeColor="text2" w:themeShade="BF"/>
                  <w:u w:val="single" w:color="0462C1"/>
                </w:rPr>
                <w:t>https://www.educultcentre.hu/ro</w:t>
              </w:r>
            </w:hyperlink>
          </w:p>
        </w:tc>
      </w:tr>
      <w:tr w:rsidR="00012B74" w:rsidRPr="00012B74" w14:paraId="0B3C4BF0" w14:textId="77777777">
        <w:trPr>
          <w:trHeight w:val="1012"/>
        </w:trPr>
        <w:tc>
          <w:tcPr>
            <w:tcW w:w="1844" w:type="dxa"/>
            <w:shd w:val="clear" w:color="auto" w:fill="E7E6E6"/>
          </w:tcPr>
          <w:p w14:paraId="5EBAB31C" w14:textId="77777777" w:rsidR="002846AC" w:rsidRPr="00012B74" w:rsidRDefault="002846AC">
            <w:pPr>
              <w:pStyle w:val="TableParagraph"/>
              <w:spacing w:before="121"/>
              <w:rPr>
                <w:rFonts w:ascii="Open Sans" w:hAnsi="Open Sans" w:cs="Open Sans"/>
                <w:color w:val="17365D" w:themeColor="text2" w:themeShade="BF"/>
              </w:rPr>
            </w:pPr>
          </w:p>
          <w:p w14:paraId="3B7634E1" w14:textId="77777777" w:rsidR="002846AC" w:rsidRPr="00012B74" w:rsidRDefault="00000000">
            <w:pPr>
              <w:pStyle w:val="TableParagraph"/>
              <w:ind w:left="107"/>
              <w:rPr>
                <w:rFonts w:ascii="Open Sans" w:hAnsi="Open Sans" w:cs="Open Sans"/>
                <w:b/>
                <w:color w:val="17365D" w:themeColor="text2" w:themeShade="BF"/>
              </w:rPr>
            </w:pPr>
            <w:r w:rsidRPr="00012B74">
              <w:rPr>
                <w:rFonts w:ascii="Open Sans" w:hAnsi="Open Sans" w:cs="Open Sans"/>
                <w:b/>
                <w:color w:val="17365D" w:themeColor="text2" w:themeShade="BF"/>
              </w:rPr>
              <w:t>Concept note</w:t>
            </w:r>
          </w:p>
        </w:tc>
        <w:tc>
          <w:tcPr>
            <w:tcW w:w="8049" w:type="dxa"/>
          </w:tcPr>
          <w:p w14:paraId="40D7714F" w14:textId="77777777" w:rsidR="002846AC" w:rsidRPr="00012B74" w:rsidRDefault="00000000">
            <w:pPr>
              <w:pStyle w:val="TableParagraph"/>
              <w:spacing w:line="248" w:lineRule="exact"/>
              <w:ind w:left="105"/>
              <w:rPr>
                <w:rFonts w:ascii="Open Sans" w:hAnsi="Open Sans" w:cs="Open Sans"/>
                <w:b/>
                <w:color w:val="17365D" w:themeColor="text2" w:themeShade="BF"/>
              </w:rPr>
            </w:pPr>
            <w:r w:rsidRPr="00012B74">
              <w:rPr>
                <w:rFonts w:ascii="Open Sans" w:hAnsi="Open Sans" w:cs="Open Sans"/>
                <w:color w:val="17365D" w:themeColor="text2" w:themeShade="BF"/>
              </w:rPr>
              <w:t xml:space="preserve">Project code: </w:t>
            </w:r>
            <w:r w:rsidRPr="00012B74">
              <w:rPr>
                <w:rFonts w:ascii="Open Sans" w:hAnsi="Open Sans" w:cs="Open Sans"/>
                <w:b/>
                <w:color w:val="17365D" w:themeColor="text2" w:themeShade="BF"/>
              </w:rPr>
              <w:t>ROHU-344</w:t>
            </w:r>
          </w:p>
          <w:p w14:paraId="2422A7D0" w14:textId="77777777" w:rsidR="002846AC" w:rsidRPr="00012B74" w:rsidRDefault="00000000">
            <w:pPr>
              <w:pStyle w:val="TableParagraph"/>
              <w:spacing w:before="1"/>
              <w:ind w:left="105"/>
              <w:rPr>
                <w:rFonts w:ascii="Open Sans" w:hAnsi="Open Sans" w:cs="Open Sans"/>
                <w:color w:val="17365D" w:themeColor="text2" w:themeShade="BF"/>
              </w:rPr>
            </w:pPr>
            <w:r w:rsidRPr="00012B74">
              <w:rPr>
                <w:rFonts w:ascii="Open Sans" w:hAnsi="Open Sans" w:cs="Open Sans"/>
                <w:color w:val="17365D" w:themeColor="text2" w:themeShade="BF"/>
              </w:rPr>
              <w:t>Implementation period: 01 August 2018 – 31 January 2019</w:t>
            </w:r>
          </w:p>
          <w:p w14:paraId="608C8E4F" w14:textId="77777777" w:rsidR="002846AC" w:rsidRPr="00012B74" w:rsidRDefault="00000000">
            <w:pPr>
              <w:pStyle w:val="TableParagraph"/>
              <w:spacing w:line="252" w:lineRule="exact"/>
              <w:ind w:left="105" w:right="1558"/>
              <w:rPr>
                <w:rFonts w:ascii="Open Sans" w:hAnsi="Open Sans" w:cs="Open Sans"/>
                <w:color w:val="17365D" w:themeColor="text2" w:themeShade="BF"/>
              </w:rPr>
            </w:pPr>
            <w:r w:rsidRPr="00012B74">
              <w:rPr>
                <w:rFonts w:ascii="Open Sans" w:hAnsi="Open Sans" w:cs="Open Sans"/>
                <w:color w:val="17365D" w:themeColor="text2" w:themeShade="BF"/>
              </w:rPr>
              <w:t>Total budget 49,296.00 EUR, out of which ERDF 41,901.60 EUR. Preparation activities for developing the Full Application Form.</w:t>
            </w:r>
          </w:p>
        </w:tc>
      </w:tr>
    </w:tbl>
    <w:p w14:paraId="2339E47F" w14:textId="77777777" w:rsidR="009C6632" w:rsidRDefault="009C6632"/>
    <w:sectPr w:rsidR="009C6632">
      <w:pgSz w:w="11910" w:h="16840"/>
      <w:pgMar w:top="2000" w:right="992" w:bottom="840" w:left="992" w:header="72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741F" w14:textId="77777777" w:rsidR="00412BFD" w:rsidRDefault="00412BFD">
      <w:r>
        <w:separator/>
      </w:r>
    </w:p>
  </w:endnote>
  <w:endnote w:type="continuationSeparator" w:id="0">
    <w:p w14:paraId="57A58565" w14:textId="77777777" w:rsidR="00412BFD" w:rsidRDefault="0041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16F3" w14:textId="77777777" w:rsidR="002846AC" w:rsidRDefault="00000000">
    <w:pPr>
      <w:pStyle w:val="BodyText"/>
      <w:spacing w:line="14" w:lineRule="auto"/>
      <w:rPr>
        <w:sz w:val="20"/>
      </w:rPr>
    </w:pPr>
    <w:r>
      <w:rPr>
        <w:noProof/>
        <w:sz w:val="20"/>
      </w:rPr>
      <mc:AlternateContent>
        <mc:Choice Requires="wps">
          <w:drawing>
            <wp:anchor distT="0" distB="0" distL="0" distR="0" simplePos="0" relativeHeight="487489024" behindDoc="1" locked="0" layoutInCell="1" allowOverlap="1" wp14:anchorId="68BE274B" wp14:editId="61F65A0F">
              <wp:simplePos x="0" y="0"/>
              <wp:positionH relativeFrom="page">
                <wp:posOffset>902004</wp:posOffset>
              </wp:positionH>
              <wp:positionV relativeFrom="page">
                <wp:posOffset>10139882</wp:posOffset>
              </wp:positionV>
              <wp:extent cx="190881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77800"/>
                      </a:xfrm>
                      <a:prstGeom prst="rect">
                        <a:avLst/>
                      </a:prstGeom>
                    </wps:spPr>
                    <wps:txbx>
                      <w:txbxContent>
                        <w:p w14:paraId="4323F6EA" w14:textId="77777777" w:rsidR="002846AC"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68BE274B" id="_x0000_t202" coordsize="21600,21600" o:spt="202" path="m,l,21600r21600,l21600,xe">
              <v:stroke joinstyle="miter"/>
              <v:path gradientshapeok="t" o:connecttype="rect"/>
            </v:shapetype>
            <v:shape id="Textbox 6" o:spid="_x0000_s1026" type="#_x0000_t202" style="position:absolute;margin-left:71pt;margin-top:798.4pt;width:150.3pt;height:14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" filled="f" stroked="f">
              <v:textbox inset="0,0,0,0">
                <w:txbxContent>
                  <w:p w14:paraId="4323F6EA" w14:textId="77777777" w:rsidR="002846AC"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89536" behindDoc="1" locked="0" layoutInCell="1" allowOverlap="1" wp14:anchorId="42E9EE48" wp14:editId="23670B29">
              <wp:simplePos x="0" y="0"/>
              <wp:positionH relativeFrom="page">
                <wp:posOffset>5354192</wp:posOffset>
              </wp:positionH>
              <wp:positionV relativeFrom="page">
                <wp:posOffset>10149027</wp:posOffset>
              </wp:positionV>
              <wp:extent cx="13068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67A6ED6E" w14:textId="77777777" w:rsidR="002846AC" w:rsidRDefault="002846AC">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42E9EE48" id="Textbox 7" o:spid="_x0000_s1027" type="#_x0000_t202" style="position:absolute;margin-left:421.6pt;margin-top:799.15pt;width:102.9pt;height:13.0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" filled="f" stroked="f">
              <v:textbox inset="0,0,0,0">
                <w:txbxContent>
                  <w:p w14:paraId="67A6ED6E" w14:textId="77777777" w:rsidR="002846AC" w:rsidRDefault="002846AC">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5C4E" w14:textId="77777777" w:rsidR="00412BFD" w:rsidRDefault="00412BFD">
      <w:r>
        <w:separator/>
      </w:r>
    </w:p>
  </w:footnote>
  <w:footnote w:type="continuationSeparator" w:id="0">
    <w:p w14:paraId="4ABE02C5" w14:textId="77777777" w:rsidR="00412BFD" w:rsidRDefault="0041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A85C" w14:textId="77777777" w:rsidR="002846AC" w:rsidRDefault="00000000">
    <w:pPr>
      <w:pStyle w:val="BodyText"/>
      <w:spacing w:line="14" w:lineRule="auto"/>
      <w:rPr>
        <w:sz w:val="20"/>
      </w:rPr>
    </w:pPr>
    <w:r>
      <w:rPr>
        <w:noProof/>
        <w:sz w:val="20"/>
      </w:rPr>
      <w:drawing>
        <wp:anchor distT="0" distB="0" distL="0" distR="0" simplePos="0" relativeHeight="487486464" behindDoc="1" locked="0" layoutInCell="1" allowOverlap="1" wp14:anchorId="618C3179" wp14:editId="5A52E2A5">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sz w:val="20"/>
      </w:rPr>
      <w:drawing>
        <wp:anchor distT="0" distB="0" distL="0" distR="0" simplePos="0" relativeHeight="487486976" behindDoc="1" locked="0" layoutInCell="1" allowOverlap="1" wp14:anchorId="38CDBF2A" wp14:editId="482B8553">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sz w:val="20"/>
      </w:rPr>
      <w:drawing>
        <wp:anchor distT="0" distB="0" distL="0" distR="0" simplePos="0" relativeHeight="487487488" behindDoc="1" locked="0" layoutInCell="1" allowOverlap="1" wp14:anchorId="48A69D8A" wp14:editId="3AF68F8D">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sz w:val="20"/>
      </w:rPr>
      <w:drawing>
        <wp:anchor distT="0" distB="0" distL="0" distR="0" simplePos="0" relativeHeight="487488000" behindDoc="1" locked="0" layoutInCell="1" allowOverlap="1" wp14:anchorId="1FEDD497" wp14:editId="02015976">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sz w:val="20"/>
      </w:rPr>
      <w:drawing>
        <wp:anchor distT="0" distB="0" distL="0" distR="0" simplePos="0" relativeHeight="487488512" behindDoc="1" locked="0" layoutInCell="1" allowOverlap="1" wp14:anchorId="08D1A49D" wp14:editId="6DA4DCF9">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B07"/>
    <w:multiLevelType w:val="hybridMultilevel"/>
    <w:tmpl w:val="800A82CC"/>
    <w:lvl w:ilvl="0" w:tplc="705AA92A">
      <w:numFmt w:val="bullet"/>
      <w:lvlText w:val=""/>
      <w:lvlJc w:val="left"/>
      <w:pPr>
        <w:ind w:left="825" w:hanging="360"/>
      </w:pPr>
      <w:rPr>
        <w:rFonts w:ascii="Symbol" w:eastAsia="Symbol" w:hAnsi="Symbol" w:cs="Symbol" w:hint="default"/>
        <w:b w:val="0"/>
        <w:bCs w:val="0"/>
        <w:i w:val="0"/>
        <w:iCs w:val="0"/>
        <w:color w:val="003399"/>
        <w:spacing w:val="0"/>
        <w:w w:val="100"/>
        <w:sz w:val="22"/>
        <w:szCs w:val="22"/>
        <w:lang w:val="en-US" w:eastAsia="en-US" w:bidi="ar-SA"/>
      </w:rPr>
    </w:lvl>
    <w:lvl w:ilvl="1" w:tplc="5F06CDF8">
      <w:numFmt w:val="bullet"/>
      <w:lvlText w:val="•"/>
      <w:lvlJc w:val="left"/>
      <w:pPr>
        <w:ind w:left="1541" w:hanging="360"/>
      </w:pPr>
      <w:rPr>
        <w:rFonts w:hint="default"/>
        <w:lang w:val="en-US" w:eastAsia="en-US" w:bidi="ar-SA"/>
      </w:rPr>
    </w:lvl>
    <w:lvl w:ilvl="2" w:tplc="214CDF0A">
      <w:numFmt w:val="bullet"/>
      <w:lvlText w:val="•"/>
      <w:lvlJc w:val="left"/>
      <w:pPr>
        <w:ind w:left="2263" w:hanging="360"/>
      </w:pPr>
      <w:rPr>
        <w:rFonts w:hint="default"/>
        <w:lang w:val="en-US" w:eastAsia="en-US" w:bidi="ar-SA"/>
      </w:rPr>
    </w:lvl>
    <w:lvl w:ilvl="3" w:tplc="FDC61B34">
      <w:numFmt w:val="bullet"/>
      <w:lvlText w:val="•"/>
      <w:lvlJc w:val="left"/>
      <w:pPr>
        <w:ind w:left="2985" w:hanging="360"/>
      </w:pPr>
      <w:rPr>
        <w:rFonts w:hint="default"/>
        <w:lang w:val="en-US" w:eastAsia="en-US" w:bidi="ar-SA"/>
      </w:rPr>
    </w:lvl>
    <w:lvl w:ilvl="4" w:tplc="21982962">
      <w:numFmt w:val="bullet"/>
      <w:lvlText w:val="•"/>
      <w:lvlJc w:val="left"/>
      <w:pPr>
        <w:ind w:left="3707" w:hanging="360"/>
      </w:pPr>
      <w:rPr>
        <w:rFonts w:hint="default"/>
        <w:lang w:val="en-US" w:eastAsia="en-US" w:bidi="ar-SA"/>
      </w:rPr>
    </w:lvl>
    <w:lvl w:ilvl="5" w:tplc="19F406A6">
      <w:numFmt w:val="bullet"/>
      <w:lvlText w:val="•"/>
      <w:lvlJc w:val="left"/>
      <w:pPr>
        <w:ind w:left="4429" w:hanging="360"/>
      </w:pPr>
      <w:rPr>
        <w:rFonts w:hint="default"/>
        <w:lang w:val="en-US" w:eastAsia="en-US" w:bidi="ar-SA"/>
      </w:rPr>
    </w:lvl>
    <w:lvl w:ilvl="6" w:tplc="632E4216">
      <w:numFmt w:val="bullet"/>
      <w:lvlText w:val="•"/>
      <w:lvlJc w:val="left"/>
      <w:pPr>
        <w:ind w:left="5151" w:hanging="360"/>
      </w:pPr>
      <w:rPr>
        <w:rFonts w:hint="default"/>
        <w:lang w:val="en-US" w:eastAsia="en-US" w:bidi="ar-SA"/>
      </w:rPr>
    </w:lvl>
    <w:lvl w:ilvl="7" w:tplc="BBDEB402">
      <w:numFmt w:val="bullet"/>
      <w:lvlText w:val="•"/>
      <w:lvlJc w:val="left"/>
      <w:pPr>
        <w:ind w:left="5873" w:hanging="360"/>
      </w:pPr>
      <w:rPr>
        <w:rFonts w:hint="default"/>
        <w:lang w:val="en-US" w:eastAsia="en-US" w:bidi="ar-SA"/>
      </w:rPr>
    </w:lvl>
    <w:lvl w:ilvl="8" w:tplc="34E48018">
      <w:numFmt w:val="bullet"/>
      <w:lvlText w:val="•"/>
      <w:lvlJc w:val="left"/>
      <w:pPr>
        <w:ind w:left="6595" w:hanging="360"/>
      </w:pPr>
      <w:rPr>
        <w:rFonts w:hint="default"/>
        <w:lang w:val="en-US" w:eastAsia="en-US" w:bidi="ar-SA"/>
      </w:rPr>
    </w:lvl>
  </w:abstractNum>
  <w:abstractNum w:abstractNumId="1" w15:restartNumberingAfterBreak="0">
    <w:nsid w:val="15576423"/>
    <w:multiLevelType w:val="hybridMultilevel"/>
    <w:tmpl w:val="310C1D24"/>
    <w:lvl w:ilvl="0" w:tplc="5210A028">
      <w:start w:val="1"/>
      <w:numFmt w:val="decimal"/>
      <w:lvlText w:val="%1)"/>
      <w:lvlJc w:val="left"/>
      <w:pPr>
        <w:ind w:left="720" w:hanging="360"/>
      </w:pPr>
      <w:rPr>
        <w:rFonts w:hint="default"/>
        <w:color w:val="17365D" w:themeColor="text2"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D6CA3"/>
    <w:multiLevelType w:val="hybridMultilevel"/>
    <w:tmpl w:val="D4EC15A0"/>
    <w:lvl w:ilvl="0" w:tplc="EE106F02">
      <w:numFmt w:val="bullet"/>
      <w:lvlText w:val="-"/>
      <w:lvlJc w:val="left"/>
      <w:pPr>
        <w:ind w:left="825" w:hanging="360"/>
      </w:pPr>
      <w:rPr>
        <w:rFonts w:ascii="PMingLiU-ExtB" w:eastAsia="PMingLiU-ExtB" w:hAnsi="PMingLiU-ExtB" w:cs="PMingLiU-ExtB" w:hint="default"/>
        <w:spacing w:val="0"/>
        <w:w w:val="103"/>
        <w:lang w:val="en-US" w:eastAsia="en-US" w:bidi="ar-SA"/>
      </w:rPr>
    </w:lvl>
    <w:lvl w:ilvl="1" w:tplc="22289CE4">
      <w:numFmt w:val="bullet"/>
      <w:lvlText w:val="•"/>
      <w:lvlJc w:val="left"/>
      <w:pPr>
        <w:ind w:left="1541" w:hanging="360"/>
      </w:pPr>
      <w:rPr>
        <w:rFonts w:hint="default"/>
        <w:lang w:val="en-US" w:eastAsia="en-US" w:bidi="ar-SA"/>
      </w:rPr>
    </w:lvl>
    <w:lvl w:ilvl="2" w:tplc="5ED816E8">
      <w:numFmt w:val="bullet"/>
      <w:lvlText w:val="•"/>
      <w:lvlJc w:val="left"/>
      <w:pPr>
        <w:ind w:left="2263" w:hanging="360"/>
      </w:pPr>
      <w:rPr>
        <w:rFonts w:hint="default"/>
        <w:lang w:val="en-US" w:eastAsia="en-US" w:bidi="ar-SA"/>
      </w:rPr>
    </w:lvl>
    <w:lvl w:ilvl="3" w:tplc="432A0004">
      <w:numFmt w:val="bullet"/>
      <w:lvlText w:val="•"/>
      <w:lvlJc w:val="left"/>
      <w:pPr>
        <w:ind w:left="2985" w:hanging="360"/>
      </w:pPr>
      <w:rPr>
        <w:rFonts w:hint="default"/>
        <w:lang w:val="en-US" w:eastAsia="en-US" w:bidi="ar-SA"/>
      </w:rPr>
    </w:lvl>
    <w:lvl w:ilvl="4" w:tplc="089A3610">
      <w:numFmt w:val="bullet"/>
      <w:lvlText w:val="•"/>
      <w:lvlJc w:val="left"/>
      <w:pPr>
        <w:ind w:left="3707" w:hanging="360"/>
      </w:pPr>
      <w:rPr>
        <w:rFonts w:hint="default"/>
        <w:lang w:val="en-US" w:eastAsia="en-US" w:bidi="ar-SA"/>
      </w:rPr>
    </w:lvl>
    <w:lvl w:ilvl="5" w:tplc="514AE85A">
      <w:numFmt w:val="bullet"/>
      <w:lvlText w:val="•"/>
      <w:lvlJc w:val="left"/>
      <w:pPr>
        <w:ind w:left="4429" w:hanging="360"/>
      </w:pPr>
      <w:rPr>
        <w:rFonts w:hint="default"/>
        <w:lang w:val="en-US" w:eastAsia="en-US" w:bidi="ar-SA"/>
      </w:rPr>
    </w:lvl>
    <w:lvl w:ilvl="6" w:tplc="42CE28B2">
      <w:numFmt w:val="bullet"/>
      <w:lvlText w:val="•"/>
      <w:lvlJc w:val="left"/>
      <w:pPr>
        <w:ind w:left="5151" w:hanging="360"/>
      </w:pPr>
      <w:rPr>
        <w:rFonts w:hint="default"/>
        <w:lang w:val="en-US" w:eastAsia="en-US" w:bidi="ar-SA"/>
      </w:rPr>
    </w:lvl>
    <w:lvl w:ilvl="7" w:tplc="A6F819BE">
      <w:numFmt w:val="bullet"/>
      <w:lvlText w:val="•"/>
      <w:lvlJc w:val="left"/>
      <w:pPr>
        <w:ind w:left="5873" w:hanging="360"/>
      </w:pPr>
      <w:rPr>
        <w:rFonts w:hint="default"/>
        <w:lang w:val="en-US" w:eastAsia="en-US" w:bidi="ar-SA"/>
      </w:rPr>
    </w:lvl>
    <w:lvl w:ilvl="8" w:tplc="14926E72">
      <w:numFmt w:val="bullet"/>
      <w:lvlText w:val="•"/>
      <w:lvlJc w:val="left"/>
      <w:pPr>
        <w:ind w:left="6595" w:hanging="360"/>
      </w:pPr>
      <w:rPr>
        <w:rFonts w:hint="default"/>
        <w:lang w:val="en-US" w:eastAsia="en-US" w:bidi="ar-SA"/>
      </w:rPr>
    </w:lvl>
  </w:abstractNum>
  <w:num w:numId="1" w16cid:durableId="1485702172">
    <w:abstractNumId w:val="0"/>
  </w:num>
  <w:num w:numId="2" w16cid:durableId="983706159">
    <w:abstractNumId w:val="2"/>
  </w:num>
  <w:num w:numId="3" w16cid:durableId="48273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AC"/>
    <w:rsid w:val="00012B74"/>
    <w:rsid w:val="00097184"/>
    <w:rsid w:val="00136452"/>
    <w:rsid w:val="002235F3"/>
    <w:rsid w:val="002846AC"/>
    <w:rsid w:val="00393B7E"/>
    <w:rsid w:val="0040287E"/>
    <w:rsid w:val="00412BFD"/>
    <w:rsid w:val="00475BE2"/>
    <w:rsid w:val="0051639D"/>
    <w:rsid w:val="0057532D"/>
    <w:rsid w:val="00611B1D"/>
    <w:rsid w:val="007A6F14"/>
    <w:rsid w:val="00884B17"/>
    <w:rsid w:val="009C6632"/>
    <w:rsid w:val="00AD3325"/>
    <w:rsid w:val="00B17972"/>
    <w:rsid w:val="00B26146"/>
    <w:rsid w:val="00C27EFF"/>
    <w:rsid w:val="00D66829"/>
    <w:rsid w:val="00DD0A8F"/>
    <w:rsid w:val="00EC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418C"/>
  <w15:docId w15:val="{F880CC9D-0806-4A08-BB16-DFEABE8B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ultcentre.hu/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livia.oprea</dc:creator>
  <cp:lastModifiedBy>ROHU</cp:lastModifiedBy>
  <cp:revision>7</cp:revision>
  <dcterms:created xsi:type="dcterms:W3CDTF">2026-02-18T11:40:00Z</dcterms:created>
  <dcterms:modified xsi:type="dcterms:W3CDTF">2026-02-25T11:32:00Z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2013</vt:lpwstr>
  </property>
  <property fmtid="{D5CDD505-2E9C-101B-9397-08002B2CF9AE}" pid="4" name="LastSaved">
    <vt:filetime>2026-02-18T00:00:00Z</vt:filetime>
  </property>
  <property fmtid="{D5CDD505-2E9C-101B-9397-08002B2CF9AE}" pid="5" name="Producer">
    <vt:lpwstr>Microsoft® Word 2013</vt:lpwstr>
  </property>
  <property fmtid="{D5CDD505-2E9C-101B-9397-08002B2CF9AE}" pid="6" name="GrammarlyDocumentId">
    <vt:lpwstr>8b9a1e4e-fade-4212-be0f-2c7df946e4b1</vt:lpwstr>
  </property>
</Properties>
</file>