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279B" w14:textId="77777777" w:rsidR="000F0D69" w:rsidRPr="001F0D75" w:rsidRDefault="000F0D69" w:rsidP="000F0D69">
      <w:pPr>
        <w:jc w:val="both"/>
        <w:rPr>
          <w:rFonts w:cs="Open Sans"/>
          <w:bCs/>
          <w:color w:val="003399"/>
          <w:sz w:val="22"/>
          <w:lang w:val="ro-RO"/>
        </w:rPr>
      </w:pPr>
    </w:p>
    <w:tbl>
      <w:tblPr>
        <w:tblW w:w="10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8010"/>
      </w:tblGrid>
      <w:tr w:rsidR="00DF4008" w:rsidRPr="001F0D75" w14:paraId="2FCB8905" w14:textId="77777777" w:rsidTr="00220828">
        <w:trPr>
          <w:trHeight w:val="333"/>
        </w:trPr>
        <w:tc>
          <w:tcPr>
            <w:tcW w:w="10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A3120" w14:textId="6FAA95D6" w:rsidR="00DF4008" w:rsidRPr="001F0D75" w:rsidRDefault="00F96A9F" w:rsidP="00220828">
            <w:pPr>
              <w:spacing w:after="120" w:line="276" w:lineRule="auto"/>
              <w:jc w:val="both"/>
              <w:rPr>
                <w:rFonts w:cs="Open Sans"/>
                <w:sz w:val="22"/>
                <w:lang w:val="ro-RO"/>
              </w:rPr>
            </w:pPr>
            <w:bookmarkStart w:id="0" w:name="_Hlk192072789"/>
            <w:r w:rsidRPr="001F0D75">
              <w:rPr>
                <w:rFonts w:cs="Open Sans"/>
                <w:b/>
                <w:color w:val="FFFFFF"/>
                <w:sz w:val="22"/>
                <w:lang w:val="ro-RO" w:eastAsia="en-GB"/>
              </w:rPr>
              <w:t xml:space="preserve">Tip Apel – </w:t>
            </w:r>
            <w:r w:rsidR="002E4325" w:rsidRPr="001F0D75">
              <w:rPr>
                <w:rFonts w:cs="Open Sans"/>
                <w:b/>
                <w:color w:val="FFFFFF"/>
                <w:sz w:val="22"/>
                <w:lang w:val="ro-RO" w:eastAsia="en-GB"/>
              </w:rPr>
              <w:t>Primul apel deschis – Proiecte de tip P2P</w:t>
            </w:r>
          </w:p>
        </w:tc>
      </w:tr>
      <w:tr w:rsidR="00DF4008" w:rsidRPr="001F0D75" w14:paraId="0362BCF6" w14:textId="77777777" w:rsidTr="00220828">
        <w:trPr>
          <w:trHeight w:val="333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49FA" w14:textId="78826771" w:rsidR="00DF4008" w:rsidRPr="001F0D75" w:rsidRDefault="00DF4008" w:rsidP="00220828">
            <w:pPr>
              <w:spacing w:after="120" w:line="251" w:lineRule="auto"/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Acronim &amp; Cod proiect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CC18" w14:textId="7B3D6AAA" w:rsidR="00DF4008" w:rsidRPr="001F0D75" w:rsidRDefault="002E4325" w:rsidP="00220828">
            <w:pPr>
              <w:spacing w:after="120" w:line="276" w:lineRule="auto"/>
              <w:jc w:val="both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UNITE</w:t>
            </w:r>
          </w:p>
          <w:p w14:paraId="72A6C865" w14:textId="3204D34B" w:rsidR="00DF4008" w:rsidRPr="001F0D75" w:rsidRDefault="00DF4008" w:rsidP="00220828">
            <w:pPr>
              <w:spacing w:after="120" w:line="276" w:lineRule="auto"/>
              <w:jc w:val="both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ROHU</w:t>
            </w:r>
            <w:r w:rsidR="003C133E"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00</w:t>
            </w:r>
            <w:r w:rsidR="002E4325"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02</w:t>
            </w:r>
          </w:p>
        </w:tc>
      </w:tr>
      <w:tr w:rsidR="00DF4008" w:rsidRPr="001F0D75" w14:paraId="1D2DEC3A" w14:textId="77777777" w:rsidTr="00220828">
        <w:trPr>
          <w:trHeight w:val="776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DCFD" w14:textId="77777777" w:rsidR="00DF4008" w:rsidRPr="001F0D75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Titlu proiect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13E40" w14:textId="6148C446" w:rsidR="00DF4008" w:rsidRPr="001F0D75" w:rsidRDefault="002619CC" w:rsidP="002208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Agresiunea</w:t>
            </w:r>
            <w:r w:rsidR="002E4325"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invizibilă – Prevenirea și combaterea violenței domestice în regiunea de graniță</w:t>
            </w:r>
          </w:p>
        </w:tc>
      </w:tr>
      <w:tr w:rsidR="00DF4008" w:rsidRPr="001F0D75" w14:paraId="2ED899A6" w14:textId="77777777" w:rsidTr="00220828">
        <w:trPr>
          <w:trHeight w:val="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C31C9" w14:textId="7F3E20E8" w:rsidR="00DF4008" w:rsidRPr="001F0D75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  <w:t>Prioritate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8ECA" w14:textId="47D00A21" w:rsidR="00DF4008" w:rsidRPr="001F0D75" w:rsidRDefault="002E4325" w:rsidP="00220828">
            <w:pPr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P3 – O cooperare transfrontalieră mai durabilă și mai eficientă, bazată pe comunități </w:t>
            </w:r>
          </w:p>
        </w:tc>
      </w:tr>
      <w:tr w:rsidR="00DF4008" w:rsidRPr="001F0D75" w14:paraId="5A450318" w14:textId="77777777" w:rsidTr="00220828">
        <w:trPr>
          <w:trHeight w:val="585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4F8B1" w14:textId="77777777" w:rsidR="00DF4008" w:rsidRPr="001F0D75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  <w:t xml:space="preserve">Obiectiv </w:t>
            </w:r>
          </w:p>
          <w:p w14:paraId="468B4CF9" w14:textId="6EA812C5" w:rsidR="00DF4008" w:rsidRPr="001F0D75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  <w:t>Specific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B3DD" w14:textId="366FD6F9" w:rsidR="00DF4008" w:rsidRPr="001F0D75" w:rsidRDefault="002E4325" w:rsidP="00220828">
            <w:pPr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ISO6.3 – Consolidarea încrederii reciproce, în special prin încurajarea acțiunilor de tip „</w:t>
            </w:r>
            <w:proofErr w:type="spellStart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people</w:t>
            </w:r>
            <w:proofErr w:type="spellEnd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</w:t>
            </w:r>
            <w:proofErr w:type="spellStart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to</w:t>
            </w:r>
            <w:proofErr w:type="spellEnd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</w:t>
            </w:r>
            <w:proofErr w:type="spellStart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people</w:t>
            </w:r>
            <w:proofErr w:type="spellEnd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”</w:t>
            </w:r>
          </w:p>
        </w:tc>
      </w:tr>
      <w:tr w:rsidR="00DF4008" w:rsidRPr="001F0D75" w14:paraId="7703D1F8" w14:textId="77777777" w:rsidTr="0022082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49972" w14:textId="77777777" w:rsidR="00DF4008" w:rsidRPr="001F0D75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  <w:t>Perioadă de implementare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C5EA" w14:textId="4245F0D7" w:rsidR="00DF4008" w:rsidRPr="001F0D75" w:rsidRDefault="002E4325" w:rsidP="002208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1</w:t>
            </w:r>
            <w:r w:rsidR="001F0D75"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6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luni (14 martie 2025 – 13 </w:t>
            </w:r>
            <w:r w:rsidR="001F0D75"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iulie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2026)</w:t>
            </w:r>
          </w:p>
          <w:p w14:paraId="73CF6933" w14:textId="46973E51" w:rsidR="00F81C04" w:rsidRPr="001F0D75" w:rsidRDefault="00F81C04" w:rsidP="002208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</w:p>
        </w:tc>
      </w:tr>
      <w:tr w:rsidR="00DF4008" w:rsidRPr="001F0D75" w14:paraId="010F0453" w14:textId="77777777" w:rsidTr="0022082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B0E74" w14:textId="77777777" w:rsidR="00DF4008" w:rsidRPr="001F0D75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  <w:t>Obiectiv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65F9E" w14:textId="71AAFB3C" w:rsidR="00A02457" w:rsidRPr="001F0D75" w:rsidRDefault="002E4325" w:rsidP="00F81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Proiectul își propune să promoveze o cooperare transfrontalieră durabilă, eficientă și bazată pe comunitate în regiunea Satu Mare – </w:t>
            </w:r>
            <w:proofErr w:type="spellStart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Szabolcs-Szatmár-Bereg</w:t>
            </w:r>
            <w:proofErr w:type="spellEnd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. De asemenea, urmărește să consolideze încrederea reciprocă prin activități de tip „</w:t>
            </w:r>
            <w:proofErr w:type="spellStart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people</w:t>
            </w:r>
            <w:proofErr w:type="spellEnd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</w:t>
            </w:r>
            <w:proofErr w:type="spellStart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to</w:t>
            </w:r>
            <w:proofErr w:type="spellEnd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</w:t>
            </w:r>
            <w:proofErr w:type="spellStart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people</w:t>
            </w:r>
            <w:proofErr w:type="spellEnd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” și să crească gradul de conștientizare cu privire la violența domestică în rândul tinerilor și al comunităților din zona de frontieră. Scopul final este reducerea acestui fenomen.</w:t>
            </w:r>
          </w:p>
        </w:tc>
      </w:tr>
      <w:tr w:rsidR="00DF4008" w:rsidRPr="001F0D75" w14:paraId="1EEF8B90" w14:textId="77777777" w:rsidTr="00220828">
        <w:trPr>
          <w:trHeight w:val="754"/>
        </w:trPr>
        <w:tc>
          <w:tcPr>
            <w:tcW w:w="2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5820D" w14:textId="77777777" w:rsidR="00DF4008" w:rsidRPr="001F0D75" w:rsidRDefault="00DF4008" w:rsidP="00220828">
            <w:pPr>
              <w:spacing w:after="120"/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Parteneriat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AF269" w14:textId="7754C40C" w:rsidR="00DF4008" w:rsidRPr="001F0D75" w:rsidRDefault="00DF4008" w:rsidP="002208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eastAsia="Times New Roman" w:cs="Open Sans"/>
                <w:b/>
                <w:color w:val="1F3864" w:themeColor="accent5" w:themeShade="80"/>
                <w:sz w:val="22"/>
                <w:lang w:val="ro-RO" w:bidi="en-US"/>
              </w:rPr>
              <w:t>Partener Principal/</w:t>
            </w:r>
            <w:proofErr w:type="spellStart"/>
            <w:r w:rsidRPr="001F0D75">
              <w:rPr>
                <w:rFonts w:eastAsia="Times New Roman" w:cs="Open Sans"/>
                <w:b/>
                <w:color w:val="1F3864" w:themeColor="accent5" w:themeShade="80"/>
                <w:sz w:val="22"/>
                <w:lang w:val="ro-RO" w:bidi="en-US"/>
              </w:rPr>
              <w:t>Lead</w:t>
            </w:r>
            <w:proofErr w:type="spellEnd"/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 xml:space="preserve">: </w:t>
            </w:r>
          </w:p>
          <w:p w14:paraId="6332623C" w14:textId="7A538598" w:rsidR="00DF4008" w:rsidRPr="001F0D75" w:rsidRDefault="00A96C9B" w:rsidP="002208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Inspectoratul de Poliție Județean Satu Mare (România)</w:t>
            </w:r>
          </w:p>
        </w:tc>
      </w:tr>
      <w:tr w:rsidR="00DF4008" w:rsidRPr="001F0D75" w14:paraId="527C4A89" w14:textId="77777777" w:rsidTr="00220828">
        <w:trPr>
          <w:trHeight w:val="926"/>
        </w:trPr>
        <w:tc>
          <w:tcPr>
            <w:tcW w:w="2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DF23" w14:textId="77777777" w:rsidR="00DF4008" w:rsidRPr="001F0D75" w:rsidRDefault="00DF4008" w:rsidP="00220828">
            <w:pPr>
              <w:spacing w:after="0" w:line="251" w:lineRule="auto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5E53" w14:textId="77777777" w:rsidR="00DF4008" w:rsidRPr="001F0D75" w:rsidRDefault="00DF4008" w:rsidP="00DF4008">
            <w:pPr>
              <w:spacing w:after="120" w:line="276" w:lineRule="auto"/>
              <w:jc w:val="both"/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eastAsia="Times New Roman" w:cs="Open Sans"/>
                <w:b/>
                <w:color w:val="1F3864" w:themeColor="accent5" w:themeShade="80"/>
                <w:sz w:val="22"/>
                <w:lang w:val="ro-RO" w:bidi="en-US"/>
              </w:rPr>
              <w:t>Parteneri de Proiect</w:t>
            </w: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/>
              </w:rPr>
              <w:t xml:space="preserve">: </w:t>
            </w:r>
          </w:p>
          <w:p w14:paraId="7BCBBF71" w14:textId="3A91ECA0" w:rsidR="00A02457" w:rsidRPr="001F0D75" w:rsidRDefault="00A96C9B" w:rsidP="002F462B">
            <w:pPr>
              <w:spacing w:after="12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Inspectoratul Județean de Poliție </w:t>
            </w:r>
            <w:proofErr w:type="spellStart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Szabolcs-Szatmár-Bereg</w:t>
            </w:r>
            <w:proofErr w:type="spellEnd"/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(Ungaria)</w:t>
            </w:r>
          </w:p>
        </w:tc>
      </w:tr>
      <w:tr w:rsidR="00DF4008" w:rsidRPr="001F0D75" w14:paraId="4EE4EBD1" w14:textId="77777777" w:rsidTr="0022082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469C" w14:textId="77777777" w:rsidR="00DF4008" w:rsidRPr="001F0D75" w:rsidRDefault="00DF4008" w:rsidP="00220828">
            <w:pPr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Buget total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4F5C2" w14:textId="6F28FF8D" w:rsidR="00DF4008" w:rsidRPr="001F0D75" w:rsidRDefault="00A96C9B" w:rsidP="00A96C9B">
            <w:pPr>
              <w:spacing w:line="276" w:lineRule="auto"/>
              <w:rPr>
                <w:rFonts w:cs="Open Sans"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 w:eastAsia="en-GB"/>
              </w:rPr>
              <w:t xml:space="preserve">191.148,60 EUR, din care </w:t>
            </w:r>
            <w:r w:rsidRPr="006B6DD6">
              <w:rPr>
                <w:rFonts w:cs="Open Sans"/>
                <w:b/>
                <w:bCs/>
                <w:color w:val="1F3864" w:themeColor="accent5" w:themeShade="80"/>
                <w:sz w:val="22"/>
                <w:lang w:val="ro-RO" w:eastAsia="en-GB"/>
              </w:rPr>
              <w:t>FEDR: 152.918,88 EUR</w:t>
            </w:r>
            <w:r w:rsidR="00AD53C9" w:rsidRPr="001F0D75">
              <w:rPr>
                <w:rFonts w:cs="Open Sans"/>
                <w:color w:val="1F3864" w:themeColor="accent5" w:themeShade="80"/>
                <w:sz w:val="22"/>
                <w:lang w:val="ro-RO" w:eastAsia="en-GB"/>
              </w:rPr>
              <w:tab/>
            </w:r>
            <w:r w:rsidR="00DF4008" w:rsidRPr="001F0D75">
              <w:rPr>
                <w:rFonts w:eastAsia="Times New Roman" w:cs="Open Sans"/>
                <w:b/>
                <w:color w:val="1F3864" w:themeColor="accent5" w:themeShade="80"/>
                <w:sz w:val="22"/>
                <w:lang w:val="ro-RO" w:eastAsia="en-GB"/>
              </w:rPr>
              <w:tab/>
            </w:r>
          </w:p>
        </w:tc>
      </w:tr>
      <w:tr w:rsidR="00DF4008" w:rsidRPr="001F0D75" w14:paraId="51B61C9D" w14:textId="77777777" w:rsidTr="0022082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90AF" w14:textId="77777777" w:rsidR="00DF4008" w:rsidRPr="001F0D75" w:rsidRDefault="00DF4008" w:rsidP="00220828">
            <w:pPr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t>Sumar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6B5D" w14:textId="77777777" w:rsidR="004C6C2F" w:rsidRPr="001F0D75" w:rsidRDefault="004C6C2F" w:rsidP="004C6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Rezumat</w:t>
            </w:r>
          </w:p>
          <w:p w14:paraId="0C5FBC55" w14:textId="77777777" w:rsidR="004C6C2F" w:rsidRPr="001F0D75" w:rsidRDefault="004C6C2F" w:rsidP="004C6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Obiectivul principal al proiectului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este consolidarea parteneriatelor regionale și combaterea violenței domestice printr-un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plan de acțiune comun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. În calitate de instituții de aplicare a legii din regiune,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partenerii sunt hotărâți să producă un impact pozitiv concret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iar abordarea incluzivă adoptată contribuie la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creșterea capacității lor colective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de a gestiona această problemă complexă.</w:t>
            </w:r>
          </w:p>
          <w:p w14:paraId="4FC8D1C9" w14:textId="77777777" w:rsidR="004C6C2F" w:rsidRPr="001F0D75" w:rsidRDefault="004C6C2F" w:rsidP="004C6C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Pentru a atinge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obiectivul specific al proiectului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, vor fi implementate următoarele activități:</w:t>
            </w:r>
          </w:p>
          <w:p w14:paraId="6624DBBE" w14:textId="77777777" w:rsidR="004C6C2F" w:rsidRPr="001F0D75" w:rsidRDefault="004C6C2F" w:rsidP="004C6C2F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lastRenderedPageBreak/>
              <w:t>Organizarea a două ateliere tematice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unul destinat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ofițerilor de poliție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axat pe schimb de cunoștințe și dezvoltarea competențelor, și altul pentru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profesioniști din domenii conexe violenței domestice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(judecători, procurori, asistenți sociali). Se preconizează participarea a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100 de persoane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.</w:t>
            </w:r>
          </w:p>
          <w:p w14:paraId="2F0EEC0E" w14:textId="77777777" w:rsidR="004C6C2F" w:rsidRPr="001F0D75" w:rsidRDefault="004C6C2F" w:rsidP="004C6C2F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Elaborarea unui curriculum educațional cuprinzător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destinat activităților de prevenire în școli, care va acoperi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teme esențiale legate de violența domestică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.</w:t>
            </w:r>
          </w:p>
          <w:p w14:paraId="6A829B5E" w14:textId="77777777" w:rsidR="004C6C2F" w:rsidRPr="001F0D75" w:rsidRDefault="004C6C2F" w:rsidP="004C6C2F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Desfășurarea unei campanii comune de conștientizare și sensibilizare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în școli, adresată unui număr de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cel puțin 300 de elevi și tineri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din ambele țări partenere.</w:t>
            </w:r>
          </w:p>
          <w:p w14:paraId="2F8F4D86" w14:textId="77777777" w:rsidR="004C6C2F" w:rsidRPr="001F0D75" w:rsidRDefault="004C6C2F" w:rsidP="004C6C2F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Lansarea unei campanii media pentru publicul larg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care va evidenția impactul violenței domestice. Campania se va desfășura în colaborare cu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ONG-uri locale, școli și organizații comunitare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printr-o abordare multiplă: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 xml:space="preserve">panouri informative, </w:t>
            </w:r>
            <w:proofErr w:type="spellStart"/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podcasturi</w:t>
            </w:r>
            <w:proofErr w:type="spellEnd"/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, o pagină de Facebook dedicată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și materiale promoționale dinamice.</w:t>
            </w:r>
          </w:p>
          <w:p w14:paraId="279DE87F" w14:textId="77777777" w:rsidR="004C6C2F" w:rsidRPr="001F0D75" w:rsidRDefault="004C6C2F" w:rsidP="004C6C2F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Organizarea a șase evenimente comunitare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–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3 în România și 3 în Ungaria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– pentru prevenirea și combaterea violenței. Acestea vor utiliza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2 unități mobile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care vor fi amplasate strategic în cadrul unor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evenimente publice de amploare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(festivaluri, târguri, adunări comunitare), pentru a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atrage atenția publicului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și a stimula dialogul despre violența domestică.</w:t>
            </w:r>
          </w:p>
          <w:p w14:paraId="6FED094E" w14:textId="77777777" w:rsidR="004C6C2F" w:rsidRPr="001F0D75" w:rsidRDefault="004C6C2F" w:rsidP="004C6C2F">
            <w:pPr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Crearea unei metodologii comune de intervenție și a unui plan de acțiune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pentru a reduce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revictimizarea persoanelor afectate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. În acest proces vor fi implicate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instituții guvernamentale, organizații non-guvernamentale, forțe de ordine, profesioniști din domeniul medical, educațional și social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.</w:t>
            </w:r>
          </w:p>
          <w:p w14:paraId="769F20B1" w14:textId="1C937A7C" w:rsidR="001308DA" w:rsidRPr="001F0D75" w:rsidRDefault="001308DA" w:rsidP="002F46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</w:p>
        </w:tc>
      </w:tr>
      <w:tr w:rsidR="00DF4008" w:rsidRPr="001F0D75" w14:paraId="47DF7069" w14:textId="77777777" w:rsidTr="00220828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485AE" w14:textId="77777777" w:rsidR="00DF4008" w:rsidRPr="001F0D75" w:rsidRDefault="00DF4008" w:rsidP="00220828">
            <w:pPr>
              <w:jc w:val="center"/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</w:pPr>
            <w:r w:rsidRPr="001F0D75">
              <w:rPr>
                <w:rFonts w:cs="Open Sans"/>
                <w:b/>
                <w:color w:val="1F3864" w:themeColor="accent5" w:themeShade="80"/>
                <w:sz w:val="22"/>
                <w:lang w:val="ro-RO" w:eastAsia="en-GB"/>
              </w:rPr>
              <w:lastRenderedPageBreak/>
              <w:t>Rezultate principale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1EC0" w14:textId="77777777" w:rsidR="003817B3" w:rsidRPr="001F0D75" w:rsidRDefault="003817B3" w:rsidP="00381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Abordarea propusă de proiect este inovatoare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combinând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sensibilitatea culturală, incluziunea lingvistică, comunicarea digitală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și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sprijinul direct oferit în comunități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. Aceste elemente permit organizațiilor implicate să ofere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asistență imediată victimelor violenței domestice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contribuind în același timp la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construirea unui sentiment de solidaritate și acțiune colectivă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.</w:t>
            </w:r>
          </w:p>
          <w:p w14:paraId="0D81A2F7" w14:textId="77777777" w:rsidR="003817B3" w:rsidRPr="001F0D75" w:rsidRDefault="003817B3" w:rsidP="003817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Proiectul urmărește obținerea următoarelor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rezultate-cheie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:</w:t>
            </w:r>
          </w:p>
          <w:p w14:paraId="415590E8" w14:textId="77777777" w:rsidR="003817B3" w:rsidRPr="001F0D75" w:rsidRDefault="003817B3" w:rsidP="003817B3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Transmisia eficientă a mesajului legat de violența domestică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prin intermediul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campaniei media dinamice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 xml:space="preserve">evenimentelor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lastRenderedPageBreak/>
              <w:t>comunitare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și al unei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pagini Facebook dedicate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, ceea ce va spori vizibilitatea și impactul informațiilor transmise.</w:t>
            </w:r>
          </w:p>
          <w:p w14:paraId="0AA4F072" w14:textId="205D777F" w:rsidR="003817B3" w:rsidRPr="001F0D75" w:rsidRDefault="003817B3" w:rsidP="003817B3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Transformarea unei unități mobile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într-un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centru de informare și consiliere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care va funcționa ca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punct de contact direct cu comunitățile</w:t>
            </w:r>
            <w:r w:rsidR="00F85371"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un spațiu accesibil unde persoanele afectate pot obține sprijin și îndrumare.</w:t>
            </w:r>
          </w:p>
          <w:p w14:paraId="74A908EC" w14:textId="77777777" w:rsidR="003817B3" w:rsidRPr="001F0D75" w:rsidRDefault="003817B3" w:rsidP="003817B3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Creșterea vizibilă a gradului de conștientizare publică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în ambele județe partenere privind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prevalența, semnele și consecințele violenței domestice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. Se estimează o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creștere a numărului de raportări și solicitări de ajutor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din partea persoanelor care anterior nu erau informate sau ezitau să reacționeze.</w:t>
            </w:r>
          </w:p>
          <w:p w14:paraId="13C838D4" w14:textId="77777777" w:rsidR="003817B3" w:rsidRPr="001F0D75" w:rsidRDefault="003817B3" w:rsidP="003817B3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Consolidarea parteneriatelor regionale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și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abordarea unitară a violenței domestice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printr-un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plan de acțiune comun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, care să îmbunătățească capacitatea organizațiilor de a interveni în mod coordonat și eficient.</w:t>
            </w:r>
          </w:p>
          <w:p w14:paraId="0338D07F" w14:textId="77777777" w:rsidR="003817B3" w:rsidRPr="001F0D75" w:rsidRDefault="003817B3" w:rsidP="003817B3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Răspuns profesionist, integrat și transfrontalier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la cazurile de violență domestică, oferit de specialiști din domenii precum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poliție, justiție, asistență socială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depășind granițele administrative. Această cooperare va permite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schimbul de informații esențiale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despre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agresori, victime și cazuri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sprijinind autoritățile în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identificarea tiparelor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,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urmărirea agresorilor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 xml:space="preserve"> și </w:t>
            </w:r>
            <w:r w:rsidRPr="001F0D75">
              <w:rPr>
                <w:rFonts w:cs="Open Sans"/>
                <w:b/>
                <w:bCs/>
                <w:color w:val="1F3864" w:themeColor="accent5" w:themeShade="80"/>
                <w:sz w:val="22"/>
                <w:lang w:val="ro-RO"/>
              </w:rPr>
              <w:t>aplicarea de strategii eficiente de prevenție și intervenție</w:t>
            </w:r>
            <w:r w:rsidRPr="001F0D75">
              <w:rPr>
                <w:rFonts w:cs="Open Sans"/>
                <w:color w:val="1F3864" w:themeColor="accent5" w:themeShade="80"/>
                <w:sz w:val="22"/>
                <w:lang w:val="ro-RO"/>
              </w:rPr>
              <w:t>, adaptate realităților locale.</w:t>
            </w:r>
          </w:p>
          <w:p w14:paraId="173E30B6" w14:textId="176E1D86" w:rsidR="00DF4008" w:rsidRPr="001F0D75" w:rsidRDefault="00DF4008" w:rsidP="005F5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both"/>
              <w:rPr>
                <w:rFonts w:cs="Open Sans"/>
                <w:color w:val="1F3864" w:themeColor="accent5" w:themeShade="80"/>
                <w:sz w:val="22"/>
                <w:lang w:val="ro-RO"/>
              </w:rPr>
            </w:pPr>
          </w:p>
        </w:tc>
      </w:tr>
      <w:bookmarkEnd w:id="0"/>
    </w:tbl>
    <w:p w14:paraId="2E5160C3" w14:textId="5D0B5ABE" w:rsidR="0054292D" w:rsidRPr="001F0D75" w:rsidRDefault="0054292D" w:rsidP="00DF4008">
      <w:pPr>
        <w:spacing w:after="0"/>
        <w:jc w:val="both"/>
        <w:rPr>
          <w:rFonts w:cs="Open Sans"/>
          <w:color w:val="003399"/>
          <w:sz w:val="22"/>
          <w:lang w:val="ro-RO"/>
        </w:rPr>
      </w:pPr>
    </w:p>
    <w:sectPr w:rsidR="0054292D" w:rsidRPr="001F0D75" w:rsidSect="00A170BA">
      <w:headerReference w:type="default" r:id="rId7"/>
      <w:footerReference w:type="default" r:id="rId8"/>
      <w:type w:val="continuous"/>
      <w:pgSz w:w="11906" w:h="16838" w:code="9"/>
      <w:pgMar w:top="2127" w:right="707" w:bottom="1440" w:left="851" w:header="720" w:footer="6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6266" w14:textId="77777777" w:rsidR="007405CD" w:rsidRDefault="007405CD" w:rsidP="00C23211">
      <w:pPr>
        <w:spacing w:after="0" w:line="240" w:lineRule="auto"/>
      </w:pPr>
      <w:r>
        <w:separator/>
      </w:r>
    </w:p>
  </w:endnote>
  <w:endnote w:type="continuationSeparator" w:id="0">
    <w:p w14:paraId="4F480A65" w14:textId="77777777" w:rsidR="007405CD" w:rsidRDefault="007405CD" w:rsidP="00C2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 Nova Cond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0886" w14:textId="77777777" w:rsidR="00E91B08" w:rsidRPr="005A58E8" w:rsidRDefault="00A170BA" w:rsidP="00CA0AA2">
    <w:pPr>
      <w:pStyle w:val="Footer"/>
      <w:jc w:val="center"/>
      <w:rPr>
        <w:rFonts w:cs="Open Sans"/>
        <w:color w:val="003399"/>
      </w:rPr>
    </w:pPr>
    <w:r>
      <w:rPr>
        <w:noProof/>
      </w:rPr>
      <w:ptab w:relativeTo="margin" w:alignment="right" w:leader="none"/>
    </w:r>
    <w:r>
      <w:rPr>
        <w:noProof/>
      </w:rPr>
      <w:t>interreg-rohu.eu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EED1" w14:textId="77777777" w:rsidR="007405CD" w:rsidRDefault="007405CD" w:rsidP="00C23211">
      <w:pPr>
        <w:spacing w:after="0" w:line="240" w:lineRule="auto"/>
      </w:pPr>
      <w:r>
        <w:separator/>
      </w:r>
    </w:p>
  </w:footnote>
  <w:footnote w:type="continuationSeparator" w:id="0">
    <w:p w14:paraId="4AAEEF2B" w14:textId="77777777" w:rsidR="007405CD" w:rsidRDefault="007405CD" w:rsidP="00C2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5E6E" w14:textId="77777777" w:rsidR="00E91B08" w:rsidRDefault="00C02611">
    <w:pPr>
      <w:pStyle w:val="Header"/>
    </w:pPr>
    <w:r>
      <w:rPr>
        <w:noProof/>
      </w:rPr>
      <w:drawing>
        <wp:inline distT="0" distB="0" distL="0" distR="0" wp14:anchorId="0D4E0297" wp14:editId="04C60E86">
          <wp:extent cx="6462214" cy="747589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0404" cy="754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A50C5"/>
    <w:multiLevelType w:val="multilevel"/>
    <w:tmpl w:val="AF54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4617D"/>
    <w:multiLevelType w:val="hybridMultilevel"/>
    <w:tmpl w:val="6B24D83E"/>
    <w:lvl w:ilvl="0" w:tplc="DA98B68A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975C3"/>
    <w:multiLevelType w:val="multilevel"/>
    <w:tmpl w:val="E74E38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 Sans" w:eastAsia="Calibri" w:hAnsi="Open Sans" w:cs="Open San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A63F6"/>
    <w:multiLevelType w:val="multilevel"/>
    <w:tmpl w:val="5A8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AA46D6"/>
    <w:multiLevelType w:val="hybridMultilevel"/>
    <w:tmpl w:val="918C205A"/>
    <w:lvl w:ilvl="0" w:tplc="65B8C89E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4262">
    <w:abstractNumId w:val="1"/>
  </w:num>
  <w:num w:numId="2" w16cid:durableId="606354588">
    <w:abstractNumId w:val="4"/>
  </w:num>
  <w:num w:numId="3" w16cid:durableId="787821666">
    <w:abstractNumId w:val="2"/>
  </w:num>
  <w:num w:numId="4" w16cid:durableId="1411384309">
    <w:abstractNumId w:val="0"/>
  </w:num>
  <w:num w:numId="5" w16cid:durableId="883522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3E"/>
    <w:rsid w:val="00016249"/>
    <w:rsid w:val="000F0D69"/>
    <w:rsid w:val="00124D58"/>
    <w:rsid w:val="0012538E"/>
    <w:rsid w:val="001308DA"/>
    <w:rsid w:val="001418E9"/>
    <w:rsid w:val="00190E0A"/>
    <w:rsid w:val="001B2FD2"/>
    <w:rsid w:val="001E2F10"/>
    <w:rsid w:val="001F0D75"/>
    <w:rsid w:val="002216AE"/>
    <w:rsid w:val="00225E77"/>
    <w:rsid w:val="00242594"/>
    <w:rsid w:val="002601E5"/>
    <w:rsid w:val="002619CC"/>
    <w:rsid w:val="002642B0"/>
    <w:rsid w:val="002A5B39"/>
    <w:rsid w:val="002E4325"/>
    <w:rsid w:val="002F462B"/>
    <w:rsid w:val="00352959"/>
    <w:rsid w:val="00380EC7"/>
    <w:rsid w:val="003817B3"/>
    <w:rsid w:val="00392DCE"/>
    <w:rsid w:val="003B7A72"/>
    <w:rsid w:val="003C133E"/>
    <w:rsid w:val="004A3DA2"/>
    <w:rsid w:val="004C6C2F"/>
    <w:rsid w:val="0054292D"/>
    <w:rsid w:val="00560096"/>
    <w:rsid w:val="005A58E8"/>
    <w:rsid w:val="005F58DC"/>
    <w:rsid w:val="00614C99"/>
    <w:rsid w:val="006B30F3"/>
    <w:rsid w:val="006B6DD6"/>
    <w:rsid w:val="00702A4C"/>
    <w:rsid w:val="00732D28"/>
    <w:rsid w:val="00736CF9"/>
    <w:rsid w:val="007405CD"/>
    <w:rsid w:val="00761E91"/>
    <w:rsid w:val="007D6D76"/>
    <w:rsid w:val="008C5731"/>
    <w:rsid w:val="008E24AC"/>
    <w:rsid w:val="0097126B"/>
    <w:rsid w:val="009C481C"/>
    <w:rsid w:val="009D0623"/>
    <w:rsid w:val="00A02457"/>
    <w:rsid w:val="00A170BA"/>
    <w:rsid w:val="00A35463"/>
    <w:rsid w:val="00A426DA"/>
    <w:rsid w:val="00A5560F"/>
    <w:rsid w:val="00A64984"/>
    <w:rsid w:val="00A96C9B"/>
    <w:rsid w:val="00AC7691"/>
    <w:rsid w:val="00AD53C9"/>
    <w:rsid w:val="00B1005F"/>
    <w:rsid w:val="00B240AD"/>
    <w:rsid w:val="00B24F49"/>
    <w:rsid w:val="00B70289"/>
    <w:rsid w:val="00B77B00"/>
    <w:rsid w:val="00B819C6"/>
    <w:rsid w:val="00B85F0F"/>
    <w:rsid w:val="00B90A04"/>
    <w:rsid w:val="00B92ED0"/>
    <w:rsid w:val="00BA7570"/>
    <w:rsid w:val="00BD4D7E"/>
    <w:rsid w:val="00C02611"/>
    <w:rsid w:val="00C23211"/>
    <w:rsid w:val="00C23EAD"/>
    <w:rsid w:val="00CA0AA2"/>
    <w:rsid w:val="00CB50C4"/>
    <w:rsid w:val="00CE1ABF"/>
    <w:rsid w:val="00D0499D"/>
    <w:rsid w:val="00D1768D"/>
    <w:rsid w:val="00D46CFE"/>
    <w:rsid w:val="00D736AC"/>
    <w:rsid w:val="00DE4738"/>
    <w:rsid w:val="00DF4008"/>
    <w:rsid w:val="00E37CEB"/>
    <w:rsid w:val="00E91B08"/>
    <w:rsid w:val="00EB0D64"/>
    <w:rsid w:val="00F0230A"/>
    <w:rsid w:val="00F31286"/>
    <w:rsid w:val="00F5533E"/>
    <w:rsid w:val="00F7622A"/>
    <w:rsid w:val="00F81C04"/>
    <w:rsid w:val="00F85371"/>
    <w:rsid w:val="00F95C0E"/>
    <w:rsid w:val="00F96A9F"/>
    <w:rsid w:val="00FB5250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59757"/>
  <w15:chartTrackingRefBased/>
  <w15:docId w15:val="{AFCDA521-B67C-4DE2-822F-598315B3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008"/>
    <w:pPr>
      <w:suppressAutoHyphens/>
      <w:autoSpaceDN w:val="0"/>
      <w:spacing w:line="249" w:lineRule="auto"/>
      <w:textAlignment w:val="baseline"/>
    </w:pPr>
    <w:rPr>
      <w:rFonts w:ascii="Open Sans" w:eastAsia="Calibri" w:hAnsi="Open Sans" w:cs="Times New Roman"/>
      <w:color w:val="2F5496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1B08"/>
    <w:pPr>
      <w:keepNext/>
      <w:keepLines/>
      <w:spacing w:before="240" w:after="0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6C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211"/>
  </w:style>
  <w:style w:type="paragraph" w:styleId="Footer">
    <w:name w:val="footer"/>
    <w:basedOn w:val="Normal"/>
    <w:link w:val="FooterChar"/>
    <w:uiPriority w:val="99"/>
    <w:unhideWhenUsed/>
    <w:rsid w:val="00C23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211"/>
  </w:style>
  <w:style w:type="character" w:customStyle="1" w:styleId="Heading1Char">
    <w:name w:val="Heading 1 Char"/>
    <w:basedOn w:val="DefaultParagraphFont"/>
    <w:link w:val="Heading1"/>
    <w:uiPriority w:val="9"/>
    <w:rsid w:val="00E91B08"/>
    <w:rPr>
      <w:rFonts w:ascii="Arial" w:eastAsiaTheme="majorEastAsia" w:hAnsi="Arial" w:cstheme="majorBidi"/>
      <w:b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1B0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B08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B08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B08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styleId="IntenseEmphasis">
    <w:name w:val="Intense Emphasis"/>
    <w:basedOn w:val="DefaultParagraphFont"/>
    <w:uiPriority w:val="21"/>
    <w:qFormat/>
    <w:rsid w:val="00E91B08"/>
    <w:rPr>
      <w:rFonts w:ascii="Arial" w:hAnsi="Arial"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E91B0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91B08"/>
    <w:rPr>
      <w:rFonts w:ascii="Arial" w:hAnsi="Arial"/>
      <w:i/>
      <w:iCs/>
    </w:rPr>
  </w:style>
  <w:style w:type="table" w:styleId="TableGrid">
    <w:name w:val="Table Grid"/>
    <w:basedOn w:val="TableNormal"/>
    <w:uiPriority w:val="39"/>
    <w:rsid w:val="00E91B08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0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C6C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erzanOrsolya\Interreg%20ROHU\_VIM%202021-2027\7.%20Antet%20A4\RO\Antet%20A4%20Interreg%20RO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A4 Interreg RO Portrait</Template>
  <TotalTime>19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Camerzan Orsolya</cp:lastModifiedBy>
  <cp:revision>11</cp:revision>
  <dcterms:created xsi:type="dcterms:W3CDTF">2025-07-02T12:55:00Z</dcterms:created>
  <dcterms:modified xsi:type="dcterms:W3CDTF">2026-03-31T13:19:00Z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ee1d862b9f0a5f44e41e5ff8af84f86f9ccb5e30310b3c22c4357e3f4228f5fa</vt:lpwstr>
  </property>
</Properties>
</file>