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6101" w14:textId="77777777" w:rsidR="00F44525" w:rsidRDefault="00F44525">
      <w:pPr>
        <w:pStyle w:val="BodyText"/>
        <w:spacing w:before="177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44525" w14:paraId="3BE636C5" w14:textId="77777777">
        <w:trPr>
          <w:trHeight w:val="410"/>
        </w:trPr>
        <w:tc>
          <w:tcPr>
            <w:tcW w:w="9740" w:type="dxa"/>
            <w:gridSpan w:val="2"/>
            <w:shd w:val="clear" w:color="auto" w:fill="2E5395"/>
          </w:tcPr>
          <w:p w14:paraId="34625867" w14:textId="77777777" w:rsidR="00F44525" w:rsidRDefault="00000000">
            <w:pPr>
              <w:pStyle w:val="TableParagraph"/>
              <w:spacing w:line="275" w:lineRule="exact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2</w:t>
            </w:r>
            <w:proofErr w:type="spellStart"/>
            <w:r>
              <w:rPr>
                <w:rFonts w:ascii="Arial Black"/>
                <w:color w:val="FFFFFF"/>
                <w:w w:val="90"/>
                <w:position w:val="7"/>
                <w:sz w:val="13"/>
              </w:rPr>
              <w:t>nd</w:t>
            </w:r>
            <w:proofErr w:type="spellEnd"/>
            <w:r>
              <w:rPr>
                <w:rFonts w:ascii="Arial Black"/>
                <w:color w:val="FFFFFF"/>
                <w:spacing w:val="19"/>
                <w:position w:val="7"/>
                <w:sz w:val="13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Open</w:t>
            </w:r>
            <w:r>
              <w:rPr>
                <w:rFonts w:ascii="Arial Black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Call-</w:t>
            </w:r>
            <w:r>
              <w:rPr>
                <w:rFonts w:ascii="Arial Black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Normal</w:t>
            </w:r>
            <w:r>
              <w:rPr>
                <w:rFonts w:ascii="Arial Black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Projects</w:t>
            </w:r>
          </w:p>
        </w:tc>
      </w:tr>
      <w:tr w:rsidR="00F44525" w14:paraId="78523580" w14:textId="77777777">
        <w:trPr>
          <w:trHeight w:val="465"/>
        </w:trPr>
        <w:tc>
          <w:tcPr>
            <w:tcW w:w="2263" w:type="dxa"/>
          </w:tcPr>
          <w:p w14:paraId="09CFE4C2" w14:textId="77777777" w:rsidR="00F44525" w:rsidRDefault="00000000">
            <w:pPr>
              <w:pStyle w:val="TableParagraph"/>
              <w:spacing w:line="301" w:lineRule="exact"/>
              <w:ind w:left="1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477" w:type="dxa"/>
          </w:tcPr>
          <w:p w14:paraId="07879B01" w14:textId="77777777" w:rsidR="00F44525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271</w:t>
            </w:r>
          </w:p>
        </w:tc>
      </w:tr>
      <w:tr w:rsidR="00F44525" w14:paraId="66AABEA0" w14:textId="77777777">
        <w:trPr>
          <w:trHeight w:val="1033"/>
        </w:trPr>
        <w:tc>
          <w:tcPr>
            <w:tcW w:w="2263" w:type="dxa"/>
          </w:tcPr>
          <w:p w14:paraId="04DB5BED" w14:textId="77777777" w:rsidR="00F44525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477" w:type="dxa"/>
          </w:tcPr>
          <w:p w14:paraId="6E624047" w14:textId="77777777" w:rsidR="00F44525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4"/>
                <w:w w:val="95"/>
              </w:rPr>
              <w:t>SCTH</w:t>
            </w:r>
          </w:p>
          <w:p w14:paraId="4A48D1F0" w14:textId="77777777" w:rsidR="00F44525" w:rsidRPr="001C3883" w:rsidRDefault="00000000">
            <w:pPr>
              <w:pStyle w:val="TableParagraph"/>
              <w:spacing w:before="2" w:line="344" w:lineRule="exact"/>
              <w:rPr>
                <w:rFonts w:ascii="Arial" w:hAnsi="Arial" w:cs="Arial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The Minority Question in the ROHU cross-border area: Slovak Culture, Tradition and History without Borders</w:t>
            </w:r>
          </w:p>
        </w:tc>
      </w:tr>
      <w:tr w:rsidR="00F44525" w14:paraId="4A1FEB5C" w14:textId="77777777">
        <w:trPr>
          <w:trHeight w:val="808"/>
        </w:trPr>
        <w:tc>
          <w:tcPr>
            <w:tcW w:w="2263" w:type="dxa"/>
          </w:tcPr>
          <w:p w14:paraId="3F5FE32E" w14:textId="77777777" w:rsidR="00F44525" w:rsidRDefault="00000000">
            <w:pPr>
              <w:pStyle w:val="TableParagraph"/>
              <w:spacing w:line="301" w:lineRule="exact"/>
              <w:ind w:left="13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5C9B3A7E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6 – Promoting cross-border cooperation between institutions and citizen (Cooperation of institutions and communities)</w:t>
            </w:r>
          </w:p>
        </w:tc>
      </w:tr>
      <w:tr w:rsidR="00F44525" w14:paraId="132E482B" w14:textId="77777777">
        <w:trPr>
          <w:trHeight w:val="809"/>
        </w:trPr>
        <w:tc>
          <w:tcPr>
            <w:tcW w:w="2263" w:type="dxa"/>
          </w:tcPr>
          <w:p w14:paraId="4594FE5D" w14:textId="77777777" w:rsidR="00F44525" w:rsidRDefault="00000000">
            <w:pPr>
              <w:pStyle w:val="TableParagraph"/>
              <w:spacing w:line="266" w:lineRule="auto"/>
              <w:ind w:left="714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477" w:type="dxa"/>
          </w:tcPr>
          <w:p w14:paraId="7FEF1CBC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11/b - Promoting legal and administrative cooperation and cooperation between citizens and institutions (ETC-CB)</w:t>
            </w:r>
          </w:p>
        </w:tc>
      </w:tr>
      <w:tr w:rsidR="00F44525" w14:paraId="7C0313C9" w14:textId="77777777">
        <w:trPr>
          <w:trHeight w:val="810"/>
        </w:trPr>
        <w:tc>
          <w:tcPr>
            <w:tcW w:w="2263" w:type="dxa"/>
          </w:tcPr>
          <w:p w14:paraId="71935470" w14:textId="77777777" w:rsidR="00F44525" w:rsidRDefault="00000000">
            <w:pPr>
              <w:pStyle w:val="TableParagraph"/>
              <w:spacing w:line="266" w:lineRule="auto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10"/>
              </w:rPr>
              <w:t xml:space="preserve">Implementation </w:t>
            </w: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477" w:type="dxa"/>
          </w:tcPr>
          <w:p w14:paraId="3C1B3D15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12 months (1st of December 2018 – 30th of November 2019)</w:t>
            </w:r>
          </w:p>
        </w:tc>
      </w:tr>
      <w:tr w:rsidR="00F44525" w14:paraId="6655429A" w14:textId="77777777">
        <w:trPr>
          <w:trHeight w:val="1153"/>
        </w:trPr>
        <w:tc>
          <w:tcPr>
            <w:tcW w:w="2263" w:type="dxa"/>
          </w:tcPr>
          <w:p w14:paraId="1D1AF8F6" w14:textId="77777777" w:rsidR="00F44525" w:rsidRDefault="00F44525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2ECDC16C" w14:textId="77777777" w:rsidR="00F44525" w:rsidRDefault="00000000">
            <w:pPr>
              <w:pStyle w:val="TableParagraph"/>
              <w:ind w:left="13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26820DB9" w14:textId="77777777" w:rsidR="00F44525" w:rsidRPr="001C3883" w:rsidRDefault="00000000" w:rsidP="001C3883">
            <w:pPr>
              <w:pStyle w:val="TableParagraph"/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 xml:space="preserve">The project's main objective was to promote the traditions, </w:t>
            </w:r>
            <w:proofErr w:type="gramStart"/>
            <w:r w:rsidRPr="001C3883">
              <w:rPr>
                <w:rFonts w:ascii="Arial" w:hAnsi="Arial" w:cs="Arial"/>
                <w:color w:val="003399"/>
                <w:w w:val="105"/>
              </w:rPr>
              <w:t>culture</w:t>
            </w:r>
            <w:proofErr w:type="gram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and history of the Slovak community in the context of cross-border cooperation.</w:t>
            </w:r>
          </w:p>
        </w:tc>
      </w:tr>
      <w:tr w:rsidR="00F44525" w14:paraId="7942F228" w14:textId="77777777" w:rsidTr="001C3883">
        <w:trPr>
          <w:trHeight w:val="730"/>
        </w:trPr>
        <w:tc>
          <w:tcPr>
            <w:tcW w:w="2263" w:type="dxa"/>
            <w:vMerge w:val="restart"/>
          </w:tcPr>
          <w:p w14:paraId="6FE90A53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5A3E0012" w14:textId="77777777" w:rsidR="00F44525" w:rsidRDefault="00F44525">
            <w:pPr>
              <w:pStyle w:val="TableParagraph"/>
              <w:spacing w:before="199"/>
              <w:ind w:left="0"/>
              <w:rPr>
                <w:rFonts w:ascii="Times New Roman"/>
              </w:rPr>
            </w:pPr>
          </w:p>
          <w:p w14:paraId="17959E5D" w14:textId="77777777" w:rsidR="00F44525" w:rsidRDefault="00000000">
            <w:pPr>
              <w:pStyle w:val="TableParagraph"/>
              <w:ind w:left="479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61E917DF" w14:textId="77777777" w:rsidR="00F44525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Lead</w:t>
            </w:r>
            <w:r>
              <w:rPr>
                <w:rFonts w:ascii="Arial Black"/>
                <w:color w:val="003399"/>
                <w:spacing w:val="7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Beneficiary:</w:t>
            </w:r>
          </w:p>
          <w:p w14:paraId="4645A7CB" w14:textId="77777777" w:rsidR="00F44525" w:rsidRDefault="00000000" w:rsidP="001C3883">
            <w:pPr>
              <w:pStyle w:val="TableParagraph"/>
              <w:spacing w:before="2" w:line="344" w:lineRule="exact"/>
            </w:pPr>
            <w:proofErr w:type="spellStart"/>
            <w:r w:rsidRPr="001C3883">
              <w:rPr>
                <w:rFonts w:ascii="Arial" w:hAnsi="Arial" w:cs="Arial"/>
                <w:color w:val="003399"/>
                <w:w w:val="105"/>
              </w:rPr>
              <w:t>Sinteu</w:t>
            </w:r>
            <w:proofErr w:type="spell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Commune (Romania)</w:t>
            </w:r>
          </w:p>
        </w:tc>
      </w:tr>
      <w:tr w:rsidR="00F44525" w14:paraId="75FF27F2" w14:textId="77777777" w:rsidTr="001C3883">
        <w:trPr>
          <w:trHeight w:val="694"/>
        </w:trPr>
        <w:tc>
          <w:tcPr>
            <w:tcW w:w="2263" w:type="dxa"/>
            <w:vMerge/>
            <w:tcBorders>
              <w:top w:val="nil"/>
            </w:tcBorders>
          </w:tcPr>
          <w:p w14:paraId="1850D973" w14:textId="77777777" w:rsidR="00F44525" w:rsidRDefault="00F44525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70B2E06C" w14:textId="6828B1C2" w:rsidR="00F44525" w:rsidRPr="008D6755" w:rsidRDefault="00000000" w:rsidP="008D6755">
            <w:pPr>
              <w:pStyle w:val="TableParagraph"/>
              <w:spacing w:line="301" w:lineRule="exact"/>
              <w:rPr>
                <w:rFonts w:ascii="Arial Black"/>
                <w:color w:val="003399"/>
                <w:w w:val="85"/>
              </w:rPr>
            </w:pPr>
            <w:r w:rsidRPr="008D6755">
              <w:rPr>
                <w:rFonts w:ascii="Arial Black"/>
                <w:color w:val="003399"/>
                <w:w w:val="85"/>
              </w:rPr>
              <w:t>Project Partner:</w:t>
            </w:r>
          </w:p>
          <w:p w14:paraId="195892A9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PP2: Organization of Slovaks from Csaba (Hungary)</w:t>
            </w:r>
          </w:p>
        </w:tc>
      </w:tr>
      <w:tr w:rsidR="00F44525" w14:paraId="4439F2D4" w14:textId="77777777" w:rsidTr="001C3883">
        <w:trPr>
          <w:trHeight w:val="1090"/>
        </w:trPr>
        <w:tc>
          <w:tcPr>
            <w:tcW w:w="2263" w:type="dxa"/>
          </w:tcPr>
          <w:p w14:paraId="58AC64DA" w14:textId="77777777" w:rsidR="00F44525" w:rsidRDefault="00000000">
            <w:pPr>
              <w:pStyle w:val="TableParagraph"/>
              <w:spacing w:line="303" w:lineRule="exact"/>
              <w:ind w:left="13" w:right="6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68A5D570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€ 71,500.00 out of which ERDF € 60,775.00</w:t>
            </w:r>
          </w:p>
          <w:p w14:paraId="5ECABF30" w14:textId="77777777" w:rsidR="00F44525" w:rsidRPr="001C3883" w:rsidRDefault="00000000" w:rsidP="001C3883">
            <w:pPr>
              <w:pStyle w:val="TableParagraph"/>
              <w:spacing w:before="2" w:line="344" w:lineRule="exact"/>
              <w:ind w:left="165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Total eligible expenditure certified within the project: € 69,803.51</w:t>
            </w:r>
          </w:p>
          <w:p w14:paraId="0984BC56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Budget execution: 97.63%</w:t>
            </w:r>
          </w:p>
        </w:tc>
      </w:tr>
      <w:tr w:rsidR="00F44525" w14:paraId="7C46676A" w14:textId="77777777">
        <w:trPr>
          <w:trHeight w:val="3300"/>
        </w:trPr>
        <w:tc>
          <w:tcPr>
            <w:tcW w:w="2263" w:type="dxa"/>
          </w:tcPr>
          <w:p w14:paraId="7E2582B5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001455D7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272DC4CA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21E34F41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286437DF" w14:textId="77777777" w:rsidR="00F44525" w:rsidRDefault="00F44525">
            <w:pPr>
              <w:pStyle w:val="TableParagraph"/>
              <w:spacing w:before="118"/>
              <w:ind w:left="0"/>
              <w:rPr>
                <w:rFonts w:ascii="Times New Roman"/>
              </w:rPr>
            </w:pPr>
          </w:p>
          <w:p w14:paraId="27C035E3" w14:textId="77777777" w:rsidR="00F44525" w:rsidRDefault="00000000">
            <w:pPr>
              <w:pStyle w:val="TableParagraph"/>
              <w:ind w:left="13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477" w:type="dxa"/>
          </w:tcPr>
          <w:p w14:paraId="13E01112" w14:textId="77F8CC82" w:rsidR="00F44525" w:rsidRPr="001C3883" w:rsidRDefault="00000000" w:rsidP="001C3883">
            <w:pPr>
              <w:pStyle w:val="TableParagraph"/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 xml:space="preserve">The project ROHU-271 aimed to enhance the conservation and identity of the cross-border cultural heritage to stimulate the expansion, consolidation and diversification of economic activities related to tourism, cultural activities, entertainment, </w:t>
            </w:r>
            <w:r w:rsidR="001C3883" w:rsidRPr="001C3883">
              <w:rPr>
                <w:rFonts w:ascii="Arial" w:hAnsi="Arial" w:cs="Arial"/>
                <w:color w:val="003399"/>
                <w:w w:val="105"/>
              </w:rPr>
              <w:t>services,</w:t>
            </w:r>
            <w:r w:rsidRPr="001C3883">
              <w:rPr>
                <w:rFonts w:ascii="Arial" w:hAnsi="Arial" w:cs="Arial"/>
                <w:color w:val="003399"/>
                <w:w w:val="105"/>
              </w:rPr>
              <w:t xml:space="preserve"> and trade </w:t>
            </w:r>
            <w:proofErr w:type="gramStart"/>
            <w:r w:rsidRPr="001C3883">
              <w:rPr>
                <w:rFonts w:ascii="Arial" w:hAnsi="Arial" w:cs="Arial"/>
                <w:color w:val="003399"/>
                <w:w w:val="105"/>
              </w:rPr>
              <w:t>in the area of</w:t>
            </w:r>
            <w:proofErr w:type="gram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1C3883">
              <w:rPr>
                <w:rFonts w:ascii="Arial" w:hAnsi="Arial" w:cs="Arial"/>
                <w:color w:val="003399"/>
                <w:w w:val="105"/>
              </w:rPr>
              <w:t>Șinteu</w:t>
            </w:r>
            <w:proofErr w:type="spell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(RO) and Bekescsaba (HU).</w:t>
            </w:r>
          </w:p>
          <w:p w14:paraId="15FB9D95" w14:textId="77777777" w:rsidR="00F44525" w:rsidRPr="001C3883" w:rsidRDefault="00F44525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</w:p>
          <w:p w14:paraId="70D91FE3" w14:textId="77777777" w:rsidR="00F44525" w:rsidRPr="001C3883" w:rsidRDefault="00000000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The main activities implemented within the project:</w:t>
            </w:r>
          </w:p>
          <w:p w14:paraId="54A94199" w14:textId="77777777" w:rsidR="00F44525" w:rsidRDefault="00000000" w:rsidP="008D6755">
            <w:pPr>
              <w:pStyle w:val="TableParagraph"/>
              <w:numPr>
                <w:ilvl w:val="0"/>
                <w:numId w:val="4"/>
              </w:numPr>
              <w:spacing w:before="2" w:line="344" w:lineRule="exact"/>
            </w:pPr>
            <w:r w:rsidRPr="001C3883">
              <w:rPr>
                <w:rFonts w:ascii="Arial" w:hAnsi="Arial" w:cs="Arial"/>
                <w:color w:val="003399"/>
                <w:w w:val="105"/>
              </w:rPr>
              <w:t xml:space="preserve">organizing 2 cross-border workshops regarding "The Slovak Minority Issue", in </w:t>
            </w:r>
            <w:proofErr w:type="spellStart"/>
            <w:r w:rsidRPr="001C3883">
              <w:rPr>
                <w:rFonts w:ascii="Arial" w:hAnsi="Arial" w:cs="Arial"/>
                <w:color w:val="003399"/>
                <w:w w:val="105"/>
              </w:rPr>
              <w:t>Sinteu</w:t>
            </w:r>
            <w:proofErr w:type="spell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(RO) and in Bekescsaba (HU);</w:t>
            </w:r>
          </w:p>
        </w:tc>
      </w:tr>
    </w:tbl>
    <w:p w14:paraId="33FA4FBC" w14:textId="77777777" w:rsidR="00F44525" w:rsidRDefault="00F44525">
      <w:pPr>
        <w:pStyle w:val="TableParagraph"/>
        <w:spacing w:line="340" w:lineRule="atLeast"/>
        <w:sectPr w:rsidR="00F44525">
          <w:headerReference w:type="default" r:id="rId7"/>
          <w:footerReference w:type="default" r:id="rId8"/>
          <w:type w:val="continuous"/>
          <w:pgSz w:w="11910" w:h="16840"/>
          <w:pgMar w:top="2140" w:right="708" w:bottom="1240" w:left="1417" w:header="990" w:footer="1057" w:gutter="0"/>
          <w:pgNumType w:start="1"/>
          <w:cols w:space="720"/>
        </w:sectPr>
      </w:pPr>
    </w:p>
    <w:p w14:paraId="24D1AD73" w14:textId="77777777" w:rsidR="00F44525" w:rsidRDefault="00F44525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F44525" w14:paraId="4A589BA2" w14:textId="77777777" w:rsidTr="008D6755">
        <w:trPr>
          <w:trHeight w:val="5455"/>
        </w:trPr>
        <w:tc>
          <w:tcPr>
            <w:tcW w:w="2263" w:type="dxa"/>
          </w:tcPr>
          <w:p w14:paraId="1E4F7C18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5E6F5777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49813069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1B51D20C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20EBD8E6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1BC6F51D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78AA54E4" w14:textId="77777777" w:rsidR="00BF0A3F" w:rsidRDefault="00BF0A3F">
            <w:pPr>
              <w:pStyle w:val="TableParagraph"/>
              <w:ind w:left="0"/>
              <w:rPr>
                <w:rFonts w:ascii="Times New Roman"/>
              </w:rPr>
            </w:pPr>
          </w:p>
          <w:p w14:paraId="1AF7D990" w14:textId="3987B0AE" w:rsidR="00BF0A3F" w:rsidRDefault="00BF0A3F" w:rsidP="00BF0A3F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477" w:type="dxa"/>
          </w:tcPr>
          <w:p w14:paraId="31623969" w14:textId="42CBC68F" w:rsidR="00F44525" w:rsidRPr="001C3883" w:rsidRDefault="008D6755" w:rsidP="008D675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8D6755">
              <w:rPr>
                <w:rFonts w:ascii="Arial" w:hAnsi="Arial" w:cs="Arial"/>
                <w:color w:val="003399"/>
                <w:w w:val="105"/>
              </w:rPr>
              <w:t xml:space="preserve">organizing the </w:t>
            </w:r>
            <w:r w:rsidRPr="008D6755">
              <w:rPr>
                <w:rFonts w:ascii="Arial" w:hAnsi="Arial" w:cs="Arial"/>
                <w:b/>
                <w:bCs/>
                <w:color w:val="003399"/>
                <w:w w:val="105"/>
              </w:rPr>
              <w:t>“Living Slovak Museum: A Museum of Slovak Culture and Traditions”</w:t>
            </w:r>
            <w:r w:rsidRPr="008D6755">
              <w:rPr>
                <w:rFonts w:ascii="Arial" w:hAnsi="Arial" w:cs="Arial"/>
                <w:color w:val="003399"/>
                <w:w w:val="105"/>
              </w:rPr>
              <w:t xml:space="preserve"> event in </w:t>
            </w:r>
            <w:proofErr w:type="spellStart"/>
            <w:r w:rsidRPr="008D6755">
              <w:rPr>
                <w:rFonts w:ascii="Arial" w:hAnsi="Arial" w:cs="Arial"/>
                <w:color w:val="003399"/>
                <w:w w:val="105"/>
              </w:rPr>
              <w:t>Șinteu</w:t>
            </w:r>
            <w:proofErr w:type="spellEnd"/>
            <w:r w:rsidRPr="008D6755">
              <w:rPr>
                <w:rFonts w:ascii="Arial" w:hAnsi="Arial" w:cs="Arial"/>
                <w:color w:val="003399"/>
                <w:w w:val="105"/>
              </w:rPr>
              <w:t xml:space="preserve"> and Bekescsaba, where information about Slovak communities and organizations from the cross-border area w</w:t>
            </w:r>
            <w:r>
              <w:rPr>
                <w:rFonts w:ascii="Arial" w:hAnsi="Arial" w:cs="Arial"/>
                <w:color w:val="003399"/>
                <w:w w:val="105"/>
              </w:rPr>
              <w:t>ere</w:t>
            </w:r>
            <w:r w:rsidRPr="008D6755">
              <w:rPr>
                <w:rFonts w:ascii="Arial" w:hAnsi="Arial" w:cs="Arial"/>
                <w:color w:val="003399"/>
                <w:w w:val="105"/>
              </w:rPr>
              <w:t xml:space="preserve"> collected and presented, along with insights into the Slovak way of life in the past and present, their history, traditions, folk culture, and cuisine.</w:t>
            </w:r>
            <w:r w:rsidR="00000000" w:rsidRPr="001C3883">
              <w:rPr>
                <w:rFonts w:ascii="Arial" w:hAnsi="Arial" w:cs="Arial"/>
                <w:color w:val="003399"/>
                <w:w w:val="105"/>
              </w:rPr>
              <w:t>;</w:t>
            </w:r>
          </w:p>
          <w:p w14:paraId="204151A8" w14:textId="77777777" w:rsidR="00F44525" w:rsidRPr="001C3883" w:rsidRDefault="00000000" w:rsidP="008D6755">
            <w:pPr>
              <w:pStyle w:val="TableParagraph"/>
              <w:numPr>
                <w:ilvl w:val="0"/>
                <w:numId w:val="4"/>
              </w:numPr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acquisition, by both partners, of equipment necessary for event</w:t>
            </w:r>
          </w:p>
          <w:p w14:paraId="04E64BB6" w14:textId="77777777" w:rsidR="00F44525" w:rsidRPr="001C3883" w:rsidRDefault="00000000" w:rsidP="008D6755">
            <w:pPr>
              <w:pStyle w:val="TableParagraph"/>
              <w:spacing w:before="2" w:line="344" w:lineRule="exact"/>
              <w:ind w:left="858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organization: tents, wooden booths, outdoor furniture: benches and tables</w:t>
            </w:r>
          </w:p>
          <w:p w14:paraId="11F34901" w14:textId="77777777" w:rsidR="00F44525" w:rsidRPr="001C3883" w:rsidRDefault="00000000" w:rsidP="008D6755">
            <w:pPr>
              <w:pStyle w:val="TableParagraph"/>
              <w:numPr>
                <w:ilvl w:val="0"/>
                <w:numId w:val="5"/>
              </w:numPr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development of an online network of communities (set on a</w:t>
            </w:r>
          </w:p>
          <w:p w14:paraId="3D447492" w14:textId="5816EF16" w:rsidR="00F44525" w:rsidRPr="001C3883" w:rsidRDefault="00000000" w:rsidP="008D6755">
            <w:pPr>
              <w:pStyle w:val="TableParagraph"/>
              <w:spacing w:before="2" w:line="344" w:lineRule="exact"/>
              <w:ind w:left="768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 xml:space="preserve">website), organizations, institutions, </w:t>
            </w:r>
            <w:r w:rsidR="008D6755" w:rsidRPr="001C3883">
              <w:rPr>
                <w:rFonts w:ascii="Arial" w:hAnsi="Arial" w:cs="Arial"/>
                <w:color w:val="003399"/>
                <w:w w:val="105"/>
              </w:rPr>
              <w:t>actors,</w:t>
            </w:r>
            <w:r w:rsidRPr="001C3883">
              <w:rPr>
                <w:rFonts w:ascii="Arial" w:hAnsi="Arial" w:cs="Arial"/>
                <w:color w:val="003399"/>
                <w:w w:val="105"/>
              </w:rPr>
              <w:t xml:space="preserve"> and groups that share a common interest in promoting and preserving Slovak culture and traditions</w:t>
            </w:r>
            <w:r w:rsidR="004A3DC7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3BC687E8" w14:textId="2EA110EA" w:rsidR="00F44525" w:rsidRDefault="00000000" w:rsidP="008D6755">
            <w:pPr>
              <w:pStyle w:val="TableParagraph"/>
              <w:spacing w:before="2" w:line="344" w:lineRule="exact"/>
            </w:pPr>
            <w:r w:rsidRPr="001C3883">
              <w:rPr>
                <w:rFonts w:ascii="Arial" w:hAnsi="Arial" w:cs="Arial"/>
                <w:color w:val="003399"/>
                <w:w w:val="105"/>
              </w:rPr>
              <w:t>On November 30, 2019, the project was successfully finalized. All activities provided in the project were completed (100%).</w:t>
            </w:r>
          </w:p>
        </w:tc>
      </w:tr>
      <w:tr w:rsidR="00F44525" w14:paraId="6B1814AB" w14:textId="77777777">
        <w:trPr>
          <w:trHeight w:val="3223"/>
        </w:trPr>
        <w:tc>
          <w:tcPr>
            <w:tcW w:w="2263" w:type="dxa"/>
          </w:tcPr>
          <w:p w14:paraId="44577336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69EBC4E4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14ED5CB6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710A6B96" w14:textId="77777777" w:rsidR="00F44525" w:rsidRDefault="00F44525">
            <w:pPr>
              <w:pStyle w:val="TableParagraph"/>
              <w:ind w:left="0"/>
              <w:rPr>
                <w:rFonts w:ascii="Times New Roman"/>
              </w:rPr>
            </w:pPr>
          </w:p>
          <w:p w14:paraId="37CE3F8C" w14:textId="77777777" w:rsidR="00F44525" w:rsidRDefault="00F44525">
            <w:pPr>
              <w:pStyle w:val="TableParagraph"/>
              <w:spacing w:before="79"/>
              <w:ind w:left="0"/>
              <w:rPr>
                <w:rFonts w:ascii="Times New Roman"/>
              </w:rPr>
            </w:pPr>
          </w:p>
          <w:p w14:paraId="4412D584" w14:textId="77777777" w:rsidR="00BF0A3F" w:rsidRDefault="00BF0A3F" w:rsidP="001C3883">
            <w:pPr>
              <w:pStyle w:val="TableParagraph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14B9431E" w14:textId="77777777" w:rsidR="00BF0A3F" w:rsidRDefault="00BF0A3F" w:rsidP="001C3883">
            <w:pPr>
              <w:pStyle w:val="TableParagraph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07681167" w14:textId="77777777" w:rsidR="00BF0A3F" w:rsidRDefault="00BF0A3F" w:rsidP="001C3883">
            <w:pPr>
              <w:pStyle w:val="TableParagraph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76FAA73F" w14:textId="77777777" w:rsidR="00BF0A3F" w:rsidRDefault="00BF0A3F" w:rsidP="001C3883">
            <w:pPr>
              <w:pStyle w:val="TableParagraph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7E68A09E" w14:textId="3E70585C" w:rsidR="00F44525" w:rsidRDefault="00000000" w:rsidP="001C3883">
            <w:pPr>
              <w:pStyle w:val="TableParagraph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1C3883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477" w:type="dxa"/>
          </w:tcPr>
          <w:p w14:paraId="2FBFC2E4" w14:textId="7D329FB0" w:rsidR="008D6755" w:rsidRPr="008D6755" w:rsidRDefault="008D6755" w:rsidP="008D6755">
            <w:pPr>
              <w:pStyle w:val="TableParagraph"/>
              <w:rPr>
                <w:rFonts w:ascii="Arial Black"/>
                <w:color w:val="003399"/>
                <w:spacing w:val="-7"/>
              </w:rPr>
            </w:pPr>
            <w:r w:rsidRPr="008D6755">
              <w:rPr>
                <w:rFonts w:ascii="Arial Black"/>
                <w:color w:val="003399"/>
                <w:spacing w:val="-7"/>
              </w:rPr>
              <w:t>Deliverables:</w:t>
            </w:r>
          </w:p>
          <w:p w14:paraId="4B48A33E" w14:textId="7A597E8B" w:rsidR="003010B7" w:rsidRPr="003010B7" w:rsidRDefault="003010B7" w:rsidP="003010B7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b/>
                <w:bCs/>
                <w:color w:val="003399"/>
                <w:w w:val="105"/>
              </w:rPr>
              <w:t>Two workshops</w:t>
            </w:r>
            <w:r w:rsidRPr="003010B7">
              <w:rPr>
                <w:rFonts w:ascii="Arial" w:hAnsi="Arial" w:cs="Arial"/>
                <w:color w:val="003399"/>
                <w:w w:val="105"/>
              </w:rPr>
              <w:t xml:space="preserve"> on </w:t>
            </w:r>
            <w:r w:rsidRPr="003010B7">
              <w:rPr>
                <w:rFonts w:ascii="Arial" w:hAnsi="Arial" w:cs="Arial"/>
                <w:i/>
                <w:iCs/>
                <w:color w:val="003399"/>
                <w:w w:val="105"/>
              </w:rPr>
              <w:t>“The Slovak Minority Issue</w:t>
            </w:r>
            <w:proofErr w:type="gramStart"/>
            <w:r w:rsidRPr="003010B7">
              <w:rPr>
                <w:rFonts w:ascii="Arial" w:hAnsi="Arial" w:cs="Arial"/>
                <w:i/>
                <w:iCs/>
                <w:color w:val="003399"/>
                <w:w w:val="105"/>
              </w:rPr>
              <w:t>”</w:t>
            </w:r>
            <w:r w:rsidRPr="003010B7">
              <w:rPr>
                <w:rFonts w:ascii="Arial" w:hAnsi="Arial" w:cs="Arial"/>
                <w:color w:val="003399"/>
                <w:w w:val="105"/>
              </w:rPr>
              <w:t>,</w:t>
            </w:r>
            <w:proofErr w:type="gramEnd"/>
            <w:r w:rsidRPr="003010B7">
              <w:rPr>
                <w:rFonts w:ascii="Arial" w:hAnsi="Arial" w:cs="Arial"/>
                <w:color w:val="003399"/>
                <w:w w:val="105"/>
              </w:rPr>
              <w:t xml:space="preserve"> one in Romania and one in Hungary.</w:t>
            </w:r>
          </w:p>
          <w:p w14:paraId="3CAB610F" w14:textId="25A1408E" w:rsidR="003010B7" w:rsidRPr="003010B7" w:rsidRDefault="003010B7" w:rsidP="003010B7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b/>
                <w:bCs/>
                <w:color w:val="003399"/>
                <w:w w:val="105"/>
              </w:rPr>
              <w:t>Two “Living Slovak Museum: A Museum of Slovak Culture and Traditions” events</w:t>
            </w:r>
            <w:r w:rsidRPr="003010B7">
              <w:rPr>
                <w:rFonts w:ascii="Arial" w:hAnsi="Arial" w:cs="Arial"/>
                <w:color w:val="003399"/>
                <w:w w:val="105"/>
              </w:rPr>
              <w:t>, gathering and presenting information about Slovak communities and organizations from the cross-border area, including the Slovak way of life in the past and present, history, traditions, folk culture, and cuisine.</w:t>
            </w:r>
          </w:p>
          <w:p w14:paraId="15B746A2" w14:textId="13519E1C" w:rsidR="003010B7" w:rsidRPr="003010B7" w:rsidRDefault="003010B7" w:rsidP="003010B7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b/>
                <w:bCs/>
                <w:color w:val="003399"/>
                <w:w w:val="105"/>
              </w:rPr>
              <w:t>Purchase of equipment</w:t>
            </w:r>
            <w:r w:rsidRPr="003010B7">
              <w:rPr>
                <w:rFonts w:ascii="Arial" w:hAnsi="Arial" w:cs="Arial"/>
                <w:color w:val="003399"/>
                <w:w w:val="105"/>
              </w:rPr>
              <w:t xml:space="preserve"> necessary for event organization, including tents, wooden booths, outdoor furniture (benches and tables), and photo and audio equipment.</w:t>
            </w:r>
          </w:p>
          <w:p w14:paraId="331D6196" w14:textId="633E7370" w:rsidR="003010B7" w:rsidRPr="003010B7" w:rsidRDefault="003010B7" w:rsidP="003010B7">
            <w:pPr>
              <w:pStyle w:val="TableParagraph"/>
              <w:numPr>
                <w:ilvl w:val="0"/>
                <w:numId w:val="7"/>
              </w:numPr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b/>
                <w:bCs/>
                <w:color w:val="003399"/>
                <w:w w:val="105"/>
              </w:rPr>
              <w:t>Development of an online network</w:t>
            </w:r>
            <w:r w:rsidRPr="003010B7">
              <w:rPr>
                <w:rFonts w:ascii="Arial" w:hAnsi="Arial" w:cs="Arial"/>
                <w:color w:val="003399"/>
                <w:w w:val="105"/>
              </w:rPr>
              <w:t xml:space="preserve"> of communities, organizations, institutions, actors, and groups with a shared interest in promoting and preserving Slovak culture and traditions, hosted on </w:t>
            </w:r>
            <w:hyperlink r:id="rId9" w:tgtFrame="_new" w:history="1">
              <w:r w:rsidRPr="003010B7">
                <w:rPr>
                  <w:rStyle w:val="Hyperlink"/>
                  <w:rFonts w:ascii="Arial" w:hAnsi="Arial" w:cs="Arial"/>
                  <w:w w:val="105"/>
                </w:rPr>
                <w:t>www.slovakok.hu</w:t>
              </w:r>
            </w:hyperlink>
          </w:p>
          <w:p w14:paraId="3FCAE3C4" w14:textId="77777777" w:rsidR="008D6755" w:rsidRDefault="008D6755" w:rsidP="001C3883">
            <w:pPr>
              <w:pStyle w:val="TableParagraph"/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</w:p>
          <w:p w14:paraId="10623575" w14:textId="20FC8AF2" w:rsidR="008D6755" w:rsidRPr="008D6755" w:rsidRDefault="008D6755" w:rsidP="008D6755">
            <w:pPr>
              <w:pStyle w:val="TableParagraph"/>
              <w:rPr>
                <w:rFonts w:ascii="Arial Black"/>
                <w:color w:val="003399"/>
                <w:spacing w:val="-7"/>
              </w:rPr>
            </w:pPr>
            <w:r w:rsidRPr="008D6755">
              <w:rPr>
                <w:rFonts w:ascii="Arial Black"/>
                <w:color w:val="003399"/>
                <w:spacing w:val="-7"/>
              </w:rPr>
              <w:t>Results:</w:t>
            </w:r>
          </w:p>
          <w:p w14:paraId="5184CB4B" w14:textId="6A48FCFE" w:rsidR="003010B7" w:rsidRPr="003010B7" w:rsidRDefault="003010B7" w:rsidP="003010B7">
            <w:pPr>
              <w:pStyle w:val="TableParagraph"/>
              <w:numPr>
                <w:ilvl w:val="0"/>
                <w:numId w:val="8"/>
              </w:numPr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b/>
                <w:bCs/>
                <w:color w:val="003399"/>
                <w:w w:val="105"/>
              </w:rPr>
              <w:t xml:space="preserve"> </w:t>
            </w:r>
            <w:r w:rsidRPr="003010B7">
              <w:rPr>
                <w:rFonts w:ascii="Arial" w:hAnsi="Arial" w:cs="Arial"/>
                <w:color w:val="003399"/>
                <w:w w:val="105"/>
              </w:rPr>
              <w:t>Promotion of Slovak traditions, culture, and shared history within the context of cross-border cooperation along the Romanian-Hungarian border.</w:t>
            </w:r>
          </w:p>
          <w:p w14:paraId="6E77D2A3" w14:textId="33CC911F" w:rsidR="003010B7" w:rsidRPr="003010B7" w:rsidRDefault="003010B7" w:rsidP="003010B7">
            <w:pPr>
              <w:pStyle w:val="TableParagraph"/>
              <w:numPr>
                <w:ilvl w:val="0"/>
                <w:numId w:val="8"/>
              </w:numPr>
              <w:spacing w:before="2" w:line="344" w:lineRule="exact"/>
              <w:rPr>
                <w:rFonts w:ascii="Arial" w:hAnsi="Arial" w:cs="Arial"/>
                <w:color w:val="003399"/>
                <w:w w:val="105"/>
              </w:rPr>
            </w:pPr>
            <w:r w:rsidRPr="003010B7">
              <w:rPr>
                <w:rFonts w:ascii="Arial" w:hAnsi="Arial" w:cs="Arial"/>
                <w:color w:val="003399"/>
                <w:w w:val="105"/>
              </w:rPr>
              <w:t xml:space="preserve">Enhanced cultural dimension of local fairs and festivals, increasing their cross-border influence and impact, particularly in preserving </w:t>
            </w:r>
            <w:r w:rsidRPr="003010B7">
              <w:rPr>
                <w:rFonts w:ascii="Arial" w:hAnsi="Arial" w:cs="Arial"/>
                <w:color w:val="003399"/>
                <w:w w:val="105"/>
              </w:rPr>
              <w:lastRenderedPageBreak/>
              <w:t>cultural heritage related to local and traditional products and production processes.</w:t>
            </w:r>
          </w:p>
          <w:p w14:paraId="73D47F1F" w14:textId="77777777" w:rsidR="003010B7" w:rsidRDefault="003010B7" w:rsidP="008D6755">
            <w:pPr>
              <w:pStyle w:val="TableParagraph"/>
              <w:rPr>
                <w:rFonts w:ascii="Arial Black"/>
                <w:color w:val="003399"/>
                <w:spacing w:val="-7"/>
              </w:rPr>
            </w:pPr>
          </w:p>
          <w:p w14:paraId="4013F133" w14:textId="466D8D5A" w:rsidR="008D6755" w:rsidRPr="008D6755" w:rsidRDefault="008D6755" w:rsidP="008D6755">
            <w:pPr>
              <w:pStyle w:val="TableParagraph"/>
              <w:rPr>
                <w:rFonts w:ascii="Arial Black"/>
                <w:color w:val="003399"/>
                <w:spacing w:val="-7"/>
              </w:rPr>
            </w:pPr>
            <w:r w:rsidRPr="008D6755">
              <w:rPr>
                <w:rFonts w:ascii="Arial Black"/>
                <w:color w:val="003399"/>
                <w:spacing w:val="-7"/>
              </w:rPr>
              <w:t xml:space="preserve">Indicators: </w:t>
            </w:r>
          </w:p>
          <w:p w14:paraId="7CE22668" w14:textId="77777777" w:rsidR="008D6755" w:rsidRPr="001C3883" w:rsidRDefault="008D6755" w:rsidP="008D6755">
            <w:pPr>
              <w:pStyle w:val="TableParagraph"/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Pr="001C3883">
              <w:rPr>
                <w:rFonts w:ascii="Arial" w:hAnsi="Arial" w:cs="Arial"/>
                <w:color w:val="003399"/>
                <w:w w:val="105"/>
              </w:rPr>
              <w:t xml:space="preserve">The </w:t>
            </w:r>
            <w:proofErr w:type="spellStart"/>
            <w:r w:rsidRPr="001C3883">
              <w:rPr>
                <w:rFonts w:ascii="Arial" w:hAnsi="Arial" w:cs="Arial"/>
                <w:color w:val="003399"/>
                <w:w w:val="105"/>
              </w:rPr>
              <w:t>Programme</w:t>
            </w:r>
            <w:proofErr w:type="spellEnd"/>
            <w:r w:rsidRPr="001C3883">
              <w:rPr>
                <w:rFonts w:ascii="Arial" w:hAnsi="Arial" w:cs="Arial"/>
                <w:color w:val="003399"/>
                <w:w w:val="105"/>
              </w:rPr>
              <w:t xml:space="preserve"> Output Indicator is „11/b2 Number of people participating in cross-border cooperation initiatives”. Through project ROHU – 271, </w:t>
            </w:r>
            <w:r w:rsidRPr="008D6755">
              <w:rPr>
                <w:rFonts w:ascii="Arial" w:hAnsi="Arial" w:cs="Arial"/>
                <w:b/>
                <w:bCs/>
                <w:color w:val="003399"/>
                <w:w w:val="105"/>
              </w:rPr>
              <w:t>2,467 people</w:t>
            </w:r>
            <w:r w:rsidRPr="001C3883">
              <w:rPr>
                <w:rFonts w:ascii="Arial" w:hAnsi="Arial" w:cs="Arial"/>
                <w:color w:val="003399"/>
                <w:w w:val="105"/>
              </w:rPr>
              <w:t xml:space="preserve"> have participated in the events dedicated to Slovak culture and traditions, promoted among the cross-border</w:t>
            </w:r>
          </w:p>
          <w:p w14:paraId="527A1678" w14:textId="0AE8597F" w:rsidR="008D6755" w:rsidRDefault="008D6755" w:rsidP="008D6755">
            <w:pPr>
              <w:pStyle w:val="TableParagraph"/>
              <w:spacing w:before="2" w:line="344" w:lineRule="exact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1C3883">
              <w:rPr>
                <w:rFonts w:ascii="Arial" w:hAnsi="Arial" w:cs="Arial"/>
                <w:color w:val="003399"/>
                <w:w w:val="105"/>
              </w:rPr>
              <w:t>population.</w:t>
            </w:r>
          </w:p>
          <w:p w14:paraId="3DF13F59" w14:textId="21A15CB0" w:rsidR="00F44525" w:rsidRDefault="00F44525" w:rsidP="001C3883">
            <w:pPr>
              <w:pStyle w:val="TableParagraph"/>
              <w:spacing w:before="2" w:line="344" w:lineRule="exact"/>
            </w:pPr>
          </w:p>
        </w:tc>
      </w:tr>
    </w:tbl>
    <w:p w14:paraId="15DDCE13" w14:textId="77777777" w:rsidR="00320B07" w:rsidRDefault="00320B07"/>
    <w:sectPr w:rsidR="00320B07">
      <w:pgSz w:w="11910" w:h="16840"/>
      <w:pgMar w:top="2140" w:right="708" w:bottom="1240" w:left="1417" w:header="99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86F2" w14:textId="77777777" w:rsidR="00320B07" w:rsidRDefault="00320B07">
      <w:r>
        <w:separator/>
      </w:r>
    </w:p>
  </w:endnote>
  <w:endnote w:type="continuationSeparator" w:id="0">
    <w:p w14:paraId="6C33C983" w14:textId="77777777" w:rsidR="00320B07" w:rsidRDefault="0032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A736" w14:textId="77777777" w:rsidR="00F4452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BCD7906" wp14:editId="04A8A7D6">
              <wp:simplePos x="0" y="0"/>
              <wp:positionH relativeFrom="page">
                <wp:posOffset>902004</wp:posOffset>
              </wp:positionH>
              <wp:positionV relativeFrom="page">
                <wp:posOffset>9881237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3371A" w14:textId="77777777" w:rsidR="00F44525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D79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78.05pt;width:143.2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1A93371A" w14:textId="77777777" w:rsidR="00F44525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53B6940" wp14:editId="6341920B">
              <wp:simplePos x="0" y="0"/>
              <wp:positionH relativeFrom="page">
                <wp:posOffset>5325236</wp:posOffset>
              </wp:positionH>
              <wp:positionV relativeFrom="page">
                <wp:posOffset>9881237</wp:posOffset>
              </wp:positionV>
              <wp:extent cx="133350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CAF5B" w14:textId="77777777" w:rsidR="00F44525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B6940" id="Textbox 5" o:spid="_x0000_s1027" type="#_x0000_t202" style="position:absolute;margin-left:419.3pt;margin-top:778.05pt;width:105pt;height:15.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VTLh&#10;dOAAAAAOAQAADwAAAGRycy9kb3ducmV2LnhtbEyPwU7DMBBE70j8g7VI3KhdSkMIcaoKwQkJNQ0H&#10;jk68TazG6xC7bfh7nBMcd+ZpdibfTLZnZxy9cSRhuRDAkBqnDbUSPqu3uxSYD4q06h2hhB/0sCmu&#10;r3KVaXehEs/70LIYQj5TEroQhoxz33RolV+4ASl6BzdaFeI5tlyP6hLDbc/vhUi4VYbih04N+NJh&#10;c9yfrITtF5Wv5vuj3pWH0lTVk6D35Cjl7c20fQYWcAp/MMz1Y3UoYqfanUh71ktIV2kS0Wis18kS&#10;2IyIh1mrZy19XAEvcv5/RvEL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VTLhdOAA&#10;AAAOAQAADwAAAAAAAAAAAAAAAADxAwAAZHJzL2Rvd25yZXYueG1sUEsFBgAAAAAEAAQA8wAAAP4E&#10;AAAAAA==&#10;" filled="f" stroked="f">
              <v:textbox inset="0,0,0,0">
                <w:txbxContent>
                  <w:p w14:paraId="005CAF5B" w14:textId="77777777" w:rsidR="00F44525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58C8902" wp14:editId="5B7109D6">
              <wp:simplePos x="0" y="0"/>
              <wp:positionH relativeFrom="page">
                <wp:posOffset>3707003</wp:posOffset>
              </wp:positionH>
              <wp:positionV relativeFrom="page">
                <wp:posOffset>10078922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41C73" w14:textId="77777777" w:rsidR="00F4452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C8902" id="Textbox 6" o:spid="_x0000_s1028" type="#_x0000_t202" style="position:absolute;margin-left:291.9pt;margin-top:793.6pt;width:12.6pt;height:13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Yxaeu&#10;4gAAAA0BAAAPAAAAZHJzL2Rvd25yZXYueG1sTI/BTsMwEETvSPyDtUjcqN1GDWmIU1UITkiINBw4&#10;OrGbWI3XIXbb8PcsJ3rcmdHsm2I7u4GdzRSsRwnLhQBmsPXaYifhs359yICFqFCrwaOR8GMCbMvb&#10;m0Ll2l+wMud97BiVYMiVhD7GMec8tL1xKiz8aJC8g5+cinROHdeTulC5G/hKiJQ7ZZE+9Go0z71p&#10;j/uTk7D7wurFfr83H9WhsnW9EfiWHqW8v5t3T8CimeN/GP7wCR1KYmr8CXVgg4R1lhB6JGOdPa6A&#10;USQVG5rXkJQukwR4WfDrFeUv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FjFp67i&#10;AAAADQEAAA8AAAAAAAAAAAAAAAAA8AMAAGRycy9kb3ducmV2LnhtbFBLBQYAAAAABAAEAPMAAAD/&#10;BAAAAAA=&#10;" filled="f" stroked="f">
              <v:textbox inset="0,0,0,0">
                <w:txbxContent>
                  <w:p w14:paraId="20D41C73" w14:textId="77777777" w:rsidR="00F4452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BC24" w14:textId="77777777" w:rsidR="00320B07" w:rsidRDefault="00320B07">
      <w:r>
        <w:separator/>
      </w:r>
    </w:p>
  </w:footnote>
  <w:footnote w:type="continuationSeparator" w:id="0">
    <w:p w14:paraId="7244D5FA" w14:textId="77777777" w:rsidR="00320B07" w:rsidRDefault="0032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7551" w14:textId="77777777" w:rsidR="00F44525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7216" behindDoc="1" locked="0" layoutInCell="1" allowOverlap="1" wp14:anchorId="708A5288" wp14:editId="058D241F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12AF5E5B" wp14:editId="6CC37929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8240" behindDoc="1" locked="0" layoutInCell="1" allowOverlap="1" wp14:anchorId="220C0B43" wp14:editId="4318DC6F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144"/>
    <w:multiLevelType w:val="hybridMultilevel"/>
    <w:tmpl w:val="31F0523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2EBB7DA7"/>
    <w:multiLevelType w:val="hybridMultilevel"/>
    <w:tmpl w:val="7562C2E6"/>
    <w:lvl w:ilvl="0" w:tplc="7B528F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8DCC4B7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848C77D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0B92498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7E2E1F9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AE2E8DA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FC2C09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174E30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D21038B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B83B54"/>
    <w:multiLevelType w:val="hybridMultilevel"/>
    <w:tmpl w:val="88EE837E"/>
    <w:lvl w:ilvl="0" w:tplc="FCC0F5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A3D6B05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6683AB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14B6CD9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6A14156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544EAD1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EBA493B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0829A8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FF2CCAD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ED6155"/>
    <w:multiLevelType w:val="hybridMultilevel"/>
    <w:tmpl w:val="73B45C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B350BDC"/>
    <w:multiLevelType w:val="hybridMultilevel"/>
    <w:tmpl w:val="48542C3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727F5132"/>
    <w:multiLevelType w:val="hybridMultilevel"/>
    <w:tmpl w:val="135AB9F6"/>
    <w:lvl w:ilvl="0" w:tplc="A9C45A4C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9C5445"/>
    <w:multiLevelType w:val="hybridMultilevel"/>
    <w:tmpl w:val="4542740A"/>
    <w:lvl w:ilvl="0" w:tplc="F9C48D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DB84C04"/>
    <w:multiLevelType w:val="hybridMultilevel"/>
    <w:tmpl w:val="C136A92C"/>
    <w:lvl w:ilvl="0" w:tplc="A964F502">
      <w:numFmt w:val="bullet"/>
      <w:lvlText w:val="-"/>
      <w:lvlJc w:val="left"/>
      <w:pPr>
        <w:ind w:left="540" w:hanging="128"/>
      </w:pPr>
      <w:rPr>
        <w:rFonts w:ascii="Microsoft Sans Serif" w:eastAsia="Microsoft Sans Serif" w:hAnsi="Microsoft Sans Serif" w:cs="Microsoft Sans Serif" w:hint="default"/>
        <w:spacing w:val="0"/>
        <w:w w:val="96"/>
        <w:lang w:val="en-US" w:eastAsia="en-US" w:bidi="ar-SA"/>
      </w:rPr>
    </w:lvl>
    <w:lvl w:ilvl="1" w:tplc="0AE6611A">
      <w:numFmt w:val="bullet"/>
      <w:lvlText w:val="•"/>
      <w:lvlJc w:val="left"/>
      <w:pPr>
        <w:ind w:left="1232" w:hanging="128"/>
      </w:pPr>
      <w:rPr>
        <w:rFonts w:hint="default"/>
        <w:lang w:val="en-US" w:eastAsia="en-US" w:bidi="ar-SA"/>
      </w:rPr>
    </w:lvl>
    <w:lvl w:ilvl="2" w:tplc="B77CBF52">
      <w:numFmt w:val="bullet"/>
      <w:lvlText w:val="•"/>
      <w:lvlJc w:val="left"/>
      <w:pPr>
        <w:ind w:left="1925" w:hanging="128"/>
      </w:pPr>
      <w:rPr>
        <w:rFonts w:hint="default"/>
        <w:lang w:val="en-US" w:eastAsia="en-US" w:bidi="ar-SA"/>
      </w:rPr>
    </w:lvl>
    <w:lvl w:ilvl="3" w:tplc="536CD0EA">
      <w:numFmt w:val="bullet"/>
      <w:lvlText w:val="•"/>
      <w:lvlJc w:val="left"/>
      <w:pPr>
        <w:ind w:left="2618" w:hanging="128"/>
      </w:pPr>
      <w:rPr>
        <w:rFonts w:hint="default"/>
        <w:lang w:val="en-US" w:eastAsia="en-US" w:bidi="ar-SA"/>
      </w:rPr>
    </w:lvl>
    <w:lvl w:ilvl="4" w:tplc="47005256">
      <w:numFmt w:val="bullet"/>
      <w:lvlText w:val="•"/>
      <w:lvlJc w:val="left"/>
      <w:pPr>
        <w:ind w:left="3310" w:hanging="128"/>
      </w:pPr>
      <w:rPr>
        <w:rFonts w:hint="default"/>
        <w:lang w:val="en-US" w:eastAsia="en-US" w:bidi="ar-SA"/>
      </w:rPr>
    </w:lvl>
    <w:lvl w:ilvl="5" w:tplc="064A9BC6">
      <w:numFmt w:val="bullet"/>
      <w:lvlText w:val="•"/>
      <w:lvlJc w:val="left"/>
      <w:pPr>
        <w:ind w:left="4003" w:hanging="128"/>
      </w:pPr>
      <w:rPr>
        <w:rFonts w:hint="default"/>
        <w:lang w:val="en-US" w:eastAsia="en-US" w:bidi="ar-SA"/>
      </w:rPr>
    </w:lvl>
    <w:lvl w:ilvl="6" w:tplc="60D66412">
      <w:numFmt w:val="bullet"/>
      <w:lvlText w:val="•"/>
      <w:lvlJc w:val="left"/>
      <w:pPr>
        <w:ind w:left="4696" w:hanging="128"/>
      </w:pPr>
      <w:rPr>
        <w:rFonts w:hint="default"/>
        <w:lang w:val="en-US" w:eastAsia="en-US" w:bidi="ar-SA"/>
      </w:rPr>
    </w:lvl>
    <w:lvl w:ilvl="7" w:tplc="7E6C7CAA">
      <w:numFmt w:val="bullet"/>
      <w:lvlText w:val="•"/>
      <w:lvlJc w:val="left"/>
      <w:pPr>
        <w:ind w:left="5388" w:hanging="128"/>
      </w:pPr>
      <w:rPr>
        <w:rFonts w:hint="default"/>
        <w:lang w:val="en-US" w:eastAsia="en-US" w:bidi="ar-SA"/>
      </w:rPr>
    </w:lvl>
    <w:lvl w:ilvl="8" w:tplc="EDEE5978">
      <w:numFmt w:val="bullet"/>
      <w:lvlText w:val="•"/>
      <w:lvlJc w:val="left"/>
      <w:pPr>
        <w:ind w:left="6081" w:hanging="128"/>
      </w:pPr>
      <w:rPr>
        <w:rFonts w:hint="default"/>
        <w:lang w:val="en-US" w:eastAsia="en-US" w:bidi="ar-SA"/>
      </w:rPr>
    </w:lvl>
  </w:abstractNum>
  <w:num w:numId="1" w16cid:durableId="1774545025">
    <w:abstractNumId w:val="7"/>
  </w:num>
  <w:num w:numId="2" w16cid:durableId="835338345">
    <w:abstractNumId w:val="2"/>
  </w:num>
  <w:num w:numId="3" w16cid:durableId="497044030">
    <w:abstractNumId w:val="1"/>
  </w:num>
  <w:num w:numId="4" w16cid:durableId="507789408">
    <w:abstractNumId w:val="3"/>
  </w:num>
  <w:num w:numId="5" w16cid:durableId="902640151">
    <w:abstractNumId w:val="4"/>
  </w:num>
  <w:num w:numId="6" w16cid:durableId="901210275">
    <w:abstractNumId w:val="0"/>
  </w:num>
  <w:num w:numId="7" w16cid:durableId="377241703">
    <w:abstractNumId w:val="6"/>
  </w:num>
  <w:num w:numId="8" w16cid:durableId="644050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525"/>
    <w:rsid w:val="001C3883"/>
    <w:rsid w:val="003010B7"/>
    <w:rsid w:val="003029D0"/>
    <w:rsid w:val="00320B07"/>
    <w:rsid w:val="004A3DC7"/>
    <w:rsid w:val="005802E6"/>
    <w:rsid w:val="008D6755"/>
    <w:rsid w:val="00BF0A3F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497A"/>
  <w15:docId w15:val="{2B5905E6-39DC-4AF6-956F-6BD0A372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010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ovakok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2026-03-09T09:49:00Z</dcterms:created>
  <dcterms:modified xsi:type="dcterms:W3CDTF">2026-03-09T11:22:00Z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2013</vt:lpwstr>
  </property>
</Properties>
</file>