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3B6A" w14:textId="77777777" w:rsidR="00196EF3" w:rsidRDefault="00196EF3">
      <w:pPr>
        <w:pStyle w:val="Szvegtrzs"/>
        <w:spacing w:before="126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569"/>
      </w:tblGrid>
      <w:tr w:rsidR="00196EF3" w14:paraId="1FA7B368" w14:textId="77777777">
        <w:trPr>
          <w:trHeight w:val="328"/>
        </w:trPr>
        <w:tc>
          <w:tcPr>
            <w:tcW w:w="9636" w:type="dxa"/>
            <w:gridSpan w:val="2"/>
            <w:shd w:val="clear" w:color="auto" w:fill="000099"/>
          </w:tcPr>
          <w:p w14:paraId="6415493E" w14:textId="0F354C70" w:rsidR="00196EF3" w:rsidRDefault="00023E2D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3.</w:t>
            </w:r>
            <w:r w:rsidR="00630E0A"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Ny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lt</w:t>
            </w:r>
            <w:proofErr w:type="spellEnd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felh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v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á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s</w:t>
            </w:r>
            <w:proofErr w:type="spellEnd"/>
          </w:p>
        </w:tc>
      </w:tr>
      <w:tr w:rsidR="00196EF3" w14:paraId="1E5D2DAA" w14:textId="77777777" w:rsidTr="009355EE">
        <w:trPr>
          <w:trHeight w:val="286"/>
        </w:trPr>
        <w:tc>
          <w:tcPr>
            <w:tcW w:w="2067" w:type="dxa"/>
          </w:tcPr>
          <w:p w14:paraId="7F9A5520" w14:textId="29948832" w:rsidR="00196EF3" w:rsidRDefault="00630E0A">
            <w:pPr>
              <w:pStyle w:val="TableParagraph"/>
              <w:spacing w:before="72"/>
              <w:ind w:left="8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023E2D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023E2D">
              <w:rPr>
                <w:rFonts w:ascii="Arial Black"/>
                <w:color w:val="003399"/>
                <w:spacing w:val="-4"/>
              </w:rPr>
              <w:t>k</w:t>
            </w:r>
            <w:r w:rsidR="00023E2D">
              <w:rPr>
                <w:rFonts w:ascii="Arial Black"/>
                <w:color w:val="003399"/>
                <w:spacing w:val="-4"/>
              </w:rPr>
              <w:t>ó</w:t>
            </w:r>
            <w:r w:rsidR="00023E2D">
              <w:rPr>
                <w:rFonts w:ascii="Arial Black"/>
                <w:color w:val="003399"/>
                <w:spacing w:val="-4"/>
              </w:rPr>
              <w:t>d</w:t>
            </w:r>
            <w:proofErr w:type="spellEnd"/>
          </w:p>
        </w:tc>
        <w:tc>
          <w:tcPr>
            <w:tcW w:w="7569" w:type="dxa"/>
          </w:tcPr>
          <w:p w14:paraId="5EC09D3E" w14:textId="77777777" w:rsidR="00196EF3" w:rsidRDefault="00630E0A">
            <w:pPr>
              <w:pStyle w:val="TableParagraph"/>
              <w:spacing w:before="72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420</w:t>
            </w:r>
          </w:p>
        </w:tc>
      </w:tr>
      <w:tr w:rsidR="00196EF3" w14:paraId="144CFFF9" w14:textId="77777777" w:rsidTr="009355EE">
        <w:trPr>
          <w:trHeight w:val="700"/>
        </w:trPr>
        <w:tc>
          <w:tcPr>
            <w:tcW w:w="2067" w:type="dxa"/>
          </w:tcPr>
          <w:p w14:paraId="77AD99F0" w14:textId="3D34D555" w:rsidR="00196EF3" w:rsidRDefault="00630E0A">
            <w:pPr>
              <w:pStyle w:val="TableParagraph"/>
              <w:spacing w:before="161"/>
              <w:ind w:left="8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023E2D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023E2D">
              <w:rPr>
                <w:rFonts w:ascii="Arial Black"/>
                <w:color w:val="003399"/>
                <w:spacing w:val="-2"/>
              </w:rPr>
              <w:t>c</w:t>
            </w:r>
            <w:r w:rsidR="00023E2D">
              <w:rPr>
                <w:rFonts w:ascii="Arial Black"/>
                <w:color w:val="003399"/>
                <w:spacing w:val="-2"/>
              </w:rPr>
              <w:t>í</w:t>
            </w:r>
            <w:r w:rsidR="00023E2D">
              <w:rPr>
                <w:rFonts w:ascii="Arial Black"/>
                <w:color w:val="003399"/>
                <w:spacing w:val="-2"/>
              </w:rPr>
              <w:t>m</w:t>
            </w:r>
            <w:proofErr w:type="spellEnd"/>
          </w:p>
        </w:tc>
        <w:tc>
          <w:tcPr>
            <w:tcW w:w="7569" w:type="dxa"/>
          </w:tcPr>
          <w:p w14:paraId="59F77B74" w14:textId="77777777" w:rsidR="00196EF3" w:rsidRDefault="00630E0A">
            <w:pPr>
              <w:pStyle w:val="TableParagraph"/>
              <w:spacing w:before="79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Create2Gather</w:t>
            </w:r>
          </w:p>
          <w:p w14:paraId="0648074E" w14:textId="7F3A4123" w:rsidR="00196EF3" w:rsidRPr="009355EE" w:rsidRDefault="00023E2D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3399"/>
                <w:w w:val="105"/>
              </w:rPr>
              <w:t>Alkossunk</w:t>
            </w:r>
            <w:proofErr w:type="spellEnd"/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  <w:w w:val="105"/>
              </w:rPr>
              <w:t>közösen</w:t>
            </w:r>
            <w:proofErr w:type="spellEnd"/>
          </w:p>
        </w:tc>
      </w:tr>
      <w:tr w:rsidR="00196EF3" w14:paraId="5EF42418" w14:textId="77777777" w:rsidTr="009355EE">
        <w:trPr>
          <w:trHeight w:val="628"/>
        </w:trPr>
        <w:tc>
          <w:tcPr>
            <w:tcW w:w="2067" w:type="dxa"/>
          </w:tcPr>
          <w:p w14:paraId="6904B59E" w14:textId="67732335" w:rsidR="00196EF3" w:rsidRDefault="00023E2D">
            <w:pPr>
              <w:pStyle w:val="TableParagraph"/>
              <w:spacing w:before="122"/>
              <w:ind w:left="8" w:right="3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90"/>
              </w:rPr>
              <w:t>Priorit</w:t>
            </w:r>
            <w:r>
              <w:rPr>
                <w:rFonts w:ascii="Arial Black"/>
                <w:color w:val="003399"/>
                <w:w w:val="90"/>
              </w:rPr>
              <w:t>á</w:t>
            </w:r>
            <w:r>
              <w:rPr>
                <w:rFonts w:ascii="Arial Black"/>
                <w:color w:val="003399"/>
                <w:w w:val="90"/>
              </w:rPr>
              <w:t>si</w:t>
            </w:r>
            <w:proofErr w:type="spellEnd"/>
            <w:r w:rsidR="00630E0A">
              <w:rPr>
                <w:rFonts w:ascii="Arial Black"/>
                <w:color w:val="003399"/>
                <w:spacing w:val="14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569" w:type="dxa"/>
          </w:tcPr>
          <w:p w14:paraId="74B85725" w14:textId="66FABDC6" w:rsidR="00196EF3" w:rsidRDefault="00630E0A" w:rsidP="009355EE">
            <w:pPr>
              <w:pStyle w:val="TableParagraph"/>
              <w:spacing w:before="12"/>
              <w:ind w:left="105"/>
            </w:pPr>
            <w:r w:rsidRPr="009355EE">
              <w:rPr>
                <w:rFonts w:ascii="Arial" w:hAnsi="Arial" w:cs="Arial"/>
                <w:color w:val="003399"/>
                <w:w w:val="105"/>
              </w:rPr>
              <w:t xml:space="preserve">3 - </w:t>
            </w:r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foglalkoztatás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javítása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határokon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átnyúló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munkaerő-mobilitás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ösztönzése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Foglalkoztatási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együttműködés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>)</w:t>
            </w:r>
          </w:p>
        </w:tc>
      </w:tr>
      <w:tr w:rsidR="00196EF3" w14:paraId="2243F410" w14:textId="77777777" w:rsidTr="009355EE">
        <w:trPr>
          <w:trHeight w:val="1339"/>
        </w:trPr>
        <w:tc>
          <w:tcPr>
            <w:tcW w:w="2067" w:type="dxa"/>
          </w:tcPr>
          <w:p w14:paraId="57199E16" w14:textId="77777777" w:rsidR="00196EF3" w:rsidRDefault="00196EF3">
            <w:pPr>
              <w:pStyle w:val="TableParagraph"/>
              <w:spacing w:before="237"/>
              <w:rPr>
                <w:rFonts w:ascii="Times New Roman"/>
              </w:rPr>
            </w:pPr>
          </w:p>
          <w:p w14:paraId="0CD28504" w14:textId="0ACF8BFB" w:rsidR="00196EF3" w:rsidRDefault="00023E2D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  <w:w w:val="90"/>
              </w:rPr>
              <w:t>Beruh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z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si</w:t>
            </w:r>
            <w:proofErr w:type="spellEnd"/>
            <w:r w:rsidR="00630E0A">
              <w:rPr>
                <w:rFonts w:ascii="Arial Black"/>
                <w:color w:val="003399"/>
                <w:spacing w:val="-2"/>
                <w:w w:val="90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</w:rPr>
              <w:t>priorit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69" w:type="dxa"/>
          </w:tcPr>
          <w:p w14:paraId="0345A7D3" w14:textId="0C70EF89" w:rsidR="00196EF3" w:rsidRPr="009355EE" w:rsidRDefault="00630E0A" w:rsidP="009355EE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9355EE">
              <w:rPr>
                <w:rFonts w:ascii="Arial" w:hAnsi="Arial" w:cs="Arial"/>
                <w:color w:val="003399"/>
                <w:w w:val="105"/>
              </w:rPr>
              <w:t xml:space="preserve">8/b - </w:t>
            </w:r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foglalkoztatásbarát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növekedés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támogatása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belső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potenciál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fejlesztésével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meghatározott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térségekre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vonatkozó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területi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stratégiák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részeként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ideértve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hanyatló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régiók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szerkezetváltását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specifikus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természeti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kulturális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erőforrások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hozzáférhetőségének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javítását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023E2D" w:rsidRPr="00023E2D">
              <w:rPr>
                <w:rFonts w:ascii="Arial" w:hAnsi="Arial" w:cs="Arial"/>
                <w:color w:val="003399"/>
                <w:w w:val="105"/>
              </w:rPr>
              <w:t>fejlesztését</w:t>
            </w:r>
            <w:proofErr w:type="spellEnd"/>
            <w:r w:rsidR="00023E2D" w:rsidRPr="00023E2D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196EF3" w14:paraId="5DB96E6C" w14:textId="77777777">
        <w:trPr>
          <w:trHeight w:val="633"/>
        </w:trPr>
        <w:tc>
          <w:tcPr>
            <w:tcW w:w="2067" w:type="dxa"/>
          </w:tcPr>
          <w:p w14:paraId="23F6DC50" w14:textId="4F3DB1A9" w:rsidR="00196EF3" w:rsidRDefault="00023E2D">
            <w:pPr>
              <w:pStyle w:val="TableParagraph"/>
              <w:spacing w:line="301" w:lineRule="exact"/>
              <w:ind w:left="8" w:right="4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Megval</w:t>
            </w:r>
            <w:r>
              <w:rPr>
                <w:rFonts w:ascii="Arial Black"/>
                <w:color w:val="003399"/>
                <w:spacing w:val="-2"/>
              </w:rPr>
              <w:t>ó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r>
              <w:rPr>
                <w:rFonts w:ascii="Arial Black"/>
                <w:color w:val="003399"/>
                <w:spacing w:val="-2"/>
              </w:rPr>
              <w:t>í</w:t>
            </w:r>
            <w:r>
              <w:rPr>
                <w:rFonts w:ascii="Arial Black"/>
                <w:color w:val="003399"/>
                <w:spacing w:val="-2"/>
              </w:rPr>
              <w:t>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si</w:t>
            </w:r>
            <w:proofErr w:type="spellEnd"/>
          </w:p>
          <w:p w14:paraId="506EB304" w14:textId="41D98693" w:rsidR="00196EF3" w:rsidRDefault="00023E2D">
            <w:pPr>
              <w:pStyle w:val="TableParagraph"/>
              <w:spacing w:before="35" w:line="277" w:lineRule="exact"/>
              <w:ind w:left="8" w:right="4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id</w:t>
            </w:r>
            <w:r>
              <w:rPr>
                <w:rFonts w:ascii="Arial Black"/>
                <w:color w:val="003399"/>
                <w:spacing w:val="-2"/>
              </w:rPr>
              <w:t>ő</w:t>
            </w:r>
            <w:r>
              <w:rPr>
                <w:rFonts w:ascii="Arial Black"/>
                <w:color w:val="003399"/>
                <w:spacing w:val="-2"/>
              </w:rPr>
              <w:t>tartam</w:t>
            </w:r>
            <w:proofErr w:type="spellEnd"/>
          </w:p>
        </w:tc>
        <w:tc>
          <w:tcPr>
            <w:tcW w:w="7569" w:type="dxa"/>
          </w:tcPr>
          <w:p w14:paraId="41D68502" w14:textId="4C231D0E" w:rsidR="00196EF3" w:rsidRPr="009355EE" w:rsidRDefault="00630E0A" w:rsidP="009355EE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9355EE">
              <w:rPr>
                <w:rFonts w:ascii="Arial" w:hAnsi="Arial" w:cs="Arial"/>
                <w:color w:val="003399"/>
                <w:w w:val="105"/>
              </w:rPr>
              <w:t xml:space="preserve">43 </w:t>
            </w:r>
            <w:proofErr w:type="spellStart"/>
            <w:r w:rsidR="00023E2D">
              <w:rPr>
                <w:rFonts w:ascii="Arial" w:hAnsi="Arial" w:cs="Arial"/>
                <w:color w:val="003399"/>
                <w:w w:val="105"/>
              </w:rPr>
              <w:t>hónap</w:t>
            </w:r>
            <w:proofErr w:type="spellEnd"/>
            <w:r w:rsidRPr="009355EE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r w:rsidRPr="009355EE">
              <w:rPr>
                <w:rFonts w:ascii="Arial" w:hAnsi="Arial" w:cs="Arial"/>
                <w:color w:val="003399"/>
                <w:w w:val="105"/>
              </w:rPr>
              <w:t>2019</w:t>
            </w:r>
            <w:r w:rsidR="00023E2D">
              <w:rPr>
                <w:rFonts w:ascii="Arial" w:hAnsi="Arial" w:cs="Arial"/>
                <w:color w:val="003399"/>
                <w:w w:val="105"/>
              </w:rPr>
              <w:t>. December 1</w:t>
            </w:r>
            <w:r w:rsidRPr="009355EE">
              <w:rPr>
                <w:rFonts w:ascii="Arial" w:hAnsi="Arial" w:cs="Arial"/>
                <w:color w:val="003399"/>
                <w:w w:val="105"/>
              </w:rPr>
              <w:t xml:space="preserve"> –</w:t>
            </w:r>
            <w:r w:rsidRPr="009355EE">
              <w:rPr>
                <w:rFonts w:ascii="Arial" w:hAnsi="Arial" w:cs="Arial"/>
                <w:color w:val="003399"/>
                <w:w w:val="105"/>
              </w:rPr>
              <w:t xml:space="preserve"> 2023</w:t>
            </w:r>
            <w:r w:rsidR="00023E2D">
              <w:rPr>
                <w:rFonts w:ascii="Arial" w:hAnsi="Arial" w:cs="Arial"/>
                <w:color w:val="003399"/>
                <w:w w:val="105"/>
              </w:rPr>
              <w:t xml:space="preserve">. </w:t>
            </w:r>
            <w:proofErr w:type="spellStart"/>
            <w:r w:rsidR="00023E2D">
              <w:rPr>
                <w:rFonts w:ascii="Arial" w:hAnsi="Arial" w:cs="Arial"/>
                <w:color w:val="003399"/>
                <w:w w:val="105"/>
              </w:rPr>
              <w:t>június</w:t>
            </w:r>
            <w:proofErr w:type="spellEnd"/>
            <w:r w:rsidR="00023E2D">
              <w:rPr>
                <w:rFonts w:ascii="Arial" w:hAnsi="Arial" w:cs="Arial"/>
                <w:color w:val="003399"/>
                <w:w w:val="105"/>
              </w:rPr>
              <w:t xml:space="preserve"> 30.</w:t>
            </w:r>
            <w:r w:rsidRPr="009355EE">
              <w:rPr>
                <w:rFonts w:ascii="Arial" w:hAnsi="Arial" w:cs="Arial"/>
                <w:color w:val="003399"/>
                <w:w w:val="105"/>
              </w:rPr>
              <w:t>)</w:t>
            </w:r>
          </w:p>
        </w:tc>
      </w:tr>
      <w:tr w:rsidR="00196EF3" w14:paraId="6DD3A00F" w14:textId="77777777" w:rsidTr="009355EE">
        <w:trPr>
          <w:trHeight w:val="790"/>
        </w:trPr>
        <w:tc>
          <w:tcPr>
            <w:tcW w:w="2067" w:type="dxa"/>
          </w:tcPr>
          <w:p w14:paraId="2DCE1720" w14:textId="77777777" w:rsidR="00196EF3" w:rsidRDefault="00196EF3">
            <w:pPr>
              <w:pStyle w:val="TableParagraph"/>
              <w:spacing w:before="15"/>
              <w:rPr>
                <w:rFonts w:ascii="Times New Roman"/>
              </w:rPr>
            </w:pPr>
          </w:p>
          <w:p w14:paraId="565A040F" w14:textId="6E40AF98" w:rsidR="00196EF3" w:rsidRDefault="00023E2D">
            <w:pPr>
              <w:pStyle w:val="TableParagraph"/>
              <w:spacing w:before="1"/>
              <w:ind w:left="8" w:right="1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C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lkit</w:t>
            </w:r>
            <w:r>
              <w:rPr>
                <w:rFonts w:ascii="Arial Black"/>
                <w:color w:val="003399"/>
                <w:spacing w:val="-2"/>
              </w:rPr>
              <w:t>ű</w:t>
            </w:r>
            <w:r>
              <w:rPr>
                <w:rFonts w:ascii="Arial Black"/>
                <w:color w:val="003399"/>
                <w:spacing w:val="-2"/>
              </w:rPr>
              <w:t>z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69" w:type="dxa"/>
          </w:tcPr>
          <w:p w14:paraId="565AA0B2" w14:textId="7CCFE93B" w:rsidR="00196EF3" w:rsidRPr="009355EE" w:rsidRDefault="00023E2D" w:rsidP="009355EE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célkitűzés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foglalkoztatás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növelése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volt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jogosult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területen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belül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keresve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megoldásokat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határmenti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térség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iparági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területén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azonosított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legfontosabb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problémákra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196EF3" w14:paraId="12E75C7B" w14:textId="77777777" w:rsidTr="009355EE">
        <w:trPr>
          <w:trHeight w:val="610"/>
        </w:trPr>
        <w:tc>
          <w:tcPr>
            <w:tcW w:w="2067" w:type="dxa"/>
            <w:vMerge w:val="restart"/>
          </w:tcPr>
          <w:p w14:paraId="6AB03FA8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0686F291" w14:textId="77777777" w:rsidR="00196EF3" w:rsidRDefault="00196EF3">
            <w:pPr>
              <w:pStyle w:val="TableParagraph"/>
              <w:spacing w:before="170"/>
              <w:rPr>
                <w:rFonts w:ascii="Times New Roman"/>
              </w:rPr>
            </w:pPr>
          </w:p>
          <w:p w14:paraId="021452B0" w14:textId="79A256B7" w:rsidR="00196EF3" w:rsidRDefault="00023E2D">
            <w:pPr>
              <w:pStyle w:val="TableParagraph"/>
              <w:spacing w:before="1"/>
              <w:ind w:left="381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Partners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g</w:t>
            </w:r>
            <w:proofErr w:type="spellEnd"/>
          </w:p>
        </w:tc>
        <w:tc>
          <w:tcPr>
            <w:tcW w:w="7569" w:type="dxa"/>
          </w:tcPr>
          <w:p w14:paraId="60B4CB47" w14:textId="4E0931F4" w:rsidR="00196EF3" w:rsidRDefault="00023E2D">
            <w:pPr>
              <w:pStyle w:val="TableParagraph"/>
              <w:spacing w:line="249" w:lineRule="auto"/>
              <w:ind w:left="105"/>
            </w:pPr>
            <w:proofErr w:type="spellStart"/>
            <w:r>
              <w:rPr>
                <w:rFonts w:ascii="Arial Black"/>
                <w:color w:val="003399"/>
                <w:w w:val="105"/>
              </w:rPr>
              <w:t>Vezet</w:t>
            </w:r>
            <w:r>
              <w:rPr>
                <w:rFonts w:ascii="Arial Black"/>
                <w:color w:val="003399"/>
                <w:w w:val="105"/>
              </w:rPr>
              <w:t>ő</w:t>
            </w:r>
            <w:proofErr w:type="spellEnd"/>
            <w:r w:rsidR="00630E0A">
              <w:rPr>
                <w:rFonts w:ascii="Arial Black"/>
                <w:color w:val="003399"/>
                <w:spacing w:val="35"/>
                <w:w w:val="10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w w:val="105"/>
              </w:rPr>
              <w:t>kedvezm</w:t>
            </w:r>
            <w:r>
              <w:rPr>
                <w:rFonts w:ascii="Arial Black"/>
                <w:color w:val="003399"/>
                <w:w w:val="105"/>
              </w:rPr>
              <w:t>é</w:t>
            </w:r>
            <w:r>
              <w:rPr>
                <w:rFonts w:ascii="Arial Black"/>
                <w:color w:val="003399"/>
                <w:w w:val="105"/>
              </w:rPr>
              <w:t>nyezett</w:t>
            </w:r>
            <w:proofErr w:type="spellEnd"/>
            <w:r w:rsidR="00630E0A">
              <w:rPr>
                <w:color w:val="003399"/>
                <w:w w:val="105"/>
              </w:rPr>
              <w:t>:</w:t>
            </w:r>
            <w:r w:rsidR="00630E0A">
              <w:rPr>
                <w:color w:val="003399"/>
                <w:spacing w:val="3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Romániai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Vállalkozásfejlesztési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Egyesület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Románia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)</w:t>
            </w:r>
          </w:p>
        </w:tc>
      </w:tr>
      <w:tr w:rsidR="00196EF3" w14:paraId="234BB708" w14:textId="77777777">
        <w:trPr>
          <w:trHeight w:val="1077"/>
        </w:trPr>
        <w:tc>
          <w:tcPr>
            <w:tcW w:w="2067" w:type="dxa"/>
            <w:vMerge/>
            <w:tcBorders>
              <w:top w:val="nil"/>
            </w:tcBorders>
          </w:tcPr>
          <w:p w14:paraId="50D3A490" w14:textId="77777777" w:rsidR="00196EF3" w:rsidRDefault="00196EF3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625D05E5" w14:textId="1F63CD65" w:rsidR="00196EF3" w:rsidRPr="009355EE" w:rsidRDefault="00023E2D">
            <w:pPr>
              <w:pStyle w:val="TableParagraph"/>
              <w:spacing w:line="301" w:lineRule="exact"/>
              <w:ind w:left="105"/>
              <w:rPr>
                <w:rFonts w:ascii="Arial Black"/>
                <w:color w:val="003399"/>
                <w:w w:val="105"/>
              </w:rPr>
            </w:pPr>
            <w:r>
              <w:rPr>
                <w:rFonts w:ascii="Arial Black"/>
                <w:color w:val="003399"/>
                <w:w w:val="105"/>
              </w:rPr>
              <w:t>Projekt</w:t>
            </w:r>
            <w:r w:rsidR="00630E0A" w:rsidRPr="009355EE">
              <w:rPr>
                <w:rFonts w:ascii="Arial Black"/>
                <w:color w:val="003399"/>
                <w:w w:val="10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w w:val="105"/>
              </w:rPr>
              <w:t>partnerek</w:t>
            </w:r>
            <w:proofErr w:type="spellEnd"/>
            <w:r w:rsidR="00630E0A" w:rsidRPr="009355EE">
              <w:rPr>
                <w:rFonts w:ascii="Arial Black"/>
                <w:color w:val="003399"/>
                <w:w w:val="105"/>
              </w:rPr>
              <w:t>:</w:t>
            </w:r>
          </w:p>
          <w:p w14:paraId="25B81D60" w14:textId="05D8EBE1" w:rsidR="00196EF3" w:rsidRPr="009355EE" w:rsidRDefault="00023E2D">
            <w:pPr>
              <w:pStyle w:val="TableParagraph"/>
              <w:spacing w:before="131" w:line="271" w:lineRule="auto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INNOVA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Észak-Alföld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Regionális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Fejlesztési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Innovációs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Ügynökség Nonprofit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Korlátolt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Felelősségű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Társaság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Magyarország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)</w:t>
            </w:r>
          </w:p>
        </w:tc>
      </w:tr>
      <w:tr w:rsidR="00196EF3" w14:paraId="3C86A86F" w14:textId="77777777">
        <w:trPr>
          <w:trHeight w:val="388"/>
        </w:trPr>
        <w:tc>
          <w:tcPr>
            <w:tcW w:w="2067" w:type="dxa"/>
          </w:tcPr>
          <w:p w14:paraId="2AB96880" w14:textId="0D4D8B33" w:rsidR="00196EF3" w:rsidRDefault="00023E2D">
            <w:pPr>
              <w:pStyle w:val="TableParagraph"/>
              <w:spacing w:line="306" w:lineRule="exact"/>
              <w:ind w:left="8" w:right="2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85"/>
              </w:rPr>
              <w:t>Teljes</w:t>
            </w:r>
            <w:proofErr w:type="spellEnd"/>
            <w:r w:rsidR="00630E0A"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  <w:w w:val="95"/>
              </w:rPr>
              <w:t>k</w:t>
            </w:r>
            <w:r>
              <w:rPr>
                <w:rFonts w:ascii="Arial Black"/>
                <w:color w:val="003399"/>
                <w:spacing w:val="-2"/>
                <w:w w:val="95"/>
              </w:rPr>
              <w:t>ö</w:t>
            </w:r>
            <w:r>
              <w:rPr>
                <w:rFonts w:ascii="Arial Black"/>
                <w:color w:val="003399"/>
                <w:spacing w:val="-2"/>
                <w:w w:val="95"/>
              </w:rPr>
              <w:t>lts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gvet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s</w:t>
            </w:r>
            <w:proofErr w:type="spellEnd"/>
          </w:p>
        </w:tc>
        <w:tc>
          <w:tcPr>
            <w:tcW w:w="7569" w:type="dxa"/>
          </w:tcPr>
          <w:p w14:paraId="25EAD1FD" w14:textId="5E2EC13B" w:rsidR="00196EF3" w:rsidRPr="009355EE" w:rsidRDefault="00023E2D">
            <w:pPr>
              <w:pStyle w:val="TableParagraph"/>
              <w:spacing w:before="17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1 132 937,85 €,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amelyből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az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ERFA-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támogatás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962 997,17 €</w:t>
            </w:r>
          </w:p>
        </w:tc>
      </w:tr>
      <w:tr w:rsidR="00196EF3" w14:paraId="6E6DA98E" w14:textId="77777777">
        <w:trPr>
          <w:trHeight w:val="5134"/>
        </w:trPr>
        <w:tc>
          <w:tcPr>
            <w:tcW w:w="2067" w:type="dxa"/>
          </w:tcPr>
          <w:p w14:paraId="14F875C8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1ACB29C3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7F0DE8D7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53AA797D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4E039424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7A56F9D9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75BBF2B0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465A49B1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10C9D99B" w14:textId="77777777" w:rsidR="00196EF3" w:rsidRDefault="00196EF3">
            <w:pPr>
              <w:pStyle w:val="TableParagraph"/>
              <w:spacing w:before="23"/>
              <w:rPr>
                <w:rFonts w:ascii="Times New Roman"/>
              </w:rPr>
            </w:pPr>
          </w:p>
          <w:p w14:paraId="2AADBBAB" w14:textId="77B967F6" w:rsidR="00196EF3" w:rsidRDefault="00023E2D">
            <w:pPr>
              <w:pStyle w:val="TableParagraph"/>
              <w:ind w:left="8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Ö</w:t>
            </w:r>
            <w:r>
              <w:rPr>
                <w:rFonts w:ascii="Arial Black"/>
                <w:color w:val="003399"/>
                <w:spacing w:val="-2"/>
              </w:rPr>
              <w:t>sszefoglal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69" w:type="dxa"/>
          </w:tcPr>
          <w:p w14:paraId="2FAF8B94" w14:textId="5A67821A" w:rsidR="009355EE" w:rsidRDefault="00023E2D">
            <w:pPr>
              <w:pStyle w:val="TableParagraph"/>
              <w:ind w:left="10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A ROHU-420 projekt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célja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határon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átnyúló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együttműködés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kialakítása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volt a Bihari–Hajdú-Bihar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Eurorégióban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vállalkozói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készségek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kompetenciák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ismeretek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megerősítése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érdekében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. A projekt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középpontjában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Eurorégió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márka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együttes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marketingstratégia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Platform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állt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miközben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elősegítette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ösztönözte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költséghatékony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hozzáadott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értéket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képviselő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innovatív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termékek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szolgáltatások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fejlesztését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kulturális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szektor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számára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kialakított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közösségi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irodákban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5DCB07C6" w14:textId="77777777" w:rsidR="00023E2D" w:rsidRDefault="00023E2D" w:rsidP="00023E2D">
            <w:pPr>
              <w:pStyle w:val="TableParagraph"/>
              <w:tabs>
                <w:tab w:val="left" w:pos="851"/>
              </w:tabs>
              <w:spacing w:before="36" w:line="271" w:lineRule="auto"/>
              <w:ind w:right="100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következők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voltak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:</w:t>
            </w:r>
          </w:p>
          <w:p w14:paraId="1B08C919" w14:textId="77777777" w:rsidR="00023E2D" w:rsidRDefault="00023E2D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line="268" w:lineRule="auto"/>
              <w:ind w:right="100"/>
              <w:jc w:val="both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Vállalkozói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képzések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szervezése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120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számára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amelyek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megvalósítása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e-learning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platformon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keresztül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történt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56D57B61" w14:textId="77777777" w:rsidR="00023E2D" w:rsidRDefault="00023E2D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4" w:line="271" w:lineRule="auto"/>
              <w:ind w:right="100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1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határon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átnyúló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iparági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márka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(brand)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marketingstratégia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;”</w:t>
            </w:r>
          </w:p>
          <w:p w14:paraId="19EA4DA0" w14:textId="77777777" w:rsidR="00023E2D" w:rsidRDefault="00023E2D" w:rsidP="00023E2D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11" w:line="271" w:lineRule="auto"/>
              <w:ind w:right="98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Egy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magyar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román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nyelvű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szereplőit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bemutató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Eurorégió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platform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szektorban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tevékenykedők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számára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3D289B0E" w14:textId="77777777" w:rsidR="00023E2D" w:rsidRDefault="00023E2D" w:rsidP="00023E2D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11" w:line="271" w:lineRule="auto"/>
              <w:ind w:right="98"/>
              <w:jc w:val="both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Marketingkampányok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lebonyolítása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népszerűsítése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érdekében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37485EE8" w14:textId="4B3490C8" w:rsidR="00196EF3" w:rsidRPr="009355EE" w:rsidRDefault="00023E2D" w:rsidP="00023E2D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11" w:line="271" w:lineRule="auto"/>
              <w:ind w:right="98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2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közösségi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alkotóműhely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létrehozása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Nagyváradon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Debrecenben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ahol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workshopok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kapcsolódó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zajlottak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ezen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terek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felszerelése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szükséges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eszközökkel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bútorzattal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</w:p>
        </w:tc>
      </w:tr>
    </w:tbl>
    <w:p w14:paraId="000EA8D2" w14:textId="77777777" w:rsidR="00196EF3" w:rsidRDefault="00196EF3">
      <w:pPr>
        <w:pStyle w:val="TableParagraph"/>
        <w:jc w:val="both"/>
        <w:sectPr w:rsidR="00196EF3">
          <w:headerReference w:type="default" r:id="rId7"/>
          <w:footerReference w:type="default" r:id="rId8"/>
          <w:type w:val="continuous"/>
          <w:pgSz w:w="11910" w:h="16840"/>
          <w:pgMar w:top="1720" w:right="708" w:bottom="1240" w:left="1417" w:header="720" w:footer="1057" w:gutter="0"/>
          <w:pgNumType w:start="1"/>
          <w:cols w:space="720"/>
        </w:sectPr>
      </w:pPr>
    </w:p>
    <w:tbl>
      <w:tblPr>
        <w:tblW w:w="9747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680"/>
      </w:tblGrid>
      <w:tr w:rsidR="00196EF3" w14:paraId="34A725F3" w14:textId="77777777" w:rsidTr="003B39AA">
        <w:trPr>
          <w:trHeight w:val="3227"/>
        </w:trPr>
        <w:tc>
          <w:tcPr>
            <w:tcW w:w="2067" w:type="dxa"/>
          </w:tcPr>
          <w:p w14:paraId="4D6F3A0F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0" w:type="dxa"/>
          </w:tcPr>
          <w:p w14:paraId="49CFDC21" w14:textId="77777777" w:rsidR="00023E2D" w:rsidRPr="00023E2D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14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workshop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know-how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átadási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alkalom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szervezése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210C2135" w14:textId="77777777" w:rsidR="00023E2D" w:rsidRPr="00023E2D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2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képzés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szervezése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60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kezdő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számára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Nagyváradon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Debrecenben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0CF0DA6A" w14:textId="77777777" w:rsidR="00023E2D" w:rsidRPr="00023E2D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központ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(hub) 160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tagjának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betanítása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az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eszközök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használatára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50BA777F" w14:textId="77777777" w:rsidR="00023E2D" w:rsidRPr="00023E2D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1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projektweboldal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projekt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keretében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végzett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bemutatására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084C9F07" w14:textId="77777777" w:rsidR="00023E2D" w:rsidRPr="00023E2D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3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Egy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adatbázis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létrehozása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a Bihari–Hajdú-Bihar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Eurorégió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iparára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vonatkozóan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gyűjtött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proofErr w:type="gramStart"/>
            <w:r w:rsidRPr="00023E2D">
              <w:rPr>
                <w:rFonts w:ascii="Arial" w:hAnsi="Arial" w:cs="Arial"/>
                <w:color w:val="003399"/>
                <w:w w:val="105"/>
              </w:rPr>
              <w:t>adatokból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;</w:t>
            </w:r>
            <w:proofErr w:type="gramEnd"/>
          </w:p>
          <w:p w14:paraId="55D70351" w14:textId="30FE1E25" w:rsidR="003B39AA" w:rsidRPr="009355EE" w:rsidRDefault="00023E2D" w:rsidP="00023E2D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48"/>
              <w:rPr>
                <w:rFonts w:ascii="Arial" w:hAnsi="Arial" w:cs="Arial"/>
                <w:color w:val="003399"/>
                <w:w w:val="105"/>
              </w:rPr>
            </w:pPr>
            <w:r w:rsidRPr="00023E2D">
              <w:rPr>
                <w:rFonts w:ascii="Arial" w:hAnsi="Arial" w:cs="Arial"/>
                <w:color w:val="003399"/>
                <w:w w:val="105"/>
              </w:rPr>
              <w:t xml:space="preserve">1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integrált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fejlesztési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stratégia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023E2D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023E2D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196EF3" w14:paraId="39361E4C" w14:textId="77777777" w:rsidTr="009D1495">
        <w:trPr>
          <w:trHeight w:val="3317"/>
        </w:trPr>
        <w:tc>
          <w:tcPr>
            <w:tcW w:w="2067" w:type="dxa"/>
          </w:tcPr>
          <w:p w14:paraId="0B67A7DC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229F4877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53ABB0C8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7CA9C14B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176955E1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3F10677D" w14:textId="77777777" w:rsidR="00196EF3" w:rsidRDefault="00196EF3">
            <w:pPr>
              <w:pStyle w:val="TableParagraph"/>
              <w:rPr>
                <w:rFonts w:ascii="Times New Roman"/>
              </w:rPr>
            </w:pPr>
          </w:p>
          <w:p w14:paraId="735EFC93" w14:textId="77777777" w:rsidR="00196EF3" w:rsidRDefault="00196EF3">
            <w:pPr>
              <w:pStyle w:val="TableParagraph"/>
              <w:spacing w:before="118"/>
              <w:rPr>
                <w:rFonts w:ascii="Times New Roman"/>
              </w:rPr>
            </w:pPr>
          </w:p>
          <w:p w14:paraId="1E0C8F43" w14:textId="2A3A496E" w:rsidR="00196EF3" w:rsidRDefault="00023E2D">
            <w:pPr>
              <w:pStyle w:val="TableParagraph"/>
              <w:ind w:left="347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F</w:t>
            </w:r>
            <w:r>
              <w:rPr>
                <w:rFonts w:ascii="Arial Black"/>
                <w:color w:val="003399"/>
                <w:spacing w:val="-7"/>
              </w:rPr>
              <w:t>ő</w:t>
            </w:r>
            <w:proofErr w:type="spellEnd"/>
            <w:r w:rsidR="00630E0A">
              <w:rPr>
                <w:rFonts w:ascii="Arial Black"/>
                <w:color w:val="003399"/>
                <w:spacing w:val="-1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</w:rPr>
              <w:t>eredm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nyek</w:t>
            </w:r>
            <w:proofErr w:type="spellEnd"/>
          </w:p>
        </w:tc>
        <w:tc>
          <w:tcPr>
            <w:tcW w:w="7680" w:type="dxa"/>
          </w:tcPr>
          <w:p w14:paraId="446FF580" w14:textId="4BFB2AED" w:rsidR="00695D2A" w:rsidRPr="00695D2A" w:rsidRDefault="00023E2D" w:rsidP="00695D2A">
            <w:pPr>
              <w:pStyle w:val="TableParagraph"/>
              <w:spacing w:before="12" w:line="271" w:lineRule="auto"/>
              <w:ind w:left="105" w:right="95"/>
              <w:jc w:val="both"/>
              <w:rPr>
                <w:rFonts w:ascii="Arial Black"/>
                <w:color w:val="003399"/>
                <w:spacing w:val="-2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Eredm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nyek</w:t>
            </w:r>
            <w:proofErr w:type="spellEnd"/>
            <w:r w:rsidR="00247F93" w:rsidRPr="00247F93">
              <w:rPr>
                <w:rFonts w:ascii="Arial Black"/>
                <w:color w:val="003399"/>
                <w:spacing w:val="-2"/>
              </w:rPr>
              <w:t>:</w:t>
            </w:r>
          </w:p>
          <w:p w14:paraId="2B4DE934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134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résztvevő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vett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részt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az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e-learning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platformon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keresztül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megvalósított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vállalkozói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képzéseken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59C7AF6E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1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határon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átnyúló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iparági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márka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(brand)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marketingstratégia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került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kidolgozásra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4B9AA491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Létrejött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magyar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román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nyelvű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Eurorégió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platform,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amely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bemutatja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szereplőit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7A7AD4E4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Marketingtevékenységek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valósultak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meg a BHB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platform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népszerűsítése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érdekében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007E77F8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2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közösségi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alkotóműhely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(coworking makerspace)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jött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létre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Nagyváradon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Debrecenben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felszerelve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szükséges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eszközökkel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bútorzattal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amelyek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helyszínt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biztosítottak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workshopoknak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minden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egyéb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tevékenységnek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jövőben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is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bázisként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szolgálnak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6EFD7626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partnerek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14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workshopot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know-how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átadási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alkalmat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62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kezdőknek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szóló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tréninget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tartottak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.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Emellett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központ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minden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tagja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(167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)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részesült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az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eszközök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használatára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vonatkozó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betanításban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tudásátadás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munkaerő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céljából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7EEFBA94" w14:textId="77777777" w:rsidR="009D19A4" w:rsidRPr="009D19A4" w:rsidRDefault="009D19A4" w:rsidP="009D19A4">
            <w:pPr>
              <w:pStyle w:val="TableParagraph"/>
              <w:numPr>
                <w:ilvl w:val="0"/>
                <w:numId w:val="3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1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projektweboldal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készült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projekt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keretében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elvégzett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bemutatására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0DBCF596" w14:textId="52FFAD7D" w:rsidR="00695D2A" w:rsidRDefault="009D19A4" w:rsidP="009D19A4">
            <w:pPr>
              <w:pStyle w:val="TableParagraph"/>
              <w:spacing w:before="12" w:line="271" w:lineRule="auto"/>
              <w:ind w:right="95"/>
              <w:jc w:val="both"/>
              <w:rPr>
                <w:rFonts w:ascii="Arial Black"/>
                <w:color w:val="003399"/>
                <w:spacing w:val="-2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Eredm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nyek</w:t>
            </w:r>
            <w:proofErr w:type="spellEnd"/>
            <w:r w:rsidR="00695D2A" w:rsidRPr="00247F93">
              <w:rPr>
                <w:rFonts w:ascii="Arial Black"/>
                <w:color w:val="003399"/>
                <w:spacing w:val="-2"/>
              </w:rPr>
              <w:t>:</w:t>
            </w:r>
          </w:p>
          <w:p w14:paraId="6620C848" w14:textId="77777777" w:rsidR="009D19A4" w:rsidRPr="009D19A4" w:rsidRDefault="009D19A4" w:rsidP="009D19A4">
            <w:pPr>
              <w:pStyle w:val="TableParagraph"/>
              <w:numPr>
                <w:ilvl w:val="0"/>
                <w:numId w:val="4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vállalkozói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szakértelem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szemléletmód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megerősödött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határmenti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térségben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megvalósított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alkalmak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révén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123A91F9" w14:textId="77777777" w:rsidR="009D19A4" w:rsidRPr="009D19A4" w:rsidRDefault="009D19A4" w:rsidP="009D19A4">
            <w:pPr>
              <w:pStyle w:val="TableParagraph"/>
              <w:numPr>
                <w:ilvl w:val="0"/>
                <w:numId w:val="4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Kidolgozásra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került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helyi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nyelvi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változatokat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is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tartalmazó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BHB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Eurorégió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márka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marketingstratégia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amelynek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eredményeként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rendkívül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átlátható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termék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-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szolgáltatáskínálat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jött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létre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;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ez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mind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fogyasztókat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mind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piaci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szereplőket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minőségi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magas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hozzáadott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értékű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termékek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irányába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ösztönözte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2C988AAF" w14:textId="265AA10A" w:rsidR="003B39AA" w:rsidRPr="009D19A4" w:rsidRDefault="009D19A4" w:rsidP="009D19A4">
            <w:pPr>
              <w:pStyle w:val="TableParagraph"/>
              <w:numPr>
                <w:ilvl w:val="0"/>
                <w:numId w:val="4"/>
              </w:numPr>
              <w:spacing w:before="12" w:line="271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projektpartnerek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által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létrehozott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2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közösségi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iroda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(co-working space)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hozzájárult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hozzáadott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értéket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képviselő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kiváló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minőségű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termékek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szolgáltatások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létrehozásának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elősegítéséhez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ösztönzéséhez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továbbá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közvetve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támogatta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olyan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hálózat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kialakulását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kreatív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szektoron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belül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amely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segítette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helyi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közösség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fejlődését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41A440FA" w14:textId="6589E8D5" w:rsidR="00247F93" w:rsidRDefault="009D19A4" w:rsidP="00247F93">
            <w:pPr>
              <w:pStyle w:val="TableParagraph"/>
              <w:spacing w:before="12" w:line="271" w:lineRule="auto"/>
              <w:ind w:left="105" w:right="95"/>
              <w:jc w:val="both"/>
              <w:rPr>
                <w:rFonts w:ascii="Arial Black"/>
                <w:color w:val="003399"/>
                <w:spacing w:val="-2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lastRenderedPageBreak/>
              <w:t>Indik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torok</w:t>
            </w:r>
            <w:proofErr w:type="spellEnd"/>
            <w:r w:rsidR="00247F93">
              <w:rPr>
                <w:rFonts w:ascii="Arial Black"/>
                <w:color w:val="003399"/>
                <w:spacing w:val="-2"/>
              </w:rPr>
              <w:t>:</w:t>
            </w:r>
          </w:p>
          <w:p w14:paraId="6F0B5756" w14:textId="77777777" w:rsidR="009D19A4" w:rsidRDefault="009D19A4" w:rsidP="009D19A4">
            <w:pPr>
              <w:pStyle w:val="TableParagraph"/>
              <w:spacing w:before="1" w:line="247" w:lineRule="auto"/>
              <w:ind w:left="105" w:right="-1"/>
              <w:rPr>
                <w:rFonts w:ascii="Arial" w:hAnsi="Arial" w:cs="Arial"/>
                <w:color w:val="003399"/>
                <w:w w:val="105"/>
              </w:rPr>
            </w:pPr>
            <w:r w:rsidRPr="009D19A4">
              <w:rPr>
                <w:rFonts w:ascii="Arial" w:hAnsi="Arial" w:cs="Arial"/>
                <w:color w:val="003399"/>
                <w:w w:val="105"/>
              </w:rPr>
              <w:t xml:space="preserve">A program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kimeneti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indikátora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„CO44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Munkaerőpiac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: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helyi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foglalkoztatási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kezdeményezésekben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képzésekben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részt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vevők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száma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” volt. A ROHU-420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projekten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keresztül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összesen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448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vett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részt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közös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helyi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foglalkoztatási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kezdeményezésekben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color w:val="003399"/>
                <w:w w:val="105"/>
              </w:rPr>
              <w:t>tevékenységekben</w:t>
            </w:r>
            <w:proofErr w:type="spellEnd"/>
            <w:r w:rsidRPr="009D19A4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5B7A73C2" w14:textId="17B21DB4" w:rsidR="00196EF3" w:rsidRPr="009355EE" w:rsidRDefault="00630E0A">
            <w:pPr>
              <w:pStyle w:val="TableParagraph"/>
              <w:spacing w:before="1" w:line="247" w:lineRule="auto"/>
              <w:ind w:left="105" w:right="4528"/>
              <w:rPr>
                <w:rFonts w:ascii="Arial" w:hAnsi="Arial" w:cs="Arial"/>
                <w:color w:val="003399"/>
                <w:w w:val="105"/>
              </w:rPr>
            </w:pPr>
            <w:proofErr w:type="spellStart"/>
            <w:r w:rsidRPr="00247F93">
              <w:rPr>
                <w:rFonts w:ascii="Arial Black"/>
                <w:color w:val="003399"/>
                <w:spacing w:val="-2"/>
              </w:rPr>
              <w:t>Web</w:t>
            </w:r>
            <w:r w:rsidR="009D19A4">
              <w:rPr>
                <w:rFonts w:ascii="Arial Black"/>
                <w:color w:val="003399"/>
                <w:spacing w:val="-2"/>
              </w:rPr>
              <w:t>oldal</w:t>
            </w:r>
            <w:proofErr w:type="spellEnd"/>
            <w:r w:rsidRPr="00247F93">
              <w:rPr>
                <w:rFonts w:ascii="Arial Black"/>
                <w:color w:val="003399"/>
                <w:spacing w:val="-2"/>
              </w:rPr>
              <w:t>:</w:t>
            </w:r>
            <w:r w:rsidRPr="009355EE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hyperlink r:id="rId9">
              <w:r w:rsidR="00196EF3" w:rsidRPr="009355EE">
                <w:rPr>
                  <w:rFonts w:ascii="Arial" w:hAnsi="Arial" w:cs="Arial"/>
                  <w:color w:val="003399"/>
                  <w:w w:val="105"/>
                </w:rPr>
                <w:t>https://fixmakerspace.ro/</w:t>
              </w:r>
            </w:hyperlink>
            <w:r w:rsidRPr="009355EE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9D19A4">
              <w:rPr>
                <w:rFonts w:ascii="Arial" w:hAnsi="Arial" w:cs="Arial"/>
                <w:color w:val="003399"/>
                <w:w w:val="105"/>
              </w:rPr>
              <w:t>Közösségi</w:t>
            </w:r>
            <w:proofErr w:type="spellEnd"/>
            <w:r w:rsidRPr="009355EE">
              <w:rPr>
                <w:rFonts w:ascii="Arial" w:hAnsi="Arial" w:cs="Arial"/>
                <w:color w:val="003399"/>
                <w:w w:val="105"/>
              </w:rPr>
              <w:t xml:space="preserve"> m</w:t>
            </w:r>
            <w:r w:rsidR="009D19A4">
              <w:rPr>
                <w:rFonts w:ascii="Arial" w:hAnsi="Arial" w:cs="Arial"/>
                <w:color w:val="003399"/>
                <w:w w:val="105"/>
              </w:rPr>
              <w:t>é</w:t>
            </w:r>
            <w:r w:rsidRPr="009355EE">
              <w:rPr>
                <w:rFonts w:ascii="Arial" w:hAnsi="Arial" w:cs="Arial"/>
                <w:color w:val="003399"/>
                <w:w w:val="105"/>
              </w:rPr>
              <w:t>dia:</w:t>
            </w:r>
          </w:p>
          <w:p w14:paraId="03B7B20C" w14:textId="77777777" w:rsidR="00196EF3" w:rsidRPr="009355EE" w:rsidRDefault="00196EF3">
            <w:pPr>
              <w:pStyle w:val="TableParagraph"/>
              <w:spacing w:line="242" w:lineRule="auto"/>
              <w:ind w:left="105"/>
              <w:rPr>
                <w:rFonts w:ascii="Arial" w:hAnsi="Arial" w:cs="Arial"/>
                <w:color w:val="003399"/>
                <w:w w:val="105"/>
              </w:rPr>
            </w:pPr>
            <w:hyperlink r:id="rId10">
              <w:r w:rsidRPr="009355EE">
                <w:rPr>
                  <w:rFonts w:ascii="Arial" w:hAnsi="Arial" w:cs="Arial"/>
                  <w:color w:val="003399"/>
                  <w:w w:val="105"/>
                </w:rPr>
                <w:t>https://www.facebook.com/fixmakerspace</w:t>
              </w:r>
            </w:hyperlink>
            <w:r w:rsidRPr="009355EE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hyperlink r:id="rId11">
              <w:r w:rsidRPr="009355EE">
                <w:rPr>
                  <w:rFonts w:ascii="Arial" w:hAnsi="Arial" w:cs="Arial"/>
                  <w:color w:val="003399"/>
                  <w:w w:val="105"/>
                </w:rPr>
                <w:t>https://www.instagram.com/fixoradea/</w:t>
              </w:r>
            </w:hyperlink>
          </w:p>
        </w:tc>
      </w:tr>
    </w:tbl>
    <w:p w14:paraId="6C351C54" w14:textId="77777777" w:rsidR="00E262E1" w:rsidRDefault="00E262E1"/>
    <w:sectPr w:rsidR="00E262E1">
      <w:type w:val="continuous"/>
      <w:pgSz w:w="11910" w:h="16840"/>
      <w:pgMar w:top="1740" w:right="708" w:bottom="1240" w:left="1417" w:header="72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74DE" w14:textId="77777777" w:rsidR="00630E0A" w:rsidRDefault="00630E0A">
      <w:r>
        <w:separator/>
      </w:r>
    </w:p>
  </w:endnote>
  <w:endnote w:type="continuationSeparator" w:id="0">
    <w:p w14:paraId="78A9352D" w14:textId="77777777" w:rsidR="00630E0A" w:rsidRDefault="006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6C8E" w14:textId="77777777" w:rsidR="00196EF3" w:rsidRDefault="00630E0A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772F41FC" wp14:editId="6B03611F">
              <wp:simplePos x="0" y="0"/>
              <wp:positionH relativeFrom="page">
                <wp:posOffset>902004</wp:posOffset>
              </wp:positionH>
              <wp:positionV relativeFrom="page">
                <wp:posOffset>9881543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E6F40" w14:textId="77777777" w:rsidR="00196EF3" w:rsidRDefault="00630E0A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41F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8.05pt;width:143.2pt;height:15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489E6F40" w14:textId="77777777" w:rsidR="00196EF3" w:rsidRDefault="00630E0A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BB1D6C6" wp14:editId="70895526">
              <wp:simplePos x="0" y="0"/>
              <wp:positionH relativeFrom="page">
                <wp:posOffset>5325617</wp:posOffset>
              </wp:positionH>
              <wp:positionV relativeFrom="page">
                <wp:posOffset>9881543</wp:posOffset>
              </wp:positionV>
              <wp:extent cx="1332865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42841" w14:textId="77777777" w:rsidR="00196EF3" w:rsidRDefault="00196EF3">
                          <w:pPr>
                            <w:pStyle w:val="Szvegtrzs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1D6C6" id="Textbox 7" o:spid="_x0000_s1027" type="#_x0000_t202" style="position:absolute;margin-left:419.35pt;margin-top:778.05pt;width:104.95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" filled="f" stroked="f">
              <v:textbox inset="0,0,0,0">
                <w:txbxContent>
                  <w:p w14:paraId="15B42841" w14:textId="77777777" w:rsidR="00196EF3" w:rsidRDefault="00196EF3">
                    <w:pPr>
                      <w:pStyle w:val="Szvegtrzs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F94904F" wp14:editId="61710A21">
              <wp:simplePos x="0" y="0"/>
              <wp:positionH relativeFrom="page">
                <wp:posOffset>3707257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C4C4A" w14:textId="77777777" w:rsidR="00196EF3" w:rsidRDefault="00630E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4904F" id="Textbox 8" o:spid="_x0000_s1028" type="#_x0000_t202" style="position:absolute;margin-left:291.9pt;margin-top:793.65pt;width:12.6pt;height:13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PGzEWni&#10;AAAADQEAAA8AAAAAAAAAAAAAAAAA8AMAAGRycy9kb3ducmV2LnhtbFBLBQYAAAAABAAEAPMAAAD/&#10;BAAAAAA=&#10;" filled="f" stroked="f">
              <v:textbox inset="0,0,0,0">
                <w:txbxContent>
                  <w:p w14:paraId="2A4C4C4A" w14:textId="77777777" w:rsidR="00196EF3" w:rsidRDefault="00630E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6748" w14:textId="77777777" w:rsidR="00630E0A" w:rsidRDefault="00630E0A">
      <w:r>
        <w:separator/>
      </w:r>
    </w:p>
  </w:footnote>
  <w:footnote w:type="continuationSeparator" w:id="0">
    <w:p w14:paraId="2AAD3A4D" w14:textId="77777777" w:rsidR="00630E0A" w:rsidRDefault="0063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257E" w14:textId="77777777" w:rsidR="00196EF3" w:rsidRDefault="00630E0A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487495680" behindDoc="1" locked="0" layoutInCell="1" allowOverlap="1" wp14:anchorId="6968E61E" wp14:editId="78510574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6192" behindDoc="1" locked="0" layoutInCell="1" allowOverlap="1" wp14:anchorId="574B3D4F" wp14:editId="7C7BD770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6704" behindDoc="1" locked="0" layoutInCell="1" allowOverlap="1" wp14:anchorId="3604D86D" wp14:editId="72EFA76F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216" behindDoc="1" locked="0" layoutInCell="1" allowOverlap="1" wp14:anchorId="6EF7455B" wp14:editId="1F2CB3F7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1100C09B" wp14:editId="64E9C4C9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7322"/>
    <w:multiLevelType w:val="multilevel"/>
    <w:tmpl w:val="5752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F3B63"/>
    <w:multiLevelType w:val="hybridMultilevel"/>
    <w:tmpl w:val="19A4ED70"/>
    <w:lvl w:ilvl="0" w:tplc="8A0EC86C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76529A4C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D4E27D8A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9CB696AA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63C885F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8B220DA4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6" w:tplc="C35AE084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7" w:tplc="BDC6F750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8" w:tplc="5A2CC436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4323B2"/>
    <w:multiLevelType w:val="multilevel"/>
    <w:tmpl w:val="AE9A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04FA4"/>
    <w:multiLevelType w:val="hybridMultilevel"/>
    <w:tmpl w:val="372870CE"/>
    <w:lvl w:ilvl="0" w:tplc="1A92DA58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DD3851AE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F76C883E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4EB0221A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C1C8C93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5" w:tplc="681421C6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6" w:tplc="FF727E00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7" w:tplc="6DACF98A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ar-SA"/>
      </w:rPr>
    </w:lvl>
    <w:lvl w:ilvl="8" w:tplc="D1B4743C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num w:numId="1" w16cid:durableId="1489975714">
    <w:abstractNumId w:val="3"/>
  </w:num>
  <w:num w:numId="2" w16cid:durableId="2109348191">
    <w:abstractNumId w:val="1"/>
  </w:num>
  <w:num w:numId="3" w16cid:durableId="1284120686">
    <w:abstractNumId w:val="2"/>
  </w:num>
  <w:num w:numId="4" w16cid:durableId="1484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F3"/>
    <w:rsid w:val="00023E2D"/>
    <w:rsid w:val="00126621"/>
    <w:rsid w:val="00196EF3"/>
    <w:rsid w:val="00247F93"/>
    <w:rsid w:val="003B39AA"/>
    <w:rsid w:val="00516AF5"/>
    <w:rsid w:val="005D3608"/>
    <w:rsid w:val="0060252D"/>
    <w:rsid w:val="00630E0A"/>
    <w:rsid w:val="00695D2A"/>
    <w:rsid w:val="007E668D"/>
    <w:rsid w:val="00872066"/>
    <w:rsid w:val="009355EE"/>
    <w:rsid w:val="009D1495"/>
    <w:rsid w:val="009D19A4"/>
    <w:rsid w:val="009D7FA2"/>
    <w:rsid w:val="009E078B"/>
    <w:rsid w:val="00B85693"/>
    <w:rsid w:val="00D916EF"/>
    <w:rsid w:val="00DA68B0"/>
    <w:rsid w:val="00E2405B"/>
    <w:rsid w:val="00E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BFF4"/>
  <w15:docId w15:val="{28348F40-814B-4749-85C0-F417FE4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fixorade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fixmakersp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xmakerspace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Mihai</dc:creator>
  <cp:lastModifiedBy>Fekete Viktor</cp:lastModifiedBy>
  <cp:revision>2</cp:revision>
  <dcterms:created xsi:type="dcterms:W3CDTF">2026-02-26T08:32:00Z</dcterms:created>
  <dcterms:modified xsi:type="dcterms:W3CDTF">2026-02-26T08:32:00Z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2013</vt:lpwstr>
  </property>
</Properties>
</file>